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2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126365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00"/>
        <w:spacing w:after="0" w:line="235"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ind w:left="4740"/>
        <w:spacing w:after="0"/>
        <w:tabs>
          <w:tab w:leader="none" w:pos="642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6" w:lineRule="exact"/>
        <w:rPr>
          <w:sz w:val="24"/>
          <w:szCs w:val="24"/>
          <w:color w:val="auto"/>
        </w:rPr>
      </w:pPr>
    </w:p>
    <w:p>
      <w:pPr>
        <w:spacing w:after="0" w:line="207" w:lineRule="exact"/>
        <w:tabs>
          <w:tab w:leader="none" w:pos="36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8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60"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EAGLE MATERIALS INC.</w:t>
      </w:r>
    </w:p>
    <w:p>
      <w:pPr>
        <w:spacing w:after="0" w:line="48"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40"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8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39"/>
        <w:spacing w:after="0" w:line="246" w:lineRule="auto"/>
        <w:rPr>
          <w:sz w:val="20"/>
          <w:szCs w:val="20"/>
          <w:color w:val="auto"/>
        </w:rPr>
      </w:pPr>
      <w:r>
        <w:rPr>
          <w:rFonts w:ascii="Times New Roman" w:cs="Times New Roman" w:eastAsia="Times New Roman" w:hAnsi="Times New Roman"/>
          <w:sz w:val="76"/>
          <w:szCs w:val="76"/>
          <w:b w:val="1"/>
          <w:bCs w:val="1"/>
          <w:color w:val="051972"/>
        </w:rPr>
        <w:t>Proxy Statement and Notice of Annual Meeting of Stockholders</w:t>
      </w:r>
    </w:p>
    <w:p>
      <w:pPr>
        <w:spacing w:after="0" w:line="2" w:lineRule="exact"/>
        <w:rPr>
          <w:sz w:val="20"/>
          <w:szCs w:val="20"/>
          <w:color w:val="auto"/>
        </w:rPr>
      </w:pPr>
    </w:p>
    <w:p>
      <w:pPr>
        <w:spacing w:after="0"/>
        <w:rPr>
          <w:sz w:val="20"/>
          <w:szCs w:val="20"/>
          <w:color w:val="auto"/>
        </w:rPr>
      </w:pPr>
      <w:r>
        <w:rPr>
          <w:rFonts w:ascii="Arial" w:cs="Arial" w:eastAsia="Arial" w:hAnsi="Arial"/>
          <w:sz w:val="72"/>
          <w:szCs w:val="72"/>
          <w:b w:val="1"/>
          <w:bCs w:val="1"/>
          <w:color w:val="BDBEC0"/>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5147310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2459990</wp:posOffset>
            </wp:positionV>
            <wp:extent cx="3197225"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97225" cy="75438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65"/>
          <w:szCs w:val="65"/>
          <w:b w:val="1"/>
          <w:bCs w:val="1"/>
          <w:color w:val="051972"/>
        </w:rPr>
        <w:t>Letter from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8890" cy="67036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6703695"/>
                    </a:xfrm>
                    <a:prstGeom prst="rect">
                      <a:avLst/>
                    </a:prstGeom>
                    <a:noFill/>
                  </pic:spPr>
                </pic:pic>
              </a:graphicData>
            </a:graphic>
          </wp:anchor>
        </w:drawing>
      </w:r>
    </w:p>
    <w:p>
      <w:pPr>
        <w:spacing w:after="0" w:line="2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b w:val="1"/>
          <w:bCs w:val="1"/>
          <w:color w:val="C6001E"/>
        </w:rPr>
        <w:t>Dear Fellow Stockholder:</w:t>
      </w:r>
    </w:p>
    <w:p>
      <w:pPr>
        <w:spacing w:after="0" w:line="156" w:lineRule="exact"/>
        <w:rPr>
          <w:sz w:val="20"/>
          <w:szCs w:val="20"/>
          <w:color w:val="auto"/>
        </w:rPr>
      </w:pPr>
    </w:p>
    <w:p>
      <w:pPr>
        <w:ind w:left="460" w:right="40"/>
        <w:spacing w:after="0" w:line="266" w:lineRule="auto"/>
        <w:rPr>
          <w:sz w:val="20"/>
          <w:szCs w:val="20"/>
          <w:color w:val="auto"/>
        </w:rPr>
      </w:pPr>
      <w:r>
        <w:rPr>
          <w:rFonts w:ascii="Arial" w:cs="Arial" w:eastAsia="Arial" w:hAnsi="Arial"/>
          <w:sz w:val="16"/>
          <w:szCs w:val="16"/>
          <w:color w:val="auto"/>
        </w:rPr>
        <w:t>It is my pleasure to invite you to our Annual Meeting of Stockholders, which will be held on Monday, August 4, 2025, at the Douglas Conference Center, 8343 Douglas Avenue, Suite 125, Dallas, TX 75225, at 8:00 a.m., local time. We hope that you will attend the meeting, but we encourage you to vote by proxy whether or not you plan to attend the meeting in person.</w:t>
      </w:r>
    </w:p>
    <w:p>
      <w:pPr>
        <w:spacing w:after="0" w:line="104" w:lineRule="exact"/>
        <w:rPr>
          <w:sz w:val="20"/>
          <w:szCs w:val="20"/>
          <w:color w:val="auto"/>
        </w:rPr>
      </w:pPr>
    </w:p>
    <w:p>
      <w:pPr>
        <w:ind w:left="460"/>
        <w:spacing w:after="0" w:line="257" w:lineRule="auto"/>
        <w:rPr>
          <w:sz w:val="20"/>
          <w:szCs w:val="20"/>
          <w:color w:val="auto"/>
        </w:rPr>
      </w:pPr>
      <w:r>
        <w:rPr>
          <w:rFonts w:ascii="Arial" w:cs="Arial" w:eastAsia="Arial" w:hAnsi="Arial"/>
          <w:sz w:val="16"/>
          <w:szCs w:val="16"/>
          <w:color w:val="auto"/>
        </w:rPr>
        <w:t>Beginning on June 23, 2025, we are mailing to our stockholders a Notice Regarding the Availability of Proxy Materials, or Notice, instead of a paper copy of the materials for the Annual Meeting—unless they have opted to receive only an electronic distribution of these materials. The Notice contains instructions on how to access the proxy materials over the Internet and vote online, as well as how stockholders can elect to receive paper copies of the materials. We believe that this process expedites stockholders’ receipt of proxy materials and provides stockholders with the information they need.</w:t>
      </w:r>
    </w:p>
    <w:p>
      <w:pPr>
        <w:spacing w:after="0" w:line="292" w:lineRule="exact"/>
        <w:rPr>
          <w:sz w:val="20"/>
          <w:szCs w:val="20"/>
          <w:color w:val="auto"/>
        </w:rPr>
      </w:pPr>
    </w:p>
    <w:p>
      <w:pPr>
        <w:ind w:left="460" w:right="80"/>
        <w:spacing w:after="0" w:line="296" w:lineRule="auto"/>
        <w:rPr>
          <w:sz w:val="20"/>
          <w:szCs w:val="20"/>
          <w:color w:val="auto"/>
        </w:rPr>
      </w:pPr>
      <w:r>
        <w:rPr>
          <w:rFonts w:ascii="Arial" w:cs="Arial" w:eastAsia="Arial" w:hAnsi="Arial"/>
          <w:sz w:val="16"/>
          <w:szCs w:val="16"/>
          <w:color w:val="auto"/>
        </w:rPr>
        <w:t xml:space="preserve">If you attend the Annual Meeting and desire to vote your shares personally rather than by proxy, you may withdraw your proxy at any time before it is exercised. </w:t>
      </w:r>
      <w:r>
        <w:rPr>
          <w:rFonts w:ascii="Arial" w:cs="Arial" w:eastAsia="Arial" w:hAnsi="Arial"/>
          <w:sz w:val="16"/>
          <w:szCs w:val="16"/>
          <w:b w:val="1"/>
          <w:bCs w:val="1"/>
          <w:color w:val="auto"/>
        </w:rPr>
        <w:t>Your vote is very important, whether you own one share or many.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Thank you for your continued support and interest in Eagle.</w:t>
      </w:r>
    </w:p>
    <w:p>
      <w:pPr>
        <w:spacing w:after="0" w:line="3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Sincerely,</w:t>
      </w:r>
    </w:p>
    <w:p>
      <w:pPr>
        <w:spacing w:after="0" w:line="3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C6001E"/>
        </w:rPr>
        <w:t>Michael R. Haack</w:t>
      </w:r>
    </w:p>
    <w:p>
      <w:pPr>
        <w:spacing w:after="0" w:line="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President and Chief Executive Officer</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June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4652645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6" w:right="379" w:bottom="1440" w:gutter="0" w:footer="0" w:header="0"/>
        </w:sectPr>
      </w:pPr>
    </w:p>
    <w:bookmarkStart w:id="3" w:name="page4"/>
    <w:bookmarkEnd w:id="3"/>
    <w:p>
      <w:pPr>
        <w:ind w:right="3400"/>
        <w:spacing w:after="0" w:line="249" w:lineRule="auto"/>
        <w:rPr>
          <w:sz w:val="20"/>
          <w:szCs w:val="20"/>
          <w:color w:val="auto"/>
        </w:rPr>
      </w:pPr>
      <w:r>
        <w:rPr>
          <w:rFonts w:ascii="Times New Roman" w:cs="Times New Roman" w:eastAsia="Times New Roman" w:hAnsi="Times New Roman"/>
          <w:sz w:val="65"/>
          <w:szCs w:val="65"/>
          <w:b w:val="1"/>
          <w:bCs w:val="1"/>
          <w:color w:val="051972"/>
        </w:rPr>
        <w:t>Notice of Annual Meeting of Stockholders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To Be Held August 4, 2025</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To the Stockholders of Eagle Materials Inc.:</w:t>
      </w:r>
    </w:p>
    <w:p>
      <w:pPr>
        <w:sectPr>
          <w:pgSz w:w="11900" w:h="16838" w:orient="portrait"/>
          <w:cols w:equalWidth="0" w:num="1">
            <w:col w:w="11220"/>
          </w:cols>
          <w:pgMar w:left="320" w:top="1042" w:right="359" w:bottom="1440" w:gutter="0" w:footer="0" w:header="0"/>
        </w:sectPr>
      </w:pPr>
    </w:p>
    <w:p>
      <w:pPr>
        <w:spacing w:after="0" w:line="16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b w:val="1"/>
          <w:bCs w:val="1"/>
          <w:color w:val="051972"/>
        </w:rPr>
        <w:t>Date &amp;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47117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117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-116840</wp:posOffset>
            </wp:positionV>
            <wp:extent cx="334645"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645" cy="41148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5920" w:space="720"/>
            <w:col w:w="4580"/>
          </w:cols>
          <w:pgMar w:left="320" w:top="1042" w:right="3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Monday, August 4, 2025</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8:00 a.m., local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Douglas Conference Center,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8343 Douglas Avenue, Suite 125, Dallas, TX 75225</w:t>
      </w:r>
    </w:p>
    <w:p>
      <w:pPr>
        <w:spacing w:after="0" w:line="192" w:lineRule="exact"/>
        <w:rPr>
          <w:sz w:val="20"/>
          <w:szCs w:val="20"/>
          <w:color w:val="auto"/>
        </w:rPr>
      </w:pPr>
    </w:p>
    <w:p>
      <w:pPr>
        <w:sectPr>
          <w:pgSz w:w="11900" w:h="16838" w:orient="portrait"/>
          <w:cols w:equalWidth="0" w:num="2">
            <w:col w:w="5920" w:space="720"/>
            <w:col w:w="4580"/>
          </w:cols>
          <w:pgMar w:left="320" w:top="1042" w:right="359" w:bottom="1440" w:gutter="0" w:footer="0" w:header="0"/>
          <w:type w:val="continuous"/>
        </w:sectPr>
      </w:pPr>
    </w:p>
    <w:p>
      <w:pPr>
        <w:spacing w:after="0"/>
        <w:rPr>
          <w:sz w:val="20"/>
          <w:szCs w:val="20"/>
          <w:color w:val="auto"/>
        </w:rPr>
      </w:pPr>
      <w:r>
        <w:rPr>
          <w:rFonts w:ascii="Arial" w:cs="Arial" w:eastAsia="Arial" w:hAnsi="Arial"/>
          <w:sz w:val="16"/>
          <w:szCs w:val="16"/>
          <w:color w:val="auto"/>
        </w:rPr>
        <w:t>At the meeting, stockholders will:</w:t>
      </w:r>
    </w:p>
    <w:p>
      <w:pPr>
        <w:sectPr>
          <w:pgSz w:w="11900" w:h="16838" w:orient="portrait"/>
          <w:cols w:equalWidth="0" w:num="1">
            <w:col w:w="11220"/>
          </w:cols>
          <w:pgMar w:left="320" w:top="1042" w:right="359" w:bottom="1440" w:gutter="0" w:footer="0" w:header="0"/>
          <w:type w:val="continuous"/>
        </w:sectPr>
      </w:pPr>
    </w:p>
    <w:p>
      <w:pPr>
        <w:spacing w:after="0" w:line="154"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6"/>
          <w:szCs w:val="16"/>
          <w:b w:val="1"/>
          <w:bCs w:val="1"/>
          <w:color w:val="051972"/>
        </w:rPr>
      </w:pPr>
      <w:r>
        <w:rPr>
          <w:rFonts w:ascii="Arial" w:cs="Arial" w:eastAsia="Arial" w:hAnsi="Arial"/>
          <w:sz w:val="16"/>
          <w:szCs w:val="16"/>
          <w:color w:val="auto"/>
        </w:rPr>
        <w:t>Elect the three Class I directors identified in the accompanying Proxy Statement, each to hold office for three years.</w:t>
      </w:r>
    </w:p>
    <w:p>
      <w:pPr>
        <w:spacing w:after="0" w:line="29" w:lineRule="exact"/>
        <w:rPr>
          <w:rFonts w:ascii="Times New Roman" w:cs="Times New Roman" w:eastAsia="Times New Roman" w:hAnsi="Times New Roman"/>
          <w:sz w:val="16"/>
          <w:szCs w:val="16"/>
          <w:b w:val="1"/>
          <w:bCs w:val="1"/>
          <w:color w:val="051972"/>
        </w:rPr>
      </w:pPr>
    </w:p>
    <w:p>
      <w:pPr>
        <w:ind w:left="380" w:hanging="372"/>
        <w:spacing w:after="0"/>
        <w:tabs>
          <w:tab w:leader="none" w:pos="380" w:val="left"/>
        </w:tabs>
        <w:numPr>
          <w:ilvl w:val="0"/>
          <w:numId w:val="6"/>
        </w:numPr>
        <w:rPr>
          <w:rFonts w:ascii="Times New Roman" w:cs="Times New Roman" w:eastAsia="Times New Roman" w:hAnsi="Times New Roman"/>
          <w:sz w:val="16"/>
          <w:szCs w:val="16"/>
          <w:b w:val="1"/>
          <w:bCs w:val="1"/>
          <w:color w:val="051972"/>
        </w:rPr>
      </w:pPr>
      <w:r>
        <w:rPr>
          <w:rFonts w:ascii="Arial" w:cs="Arial" w:eastAsia="Arial" w:hAnsi="Arial"/>
          <w:sz w:val="16"/>
          <w:szCs w:val="16"/>
          <w:color w:val="auto"/>
        </w:rPr>
        <w:t>Vote on an advisory resolution to approve the compensation of our Named Executive Officers.</w:t>
      </w:r>
    </w:p>
    <w:p>
      <w:pPr>
        <w:spacing w:after="0" w:line="17" w:lineRule="exact"/>
        <w:rPr>
          <w:rFonts w:ascii="Times New Roman" w:cs="Times New Roman" w:eastAsia="Times New Roman" w:hAnsi="Times New Roman"/>
          <w:sz w:val="16"/>
          <w:szCs w:val="16"/>
          <w:b w:val="1"/>
          <w:bCs w:val="1"/>
          <w:color w:val="051972"/>
        </w:rPr>
      </w:pPr>
    </w:p>
    <w:p>
      <w:pPr>
        <w:ind w:left="380" w:hanging="372"/>
        <w:spacing w:after="0" w:line="248" w:lineRule="auto"/>
        <w:tabs>
          <w:tab w:leader="none" w:pos="380" w:val="left"/>
        </w:tabs>
        <w:numPr>
          <w:ilvl w:val="0"/>
          <w:numId w:val="6"/>
        </w:numPr>
        <w:rPr>
          <w:rFonts w:ascii="Times New Roman" w:cs="Times New Roman" w:eastAsia="Times New Roman" w:hAnsi="Times New Roman"/>
          <w:sz w:val="16"/>
          <w:szCs w:val="16"/>
          <w:b w:val="1"/>
          <w:bCs w:val="1"/>
          <w:color w:val="051972"/>
        </w:rPr>
      </w:pPr>
      <w:r>
        <w:rPr>
          <w:rFonts w:ascii="Arial" w:cs="Arial" w:eastAsia="Arial" w:hAnsi="Arial"/>
          <w:sz w:val="16"/>
          <w:szCs w:val="16"/>
          <w:color w:val="auto"/>
        </w:rPr>
        <w:t>To consider and vote on, if properly presented at the annual meeting, a non-binding advisory stockholder proposal requesting the declassification of our Board of Directors.</w:t>
      </w:r>
    </w:p>
    <w:p>
      <w:pPr>
        <w:ind w:left="380" w:hanging="372"/>
        <w:spacing w:after="0"/>
        <w:tabs>
          <w:tab w:leader="none" w:pos="380" w:val="left"/>
        </w:tabs>
        <w:numPr>
          <w:ilvl w:val="0"/>
          <w:numId w:val="6"/>
        </w:numPr>
        <w:rPr>
          <w:rFonts w:ascii="Times New Roman" w:cs="Times New Roman" w:eastAsia="Times New Roman" w:hAnsi="Times New Roman"/>
          <w:sz w:val="16"/>
          <w:szCs w:val="16"/>
          <w:b w:val="1"/>
          <w:bCs w:val="1"/>
          <w:color w:val="051972"/>
        </w:rPr>
      </w:pPr>
      <w:r>
        <w:rPr>
          <w:rFonts w:ascii="Arial" w:cs="Arial" w:eastAsia="Arial" w:hAnsi="Arial"/>
          <w:sz w:val="16"/>
          <w:szCs w:val="16"/>
          <w:color w:val="auto"/>
        </w:rPr>
        <w:t>Vote to approve the expected appointment of Ernst &amp; Young LLP as the Company’s independent auditors for the fiscal year ending March 31, 2026.</w:t>
      </w:r>
    </w:p>
    <w:p>
      <w:pPr>
        <w:spacing w:after="0" w:line="13" w:lineRule="exact"/>
        <w:rPr>
          <w:rFonts w:ascii="Times New Roman" w:cs="Times New Roman" w:eastAsia="Times New Roman" w:hAnsi="Times New Roman"/>
          <w:sz w:val="16"/>
          <w:szCs w:val="16"/>
          <w:b w:val="1"/>
          <w:bCs w:val="1"/>
          <w:color w:val="051972"/>
        </w:rPr>
      </w:pPr>
    </w:p>
    <w:p>
      <w:pPr>
        <w:ind w:left="380" w:hanging="372"/>
        <w:spacing w:after="0"/>
        <w:tabs>
          <w:tab w:leader="none" w:pos="380" w:val="left"/>
        </w:tabs>
        <w:numPr>
          <w:ilvl w:val="0"/>
          <w:numId w:val="6"/>
        </w:numPr>
        <w:rPr>
          <w:rFonts w:ascii="Times New Roman" w:cs="Times New Roman" w:eastAsia="Times New Roman" w:hAnsi="Times New Roman"/>
          <w:sz w:val="16"/>
          <w:szCs w:val="16"/>
          <w:b w:val="1"/>
          <w:bCs w:val="1"/>
          <w:color w:val="051972"/>
        </w:rPr>
      </w:pPr>
      <w:r>
        <w:rPr>
          <w:rFonts w:ascii="Arial" w:cs="Arial" w:eastAsia="Arial" w:hAnsi="Arial"/>
          <w:sz w:val="16"/>
          <w:szCs w:val="16"/>
          <w:color w:val="auto"/>
        </w:rPr>
        <w:t>Any other matters properly brought before the annual meeting, or any adjournment thereof.</w:t>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Company’s Board of Directors has fixed the close of business on June 6, 2025 as the record date for the determination of stockholders entitled to notice of and to vote at the annual meeting or any adjournment thereof. Only record holders of the Company’s common stock, par value $0.01 per share (“Common Stock”), at the close of business on the record date are entitled to notice of and to vote at the annual meeting. A list of holders of Common Stock will be available for examination by any stockholder at the annual meeting and, during the ten-day period preceding the meeting date at the executive offices of the Company located at 5960 Berkshire Ln., Suite 900, Dallas, Texas 75225.</w:t>
      </w:r>
    </w:p>
    <w:p>
      <w:pPr>
        <w:spacing w:after="0" w:line="112" w:lineRule="exact"/>
        <w:rPr>
          <w:sz w:val="20"/>
          <w:szCs w:val="20"/>
          <w:color w:val="auto"/>
        </w:rPr>
      </w:pPr>
    </w:p>
    <w:p>
      <w:pPr>
        <w:jc w:val="both"/>
        <w:ind w:right="560"/>
        <w:spacing w:after="0" w:line="266" w:lineRule="auto"/>
        <w:rPr>
          <w:sz w:val="20"/>
          <w:szCs w:val="20"/>
          <w:color w:val="auto"/>
        </w:rPr>
      </w:pPr>
      <w:r>
        <w:rPr>
          <w:rFonts w:ascii="Arial" w:cs="Arial" w:eastAsia="Arial" w:hAnsi="Arial"/>
          <w:sz w:val="16"/>
          <w:szCs w:val="16"/>
          <w:b w:val="1"/>
          <w:bCs w:val="1"/>
          <w:color w:val="auto"/>
        </w:rPr>
        <w:t xml:space="preserve">For further information regarding the matters to be acted upon at the annual meeting, I urge you to carefully read the accompanying Proxy Statement. </w:t>
      </w:r>
      <w:r>
        <w:rPr>
          <w:rFonts w:ascii="Arial" w:cs="Arial" w:eastAsia="Arial" w:hAnsi="Arial"/>
          <w:sz w:val="16"/>
          <w:szCs w:val="16"/>
          <w:color w:val="auto"/>
        </w:rPr>
        <w:t>If you have questions about these proposals or would like additional copies of the Proxy Statement, please contact: Eagle Materials Inc.,</w:t>
      </w:r>
      <w:r>
        <w:rPr>
          <w:rFonts w:ascii="Arial" w:cs="Arial" w:eastAsia="Arial" w:hAnsi="Arial"/>
          <w:sz w:val="16"/>
          <w:szCs w:val="16"/>
          <w:b w:val="1"/>
          <w:bCs w:val="1"/>
          <w:color w:val="auto"/>
        </w:rPr>
        <w:t xml:space="preserve"> </w:t>
      </w:r>
      <w:r>
        <w:rPr>
          <w:rFonts w:ascii="Arial" w:cs="Arial" w:eastAsia="Arial" w:hAnsi="Arial"/>
          <w:sz w:val="16"/>
          <w:szCs w:val="16"/>
          <w:color w:val="auto"/>
        </w:rPr>
        <w:t>Attention: Matt Newby, Secretary, 5960 Berkshire Ln., Suite 900, Dallas, Texas 75225 (telephone: (214) 432-2000).</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C6001E"/>
        </w:rPr>
        <w:t>Matt Newby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Secretary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694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4, 2025. Our Proxy Statement and 2025 annual report to stockholders are available to you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2"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65"/>
          <w:szCs w:val="65"/>
          <w:b w:val="1"/>
          <w:bCs w:val="1"/>
          <w:color w:val="051972"/>
        </w:rPr>
        <w:t>Table of Contents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2"/>
                <w:szCs w:val="22"/>
                <w:b w:val="1"/>
                <w:bCs w:val="1"/>
                <w:color w:val="C6001E"/>
                <w:w w:val="98"/>
              </w:rPr>
              <w:t>Introduction</w:t>
            </w:r>
          </w:p>
        </w:tc>
        <w:tc>
          <w:tcPr>
            <w:tcW w:w="3300" w:type="dxa"/>
            <w:vAlign w:val="bottom"/>
            <w:gridSpan w:val="16"/>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C6001E"/>
              </w:rPr>
              <w:t>1</w:t>
            </w:r>
          </w:p>
        </w:tc>
        <w:tc>
          <w:tcPr>
            <w:tcW w:w="0" w:type="dxa"/>
            <w:vAlign w:val="bottom"/>
          </w:tcPr>
          <w:p>
            <w:pPr>
              <w:spacing w:after="0"/>
              <w:rPr>
                <w:sz w:val="1"/>
                <w:szCs w:val="1"/>
                <w:color w:val="auto"/>
              </w:rPr>
            </w:pPr>
          </w:p>
        </w:tc>
      </w:tr>
      <w:tr>
        <w:trPr>
          <w:trHeight w:val="196"/>
        </w:trPr>
        <w:tc>
          <w:tcPr>
            <w:tcW w:w="4500" w:type="dxa"/>
            <w:vAlign w:val="bottom"/>
            <w:gridSpan w:val="20"/>
          </w:tcPr>
          <w:p>
            <w:pPr>
              <w:spacing w:after="0" w:line="196" w:lineRule="exact"/>
              <w:rPr>
                <w:sz w:val="20"/>
                <w:szCs w:val="20"/>
                <w:color w:val="auto"/>
              </w:rPr>
            </w:pPr>
            <w:r>
              <w:rPr>
                <w:rFonts w:ascii="Arial" w:cs="Arial" w:eastAsia="Arial" w:hAnsi="Arial"/>
                <w:sz w:val="18"/>
                <w:szCs w:val="18"/>
                <w:color w:val="auto"/>
              </w:rPr>
              <w:t>Date, Time and Place of the Annual Meeting</w:t>
            </w: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C6001E"/>
              </w:rPr>
              <w:t>1</w:t>
            </w:r>
          </w:p>
        </w:tc>
        <w:tc>
          <w:tcPr>
            <w:tcW w:w="0" w:type="dxa"/>
            <w:vAlign w:val="bottom"/>
          </w:tcPr>
          <w:p>
            <w:pPr>
              <w:spacing w:after="0"/>
              <w:rPr>
                <w:sz w:val="1"/>
                <w:szCs w:val="1"/>
                <w:color w:val="auto"/>
              </w:rPr>
            </w:pPr>
          </w:p>
        </w:tc>
      </w:tr>
      <w:tr>
        <w:trPr>
          <w:trHeight w:val="183"/>
        </w:trPr>
        <w:tc>
          <w:tcPr>
            <w:tcW w:w="354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auto"/>
              </w:rPr>
              <w:t>Purposes of the Annual Meeting and</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C6001E"/>
              </w:rPr>
              <w:t>1</w:t>
            </w:r>
          </w:p>
        </w:tc>
        <w:tc>
          <w:tcPr>
            <w:tcW w:w="0" w:type="dxa"/>
            <w:vAlign w:val="bottom"/>
          </w:tcPr>
          <w:p>
            <w:pPr>
              <w:spacing w:after="0"/>
              <w:rPr>
                <w:sz w:val="1"/>
                <w:szCs w:val="1"/>
                <w:color w:val="auto"/>
              </w:rPr>
            </w:pPr>
          </w:p>
        </w:tc>
      </w:tr>
      <w:tr>
        <w:trPr>
          <w:trHeight w:val="183"/>
        </w:trPr>
        <w:tc>
          <w:tcPr>
            <w:tcW w:w="2920" w:type="dxa"/>
            <w:vAlign w:val="bottom"/>
            <w:tcBorders>
              <w:top w:val="single" w:sz="8" w:color="0000EE"/>
              <w:bottom w:val="single" w:sz="8" w:color="0000EE"/>
            </w:tcBorders>
            <w:gridSpan w:val="14"/>
          </w:tcPr>
          <w:p>
            <w:pPr>
              <w:spacing w:after="0" w:line="182" w:lineRule="exact"/>
              <w:rPr>
                <w:sz w:val="20"/>
                <w:szCs w:val="20"/>
                <w:color w:val="auto"/>
              </w:rPr>
            </w:pPr>
            <w:r>
              <w:rPr>
                <w:rFonts w:ascii="Arial" w:cs="Arial" w:eastAsia="Arial" w:hAnsi="Arial"/>
                <w:sz w:val="18"/>
                <w:szCs w:val="18"/>
                <w:color w:val="auto"/>
              </w:rPr>
              <w:t>Recommendations of our Board of</w:t>
            </w:r>
          </w:p>
        </w:tc>
        <w:tc>
          <w:tcPr>
            <w:tcW w:w="60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auto"/>
                <w:w w:val="80"/>
              </w:rPr>
              <w:t>Directors</w:t>
            </w:r>
          </w:p>
        </w:tc>
        <w:tc>
          <w:tcPr>
            <w:tcW w:w="980" w:type="dxa"/>
            <w:vAlign w:val="bottom"/>
            <w:gridSpan w:val="3"/>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740" w:type="dxa"/>
            <w:vAlign w:val="bottom"/>
            <w:tcBorders>
              <w:bottom w:val="single" w:sz="8" w:color="0000EE"/>
            </w:tcBorders>
            <w:gridSpan w:val="7"/>
          </w:tcPr>
          <w:p>
            <w:pPr>
              <w:spacing w:after="0" w:line="237" w:lineRule="exact"/>
              <w:rPr>
                <w:sz w:val="20"/>
                <w:szCs w:val="20"/>
                <w:color w:val="auto"/>
              </w:rPr>
            </w:pPr>
            <w:r>
              <w:rPr>
                <w:rFonts w:ascii="Times New Roman" w:cs="Times New Roman" w:eastAsia="Times New Roman" w:hAnsi="Times New Roman"/>
                <w:sz w:val="22"/>
                <w:szCs w:val="22"/>
                <w:b w:val="1"/>
                <w:bCs w:val="1"/>
                <w:color w:val="C6001E"/>
                <w:w w:val="97"/>
              </w:rPr>
              <w:t>About the Meeting</w:t>
            </w:r>
          </w:p>
        </w:tc>
        <w:tc>
          <w:tcPr>
            <w:tcW w:w="2760" w:type="dxa"/>
            <w:vAlign w:val="bottom"/>
            <w:gridSpan w:val="13"/>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C6001E"/>
              </w:rPr>
              <w:t>2</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auto"/>
                <w:w w:val="99"/>
              </w:rPr>
              <w:t>Who Can Vote</w:t>
            </w:r>
          </w:p>
        </w:tc>
        <w:tc>
          <w:tcPr>
            <w:tcW w:w="3320" w:type="dxa"/>
            <w:vAlign w:val="bottom"/>
            <w:gridSpan w:val="1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C6001E"/>
              </w:rPr>
              <w:t>2</w:t>
            </w:r>
          </w:p>
        </w:tc>
        <w:tc>
          <w:tcPr>
            <w:tcW w:w="0" w:type="dxa"/>
            <w:vAlign w:val="bottom"/>
          </w:tcPr>
          <w:p>
            <w:pPr>
              <w:spacing w:after="0"/>
              <w:rPr>
                <w:sz w:val="1"/>
                <w:szCs w:val="1"/>
                <w:color w:val="auto"/>
              </w:rPr>
            </w:pPr>
          </w:p>
        </w:tc>
      </w:tr>
      <w:tr>
        <w:trPr>
          <w:trHeight w:val="196"/>
        </w:trPr>
        <w:tc>
          <w:tcPr>
            <w:tcW w:w="4500" w:type="dxa"/>
            <w:vAlign w:val="bottom"/>
            <w:gridSpan w:val="20"/>
          </w:tcPr>
          <w:p>
            <w:pPr>
              <w:spacing w:after="0" w:line="196" w:lineRule="exact"/>
              <w:rPr>
                <w:sz w:val="20"/>
                <w:szCs w:val="20"/>
                <w:color w:val="auto"/>
              </w:rPr>
            </w:pPr>
            <w:r>
              <w:rPr>
                <w:rFonts w:ascii="Arial" w:cs="Arial" w:eastAsia="Arial" w:hAnsi="Arial"/>
                <w:sz w:val="18"/>
                <w:szCs w:val="18"/>
                <w:color w:val="auto"/>
              </w:rPr>
              <w:t>How Proxies Will be Voted</w:t>
            </w: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C6001E"/>
              </w:rPr>
              <w:t>2</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500" w:type="dxa"/>
            <w:vAlign w:val="bottom"/>
            <w:gridSpan w:val="20"/>
          </w:tcPr>
          <w:p>
            <w:pPr>
              <w:spacing w:after="0"/>
              <w:rPr>
                <w:sz w:val="20"/>
                <w:szCs w:val="20"/>
                <w:color w:val="auto"/>
              </w:rPr>
            </w:pPr>
            <w:r>
              <w:rPr>
                <w:rFonts w:ascii="Arial" w:cs="Arial" w:eastAsia="Arial" w:hAnsi="Arial"/>
                <w:sz w:val="18"/>
                <w:szCs w:val="18"/>
                <w:color w:val="auto"/>
              </w:rPr>
              <w:t>Quorum and Required Vote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C6001E"/>
              </w:rPr>
              <w:t>2</w:t>
            </w:r>
          </w:p>
        </w:tc>
        <w:tc>
          <w:tcPr>
            <w:tcW w:w="0" w:type="dxa"/>
            <w:vAlign w:val="bottom"/>
          </w:tcPr>
          <w:p>
            <w:pPr>
              <w:spacing w:after="0"/>
              <w:rPr>
                <w:sz w:val="1"/>
                <w:szCs w:val="1"/>
                <w:color w:val="auto"/>
              </w:rPr>
            </w:pPr>
          </w:p>
        </w:tc>
      </w:tr>
      <w:tr>
        <w:trPr>
          <w:trHeight w:val="183"/>
        </w:trPr>
        <w:tc>
          <w:tcPr>
            <w:tcW w:w="220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auto"/>
              </w:rPr>
              <w:t>How to Revoke Your Proxy</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3</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C6001E"/>
              </w:rPr>
              <w:t>3</w:t>
            </w:r>
          </w:p>
        </w:tc>
        <w:tc>
          <w:tcPr>
            <w:tcW w:w="0" w:type="dxa"/>
            <w:vAlign w:val="bottom"/>
          </w:tcPr>
          <w:p>
            <w:pPr>
              <w:spacing w:after="0" w:line="20" w:lineRule="exact"/>
              <w:rPr>
                <w:sz w:val="1"/>
                <w:szCs w:val="1"/>
                <w:color w:val="auto"/>
              </w:rPr>
            </w:pPr>
          </w:p>
        </w:tc>
      </w:tr>
      <w:tr>
        <w:trPr>
          <w:trHeight w:val="183"/>
        </w:trPr>
        <w:tc>
          <w:tcPr>
            <w:tcW w:w="242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auto"/>
                <w:w w:val="99"/>
              </w:rPr>
              <w:t>Expenses of Soliciting Proxies</w:t>
            </w:r>
          </w:p>
        </w:tc>
        <w:tc>
          <w:tcPr>
            <w:tcW w:w="2080" w:type="dxa"/>
            <w:vAlign w:val="bottom"/>
            <w:gridSpan w:val="8"/>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5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9"/>
              </w:rPr>
              <w:t>How You Can Vote</w:t>
            </w:r>
          </w:p>
        </w:tc>
        <w:tc>
          <w:tcPr>
            <w:tcW w:w="2960" w:type="dxa"/>
            <w:vAlign w:val="bottom"/>
            <w:gridSpan w:val="14"/>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C6001E"/>
              </w:rPr>
              <w:t>4</w:t>
            </w:r>
          </w:p>
        </w:tc>
        <w:tc>
          <w:tcPr>
            <w:tcW w:w="0" w:type="dxa"/>
            <w:vAlign w:val="bottom"/>
          </w:tcPr>
          <w:p>
            <w:pPr>
              <w:spacing w:after="0"/>
              <w:rPr>
                <w:sz w:val="1"/>
                <w:szCs w:val="1"/>
                <w:color w:val="auto"/>
              </w:rPr>
            </w:pPr>
          </w:p>
        </w:tc>
      </w:tr>
      <w:tr>
        <w:trPr>
          <w:trHeight w:val="290"/>
        </w:trPr>
        <w:tc>
          <w:tcPr>
            <w:tcW w:w="4500" w:type="dxa"/>
            <w:vAlign w:val="bottom"/>
            <w:gridSpan w:val="20"/>
          </w:tcPr>
          <w:p>
            <w:pPr>
              <w:spacing w:after="0"/>
              <w:rPr>
                <w:sz w:val="20"/>
                <w:szCs w:val="20"/>
                <w:color w:val="auto"/>
              </w:rPr>
            </w:pPr>
            <w:r>
              <w:rPr>
                <w:rFonts w:ascii="Times New Roman" w:cs="Times New Roman" w:eastAsia="Times New Roman" w:hAnsi="Times New Roman"/>
                <w:sz w:val="22"/>
                <w:szCs w:val="22"/>
                <w:b w:val="1"/>
                <w:bCs w:val="1"/>
                <w:color w:val="051972"/>
              </w:rPr>
              <w:t xml:space="preserve">Proposal No. 1: </w:t>
            </w:r>
            <w:r>
              <w:rPr>
                <w:rFonts w:ascii="Times New Roman" w:cs="Times New Roman" w:eastAsia="Times New Roman" w:hAnsi="Times New Roman"/>
                <w:sz w:val="22"/>
                <w:szCs w:val="22"/>
                <w:b w:val="1"/>
                <w:bCs w:val="1"/>
                <w:color w:val="C6001E"/>
              </w:rPr>
              <w:t>Election of Directors and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0000EE"/>
            </w:tcBorders>
            <w:gridSpan w:val="19"/>
          </w:tcPr>
          <w:p>
            <w:pPr>
              <w:spacing w:after="0" w:line="223" w:lineRule="exact"/>
              <w:rPr>
                <w:sz w:val="20"/>
                <w:szCs w:val="20"/>
                <w:color w:val="auto"/>
              </w:rPr>
            </w:pPr>
            <w:r>
              <w:rPr>
                <w:rFonts w:ascii="Times New Roman" w:cs="Times New Roman" w:eastAsia="Times New Roman" w:hAnsi="Times New Roman"/>
                <w:sz w:val="22"/>
                <w:szCs w:val="22"/>
                <w:b w:val="1"/>
                <w:bCs w:val="1"/>
                <w:color w:val="C6001E"/>
              </w:rPr>
              <w:t>Related Matters</w:t>
            </w: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C6001E"/>
              </w:rPr>
              <w:t>5</w:t>
            </w:r>
          </w:p>
        </w:tc>
        <w:tc>
          <w:tcPr>
            <w:tcW w:w="0" w:type="dxa"/>
            <w:vAlign w:val="bottom"/>
          </w:tcPr>
          <w:p>
            <w:pPr>
              <w:spacing w:after="0"/>
              <w:rPr>
                <w:sz w:val="1"/>
                <w:szCs w:val="1"/>
                <w:color w:val="auto"/>
              </w:rPr>
            </w:pPr>
          </w:p>
        </w:tc>
      </w:tr>
      <w:tr>
        <w:trPr>
          <w:trHeight w:val="237"/>
        </w:trPr>
        <w:tc>
          <w:tcPr>
            <w:tcW w:w="15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General</w:t>
            </w:r>
          </w:p>
        </w:tc>
        <w:tc>
          <w:tcPr>
            <w:tcW w:w="3000" w:type="dxa"/>
            <w:vAlign w:val="bottom"/>
            <w:gridSpan w:val="15"/>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C6001E"/>
              </w:rPr>
              <w:t>5</w:t>
            </w:r>
          </w:p>
        </w:tc>
        <w:tc>
          <w:tcPr>
            <w:tcW w:w="0" w:type="dxa"/>
            <w:vAlign w:val="bottom"/>
          </w:tcPr>
          <w:p>
            <w:pPr>
              <w:spacing w:after="0"/>
              <w:rPr>
                <w:sz w:val="1"/>
                <w:szCs w:val="1"/>
                <w:color w:val="auto"/>
              </w:rPr>
            </w:pPr>
          </w:p>
        </w:tc>
      </w:tr>
      <w:tr>
        <w:trPr>
          <w:trHeight w:val="183"/>
        </w:trPr>
        <w:tc>
          <w:tcPr>
            <w:tcW w:w="64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auto"/>
                <w:w w:val="98"/>
              </w:rPr>
              <w:t>Director</w:t>
            </w:r>
          </w:p>
        </w:tc>
        <w:tc>
          <w:tcPr>
            <w:tcW w:w="3860" w:type="dxa"/>
            <w:vAlign w:val="bottom"/>
            <w:gridSpan w:val="19"/>
          </w:tcPr>
          <w:p>
            <w:pPr>
              <w:ind w:left="40"/>
              <w:spacing w:after="0" w:line="182" w:lineRule="exact"/>
              <w:rPr>
                <w:sz w:val="20"/>
                <w:szCs w:val="20"/>
                <w:color w:val="auto"/>
              </w:rPr>
            </w:pPr>
            <w:r>
              <w:rPr>
                <w:rFonts w:ascii="Arial" w:cs="Arial" w:eastAsia="Arial" w:hAnsi="Arial"/>
                <w:sz w:val="18"/>
                <w:szCs w:val="18"/>
                <w:color w:val="auto"/>
              </w:rPr>
              <w:t>Independence</w:t>
            </w: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6</w:t>
            </w:r>
          </w:p>
        </w:tc>
        <w:tc>
          <w:tcPr>
            <w:tcW w:w="0" w:type="dxa"/>
            <w:vAlign w:val="bottom"/>
          </w:tcPr>
          <w:p>
            <w:pPr>
              <w:spacing w:after="0"/>
              <w:rPr>
                <w:sz w:val="1"/>
                <w:szCs w:val="1"/>
                <w:color w:val="auto"/>
              </w:rPr>
            </w:pPr>
          </w:p>
        </w:tc>
      </w:tr>
      <w:tr>
        <w:trPr>
          <w:trHeight w:val="183"/>
        </w:trPr>
        <w:tc>
          <w:tcPr>
            <w:tcW w:w="82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auto"/>
                <w:w w:val="98"/>
              </w:rPr>
              <w:t>Nominees</w:t>
            </w:r>
          </w:p>
        </w:tc>
        <w:tc>
          <w:tcPr>
            <w:tcW w:w="1000" w:type="dxa"/>
            <w:vAlign w:val="bottom"/>
            <w:tcBorders>
              <w:top w:val="single" w:sz="8" w:color="0000EE"/>
            </w:tcBorders>
            <w:gridSpan w:val="6"/>
          </w:tcPr>
          <w:p>
            <w:pPr>
              <w:spacing w:after="0"/>
              <w:rPr>
                <w:sz w:val="15"/>
                <w:szCs w:val="15"/>
                <w:color w:val="auto"/>
              </w:rPr>
            </w:pPr>
          </w:p>
        </w:tc>
        <w:tc>
          <w:tcPr>
            <w:tcW w:w="620" w:type="dxa"/>
            <w:vAlign w:val="bottom"/>
            <w:gridSpan w:val="5"/>
          </w:tcPr>
          <w:p>
            <w:pPr>
              <w:spacing w:after="0"/>
              <w:rPr>
                <w:sz w:val="15"/>
                <w:szCs w:val="15"/>
                <w:color w:val="auto"/>
              </w:rPr>
            </w:pPr>
          </w:p>
        </w:tc>
        <w:tc>
          <w:tcPr>
            <w:tcW w:w="6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4"/>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8</w:t>
            </w:r>
          </w:p>
        </w:tc>
        <w:tc>
          <w:tcPr>
            <w:tcW w:w="0" w:type="dxa"/>
            <w:vAlign w:val="bottom"/>
          </w:tcPr>
          <w:p>
            <w:pPr>
              <w:spacing w:after="0"/>
              <w:rPr>
                <w:sz w:val="1"/>
                <w:szCs w:val="1"/>
                <w:color w:val="auto"/>
              </w:rPr>
            </w:pPr>
          </w:p>
        </w:tc>
      </w:tr>
      <w:tr>
        <w:trPr>
          <w:trHeight w:val="183"/>
        </w:trPr>
        <w:tc>
          <w:tcPr>
            <w:tcW w:w="4500" w:type="dxa"/>
            <w:vAlign w:val="bottom"/>
            <w:gridSpan w:val="20"/>
          </w:tcPr>
          <w:p>
            <w:pPr>
              <w:spacing w:after="0" w:line="182" w:lineRule="exact"/>
              <w:rPr>
                <w:sz w:val="20"/>
                <w:szCs w:val="20"/>
                <w:color w:val="auto"/>
              </w:rPr>
            </w:pPr>
            <w:r>
              <w:rPr>
                <w:rFonts w:ascii="Arial" w:cs="Arial" w:eastAsia="Arial" w:hAnsi="Arial"/>
                <w:sz w:val="18"/>
                <w:szCs w:val="18"/>
                <w:color w:val="auto"/>
              </w:rPr>
              <w:t>Recommendation of the Board</w:t>
            </w: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8</w:t>
            </w:r>
          </w:p>
        </w:tc>
        <w:tc>
          <w:tcPr>
            <w:tcW w:w="0" w:type="dxa"/>
            <w:vAlign w:val="bottom"/>
          </w:tcPr>
          <w:p>
            <w:pPr>
              <w:spacing w:after="0"/>
              <w:rPr>
                <w:sz w:val="1"/>
                <w:szCs w:val="1"/>
                <w:color w:val="auto"/>
              </w:rPr>
            </w:pPr>
          </w:p>
        </w:tc>
      </w:tr>
      <w:tr>
        <w:trPr>
          <w:trHeight w:val="20"/>
        </w:trPr>
        <w:tc>
          <w:tcPr>
            <w:tcW w:w="2440" w:type="dxa"/>
            <w:vAlign w:val="bottom"/>
            <w:gridSpan w:val="1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90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C6001E"/>
              </w:rPr>
              <w:t>8</w:t>
            </w:r>
          </w:p>
        </w:tc>
        <w:tc>
          <w:tcPr>
            <w:tcW w:w="0" w:type="dxa"/>
            <w:vAlign w:val="bottom"/>
          </w:tcPr>
          <w:p>
            <w:pPr>
              <w:spacing w:after="0" w:line="20" w:lineRule="exact"/>
              <w:rPr>
                <w:sz w:val="1"/>
                <w:szCs w:val="1"/>
                <w:color w:val="auto"/>
              </w:rPr>
            </w:pPr>
          </w:p>
        </w:tc>
      </w:tr>
      <w:tr>
        <w:trPr>
          <w:trHeight w:val="183"/>
        </w:trPr>
        <w:tc>
          <w:tcPr>
            <w:tcW w:w="3120" w:type="dxa"/>
            <w:vAlign w:val="bottom"/>
            <w:tcBorders>
              <w:bottom w:val="single" w:sz="8" w:color="0000EE"/>
            </w:tcBorders>
            <w:gridSpan w:val="15"/>
          </w:tcPr>
          <w:p>
            <w:pPr>
              <w:spacing w:after="0" w:line="182" w:lineRule="exact"/>
              <w:rPr>
                <w:sz w:val="20"/>
                <w:szCs w:val="20"/>
                <w:color w:val="auto"/>
              </w:rPr>
            </w:pPr>
            <w:r>
              <w:rPr>
                <w:rFonts w:ascii="Arial" w:cs="Arial" w:eastAsia="Arial" w:hAnsi="Arial"/>
                <w:sz w:val="18"/>
                <w:szCs w:val="18"/>
                <w:color w:val="auto"/>
                <w:w w:val="99"/>
              </w:rPr>
              <w:t>Director Qualifications and Biographies</w:t>
            </w:r>
          </w:p>
        </w:tc>
        <w:tc>
          <w:tcPr>
            <w:tcW w:w="1380" w:type="dxa"/>
            <w:vAlign w:val="bottom"/>
            <w:gridSpan w:val="5"/>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0000EE"/>
            </w:tcBorders>
            <w:gridSpan w:val="16"/>
          </w:tcPr>
          <w:p>
            <w:pPr>
              <w:spacing w:after="0" w:line="182" w:lineRule="exact"/>
              <w:rPr>
                <w:sz w:val="20"/>
                <w:szCs w:val="20"/>
                <w:color w:val="auto"/>
              </w:rPr>
            </w:pPr>
            <w:r>
              <w:rPr>
                <w:rFonts w:ascii="Arial" w:cs="Arial" w:eastAsia="Arial" w:hAnsi="Arial"/>
                <w:sz w:val="18"/>
                <w:szCs w:val="18"/>
                <w:color w:val="auto"/>
                <w:w w:val="99"/>
              </w:rPr>
              <w:t>Board Meetings and Attendance Records</w:t>
            </w:r>
          </w:p>
        </w:tc>
        <w:tc>
          <w:tcPr>
            <w:tcW w:w="1200" w:type="dxa"/>
            <w:vAlign w:val="bottom"/>
            <w:gridSpan w:val="4"/>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23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22"/>
                <w:szCs w:val="22"/>
                <w:b w:val="1"/>
                <w:bCs w:val="1"/>
                <w:color w:val="C6001E"/>
                <w:w w:val="97"/>
              </w:rPr>
              <w:t>Executive Compensation</w:t>
            </w:r>
          </w:p>
        </w:tc>
        <w:tc>
          <w:tcPr>
            <w:tcW w:w="2300" w:type="dxa"/>
            <w:vAlign w:val="bottom"/>
            <w:gridSpan w:val="10"/>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C6001E"/>
              </w:rPr>
              <w:t>50</w:t>
            </w:r>
          </w:p>
        </w:tc>
        <w:tc>
          <w:tcPr>
            <w:tcW w:w="0" w:type="dxa"/>
            <w:vAlign w:val="bottom"/>
          </w:tcPr>
          <w:p>
            <w:pPr>
              <w:spacing w:after="0"/>
              <w:rPr>
                <w:sz w:val="1"/>
                <w:szCs w:val="1"/>
                <w:color w:val="auto"/>
              </w:rPr>
            </w:pPr>
          </w:p>
        </w:tc>
      </w:tr>
      <w:tr>
        <w:trPr>
          <w:trHeight w:val="196"/>
        </w:trPr>
        <w:tc>
          <w:tcPr>
            <w:tcW w:w="4600" w:type="dxa"/>
            <w:vAlign w:val="bottom"/>
            <w:gridSpan w:val="20"/>
          </w:tcPr>
          <w:p>
            <w:pPr>
              <w:spacing w:after="0" w:line="196" w:lineRule="exact"/>
              <w:rPr>
                <w:sz w:val="20"/>
                <w:szCs w:val="20"/>
                <w:color w:val="auto"/>
              </w:rPr>
            </w:pPr>
            <w:r>
              <w:rPr>
                <w:rFonts w:ascii="Arial" w:cs="Arial" w:eastAsia="Arial" w:hAnsi="Arial"/>
                <w:sz w:val="18"/>
                <w:szCs w:val="18"/>
                <w:color w:val="auto"/>
              </w:rPr>
              <w:t>Fiscal 2025 Summary Compensation Table</w:t>
            </w: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C6001E"/>
              </w:rPr>
              <w:t>50</w:t>
            </w:r>
          </w:p>
        </w:tc>
        <w:tc>
          <w:tcPr>
            <w:tcW w:w="0" w:type="dxa"/>
            <w:vAlign w:val="bottom"/>
          </w:tcPr>
          <w:p>
            <w:pPr>
              <w:spacing w:after="0"/>
              <w:rPr>
                <w:sz w:val="1"/>
                <w:szCs w:val="1"/>
                <w:color w:val="auto"/>
              </w:rPr>
            </w:pPr>
          </w:p>
        </w:tc>
      </w:tr>
      <w:tr>
        <w:trPr>
          <w:trHeight w:val="183"/>
        </w:trPr>
        <w:tc>
          <w:tcPr>
            <w:tcW w:w="346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auto"/>
              </w:rPr>
              <w:t>Grants of Plan-Based Awards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52</w:t>
            </w:r>
          </w:p>
        </w:tc>
        <w:tc>
          <w:tcPr>
            <w:tcW w:w="0" w:type="dxa"/>
            <w:vAlign w:val="bottom"/>
          </w:tcPr>
          <w:p>
            <w:pPr>
              <w:spacing w:after="0"/>
              <w:rPr>
                <w:sz w:val="1"/>
                <w:szCs w:val="1"/>
                <w:color w:val="auto"/>
              </w:rPr>
            </w:pPr>
          </w:p>
        </w:tc>
      </w:tr>
      <w:tr>
        <w:trPr>
          <w:trHeight w:val="183"/>
        </w:trPr>
        <w:tc>
          <w:tcPr>
            <w:tcW w:w="238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auto"/>
                <w:w w:val="99"/>
              </w:rPr>
              <w:t>Outstanding Equity Awards at</w:t>
            </w:r>
          </w:p>
        </w:tc>
        <w:tc>
          <w:tcPr>
            <w:tcW w:w="2220" w:type="dxa"/>
            <w:vAlign w:val="bottom"/>
            <w:gridSpan w:val="9"/>
          </w:tcPr>
          <w:p>
            <w:pPr>
              <w:ind w:left="40"/>
              <w:spacing w:after="0" w:line="182" w:lineRule="exact"/>
              <w:rPr>
                <w:sz w:val="20"/>
                <w:szCs w:val="20"/>
                <w:color w:val="auto"/>
              </w:rPr>
            </w:pPr>
            <w:r>
              <w:rPr>
                <w:rFonts w:ascii="Arial" w:cs="Arial" w:eastAsia="Arial" w:hAnsi="Arial"/>
                <w:sz w:val="18"/>
                <w:szCs w:val="18"/>
                <w:color w:val="auto"/>
              </w:rPr>
              <w:t>Fiscal Year-End</w:t>
            </w: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53</w:t>
            </w:r>
          </w:p>
        </w:tc>
        <w:tc>
          <w:tcPr>
            <w:tcW w:w="0" w:type="dxa"/>
            <w:vAlign w:val="bottom"/>
          </w:tcPr>
          <w:p>
            <w:pPr>
              <w:spacing w:after="0"/>
              <w:rPr>
                <w:sz w:val="1"/>
                <w:szCs w:val="1"/>
                <w:color w:val="auto"/>
              </w:rPr>
            </w:pPr>
          </w:p>
        </w:tc>
      </w:tr>
      <w:tr>
        <w:trPr>
          <w:trHeight w:val="223"/>
        </w:trPr>
        <w:tc>
          <w:tcPr>
            <w:tcW w:w="370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auto"/>
              </w:rPr>
              <w:t>Option Exercises and Stock Vested</w:t>
            </w:r>
          </w:p>
        </w:tc>
        <w:tc>
          <w:tcPr>
            <w:tcW w:w="900" w:type="dxa"/>
            <w:vAlign w:val="bottom"/>
            <w:gridSpan w:val="3"/>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C6001E"/>
              </w:rPr>
              <w:t>55</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auto"/>
                <w:w w:val="99"/>
              </w:rPr>
              <w:t>Nonqualified Deferred Compensation in FY 2025</w:t>
            </w: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C6001E"/>
              </w:rPr>
              <w:t>56</w:t>
            </w:r>
          </w:p>
        </w:tc>
        <w:tc>
          <w:tcPr>
            <w:tcW w:w="0" w:type="dxa"/>
            <w:vAlign w:val="bottom"/>
          </w:tcPr>
          <w:p>
            <w:pPr>
              <w:spacing w:after="0"/>
              <w:rPr>
                <w:sz w:val="1"/>
                <w:szCs w:val="1"/>
                <w:color w:val="auto"/>
              </w:rPr>
            </w:pPr>
          </w:p>
        </w:tc>
      </w:tr>
      <w:tr>
        <w:trPr>
          <w:trHeight w:val="250"/>
        </w:trPr>
        <w:tc>
          <w:tcPr>
            <w:tcW w:w="4600" w:type="dxa"/>
            <w:vAlign w:val="bottom"/>
            <w:gridSpan w:val="20"/>
          </w:tcPr>
          <w:p>
            <w:pPr>
              <w:spacing w:after="0" w:line="250" w:lineRule="exact"/>
              <w:rPr>
                <w:sz w:val="20"/>
                <w:szCs w:val="20"/>
                <w:color w:val="auto"/>
              </w:rPr>
            </w:pPr>
            <w:r>
              <w:rPr>
                <w:rFonts w:ascii="Times New Roman" w:cs="Times New Roman" w:eastAsia="Times New Roman" w:hAnsi="Times New Roman"/>
                <w:sz w:val="22"/>
                <w:szCs w:val="22"/>
                <w:b w:val="1"/>
                <w:bCs w:val="1"/>
                <w:color w:val="C6001E"/>
              </w:rPr>
              <w:t>Potential Payments Upon Termination or</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0000EE"/>
            </w:tcBorders>
            <w:gridSpan w:val="17"/>
          </w:tcPr>
          <w:p>
            <w:pPr>
              <w:spacing w:after="0" w:line="209" w:lineRule="exact"/>
              <w:rPr>
                <w:sz w:val="20"/>
                <w:szCs w:val="20"/>
                <w:color w:val="auto"/>
              </w:rPr>
            </w:pPr>
            <w:r>
              <w:rPr>
                <w:rFonts w:ascii="Times New Roman" w:cs="Times New Roman" w:eastAsia="Times New Roman" w:hAnsi="Times New Roman"/>
                <w:sz w:val="22"/>
                <w:szCs w:val="22"/>
                <w:b w:val="1"/>
                <w:bCs w:val="1"/>
                <w:color w:val="C6001E"/>
              </w:rPr>
              <w:t>Change in Control</w:t>
            </w:r>
          </w:p>
        </w:tc>
        <w:tc>
          <w:tcPr>
            <w:tcW w:w="72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C6001E"/>
              </w:rPr>
              <w:t>58</w:t>
            </w: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C6001E"/>
              </w:rPr>
              <w:t>58</w:t>
            </w:r>
          </w:p>
        </w:tc>
        <w:tc>
          <w:tcPr>
            <w:tcW w:w="0" w:type="dxa"/>
            <w:vAlign w:val="bottom"/>
          </w:tcPr>
          <w:p>
            <w:pPr>
              <w:spacing w:after="0" w:line="20" w:lineRule="exact"/>
              <w:rPr>
                <w:sz w:val="1"/>
                <w:szCs w:val="1"/>
                <w:color w:val="auto"/>
              </w:rPr>
            </w:pPr>
          </w:p>
        </w:tc>
      </w:tr>
      <w:tr>
        <w:trPr>
          <w:trHeight w:val="196"/>
        </w:trPr>
        <w:tc>
          <w:tcPr>
            <w:tcW w:w="4600" w:type="dxa"/>
            <w:vAlign w:val="bottom"/>
            <w:gridSpan w:val="20"/>
          </w:tcPr>
          <w:p>
            <w:pPr>
              <w:spacing w:after="0" w:line="196" w:lineRule="exact"/>
              <w:rPr>
                <w:sz w:val="20"/>
                <w:szCs w:val="20"/>
                <w:color w:val="auto"/>
              </w:rPr>
            </w:pPr>
            <w:r>
              <w:rPr>
                <w:rFonts w:ascii="Arial" w:cs="Arial" w:eastAsia="Arial" w:hAnsi="Arial"/>
                <w:sz w:val="18"/>
                <w:szCs w:val="18"/>
                <w:color w:val="auto"/>
              </w:rPr>
              <w:t>Change in Control Continuity Agreements</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32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auto"/>
              </w:rPr>
              <w:t>Payments Made Upon Any Termination</w:t>
            </w:r>
          </w:p>
        </w:tc>
        <w:tc>
          <w:tcPr>
            <w:tcW w:w="180" w:type="dxa"/>
            <w:vAlign w:val="bottom"/>
            <w:gridSpan w:val="2"/>
          </w:tcPr>
          <w:p>
            <w:pPr>
              <w:spacing w:after="0"/>
              <w:rPr>
                <w:sz w:val="15"/>
                <w:szCs w:val="15"/>
                <w:color w:val="auto"/>
              </w:rPr>
            </w:pPr>
          </w:p>
        </w:tc>
        <w:tc>
          <w:tcPr>
            <w:tcW w:w="1100" w:type="dxa"/>
            <w:vAlign w:val="bottom"/>
            <w:gridSpan w:val="4"/>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58</w:t>
            </w:r>
          </w:p>
        </w:tc>
        <w:tc>
          <w:tcPr>
            <w:tcW w:w="0" w:type="dxa"/>
            <w:vAlign w:val="bottom"/>
          </w:tcPr>
          <w:p>
            <w:pPr>
              <w:spacing w:after="0"/>
              <w:rPr>
                <w:sz w:val="1"/>
                <w:szCs w:val="1"/>
                <w:color w:val="auto"/>
              </w:rPr>
            </w:pPr>
          </w:p>
        </w:tc>
      </w:tr>
      <w:tr>
        <w:trPr>
          <w:trHeight w:val="250"/>
        </w:trPr>
        <w:tc>
          <w:tcPr>
            <w:tcW w:w="1440" w:type="dxa"/>
            <w:vAlign w:val="bottom"/>
            <w:tcBorders>
              <w:top w:val="single" w:sz="8" w:color="0000EE"/>
              <w:bottom w:val="single" w:sz="8" w:color="0000EE"/>
            </w:tcBorders>
            <w:gridSpan w:val="4"/>
          </w:tcPr>
          <w:p>
            <w:pPr>
              <w:spacing w:after="0" w:line="237" w:lineRule="exact"/>
              <w:rPr>
                <w:sz w:val="20"/>
                <w:szCs w:val="20"/>
                <w:color w:val="auto"/>
              </w:rPr>
            </w:pPr>
            <w:r>
              <w:rPr>
                <w:rFonts w:ascii="Times New Roman" w:cs="Times New Roman" w:eastAsia="Times New Roman" w:hAnsi="Times New Roman"/>
                <w:sz w:val="22"/>
                <w:szCs w:val="22"/>
                <w:b w:val="1"/>
                <w:bCs w:val="1"/>
                <w:color w:val="C6001E"/>
                <w:w w:val="97"/>
              </w:rPr>
              <w:t>CEO Pay Ratio</w:t>
            </w:r>
          </w:p>
        </w:tc>
        <w:tc>
          <w:tcPr>
            <w:tcW w:w="1700" w:type="dxa"/>
            <w:vAlign w:val="bottom"/>
            <w:tcBorders>
              <w:top w:val="single" w:sz="8" w:color="0000EE"/>
            </w:tcBorders>
            <w:gridSpan w:val="9"/>
          </w:tcPr>
          <w:p>
            <w:pPr>
              <w:spacing w:after="0"/>
              <w:rPr>
                <w:sz w:val="21"/>
                <w:szCs w:val="21"/>
                <w:color w:val="auto"/>
              </w:rPr>
            </w:pPr>
          </w:p>
        </w:tc>
        <w:tc>
          <w:tcPr>
            <w:tcW w:w="1460" w:type="dxa"/>
            <w:vAlign w:val="bottom"/>
            <w:gridSpan w:val="7"/>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C6001E"/>
              </w:rPr>
              <w:t>61</w:t>
            </w:r>
          </w:p>
        </w:tc>
        <w:tc>
          <w:tcPr>
            <w:tcW w:w="0" w:type="dxa"/>
            <w:vAlign w:val="bottom"/>
          </w:tcPr>
          <w:p>
            <w:pPr>
              <w:spacing w:after="0"/>
              <w:rPr>
                <w:sz w:val="1"/>
                <w:szCs w:val="1"/>
                <w:color w:val="auto"/>
              </w:rPr>
            </w:pPr>
          </w:p>
        </w:tc>
      </w:tr>
      <w:tr>
        <w:trPr>
          <w:trHeight w:val="263"/>
        </w:trPr>
        <w:tc>
          <w:tcPr>
            <w:tcW w:w="2300" w:type="dxa"/>
            <w:vAlign w:val="bottom"/>
            <w:tcBorders>
              <w:bottom w:val="single" w:sz="8" w:color="0000EE"/>
            </w:tcBorders>
            <w:gridSpan w:val="10"/>
          </w:tcPr>
          <w:p>
            <w:pPr>
              <w:spacing w:after="0" w:line="250" w:lineRule="exact"/>
              <w:rPr>
                <w:sz w:val="20"/>
                <w:szCs w:val="20"/>
                <w:color w:val="auto"/>
              </w:rPr>
            </w:pPr>
            <w:r>
              <w:rPr>
                <w:rFonts w:ascii="Times New Roman" w:cs="Times New Roman" w:eastAsia="Times New Roman" w:hAnsi="Times New Roman"/>
                <w:sz w:val="22"/>
                <w:szCs w:val="22"/>
                <w:b w:val="1"/>
                <w:bCs w:val="1"/>
                <w:color w:val="C6001E"/>
                <w:w w:val="97"/>
              </w:rPr>
              <w:t>Pay Versus Performance</w:t>
            </w:r>
          </w:p>
        </w:tc>
        <w:tc>
          <w:tcPr>
            <w:tcW w:w="2300" w:type="dxa"/>
            <w:vAlign w:val="bottom"/>
            <w:gridSpan w:val="10"/>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C6001E"/>
              </w:rPr>
              <w:t>62</w:t>
            </w:r>
          </w:p>
        </w:tc>
        <w:tc>
          <w:tcPr>
            <w:tcW w:w="0" w:type="dxa"/>
            <w:vAlign w:val="bottom"/>
          </w:tcPr>
          <w:p>
            <w:pPr>
              <w:spacing w:after="0"/>
              <w:rPr>
                <w:sz w:val="1"/>
                <w:szCs w:val="1"/>
                <w:color w:val="auto"/>
              </w:rPr>
            </w:pPr>
          </w:p>
        </w:tc>
      </w:tr>
      <w:tr>
        <w:trPr>
          <w:trHeight w:val="264"/>
        </w:trPr>
        <w:tc>
          <w:tcPr>
            <w:tcW w:w="1600" w:type="dxa"/>
            <w:vAlign w:val="bottom"/>
            <w:tcBorders>
              <w:bottom w:val="single" w:sz="8" w:color="0000EE"/>
            </w:tcBorders>
            <w:gridSpan w:val="5"/>
          </w:tcPr>
          <w:p>
            <w:pPr>
              <w:spacing w:after="0" w:line="250" w:lineRule="exact"/>
              <w:rPr>
                <w:sz w:val="20"/>
                <w:szCs w:val="20"/>
                <w:color w:val="auto"/>
              </w:rPr>
            </w:pPr>
            <w:r>
              <w:rPr>
                <w:rFonts w:ascii="Times New Roman" w:cs="Times New Roman" w:eastAsia="Times New Roman" w:hAnsi="Times New Roman"/>
                <w:sz w:val="22"/>
                <w:szCs w:val="22"/>
                <w:b w:val="1"/>
                <w:bCs w:val="1"/>
                <w:color w:val="C6001E"/>
                <w:w w:val="97"/>
              </w:rPr>
              <w:t>Stock Ownership</w:t>
            </w:r>
          </w:p>
        </w:tc>
        <w:tc>
          <w:tcPr>
            <w:tcW w:w="3000" w:type="dxa"/>
            <w:vAlign w:val="bottom"/>
            <w:gridSpan w:val="15"/>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C6001E"/>
              </w:rPr>
              <w:t>67</w:t>
            </w:r>
          </w:p>
        </w:tc>
        <w:tc>
          <w:tcPr>
            <w:tcW w:w="0" w:type="dxa"/>
            <w:vAlign w:val="bottom"/>
          </w:tcPr>
          <w:p>
            <w:pPr>
              <w:spacing w:after="0"/>
              <w:rPr>
                <w:sz w:val="1"/>
                <w:szCs w:val="1"/>
                <w:color w:val="auto"/>
              </w:rPr>
            </w:pPr>
          </w:p>
        </w:tc>
      </w:tr>
      <w:tr>
        <w:trPr>
          <w:trHeight w:val="196"/>
        </w:trPr>
        <w:tc>
          <w:tcPr>
            <w:tcW w:w="10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auto"/>
                <w:w w:val="98"/>
              </w:rPr>
              <w:t>Management</w:t>
            </w:r>
          </w:p>
        </w:tc>
        <w:tc>
          <w:tcPr>
            <w:tcW w:w="3540" w:type="dxa"/>
            <w:vAlign w:val="bottom"/>
            <w:gridSpan w:val="18"/>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C6001E"/>
              </w:rPr>
              <w:t>67</w:t>
            </w:r>
          </w:p>
        </w:tc>
        <w:tc>
          <w:tcPr>
            <w:tcW w:w="0" w:type="dxa"/>
            <w:vAlign w:val="bottom"/>
          </w:tcPr>
          <w:p>
            <w:pPr>
              <w:spacing w:after="0"/>
              <w:rPr>
                <w:sz w:val="1"/>
                <w:szCs w:val="1"/>
                <w:color w:val="auto"/>
              </w:rPr>
            </w:pPr>
          </w:p>
        </w:tc>
      </w:tr>
      <w:tr>
        <w:trPr>
          <w:trHeight w:val="183"/>
        </w:trPr>
        <w:tc>
          <w:tcPr>
            <w:tcW w:w="4600" w:type="dxa"/>
            <w:vAlign w:val="bottom"/>
            <w:gridSpan w:val="20"/>
          </w:tcPr>
          <w:p>
            <w:pPr>
              <w:spacing w:after="0" w:line="182" w:lineRule="exact"/>
              <w:rPr>
                <w:sz w:val="20"/>
                <w:szCs w:val="20"/>
                <w:color w:val="auto"/>
              </w:rPr>
            </w:pPr>
            <w:r>
              <w:rPr>
                <w:rFonts w:ascii="Arial" w:cs="Arial" w:eastAsia="Arial" w:hAnsi="Arial"/>
                <w:sz w:val="18"/>
                <w:szCs w:val="18"/>
                <w:color w:val="auto"/>
              </w:rPr>
              <w:t>Certain Beneficial Owners</w:t>
            </w: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68</w:t>
            </w:r>
          </w:p>
        </w:tc>
        <w:tc>
          <w:tcPr>
            <w:tcW w:w="0" w:type="dxa"/>
            <w:vAlign w:val="bottom"/>
          </w:tcPr>
          <w:p>
            <w:pPr>
              <w:spacing w:after="0"/>
              <w:rPr>
                <w:sz w:val="1"/>
                <w:szCs w:val="1"/>
                <w:color w:val="auto"/>
              </w:rPr>
            </w:pPr>
          </w:p>
        </w:tc>
      </w:tr>
      <w:tr>
        <w:trPr>
          <w:trHeight w:val="183"/>
        </w:trPr>
        <w:tc>
          <w:tcPr>
            <w:tcW w:w="208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auto"/>
                <w:w w:val="94"/>
              </w:rPr>
              <w:t>Related Party Transactions</w:t>
            </w:r>
          </w:p>
        </w:tc>
        <w:tc>
          <w:tcPr>
            <w:tcW w:w="100" w:type="dxa"/>
            <w:vAlign w:val="bottom"/>
            <w:tcBorders>
              <w:bottom w:val="single" w:sz="8" w:color="0000EE"/>
            </w:tcBorders>
          </w:tcPr>
          <w:p>
            <w:pPr>
              <w:spacing w:after="0"/>
              <w:rPr>
                <w:sz w:val="15"/>
                <w:szCs w:val="15"/>
                <w:color w:val="auto"/>
              </w:rPr>
            </w:pPr>
          </w:p>
        </w:tc>
        <w:tc>
          <w:tcPr>
            <w:tcW w:w="1320" w:type="dxa"/>
            <w:vAlign w:val="bottom"/>
            <w:gridSpan w:val="7"/>
          </w:tcPr>
          <w:p>
            <w:pPr>
              <w:spacing w:after="0"/>
              <w:rPr>
                <w:sz w:val="15"/>
                <w:szCs w:val="15"/>
                <w:color w:val="auto"/>
              </w:rPr>
            </w:pPr>
          </w:p>
        </w:tc>
        <w:tc>
          <w:tcPr>
            <w:tcW w:w="1100" w:type="dxa"/>
            <w:vAlign w:val="bottom"/>
            <w:gridSpan w:val="4"/>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68</w:t>
            </w:r>
          </w:p>
        </w:tc>
        <w:tc>
          <w:tcPr>
            <w:tcW w:w="0" w:type="dxa"/>
            <w:vAlign w:val="bottom"/>
          </w:tcPr>
          <w:p>
            <w:pPr>
              <w:spacing w:after="0"/>
              <w:rPr>
                <w:sz w:val="1"/>
                <w:szCs w:val="1"/>
                <w:color w:val="auto"/>
              </w:rPr>
            </w:pPr>
          </w:p>
        </w:tc>
      </w:tr>
      <w:tr>
        <w:trPr>
          <w:trHeight w:val="183"/>
        </w:trPr>
        <w:tc>
          <w:tcPr>
            <w:tcW w:w="4600" w:type="dxa"/>
            <w:vAlign w:val="bottom"/>
            <w:gridSpan w:val="20"/>
          </w:tcPr>
          <w:p>
            <w:pPr>
              <w:spacing w:after="0" w:line="182" w:lineRule="exact"/>
              <w:rPr>
                <w:sz w:val="20"/>
                <w:szCs w:val="20"/>
                <w:color w:val="auto"/>
              </w:rPr>
            </w:pPr>
            <w:r>
              <w:rPr>
                <w:rFonts w:ascii="Arial" w:cs="Arial" w:eastAsia="Arial" w:hAnsi="Arial"/>
                <w:sz w:val="18"/>
                <w:szCs w:val="18"/>
                <w:color w:val="auto"/>
              </w:rPr>
              <w:t>Insider Trading and Prohibited Transactions</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C6001E"/>
              </w:rPr>
              <w:t>69</w:t>
            </w:r>
          </w:p>
        </w:tc>
        <w:tc>
          <w:tcPr>
            <w:tcW w:w="0" w:type="dxa"/>
            <w:vAlign w:val="bottom"/>
          </w:tcPr>
          <w:p>
            <w:pPr>
              <w:spacing w:after="0"/>
              <w:rPr>
                <w:sz w:val="1"/>
                <w:szCs w:val="1"/>
                <w:color w:val="auto"/>
              </w:rPr>
            </w:pPr>
          </w:p>
        </w:tc>
      </w:tr>
      <w:tr>
        <w:trPr>
          <w:trHeight w:val="183"/>
        </w:trPr>
        <w:tc>
          <w:tcPr>
            <w:tcW w:w="350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auto"/>
              </w:rPr>
              <w:t>in Company Securities</w:t>
            </w:r>
          </w:p>
        </w:tc>
        <w:tc>
          <w:tcPr>
            <w:tcW w:w="1100" w:type="dxa"/>
            <w:vAlign w:val="bottom"/>
            <w:gridSpan w:val="4"/>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auto"/>
                <w:w w:val="99"/>
              </w:rPr>
              <w:t>Code of Conduct</w:t>
            </w:r>
          </w:p>
        </w:tc>
        <w:tc>
          <w:tcPr>
            <w:tcW w:w="440" w:type="dxa"/>
            <w:vAlign w:val="bottom"/>
            <w:tcBorders>
              <w:top w:val="single" w:sz="8" w:color="0000EE"/>
            </w:tcBorders>
            <w:gridSpan w:val="4"/>
          </w:tcPr>
          <w:p>
            <w:pPr>
              <w:spacing w:after="0"/>
              <w:rPr>
                <w:sz w:val="15"/>
                <w:szCs w:val="15"/>
                <w:color w:val="auto"/>
              </w:rPr>
            </w:pPr>
          </w:p>
        </w:tc>
        <w:tc>
          <w:tcPr>
            <w:tcW w:w="2800" w:type="dxa"/>
            <w:vAlign w:val="bottom"/>
            <w:gridSpan w:val="13"/>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C6001E"/>
              </w:rPr>
              <w:t>69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400" w:space="340"/>
            <w:col w:w="5500"/>
          </w:cols>
          <w:pgMar w:left="320" w:top="1042" w:right="339" w:bottom="1440" w:gutter="0" w:footer="0" w:header="0"/>
        </w:sectPr>
      </w:pPr>
    </w:p>
    <w:tbl>
      <w:tblPr>
        <w:tblLayout w:type="fixed"/>
        <w:tblInd w:w="0" w:type="dxa"/>
        <w:tblCellMar>
          <w:top w:w="0" w:type="dxa"/>
          <w:left w:w="0" w:type="dxa"/>
          <w:bottom w:w="0" w:type="dxa"/>
          <w:right w:w="0" w:type="dxa"/>
        </w:tblCellMar>
      </w:tblPr>
      <w:tr>
        <w:trPr>
          <w:trHeight w:val="276"/>
        </w:trPr>
        <w:tc>
          <w:tcPr>
            <w:tcW w:w="2180" w:type="dxa"/>
            <w:vAlign w:val="bottom"/>
            <w:tcBorders>
              <w:bottom w:val="single" w:sz="8" w:color="0000EE"/>
            </w:tcBorders>
            <w:gridSpan w:val="8"/>
          </w:tcPr>
          <w:p>
            <w:pPr>
              <w:spacing w:after="0" w:line="237" w:lineRule="exact"/>
              <w:rPr>
                <w:sz w:val="20"/>
                <w:szCs w:val="20"/>
                <w:color w:val="auto"/>
              </w:rPr>
            </w:pPr>
            <w:r>
              <w:rPr>
                <w:rFonts w:ascii="Times New Roman" w:cs="Times New Roman" w:eastAsia="Times New Roman" w:hAnsi="Times New Roman"/>
                <w:sz w:val="22"/>
                <w:szCs w:val="22"/>
                <w:b w:val="1"/>
                <w:bCs w:val="1"/>
                <w:color w:val="C6001E"/>
                <w:w w:val="97"/>
              </w:rPr>
              <w:t>Director Compensation</w:t>
            </w:r>
          </w:p>
        </w:tc>
        <w:tc>
          <w:tcPr>
            <w:tcW w:w="2480" w:type="dxa"/>
            <w:vAlign w:val="bottom"/>
            <w:gridSpan w:val="11"/>
          </w:tcPr>
          <w:p>
            <w:pPr>
              <w:spacing w:after="0"/>
              <w:rPr>
                <w:sz w:val="24"/>
                <w:szCs w:val="24"/>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C6001E"/>
              </w:rPr>
              <w:t>19</w:t>
            </w:r>
          </w:p>
        </w:tc>
        <w:tc>
          <w:tcPr>
            <w:tcW w:w="3900" w:type="dxa"/>
            <w:vAlign w:val="bottom"/>
            <w:tcBorders>
              <w:bottom w:val="single" w:sz="8" w:color="0000EE"/>
            </w:tcBorders>
            <w:gridSpan w:val="15"/>
          </w:tcPr>
          <w:p>
            <w:pPr>
              <w:spacing w:after="0" w:line="237" w:lineRule="exact"/>
              <w:rPr>
                <w:sz w:val="20"/>
                <w:szCs w:val="20"/>
                <w:color w:val="auto"/>
              </w:rPr>
            </w:pPr>
            <w:r>
              <w:rPr>
                <w:rFonts w:ascii="Times New Roman" w:cs="Times New Roman" w:eastAsia="Times New Roman" w:hAnsi="Times New Roman"/>
                <w:sz w:val="22"/>
                <w:szCs w:val="22"/>
                <w:b w:val="1"/>
                <w:bCs w:val="1"/>
                <w:color w:val="051972"/>
                <w:w w:val="97"/>
              </w:rPr>
              <w:t xml:space="preserve">Proposal No. 2: </w:t>
            </w:r>
            <w:r>
              <w:rPr>
                <w:rFonts w:ascii="Times New Roman" w:cs="Times New Roman" w:eastAsia="Times New Roman" w:hAnsi="Times New Roman"/>
                <w:sz w:val="22"/>
                <w:szCs w:val="22"/>
                <w:b w:val="1"/>
                <w:bCs w:val="1"/>
                <w:color w:val="C6001E"/>
                <w:w w:val="97"/>
              </w:rPr>
              <w:t>Advisory Vote to Approve</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60" w:type="dxa"/>
            <w:vAlign w:val="bottom"/>
            <w:gridSpan w:val="19"/>
          </w:tcPr>
          <w:p>
            <w:pPr>
              <w:spacing w:after="0" w:line="203" w:lineRule="exact"/>
              <w:rPr>
                <w:sz w:val="20"/>
                <w:szCs w:val="20"/>
                <w:color w:val="auto"/>
              </w:rPr>
            </w:pPr>
            <w:r>
              <w:rPr>
                <w:rFonts w:ascii="Arial" w:cs="Arial" w:eastAsia="Arial" w:hAnsi="Arial"/>
                <w:sz w:val="18"/>
                <w:szCs w:val="18"/>
                <w:color w:val="auto"/>
              </w:rPr>
              <w:t>Non-Employee Director Compensation for</w:t>
            </w:r>
          </w:p>
        </w:tc>
        <w:tc>
          <w:tcPr>
            <w:tcW w:w="1080" w:type="dxa"/>
            <w:vAlign w:val="bottom"/>
          </w:tcPr>
          <w:p>
            <w:pPr>
              <w:spacing w:after="0"/>
              <w:rPr>
                <w:sz w:val="19"/>
                <w:szCs w:val="19"/>
                <w:color w:val="auto"/>
              </w:rPr>
            </w:pPr>
          </w:p>
        </w:tc>
        <w:tc>
          <w:tcPr>
            <w:tcW w:w="3900" w:type="dxa"/>
            <w:vAlign w:val="bottom"/>
            <w:gridSpan w:val="15"/>
          </w:tcPr>
          <w:p>
            <w:pPr>
              <w:spacing w:after="0" w:line="203" w:lineRule="exact"/>
              <w:rPr>
                <w:sz w:val="20"/>
                <w:szCs w:val="20"/>
                <w:color w:val="auto"/>
              </w:rPr>
            </w:pPr>
            <w:r>
              <w:rPr>
                <w:rFonts w:ascii="Times New Roman" w:cs="Times New Roman" w:eastAsia="Times New Roman" w:hAnsi="Times New Roman"/>
                <w:sz w:val="22"/>
                <w:szCs w:val="22"/>
                <w:b w:val="1"/>
                <w:bCs w:val="1"/>
                <w:color w:val="C6001E"/>
              </w:rPr>
              <w:t>Compensation of Our Named Executive</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auto"/>
              </w:rPr>
              <w:t>Fiscal Year 2025</w:t>
            </w:r>
          </w:p>
        </w:tc>
        <w:tc>
          <w:tcPr>
            <w:tcW w:w="1320" w:type="dxa"/>
            <w:vAlign w:val="bottom"/>
            <w:gridSpan w:val="7"/>
          </w:tcPr>
          <w:p>
            <w:pPr>
              <w:spacing w:after="0"/>
              <w:rPr>
                <w:sz w:val="17"/>
                <w:szCs w:val="17"/>
                <w:color w:val="auto"/>
              </w:rPr>
            </w:pPr>
          </w:p>
        </w:tc>
        <w:tc>
          <w:tcPr>
            <w:tcW w:w="108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C6001E"/>
              </w:rPr>
              <w:t>20</w:t>
            </w:r>
          </w:p>
        </w:tc>
        <w:tc>
          <w:tcPr>
            <w:tcW w:w="20" w:type="dxa"/>
            <w:vAlign w:val="bottom"/>
          </w:tcPr>
          <w:p>
            <w:pPr>
              <w:spacing w:after="0"/>
              <w:rPr>
                <w:sz w:val="17"/>
                <w:szCs w:val="17"/>
                <w:color w:val="auto"/>
              </w:rPr>
            </w:pPr>
          </w:p>
        </w:tc>
        <w:tc>
          <w:tcPr>
            <w:tcW w:w="3720" w:type="dxa"/>
            <w:vAlign w:val="bottom"/>
            <w:tcBorders>
              <w:top w:val="single" w:sz="8" w:color="0000EE"/>
            </w:tcBorders>
            <w:gridSpan w:val="12"/>
          </w:tcPr>
          <w:p>
            <w:pPr>
              <w:spacing w:after="0" w:line="190" w:lineRule="exact"/>
              <w:rPr>
                <w:sz w:val="20"/>
                <w:szCs w:val="20"/>
                <w:color w:val="auto"/>
              </w:rPr>
            </w:pPr>
            <w:r>
              <w:rPr>
                <w:rFonts w:ascii="Times New Roman" w:cs="Times New Roman" w:eastAsia="Times New Roman" w:hAnsi="Times New Roman"/>
                <w:sz w:val="21"/>
                <w:szCs w:val="21"/>
                <w:b w:val="1"/>
                <w:bCs w:val="1"/>
                <w:color w:val="C6001E"/>
              </w:rPr>
              <w:t>Officers</w:t>
            </w:r>
          </w:p>
        </w:tc>
        <w:tc>
          <w:tcPr>
            <w:tcW w:w="10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b w:val="1"/>
                <w:bCs w:val="1"/>
                <w:color w:val="C6001E"/>
              </w:rPr>
              <w:t>71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6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auto"/>
                <w:w w:val="94"/>
              </w:rPr>
              <w:t>Board Leadership</w:t>
            </w:r>
          </w:p>
        </w:tc>
        <w:tc>
          <w:tcPr>
            <w:tcW w:w="3300" w:type="dxa"/>
            <w:vAlign w:val="bottom"/>
            <w:gridSpan w:val="17"/>
          </w:tcPr>
          <w:p>
            <w:pPr>
              <w:ind w:left="120"/>
              <w:spacing w:after="0" w:line="176" w:lineRule="exact"/>
              <w:rPr>
                <w:sz w:val="20"/>
                <w:szCs w:val="20"/>
                <w:color w:val="auto"/>
              </w:rPr>
            </w:pPr>
            <w:r>
              <w:rPr>
                <w:rFonts w:ascii="Arial" w:cs="Arial" w:eastAsia="Arial" w:hAnsi="Arial"/>
                <w:sz w:val="18"/>
                <w:szCs w:val="18"/>
                <w:color w:val="auto"/>
              </w:rPr>
              <w:t>Structure and Role in</w:t>
            </w:r>
          </w:p>
        </w:tc>
        <w:tc>
          <w:tcPr>
            <w:tcW w:w="1080" w:type="dxa"/>
            <w:vAlign w:val="bottom"/>
          </w:tcPr>
          <w:p>
            <w:pPr>
              <w:spacing w:after="0"/>
              <w:rPr>
                <w:sz w:val="15"/>
                <w:szCs w:val="15"/>
                <w:color w:val="auto"/>
              </w:rPr>
            </w:pPr>
          </w:p>
        </w:tc>
        <w:tc>
          <w:tcPr>
            <w:tcW w:w="4100" w:type="dxa"/>
            <w:vAlign w:val="bottom"/>
            <w:gridSpan w:val="17"/>
          </w:tcPr>
          <w:p>
            <w:pPr>
              <w:spacing w:after="0" w:line="176" w:lineRule="exact"/>
              <w:rPr>
                <w:sz w:val="20"/>
                <w:szCs w:val="20"/>
                <w:color w:val="auto"/>
              </w:rPr>
            </w:pPr>
            <w:r>
              <w:rPr>
                <w:rFonts w:ascii="Arial" w:cs="Arial" w:eastAsia="Arial" w:hAnsi="Arial"/>
                <w:sz w:val="18"/>
                <w:szCs w:val="18"/>
                <w:color w:val="auto"/>
              </w:rPr>
              <w:t>Recommendation of the Board</w:t>
            </w:r>
          </w:p>
        </w:tc>
        <w:tc>
          <w:tcPr>
            <w:tcW w:w="1400" w:type="dxa"/>
            <w:vAlign w:val="bottom"/>
          </w:tcPr>
          <w:p>
            <w:pPr>
              <w:jc w:val="right"/>
              <w:spacing w:after="0" w:line="176" w:lineRule="exact"/>
              <w:rPr>
                <w:sz w:val="20"/>
                <w:szCs w:val="20"/>
                <w:color w:val="auto"/>
              </w:rPr>
            </w:pPr>
            <w:r>
              <w:rPr>
                <w:rFonts w:ascii="Arial" w:cs="Arial" w:eastAsia="Arial" w:hAnsi="Arial"/>
                <w:sz w:val="18"/>
                <w:szCs w:val="18"/>
                <w:b w:val="1"/>
                <w:bCs w:val="1"/>
                <w:color w:val="C6001E"/>
              </w:rPr>
              <w:t>71</w:t>
            </w:r>
          </w:p>
        </w:tc>
        <w:tc>
          <w:tcPr>
            <w:tcW w:w="0" w:type="dxa"/>
            <w:vAlign w:val="bottom"/>
          </w:tcPr>
          <w:p>
            <w:pPr>
              <w:spacing w:after="0"/>
              <w:rPr>
                <w:sz w:val="1"/>
                <w:szCs w:val="1"/>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Borders>
              <w:bottom w:val="single" w:sz="8" w:color="0000EE"/>
            </w:tcBorders>
          </w:tcPr>
          <w:p>
            <w:pPr>
              <w:spacing w:after="0"/>
              <w:rPr>
                <w:sz w:val="20"/>
                <w:szCs w:val="20"/>
                <w:color w:val="auto"/>
              </w:rPr>
            </w:pPr>
            <w:r>
              <w:rPr>
                <w:rFonts w:ascii="Arial" w:cs="Arial" w:eastAsia="Arial" w:hAnsi="Arial"/>
                <w:sz w:val="18"/>
                <w:szCs w:val="18"/>
                <w:color w:val="auto"/>
                <w:w w:val="99"/>
              </w:rPr>
              <w:t>Risk Oversight</w:t>
            </w:r>
          </w:p>
        </w:tc>
        <w:tc>
          <w:tcPr>
            <w:tcW w:w="32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C6001E"/>
              </w:rPr>
              <w:t>22</w:t>
            </w:r>
          </w:p>
        </w:tc>
        <w:tc>
          <w:tcPr>
            <w:tcW w:w="4100" w:type="dxa"/>
            <w:vAlign w:val="bottom"/>
            <w:gridSpan w:val="17"/>
          </w:tcPr>
          <w:p>
            <w:pPr>
              <w:spacing w:after="0" w:line="223" w:lineRule="exact"/>
              <w:rPr>
                <w:sz w:val="20"/>
                <w:szCs w:val="20"/>
                <w:color w:val="auto"/>
              </w:rPr>
            </w:pPr>
            <w:r>
              <w:rPr>
                <w:rFonts w:ascii="Times New Roman" w:cs="Times New Roman" w:eastAsia="Times New Roman" w:hAnsi="Times New Roman"/>
                <w:sz w:val="22"/>
                <w:szCs w:val="22"/>
                <w:b w:val="1"/>
                <w:bCs w:val="1"/>
                <w:color w:val="051972"/>
              </w:rPr>
              <w:t xml:space="preserve">Proposal No. 3: </w:t>
            </w:r>
            <w:r>
              <w:rPr>
                <w:rFonts w:ascii="Times New Roman" w:cs="Times New Roman" w:eastAsia="Times New Roman" w:hAnsi="Times New Roman"/>
                <w:sz w:val="22"/>
                <w:szCs w:val="22"/>
                <w:b w:val="1"/>
                <w:bCs w:val="1"/>
                <w:color w:val="C6001E"/>
              </w:rPr>
              <w:t>Advisory Vote on a</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0000EE"/>
            </w:tcBorders>
            <w:gridSpan w:val="2"/>
          </w:tcPr>
          <w:p>
            <w:pPr>
              <w:spacing w:after="0" w:line="20" w:lineRule="exact"/>
              <w:rPr>
                <w:sz w:val="1"/>
                <w:szCs w:val="1"/>
                <w:color w:val="auto"/>
              </w:rPr>
            </w:pPr>
          </w:p>
        </w:tc>
        <w:tc>
          <w:tcPr>
            <w:tcW w:w="84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360" w:type="dxa"/>
            <w:vAlign w:val="bottom"/>
            <w:tcBorders>
              <w:bottom w:val="single" w:sz="8" w:color="0000EE"/>
            </w:tcBorders>
            <w:gridSpan w:val="2"/>
          </w:tcPr>
          <w:p>
            <w:pPr>
              <w:spacing w:after="0" w:line="20" w:lineRule="exact"/>
              <w:rPr>
                <w:sz w:val="1"/>
                <w:szCs w:val="1"/>
                <w:color w:val="auto"/>
              </w:rPr>
            </w:pPr>
          </w:p>
        </w:tc>
        <w:tc>
          <w:tcPr>
            <w:tcW w:w="62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auto"/>
                <w:w w:val="99"/>
              </w:rPr>
              <w:t>Director Orientation and Continuing Education</w:t>
            </w:r>
          </w:p>
        </w:tc>
        <w:tc>
          <w:tcPr>
            <w:tcW w:w="980" w:type="dxa"/>
            <w:vAlign w:val="bottom"/>
            <w:gridSpan w:val="2"/>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C6001E"/>
              </w:rPr>
              <w:t>23</w:t>
            </w:r>
          </w:p>
        </w:tc>
        <w:tc>
          <w:tcPr>
            <w:tcW w:w="20" w:type="dxa"/>
            <w:vAlign w:val="bottom"/>
          </w:tcPr>
          <w:p>
            <w:pPr>
              <w:spacing w:after="0"/>
              <w:rPr>
                <w:sz w:val="20"/>
                <w:szCs w:val="20"/>
                <w:color w:val="auto"/>
              </w:rPr>
            </w:pPr>
          </w:p>
        </w:tc>
        <w:tc>
          <w:tcPr>
            <w:tcW w:w="3400" w:type="dxa"/>
            <w:vAlign w:val="bottom"/>
            <w:tcBorders>
              <w:bottom w:val="single" w:sz="8" w:color="0000EE"/>
            </w:tcBorders>
            <w:gridSpan w:val="9"/>
          </w:tcPr>
          <w:p>
            <w:pPr>
              <w:spacing w:after="0" w:line="209" w:lineRule="exact"/>
              <w:rPr>
                <w:sz w:val="20"/>
                <w:szCs w:val="20"/>
                <w:color w:val="auto"/>
              </w:rPr>
            </w:pPr>
            <w:r>
              <w:rPr>
                <w:rFonts w:ascii="Times New Roman" w:cs="Times New Roman" w:eastAsia="Times New Roman" w:hAnsi="Times New Roman"/>
                <w:sz w:val="22"/>
                <w:szCs w:val="22"/>
                <w:b w:val="1"/>
                <w:bCs w:val="1"/>
                <w:color w:val="C6001E"/>
                <w:w w:val="97"/>
              </w:rPr>
              <w:t>Stockholder Proposal Requesting the</w:t>
            </w:r>
          </w:p>
        </w:tc>
        <w:tc>
          <w:tcPr>
            <w:tcW w:w="680" w:type="dxa"/>
            <w:vAlign w:val="bottom"/>
            <w:gridSpan w:val="7"/>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auto"/>
                <w:w w:val="99"/>
              </w:rPr>
              <w:t>Board Committees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jc w:val="right"/>
              <w:ind w:right="250"/>
              <w:spacing w:after="0" w:line="203" w:lineRule="exact"/>
              <w:rPr>
                <w:sz w:val="20"/>
                <w:szCs w:val="20"/>
                <w:color w:val="auto"/>
              </w:rPr>
            </w:pPr>
            <w:r>
              <w:rPr>
                <w:rFonts w:ascii="Arial" w:cs="Arial" w:eastAsia="Arial" w:hAnsi="Arial"/>
                <w:sz w:val="18"/>
                <w:szCs w:val="18"/>
                <w:b w:val="1"/>
                <w:bCs w:val="1"/>
                <w:color w:val="C6001E"/>
              </w:rPr>
              <w:t>24</w:t>
            </w:r>
          </w:p>
        </w:tc>
        <w:tc>
          <w:tcPr>
            <w:tcW w:w="4100" w:type="dxa"/>
            <w:vAlign w:val="bottom"/>
            <w:gridSpan w:val="17"/>
          </w:tcPr>
          <w:p>
            <w:pPr>
              <w:spacing w:after="0" w:line="203" w:lineRule="exact"/>
              <w:rPr>
                <w:sz w:val="20"/>
                <w:szCs w:val="20"/>
                <w:color w:val="auto"/>
              </w:rPr>
            </w:pPr>
            <w:r>
              <w:rPr>
                <w:rFonts w:ascii="Times New Roman" w:cs="Times New Roman" w:eastAsia="Times New Roman" w:hAnsi="Times New Roman"/>
                <w:sz w:val="22"/>
                <w:szCs w:val="22"/>
                <w:b w:val="1"/>
                <w:bCs w:val="1"/>
                <w:color w:val="C6001E"/>
              </w:rPr>
              <w:t>Declassification of our Board</w:t>
            </w:r>
          </w:p>
        </w:tc>
        <w:tc>
          <w:tcPr>
            <w:tcW w:w="1400" w:type="dxa"/>
            <w:vAlign w:val="bottom"/>
          </w:tcPr>
          <w:p>
            <w:pPr>
              <w:jc w:val="right"/>
              <w:spacing w:after="0" w:line="203" w:lineRule="exact"/>
              <w:rPr>
                <w:sz w:val="20"/>
                <w:szCs w:val="20"/>
                <w:color w:val="auto"/>
              </w:rPr>
            </w:pPr>
            <w:r>
              <w:rPr>
                <w:rFonts w:ascii="Arial" w:cs="Arial" w:eastAsia="Arial" w:hAnsi="Arial"/>
                <w:sz w:val="18"/>
                <w:szCs w:val="18"/>
                <w:b w:val="1"/>
                <w:bCs w:val="1"/>
                <w:color w:val="C6001E"/>
              </w:rPr>
              <w:t>72</w:t>
            </w:r>
          </w:p>
        </w:tc>
        <w:tc>
          <w:tcPr>
            <w:tcW w:w="0" w:type="dxa"/>
            <w:vAlign w:val="bottom"/>
          </w:tcPr>
          <w:p>
            <w:pPr>
              <w:spacing w:after="0"/>
              <w:rPr>
                <w:sz w:val="1"/>
                <w:szCs w:val="1"/>
                <w:color w:val="auto"/>
              </w:rPr>
            </w:pPr>
          </w:p>
        </w:tc>
      </w:tr>
      <w:tr>
        <w:trPr>
          <w:trHeight w:val="20"/>
        </w:trPr>
        <w:tc>
          <w:tcPr>
            <w:tcW w:w="1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11"/>
          </w:tcPr>
          <w:p>
            <w:pPr>
              <w:spacing w:after="0" w:line="203" w:lineRule="exact"/>
              <w:rPr>
                <w:sz w:val="20"/>
                <w:szCs w:val="20"/>
                <w:color w:val="auto"/>
              </w:rPr>
            </w:pPr>
            <w:r>
              <w:rPr>
                <w:rFonts w:ascii="Arial" w:cs="Arial" w:eastAsia="Arial" w:hAnsi="Arial"/>
                <w:sz w:val="18"/>
                <w:szCs w:val="18"/>
                <w:color w:val="auto"/>
              </w:rPr>
              <w:t>Compensation Committee Interlocks and</w:t>
            </w:r>
          </w:p>
        </w:tc>
        <w:tc>
          <w:tcPr>
            <w:tcW w:w="1360" w:type="dxa"/>
            <w:vAlign w:val="bottom"/>
            <w:gridSpan w:val="8"/>
          </w:tcPr>
          <w:p>
            <w:pPr>
              <w:spacing w:after="0"/>
              <w:rPr>
                <w:sz w:val="17"/>
                <w:szCs w:val="17"/>
                <w:color w:val="auto"/>
              </w:rPr>
            </w:pPr>
          </w:p>
        </w:tc>
        <w:tc>
          <w:tcPr>
            <w:tcW w:w="1080" w:type="dxa"/>
            <w:vAlign w:val="bottom"/>
          </w:tcPr>
          <w:p>
            <w:pPr>
              <w:spacing w:after="0"/>
              <w:rPr>
                <w:sz w:val="17"/>
                <w:szCs w:val="17"/>
                <w:color w:val="auto"/>
              </w:rPr>
            </w:pPr>
          </w:p>
        </w:tc>
        <w:tc>
          <w:tcPr>
            <w:tcW w:w="4100" w:type="dxa"/>
            <w:vAlign w:val="bottom"/>
            <w:gridSpan w:val="17"/>
          </w:tcPr>
          <w:p>
            <w:pPr>
              <w:spacing w:after="0" w:line="203" w:lineRule="exact"/>
              <w:rPr>
                <w:sz w:val="20"/>
                <w:szCs w:val="20"/>
                <w:color w:val="auto"/>
              </w:rPr>
            </w:pPr>
            <w:r>
              <w:rPr>
                <w:rFonts w:ascii="Arial" w:cs="Arial" w:eastAsia="Arial" w:hAnsi="Arial"/>
                <w:sz w:val="18"/>
                <w:szCs w:val="18"/>
                <w:color w:val="auto"/>
              </w:rPr>
              <w:t>Recommendation of the Board</w:t>
            </w:r>
          </w:p>
        </w:tc>
        <w:tc>
          <w:tcPr>
            <w:tcW w:w="1400" w:type="dxa"/>
            <w:vAlign w:val="bottom"/>
          </w:tcPr>
          <w:p>
            <w:pPr>
              <w:jc w:val="right"/>
              <w:spacing w:after="0" w:line="203" w:lineRule="exact"/>
              <w:rPr>
                <w:sz w:val="20"/>
                <w:szCs w:val="20"/>
                <w:color w:val="auto"/>
              </w:rPr>
            </w:pPr>
            <w:r>
              <w:rPr>
                <w:rFonts w:ascii="Arial" w:cs="Arial" w:eastAsia="Arial" w:hAnsi="Arial"/>
                <w:sz w:val="18"/>
                <w:szCs w:val="18"/>
                <w:b w:val="1"/>
                <w:bCs w:val="1"/>
                <w:color w:val="C6001E"/>
              </w:rPr>
              <w:t>74</w:t>
            </w:r>
          </w:p>
        </w:tc>
        <w:tc>
          <w:tcPr>
            <w:tcW w:w="0" w:type="dxa"/>
            <w:vAlign w:val="bottom"/>
          </w:tcPr>
          <w:p>
            <w:pPr>
              <w:spacing w:after="0"/>
              <w:rPr>
                <w:sz w:val="1"/>
                <w:szCs w:val="1"/>
                <w:color w:val="auto"/>
              </w:rPr>
            </w:pPr>
          </w:p>
        </w:tc>
      </w:tr>
      <w:tr>
        <w:trPr>
          <w:trHeight w:val="20"/>
        </w:trPr>
        <w:tc>
          <w:tcPr>
            <w:tcW w:w="1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8"/>
              </w:rPr>
              <w:t>Insider Participation</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C6001E"/>
              </w:rPr>
              <w:t>27</w:t>
            </w:r>
          </w:p>
        </w:tc>
        <w:tc>
          <w:tcPr>
            <w:tcW w:w="4100" w:type="dxa"/>
            <w:vAlign w:val="bottom"/>
            <w:gridSpan w:val="17"/>
          </w:tcPr>
          <w:p>
            <w:pPr>
              <w:spacing w:after="0" w:line="223" w:lineRule="exact"/>
              <w:rPr>
                <w:sz w:val="20"/>
                <w:szCs w:val="20"/>
                <w:color w:val="auto"/>
              </w:rPr>
            </w:pPr>
            <w:r>
              <w:rPr>
                <w:rFonts w:ascii="Times New Roman" w:cs="Times New Roman" w:eastAsia="Times New Roman" w:hAnsi="Times New Roman"/>
                <w:sz w:val="22"/>
                <w:szCs w:val="22"/>
                <w:b w:val="1"/>
                <w:bCs w:val="1"/>
                <w:color w:val="051972"/>
              </w:rPr>
              <w:t xml:space="preserve">Proposal No. 4: </w:t>
            </w:r>
            <w:r>
              <w:rPr>
                <w:rFonts w:ascii="Times New Roman" w:cs="Times New Roman" w:eastAsia="Times New Roman" w:hAnsi="Times New Roman"/>
                <w:sz w:val="22"/>
                <w:szCs w:val="22"/>
                <w:b w:val="1"/>
                <w:bCs w:val="1"/>
                <w:color w:val="C6001E"/>
              </w:rPr>
              <w:t>Approval of the Expected</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gridSpan w:val="7"/>
          </w:tcPr>
          <w:p>
            <w:pPr>
              <w:spacing w:after="0"/>
              <w:rPr>
                <w:sz w:val="20"/>
                <w:szCs w:val="20"/>
                <w:color w:val="auto"/>
              </w:rPr>
            </w:pPr>
            <w:r>
              <w:rPr>
                <w:rFonts w:ascii="Arial" w:cs="Arial" w:eastAsia="Arial" w:hAnsi="Arial"/>
                <w:sz w:val="18"/>
                <w:szCs w:val="18"/>
                <w:color w:val="auto"/>
                <w:w w:val="98"/>
              </w:rPr>
              <w:t>How to Contact Our Board</w:t>
            </w:r>
          </w:p>
        </w:tc>
        <w:tc>
          <w:tcPr>
            <w:tcW w:w="2540" w:type="dxa"/>
            <w:vAlign w:val="bottom"/>
            <w:gridSpan w:val="12"/>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C6001E"/>
              </w:rPr>
              <w:t>30</w:t>
            </w:r>
          </w:p>
        </w:tc>
        <w:tc>
          <w:tcPr>
            <w:tcW w:w="20" w:type="dxa"/>
            <w:vAlign w:val="bottom"/>
          </w:tcPr>
          <w:p>
            <w:pPr>
              <w:spacing w:after="0"/>
              <w:rPr>
                <w:sz w:val="18"/>
                <w:szCs w:val="18"/>
                <w:color w:val="auto"/>
              </w:rPr>
            </w:pPr>
          </w:p>
        </w:tc>
        <w:tc>
          <w:tcPr>
            <w:tcW w:w="3820" w:type="dxa"/>
            <w:vAlign w:val="bottom"/>
            <w:tcBorders>
              <w:top w:val="single" w:sz="8" w:color="0000EE"/>
            </w:tcBorders>
            <w:gridSpan w:val="13"/>
          </w:tcPr>
          <w:p>
            <w:pPr>
              <w:spacing w:after="0" w:line="209" w:lineRule="exact"/>
              <w:rPr>
                <w:sz w:val="20"/>
                <w:szCs w:val="20"/>
                <w:color w:val="auto"/>
              </w:rPr>
            </w:pPr>
            <w:r>
              <w:rPr>
                <w:rFonts w:ascii="Times New Roman" w:cs="Times New Roman" w:eastAsia="Times New Roman" w:hAnsi="Times New Roman"/>
                <w:sz w:val="22"/>
                <w:szCs w:val="22"/>
                <w:b w:val="1"/>
                <w:bCs w:val="1"/>
                <w:color w:val="C6001E"/>
              </w:rPr>
              <w:t>Appointment of Independent Auditors</w:t>
            </w:r>
          </w:p>
        </w:tc>
        <w:tc>
          <w:tcPr>
            <w:tcW w:w="2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C6001E"/>
              </w:rPr>
              <w:t>75</w:t>
            </w:r>
          </w:p>
        </w:tc>
        <w:tc>
          <w:tcPr>
            <w:tcW w:w="0" w:type="dxa"/>
            <w:vAlign w:val="bottom"/>
          </w:tcPr>
          <w:p>
            <w:pPr>
              <w:spacing w:after="0"/>
              <w:rPr>
                <w:sz w:val="1"/>
                <w:szCs w:val="1"/>
                <w:color w:val="auto"/>
              </w:rPr>
            </w:pPr>
          </w:p>
        </w:tc>
      </w:tr>
      <w:tr>
        <w:trPr>
          <w:trHeight w:val="27"/>
        </w:trPr>
        <w:tc>
          <w:tcPr>
            <w:tcW w:w="1560" w:type="dxa"/>
            <w:vAlign w:val="bottom"/>
            <w:gridSpan w:val="4"/>
            <w:shd w:val="clear" w:color="auto" w:fill="0000EE"/>
          </w:tcPr>
          <w:p>
            <w:pPr>
              <w:spacing w:after="0"/>
              <w:rPr>
                <w:sz w:val="2"/>
                <w:szCs w:val="2"/>
                <w:color w:val="auto"/>
              </w:rPr>
            </w:pPr>
          </w:p>
        </w:tc>
        <w:tc>
          <w:tcPr>
            <w:tcW w:w="520" w:type="dxa"/>
            <w:vAlign w:val="bottom"/>
            <w:gridSpan w:val="2"/>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20" w:type="dxa"/>
            <w:vAlign w:val="bottom"/>
            <w:gridSpan w:val="5"/>
            <w:shd w:val="clear" w:color="auto" w:fill="0000EE"/>
          </w:tcPr>
          <w:p>
            <w:pPr>
              <w:spacing w:after="0"/>
              <w:rPr>
                <w:sz w:val="2"/>
                <w:szCs w:val="2"/>
                <w:color w:val="auto"/>
              </w:rPr>
            </w:pPr>
          </w:p>
        </w:tc>
        <w:tc>
          <w:tcPr>
            <w:tcW w:w="60" w:type="dxa"/>
            <w:vAlign w:val="bottom"/>
            <w:tcBorders>
              <w:left w:val="single" w:sz="8" w:color="0000EE"/>
            </w:tcBorders>
          </w:tcPr>
          <w:p>
            <w:pPr>
              <w:spacing w:after="0"/>
              <w:rPr>
                <w:sz w:val="2"/>
                <w:szCs w:val="2"/>
                <w:color w:val="auto"/>
              </w:rPr>
            </w:pPr>
          </w:p>
        </w:tc>
        <w:tc>
          <w:tcPr>
            <w:tcW w:w="44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60" w:type="dxa"/>
            <w:vAlign w:val="bottom"/>
            <w:gridSpan w:val="19"/>
          </w:tcPr>
          <w:p>
            <w:pPr>
              <w:spacing w:after="0" w:line="237" w:lineRule="exact"/>
              <w:rPr>
                <w:sz w:val="20"/>
                <w:szCs w:val="20"/>
                <w:color w:val="auto"/>
              </w:rPr>
            </w:pPr>
            <w:r>
              <w:rPr>
                <w:rFonts w:ascii="Times New Roman" w:cs="Times New Roman" w:eastAsia="Times New Roman" w:hAnsi="Times New Roman"/>
                <w:sz w:val="22"/>
                <w:szCs w:val="22"/>
                <w:b w:val="1"/>
                <w:bCs w:val="1"/>
                <w:color w:val="C6001E"/>
              </w:rPr>
              <w:t>Executive Officers Who Are Not Directors</w:t>
            </w: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C6001E"/>
              </w:rPr>
              <w:t>31</w:t>
            </w:r>
          </w:p>
        </w:tc>
        <w:tc>
          <w:tcPr>
            <w:tcW w:w="4100" w:type="dxa"/>
            <w:vAlign w:val="bottom"/>
            <w:gridSpan w:val="17"/>
          </w:tcPr>
          <w:p>
            <w:pPr>
              <w:spacing w:after="0"/>
              <w:rPr>
                <w:sz w:val="20"/>
                <w:szCs w:val="20"/>
                <w:color w:val="auto"/>
              </w:rPr>
            </w:pPr>
            <w:r>
              <w:rPr>
                <w:rFonts w:ascii="Arial" w:cs="Arial" w:eastAsia="Arial" w:hAnsi="Arial"/>
                <w:sz w:val="18"/>
                <w:szCs w:val="18"/>
                <w:color w:val="auto"/>
              </w:rPr>
              <w:t>Recommendation of the Board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C6001E"/>
              </w:rPr>
              <w:t>75</w:t>
            </w:r>
          </w:p>
        </w:tc>
        <w:tc>
          <w:tcPr>
            <w:tcW w:w="0" w:type="dxa"/>
            <w:vAlign w:val="bottom"/>
          </w:tcPr>
          <w:p>
            <w:pPr>
              <w:spacing w:after="0"/>
              <w:rPr>
                <w:sz w:val="1"/>
                <w:szCs w:val="1"/>
                <w:color w:val="auto"/>
              </w:rPr>
            </w:pPr>
          </w:p>
        </w:tc>
      </w:tr>
      <w:tr>
        <w:trPr>
          <w:trHeight w:val="27"/>
        </w:trPr>
        <w:tc>
          <w:tcPr>
            <w:tcW w:w="1560" w:type="dxa"/>
            <w:vAlign w:val="bottom"/>
            <w:gridSpan w:val="4"/>
            <w:shd w:val="clear" w:color="auto" w:fill="0000EE"/>
          </w:tcPr>
          <w:p>
            <w:pPr>
              <w:spacing w:after="0"/>
              <w:rPr>
                <w:sz w:val="2"/>
                <w:szCs w:val="2"/>
                <w:color w:val="auto"/>
              </w:rPr>
            </w:pPr>
          </w:p>
        </w:tc>
        <w:tc>
          <w:tcPr>
            <w:tcW w:w="520" w:type="dxa"/>
            <w:vAlign w:val="bottom"/>
            <w:gridSpan w:val="2"/>
            <w:shd w:val="clear" w:color="auto" w:fill="0000EE"/>
          </w:tcPr>
          <w:p>
            <w:pPr>
              <w:spacing w:after="0"/>
              <w:rPr>
                <w:sz w:val="2"/>
                <w:szCs w:val="2"/>
                <w:color w:val="auto"/>
              </w:rPr>
            </w:pPr>
          </w:p>
        </w:tc>
        <w:tc>
          <w:tcPr>
            <w:tcW w:w="40" w:type="dxa"/>
            <w:vAlign w:val="bottom"/>
            <w:tcBorders>
              <w:right w:val="single" w:sz="8" w:color="0000EE"/>
            </w:tcBorders>
            <w:shd w:val="clear" w:color="auto" w:fill="0000EE"/>
          </w:tcPr>
          <w:p>
            <w:pPr>
              <w:spacing w:after="0"/>
              <w:rPr>
                <w:sz w:val="2"/>
                <w:szCs w:val="2"/>
                <w:color w:val="auto"/>
              </w:rPr>
            </w:pPr>
          </w:p>
        </w:tc>
        <w:tc>
          <w:tcPr>
            <w:tcW w:w="900" w:type="dxa"/>
            <w:vAlign w:val="bottom"/>
            <w:gridSpan w:val="2"/>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60" w:type="dxa"/>
            <w:vAlign w:val="bottom"/>
            <w:tcBorders>
              <w:left w:val="single" w:sz="8" w:color="0000EE"/>
            </w:tcBorders>
            <w:gridSpan w:val="3"/>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0" w:type="dxa"/>
            <w:vAlign w:val="bottom"/>
            <w:gridSpan w:val="3"/>
            <w:shd w:val="clear" w:color="auto" w:fill="0000EE"/>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gridSpan w:val="2"/>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10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120" w:type="dxa"/>
            <w:vAlign w:val="bottom"/>
            <w:gridSpan w:val="10"/>
          </w:tcPr>
          <w:p>
            <w:pPr>
              <w:spacing w:after="0" w:line="237" w:lineRule="exact"/>
              <w:rPr>
                <w:sz w:val="20"/>
                <w:szCs w:val="20"/>
                <w:color w:val="auto"/>
              </w:rPr>
            </w:pPr>
            <w:r>
              <w:rPr>
                <w:rFonts w:ascii="Times New Roman" w:cs="Times New Roman" w:eastAsia="Times New Roman" w:hAnsi="Times New Roman"/>
                <w:sz w:val="22"/>
                <w:szCs w:val="22"/>
                <w:b w:val="1"/>
                <w:bCs w:val="1"/>
                <w:color w:val="C6001E"/>
                <w:w w:val="97"/>
              </w:rPr>
              <w:t>Compensation Committee Report</w:t>
            </w:r>
          </w:p>
        </w:tc>
        <w:tc>
          <w:tcPr>
            <w:tcW w:w="1540" w:type="dxa"/>
            <w:vAlign w:val="bottom"/>
            <w:gridSpan w:val="9"/>
          </w:tcPr>
          <w:p>
            <w:pPr>
              <w:spacing w:after="0"/>
              <w:rPr>
                <w:sz w:val="22"/>
                <w:szCs w:val="22"/>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C6001E"/>
              </w:rPr>
              <w:t>32</w:t>
            </w:r>
          </w:p>
        </w:tc>
        <w:tc>
          <w:tcPr>
            <w:tcW w:w="4100" w:type="dxa"/>
            <w:vAlign w:val="bottom"/>
            <w:gridSpan w:val="17"/>
          </w:tcPr>
          <w:p>
            <w:pPr>
              <w:spacing w:after="0" w:line="237" w:lineRule="exact"/>
              <w:rPr>
                <w:sz w:val="20"/>
                <w:szCs w:val="20"/>
                <w:color w:val="auto"/>
              </w:rPr>
            </w:pPr>
            <w:r>
              <w:rPr>
                <w:rFonts w:ascii="Times New Roman" w:cs="Times New Roman" w:eastAsia="Times New Roman" w:hAnsi="Times New Roman"/>
                <w:sz w:val="22"/>
                <w:szCs w:val="22"/>
                <w:b w:val="1"/>
                <w:bCs w:val="1"/>
                <w:color w:val="C6001E"/>
              </w:rPr>
              <w:t>Relationship with Independent Public</w:t>
            </w: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60" w:type="dxa"/>
            <w:vAlign w:val="bottom"/>
            <w:gridSpan w:val="19"/>
          </w:tcPr>
          <w:p>
            <w:pPr>
              <w:spacing w:after="0" w:line="250" w:lineRule="exact"/>
              <w:rPr>
                <w:sz w:val="20"/>
                <w:szCs w:val="20"/>
                <w:color w:val="auto"/>
              </w:rPr>
            </w:pPr>
            <w:r>
              <w:rPr>
                <w:rFonts w:ascii="Times New Roman" w:cs="Times New Roman" w:eastAsia="Times New Roman" w:hAnsi="Times New Roman"/>
                <w:sz w:val="22"/>
                <w:szCs w:val="22"/>
                <w:b w:val="1"/>
                <w:bCs w:val="1"/>
                <w:color w:val="C6001E"/>
              </w:rPr>
              <w:t>Compensation Discussion and Analysis</w:t>
            </w: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C6001E"/>
              </w:rPr>
              <w:t>33</w:t>
            </w:r>
          </w:p>
        </w:tc>
        <w:tc>
          <w:tcPr>
            <w:tcW w:w="4100" w:type="dxa"/>
            <w:vAlign w:val="bottom"/>
            <w:gridSpan w:val="17"/>
          </w:tcPr>
          <w:p>
            <w:pPr>
              <w:spacing w:after="0" w:line="250" w:lineRule="exact"/>
              <w:rPr>
                <w:sz w:val="20"/>
                <w:szCs w:val="20"/>
                <w:color w:val="auto"/>
              </w:rPr>
            </w:pPr>
            <w:r>
              <w:rPr>
                <w:rFonts w:ascii="Times New Roman" w:cs="Times New Roman" w:eastAsia="Times New Roman" w:hAnsi="Times New Roman"/>
                <w:sz w:val="22"/>
                <w:szCs w:val="22"/>
                <w:b w:val="1"/>
                <w:bCs w:val="1"/>
                <w:color w:val="C6001E"/>
              </w:rPr>
              <w:t>Accountants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C6001E"/>
              </w:rPr>
              <w:t>76</w:t>
            </w:r>
          </w:p>
        </w:tc>
        <w:tc>
          <w:tcPr>
            <w:tcW w:w="0" w:type="dxa"/>
            <w:vAlign w:val="bottom"/>
          </w:tcPr>
          <w:p>
            <w:pPr>
              <w:spacing w:after="0"/>
              <w:rPr>
                <w:sz w:val="1"/>
                <w:szCs w:val="1"/>
                <w:color w:val="auto"/>
              </w:rPr>
            </w:pPr>
          </w:p>
        </w:tc>
      </w:tr>
      <w:tr>
        <w:trPr>
          <w:trHeight w:val="20"/>
        </w:trPr>
        <w:tc>
          <w:tcPr>
            <w:tcW w:w="156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auto"/>
                <w:w w:val="98"/>
              </w:rPr>
              <w:t>Our Year in Review</w:t>
            </w:r>
          </w:p>
        </w:tc>
        <w:tc>
          <w:tcPr>
            <w:tcW w:w="520" w:type="dxa"/>
            <w:vAlign w:val="bottom"/>
            <w:gridSpan w:val="2"/>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900" w:type="dxa"/>
            <w:vAlign w:val="bottom"/>
            <w:gridSpan w:val="2"/>
            <w:vMerge w:val="restart"/>
          </w:tcPr>
          <w:p>
            <w:pPr>
              <w:spacing w:after="0"/>
              <w:rPr>
                <w:sz w:val="20"/>
                <w:szCs w:val="20"/>
                <w:color w:val="auto"/>
              </w:rPr>
            </w:pPr>
          </w:p>
        </w:tc>
        <w:tc>
          <w:tcPr>
            <w:tcW w:w="460" w:type="dxa"/>
            <w:vAlign w:val="bottom"/>
            <w:gridSpan w:val="4"/>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1000" w:type="dxa"/>
            <w:vAlign w:val="bottom"/>
            <w:gridSpan w:val="3"/>
            <w:vMerge w:val="restart"/>
          </w:tcPr>
          <w:p>
            <w:pPr>
              <w:spacing w:after="0"/>
              <w:rPr>
                <w:sz w:val="20"/>
                <w:szCs w:val="20"/>
                <w:color w:val="auto"/>
              </w:rPr>
            </w:pPr>
          </w:p>
        </w:tc>
        <w:tc>
          <w:tcPr>
            <w:tcW w:w="10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C6001E"/>
              </w:rPr>
              <w:t>33</w:t>
            </w:r>
          </w:p>
        </w:tc>
        <w:tc>
          <w:tcPr>
            <w:tcW w:w="4100" w:type="dxa"/>
            <w:vAlign w:val="bottom"/>
            <w:gridSpan w:val="17"/>
            <w:vMerge w:val="restart"/>
          </w:tcPr>
          <w:p>
            <w:pPr>
              <w:spacing w:after="0" w:line="250" w:lineRule="exact"/>
              <w:rPr>
                <w:sz w:val="20"/>
                <w:szCs w:val="20"/>
                <w:color w:val="auto"/>
              </w:rPr>
            </w:pPr>
            <w:r>
              <w:rPr>
                <w:rFonts w:ascii="Times New Roman" w:cs="Times New Roman" w:eastAsia="Times New Roman" w:hAnsi="Times New Roman"/>
                <w:sz w:val="22"/>
                <w:szCs w:val="22"/>
                <w:b w:val="1"/>
                <w:bCs w:val="1"/>
                <w:color w:val="C6001E"/>
              </w:rPr>
              <w:t>Audit Committee Report</w:t>
            </w: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C6001E"/>
              </w:rPr>
              <w:t>77</w:t>
            </w:r>
          </w:p>
        </w:tc>
        <w:tc>
          <w:tcPr>
            <w:tcW w:w="0" w:type="dxa"/>
            <w:vAlign w:val="bottom"/>
          </w:tcPr>
          <w:p>
            <w:pPr>
              <w:spacing w:after="0"/>
              <w:rPr>
                <w:sz w:val="1"/>
                <w:szCs w:val="1"/>
                <w:color w:val="auto"/>
              </w:rPr>
            </w:pPr>
          </w:p>
        </w:tc>
      </w:tr>
      <w:tr>
        <w:trPr>
          <w:trHeight w:val="20"/>
        </w:trPr>
        <w:tc>
          <w:tcPr>
            <w:tcW w:w="1560" w:type="dxa"/>
            <w:vAlign w:val="bottom"/>
            <w:gridSpan w:val="4"/>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46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4100" w:type="dxa"/>
            <w:vAlign w:val="bottom"/>
            <w:gridSpan w:val="17"/>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8"/>
              </w:rPr>
              <w:t>Named Executive Officers</w:t>
            </w:r>
          </w:p>
        </w:tc>
        <w:tc>
          <w:tcPr>
            <w:tcW w:w="4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46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000" w:type="dxa"/>
            <w:vAlign w:val="bottom"/>
            <w:gridSpan w:val="3"/>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C6001E"/>
              </w:rPr>
              <w:t>33</w:t>
            </w:r>
          </w:p>
        </w:tc>
        <w:tc>
          <w:tcPr>
            <w:tcW w:w="4100" w:type="dxa"/>
            <w:vAlign w:val="bottom"/>
            <w:gridSpan w:val="17"/>
          </w:tcPr>
          <w:p>
            <w:pPr>
              <w:spacing w:after="0" w:line="224" w:lineRule="exact"/>
              <w:rPr>
                <w:sz w:val="20"/>
                <w:szCs w:val="20"/>
                <w:color w:val="auto"/>
              </w:rPr>
            </w:pPr>
            <w:r>
              <w:rPr>
                <w:rFonts w:ascii="Times New Roman" w:cs="Times New Roman" w:eastAsia="Times New Roman" w:hAnsi="Times New Roman"/>
                <w:sz w:val="22"/>
                <w:szCs w:val="22"/>
                <w:b w:val="1"/>
                <w:bCs w:val="1"/>
                <w:color w:val="C6001E"/>
                <w:w w:val="99"/>
              </w:rPr>
              <w:t>Other Matters Which May be Presented for</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1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auto"/>
                <w:w w:val="99"/>
              </w:rPr>
              <w:t>Compensation Philosophy</w:t>
            </w:r>
          </w:p>
        </w:tc>
        <w:tc>
          <w:tcPr>
            <w:tcW w:w="900" w:type="dxa"/>
            <w:vAlign w:val="bottom"/>
            <w:gridSpan w:val="2"/>
          </w:tcPr>
          <w:p>
            <w:pPr>
              <w:spacing w:after="0"/>
              <w:rPr>
                <w:sz w:val="18"/>
                <w:szCs w:val="18"/>
                <w:color w:val="auto"/>
              </w:rPr>
            </w:pPr>
          </w:p>
        </w:tc>
        <w:tc>
          <w:tcPr>
            <w:tcW w:w="46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0" w:type="dxa"/>
            <w:vAlign w:val="bottom"/>
            <w:gridSpan w:val="3"/>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C6001E"/>
              </w:rPr>
              <w:t>33</w:t>
            </w:r>
          </w:p>
        </w:tc>
        <w:tc>
          <w:tcPr>
            <w:tcW w:w="20" w:type="dxa"/>
            <w:vAlign w:val="bottom"/>
          </w:tcPr>
          <w:p>
            <w:pPr>
              <w:spacing w:after="0"/>
              <w:rPr>
                <w:sz w:val="18"/>
                <w:szCs w:val="18"/>
                <w:color w:val="auto"/>
              </w:rPr>
            </w:pPr>
          </w:p>
        </w:tc>
        <w:tc>
          <w:tcPr>
            <w:tcW w:w="4020" w:type="dxa"/>
            <w:vAlign w:val="bottom"/>
            <w:tcBorders>
              <w:top w:val="single" w:sz="8" w:color="0000EE"/>
              <w:bottom w:val="single" w:sz="8" w:color="0000EE"/>
            </w:tcBorders>
            <w:gridSpan w:val="15"/>
          </w:tcPr>
          <w:p>
            <w:pPr>
              <w:spacing w:after="0" w:line="209" w:lineRule="exact"/>
              <w:rPr>
                <w:sz w:val="20"/>
                <w:szCs w:val="20"/>
                <w:color w:val="auto"/>
              </w:rPr>
            </w:pPr>
            <w:r>
              <w:rPr>
                <w:rFonts w:ascii="Times New Roman" w:cs="Times New Roman" w:eastAsia="Times New Roman" w:hAnsi="Times New Roman"/>
                <w:sz w:val="22"/>
                <w:szCs w:val="22"/>
                <w:b w:val="1"/>
                <w:bCs w:val="1"/>
                <w:color w:val="C6001E"/>
              </w:rPr>
              <w:t>Action at the Meeting</w:t>
            </w:r>
          </w:p>
        </w:tc>
        <w:tc>
          <w:tcPr>
            <w:tcW w:w="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C6001E"/>
              </w:rPr>
              <w:t>78</w:t>
            </w:r>
          </w:p>
        </w:tc>
        <w:tc>
          <w:tcPr>
            <w:tcW w:w="0" w:type="dxa"/>
            <w:vAlign w:val="bottom"/>
          </w:tcPr>
          <w:p>
            <w:pPr>
              <w:spacing w:after="0"/>
              <w:rPr>
                <w:sz w:val="1"/>
                <w:szCs w:val="1"/>
                <w:color w:val="auto"/>
              </w:rPr>
            </w:pPr>
          </w:p>
        </w:tc>
      </w:tr>
      <w:tr>
        <w:trPr>
          <w:trHeight w:val="230"/>
        </w:trPr>
        <w:tc>
          <w:tcPr>
            <w:tcW w:w="30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auto"/>
                <w:w w:val="99"/>
              </w:rPr>
              <w:t>Determining Executive Compensation</w:t>
            </w:r>
          </w:p>
        </w:tc>
        <w:tc>
          <w:tcPr>
            <w:tcW w:w="460" w:type="dxa"/>
            <w:vAlign w:val="bottom"/>
            <w:gridSpan w:val="4"/>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60" w:type="dxa"/>
            <w:vAlign w:val="bottom"/>
            <w:gridSpan w:val="2"/>
            <w:vMerge w:val="restart"/>
          </w:tcPr>
          <w:p>
            <w:pPr>
              <w:spacing w:after="0"/>
              <w:rPr>
                <w:sz w:val="20"/>
                <w:szCs w:val="20"/>
                <w:color w:val="auto"/>
              </w:rPr>
            </w:pPr>
          </w:p>
        </w:tc>
        <w:tc>
          <w:tcPr>
            <w:tcW w:w="1000" w:type="dxa"/>
            <w:vAlign w:val="bottom"/>
            <w:gridSpan w:val="3"/>
            <w:vMerge w:val="restart"/>
          </w:tcPr>
          <w:p>
            <w:pPr>
              <w:spacing w:after="0"/>
              <w:rPr>
                <w:sz w:val="20"/>
                <w:szCs w:val="20"/>
                <w:color w:val="auto"/>
              </w:rPr>
            </w:pPr>
          </w:p>
        </w:tc>
        <w:tc>
          <w:tcPr>
            <w:tcW w:w="10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C6001E"/>
              </w:rPr>
              <w:t>36</w:t>
            </w:r>
          </w:p>
        </w:tc>
        <w:tc>
          <w:tcPr>
            <w:tcW w:w="4100" w:type="dxa"/>
            <w:vAlign w:val="bottom"/>
            <w:gridSpan w:val="17"/>
            <w:vMerge w:val="restart"/>
          </w:tcPr>
          <w:p>
            <w:pPr>
              <w:spacing w:after="0" w:line="250" w:lineRule="exact"/>
              <w:rPr>
                <w:sz w:val="20"/>
                <w:szCs w:val="20"/>
                <w:color w:val="auto"/>
              </w:rPr>
            </w:pPr>
            <w:r>
              <w:rPr>
                <w:rFonts w:ascii="Times New Roman" w:cs="Times New Roman" w:eastAsia="Times New Roman" w:hAnsi="Times New Roman"/>
                <w:sz w:val="22"/>
                <w:szCs w:val="22"/>
                <w:b w:val="1"/>
                <w:bCs w:val="1"/>
                <w:color w:val="C6001E"/>
              </w:rPr>
              <w:t>Delivery of Documents to Stockholders</w:t>
            </w:r>
          </w:p>
        </w:tc>
        <w:tc>
          <w:tcPr>
            <w:tcW w:w="1400" w:type="dxa"/>
            <w:vAlign w:val="bottom"/>
            <w:vMerge w:val="restart"/>
          </w:tcPr>
          <w:p>
            <w:pPr>
              <w:jc w:val="right"/>
              <w:spacing w:after="0"/>
              <w:rPr>
                <w:sz w:val="20"/>
                <w:szCs w:val="20"/>
                <w:color w:val="auto"/>
              </w:rPr>
            </w:pPr>
            <w:r>
              <w:rPr>
                <w:rFonts w:ascii="Arial" w:cs="Arial" w:eastAsia="Arial" w:hAnsi="Arial"/>
                <w:sz w:val="18"/>
                <w:szCs w:val="18"/>
                <w:b w:val="1"/>
                <w:bCs w:val="1"/>
                <w:color w:val="C6001E"/>
              </w:rPr>
              <w:t>78</w:t>
            </w:r>
          </w:p>
        </w:tc>
        <w:tc>
          <w:tcPr>
            <w:tcW w:w="0" w:type="dxa"/>
            <w:vAlign w:val="bottom"/>
          </w:tcPr>
          <w:p>
            <w:pPr>
              <w:spacing w:after="0"/>
              <w:rPr>
                <w:sz w:val="1"/>
                <w:szCs w:val="1"/>
                <w:color w:val="auto"/>
              </w:rPr>
            </w:pPr>
          </w:p>
        </w:tc>
      </w:tr>
      <w:tr>
        <w:trPr>
          <w:trHeight w:val="20"/>
        </w:trPr>
        <w:tc>
          <w:tcPr>
            <w:tcW w:w="3020" w:type="dxa"/>
            <w:vAlign w:val="bottom"/>
            <w:gridSpan w:val="9"/>
          </w:tcPr>
          <w:p>
            <w:pPr>
              <w:spacing w:after="0" w:line="20" w:lineRule="exact"/>
              <w:rPr>
                <w:sz w:val="1"/>
                <w:szCs w:val="1"/>
                <w:color w:val="auto"/>
              </w:rPr>
            </w:pPr>
          </w:p>
        </w:tc>
        <w:tc>
          <w:tcPr>
            <w:tcW w:w="46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4100" w:type="dxa"/>
            <w:vAlign w:val="bottom"/>
            <w:gridSpan w:val="17"/>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auto"/>
                <w:w w:val="99"/>
              </w:rPr>
              <w:t>Primary Elements of Executive Compensation</w:t>
            </w:r>
          </w:p>
        </w:tc>
        <w:tc>
          <w:tcPr>
            <w:tcW w:w="1000" w:type="dxa"/>
            <w:vAlign w:val="bottom"/>
            <w:gridSpan w:val="3"/>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C6001E"/>
              </w:rPr>
              <w:t>38</w:t>
            </w:r>
          </w:p>
        </w:tc>
        <w:tc>
          <w:tcPr>
            <w:tcW w:w="4100" w:type="dxa"/>
            <w:vAlign w:val="bottom"/>
            <w:gridSpan w:val="17"/>
          </w:tcPr>
          <w:p>
            <w:pPr>
              <w:spacing w:after="0" w:line="224" w:lineRule="exact"/>
              <w:rPr>
                <w:sz w:val="20"/>
                <w:szCs w:val="20"/>
                <w:color w:val="auto"/>
              </w:rPr>
            </w:pPr>
            <w:r>
              <w:rPr>
                <w:rFonts w:ascii="Times New Roman" w:cs="Times New Roman" w:eastAsia="Times New Roman" w:hAnsi="Times New Roman"/>
                <w:sz w:val="22"/>
                <w:szCs w:val="22"/>
                <w:b w:val="1"/>
                <w:bCs w:val="1"/>
                <w:color w:val="C6001E"/>
                <w:w w:val="99"/>
              </w:rPr>
              <w:t>Stockholder Proposals and Nominations for</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780" w:type="dxa"/>
            <w:vAlign w:val="bottom"/>
            <w:gridSpan w:val="11"/>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0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auto"/>
                <w:w w:val="99"/>
              </w:rPr>
              <w:t>Other Elements of Executive Compensation</w:t>
            </w:r>
          </w:p>
        </w:tc>
        <w:tc>
          <w:tcPr>
            <w:tcW w:w="1160" w:type="dxa"/>
            <w:vAlign w:val="bottom"/>
            <w:gridSpan w:val="5"/>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C6001E"/>
              </w:rPr>
              <w:t>45</w:t>
            </w:r>
          </w:p>
        </w:tc>
        <w:tc>
          <w:tcPr>
            <w:tcW w:w="20" w:type="dxa"/>
            <w:vAlign w:val="bottom"/>
          </w:tcPr>
          <w:p>
            <w:pPr>
              <w:spacing w:after="0"/>
              <w:rPr>
                <w:sz w:val="18"/>
                <w:szCs w:val="18"/>
                <w:color w:val="auto"/>
              </w:rPr>
            </w:pPr>
          </w:p>
        </w:tc>
        <w:tc>
          <w:tcPr>
            <w:tcW w:w="4080" w:type="dxa"/>
            <w:vAlign w:val="bottom"/>
            <w:tcBorders>
              <w:top w:val="single" w:sz="8" w:color="0000EE"/>
              <w:bottom w:val="single" w:sz="8" w:color="0000EE"/>
            </w:tcBorders>
            <w:gridSpan w:val="16"/>
          </w:tcPr>
          <w:p>
            <w:pPr>
              <w:spacing w:after="0" w:line="209" w:lineRule="exact"/>
              <w:rPr>
                <w:sz w:val="20"/>
                <w:szCs w:val="20"/>
                <w:color w:val="auto"/>
              </w:rPr>
            </w:pPr>
            <w:r>
              <w:rPr>
                <w:rFonts w:ascii="Times New Roman" w:cs="Times New Roman" w:eastAsia="Times New Roman" w:hAnsi="Times New Roman"/>
                <w:sz w:val="22"/>
                <w:szCs w:val="22"/>
                <w:b w:val="1"/>
                <w:bCs w:val="1"/>
                <w:color w:val="C6001E"/>
              </w:rPr>
              <w:t>the 2026 Annual Meeting</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C6001E"/>
              </w:rPr>
              <w:t>78</w:t>
            </w:r>
          </w:p>
        </w:tc>
        <w:tc>
          <w:tcPr>
            <w:tcW w:w="0" w:type="dxa"/>
            <w:vAlign w:val="bottom"/>
          </w:tcPr>
          <w:p>
            <w:pPr>
              <w:spacing w:after="0"/>
              <w:rPr>
                <w:sz w:val="1"/>
                <w:szCs w:val="1"/>
                <w:color w:val="auto"/>
              </w:rPr>
            </w:pPr>
          </w:p>
        </w:tc>
      </w:tr>
      <w:tr>
        <w:trPr>
          <w:trHeight w:val="216"/>
        </w:trPr>
        <w:tc>
          <w:tcPr>
            <w:tcW w:w="4660" w:type="dxa"/>
            <w:vAlign w:val="bottom"/>
            <w:gridSpan w:val="19"/>
          </w:tcPr>
          <w:p>
            <w:pPr>
              <w:spacing w:after="0"/>
              <w:rPr>
                <w:sz w:val="20"/>
                <w:szCs w:val="20"/>
                <w:color w:val="auto"/>
              </w:rPr>
            </w:pPr>
            <w:r>
              <w:rPr>
                <w:rFonts w:ascii="Arial" w:cs="Arial" w:eastAsia="Arial" w:hAnsi="Arial"/>
                <w:sz w:val="18"/>
                <w:szCs w:val="18"/>
                <w:color w:val="auto"/>
              </w:rPr>
              <w:t>Other Compensation Policies and Practices</w:t>
            </w: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C6001E"/>
              </w:rPr>
              <w:t>48</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1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60" w:type="dxa"/>
            <w:vAlign w:val="bottom"/>
            <w:gridSpan w:val="19"/>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1080" w:type="dxa"/>
            <w:vAlign w:val="bottom"/>
            <w:shd w:val="clear" w:color="auto" w:fill="EEEEEF"/>
          </w:tcPr>
          <w:p>
            <w:pPr>
              <w:spacing w:after="0"/>
              <w:rPr>
                <w:sz w:val="23"/>
                <w:szCs w:val="23"/>
                <w:color w:val="auto"/>
              </w:rPr>
            </w:pPr>
          </w:p>
        </w:tc>
        <w:tc>
          <w:tcPr>
            <w:tcW w:w="20" w:type="dxa"/>
            <w:vAlign w:val="bottom"/>
            <w:shd w:val="clear" w:color="auto" w:fill="EEEEEF"/>
          </w:tcPr>
          <w:p>
            <w:pPr>
              <w:spacing w:after="0"/>
              <w:rPr>
                <w:sz w:val="23"/>
                <w:szCs w:val="23"/>
                <w:color w:val="auto"/>
              </w:rPr>
            </w:pPr>
          </w:p>
        </w:tc>
        <w:tc>
          <w:tcPr>
            <w:tcW w:w="720" w:type="dxa"/>
            <w:vAlign w:val="bottom"/>
            <w:shd w:val="clear" w:color="auto" w:fill="EEEEEF"/>
          </w:tcPr>
          <w:p>
            <w:pPr>
              <w:spacing w:after="0"/>
              <w:rPr>
                <w:sz w:val="23"/>
                <w:szCs w:val="23"/>
                <w:color w:val="auto"/>
              </w:rPr>
            </w:pPr>
          </w:p>
        </w:tc>
        <w:tc>
          <w:tcPr>
            <w:tcW w:w="420" w:type="dxa"/>
            <w:vAlign w:val="bottom"/>
            <w:shd w:val="clear" w:color="auto" w:fill="EEEEEF"/>
          </w:tcPr>
          <w:p>
            <w:pPr>
              <w:spacing w:after="0"/>
              <w:rPr>
                <w:sz w:val="23"/>
                <w:szCs w:val="23"/>
                <w:color w:val="auto"/>
              </w:rPr>
            </w:pPr>
          </w:p>
        </w:tc>
        <w:tc>
          <w:tcPr>
            <w:tcW w:w="840" w:type="dxa"/>
            <w:vAlign w:val="bottom"/>
            <w:shd w:val="clear" w:color="auto" w:fill="EEEEEF"/>
          </w:tcPr>
          <w:p>
            <w:pPr>
              <w:spacing w:after="0"/>
              <w:rPr>
                <w:sz w:val="23"/>
                <w:szCs w:val="23"/>
                <w:color w:val="auto"/>
              </w:rPr>
            </w:pPr>
          </w:p>
        </w:tc>
        <w:tc>
          <w:tcPr>
            <w:tcW w:w="300" w:type="dxa"/>
            <w:vAlign w:val="bottom"/>
            <w:shd w:val="clear" w:color="auto" w:fill="EEEEEF"/>
          </w:tcPr>
          <w:p>
            <w:pPr>
              <w:spacing w:after="0"/>
              <w:rPr>
                <w:sz w:val="23"/>
                <w:szCs w:val="23"/>
                <w:color w:val="auto"/>
              </w:rPr>
            </w:pPr>
          </w:p>
        </w:tc>
        <w:tc>
          <w:tcPr>
            <w:tcW w:w="20" w:type="dxa"/>
            <w:vAlign w:val="bottom"/>
            <w:shd w:val="clear" w:color="auto" w:fill="EEEEEF"/>
          </w:tcPr>
          <w:p>
            <w:pPr>
              <w:spacing w:after="0"/>
              <w:rPr>
                <w:sz w:val="23"/>
                <w:szCs w:val="23"/>
                <w:color w:val="auto"/>
              </w:rPr>
            </w:pPr>
          </w:p>
        </w:tc>
        <w:tc>
          <w:tcPr>
            <w:tcW w:w="120" w:type="dxa"/>
            <w:vAlign w:val="bottom"/>
            <w:shd w:val="clear" w:color="auto" w:fill="EEEEEF"/>
          </w:tcPr>
          <w:p>
            <w:pPr>
              <w:spacing w:after="0"/>
              <w:rPr>
                <w:sz w:val="23"/>
                <w:szCs w:val="23"/>
                <w:color w:val="auto"/>
              </w:rPr>
            </w:pPr>
          </w:p>
        </w:tc>
        <w:tc>
          <w:tcPr>
            <w:tcW w:w="240" w:type="dxa"/>
            <w:vAlign w:val="bottom"/>
            <w:shd w:val="clear" w:color="auto" w:fill="EEEEEF"/>
          </w:tcPr>
          <w:p>
            <w:pPr>
              <w:spacing w:after="0"/>
              <w:rPr>
                <w:sz w:val="23"/>
                <w:szCs w:val="23"/>
                <w:color w:val="auto"/>
              </w:rPr>
            </w:pPr>
          </w:p>
        </w:tc>
        <w:tc>
          <w:tcPr>
            <w:tcW w:w="620" w:type="dxa"/>
            <w:vAlign w:val="bottom"/>
            <w:shd w:val="clear" w:color="auto" w:fill="EEEEEF"/>
          </w:tcPr>
          <w:p>
            <w:pPr>
              <w:spacing w:after="0"/>
              <w:rPr>
                <w:sz w:val="23"/>
                <w:szCs w:val="23"/>
                <w:color w:val="auto"/>
              </w:rPr>
            </w:pPr>
          </w:p>
        </w:tc>
        <w:tc>
          <w:tcPr>
            <w:tcW w:w="120" w:type="dxa"/>
            <w:vAlign w:val="bottom"/>
            <w:shd w:val="clear" w:color="auto" w:fill="EEEEEF"/>
          </w:tcPr>
          <w:p>
            <w:pPr>
              <w:spacing w:after="0"/>
              <w:rPr>
                <w:sz w:val="23"/>
                <w:szCs w:val="23"/>
                <w:color w:val="auto"/>
              </w:rPr>
            </w:pPr>
          </w:p>
        </w:tc>
        <w:tc>
          <w:tcPr>
            <w:tcW w:w="120" w:type="dxa"/>
            <w:vAlign w:val="bottom"/>
            <w:shd w:val="clear" w:color="auto" w:fill="EEEEEF"/>
          </w:tcPr>
          <w:p>
            <w:pPr>
              <w:spacing w:after="0"/>
              <w:rPr>
                <w:sz w:val="23"/>
                <w:szCs w:val="23"/>
                <w:color w:val="auto"/>
              </w:rPr>
            </w:pPr>
          </w:p>
        </w:tc>
        <w:tc>
          <w:tcPr>
            <w:tcW w:w="60" w:type="dxa"/>
            <w:vAlign w:val="bottom"/>
            <w:tcBorders>
              <w:left w:val="single" w:sz="8" w:color="EEEEEF"/>
            </w:tcBorders>
            <w:shd w:val="clear" w:color="auto" w:fill="EEEEEF"/>
          </w:tcPr>
          <w:p>
            <w:pPr>
              <w:spacing w:after="0"/>
              <w:rPr>
                <w:sz w:val="23"/>
                <w:szCs w:val="23"/>
                <w:color w:val="auto"/>
              </w:rPr>
            </w:pPr>
          </w:p>
        </w:tc>
        <w:tc>
          <w:tcPr>
            <w:tcW w:w="140" w:type="dxa"/>
            <w:vAlign w:val="bottom"/>
            <w:shd w:val="clear" w:color="auto" w:fill="EEEEEF"/>
          </w:tcPr>
          <w:p>
            <w:pPr>
              <w:spacing w:after="0"/>
              <w:rPr>
                <w:sz w:val="23"/>
                <w:szCs w:val="23"/>
                <w:color w:val="auto"/>
              </w:rPr>
            </w:pPr>
          </w:p>
        </w:tc>
        <w:tc>
          <w:tcPr>
            <w:tcW w:w="100" w:type="dxa"/>
            <w:vAlign w:val="bottom"/>
            <w:shd w:val="clear" w:color="auto" w:fill="EEEEEF"/>
          </w:tcPr>
          <w:p>
            <w:pPr>
              <w:spacing w:after="0"/>
              <w:rPr>
                <w:sz w:val="23"/>
                <w:szCs w:val="23"/>
                <w:color w:val="auto"/>
              </w:rPr>
            </w:pPr>
          </w:p>
        </w:tc>
        <w:tc>
          <w:tcPr>
            <w:tcW w:w="60" w:type="dxa"/>
            <w:vAlign w:val="bottom"/>
            <w:shd w:val="clear" w:color="auto" w:fill="EEEEEF"/>
          </w:tcPr>
          <w:p>
            <w:pPr>
              <w:spacing w:after="0"/>
              <w:rPr>
                <w:sz w:val="23"/>
                <w:szCs w:val="23"/>
                <w:color w:val="auto"/>
              </w:rPr>
            </w:pPr>
          </w:p>
        </w:tc>
        <w:tc>
          <w:tcPr>
            <w:tcW w:w="140" w:type="dxa"/>
            <w:vAlign w:val="bottom"/>
            <w:shd w:val="clear" w:color="auto" w:fill="EEEEEF"/>
          </w:tcPr>
          <w:p>
            <w:pPr>
              <w:spacing w:after="0"/>
              <w:rPr>
                <w:sz w:val="23"/>
                <w:szCs w:val="23"/>
                <w:color w:val="auto"/>
              </w:rPr>
            </w:pPr>
          </w:p>
        </w:tc>
        <w:tc>
          <w:tcPr>
            <w:tcW w:w="60" w:type="dxa"/>
            <w:vAlign w:val="bottom"/>
            <w:shd w:val="clear" w:color="auto" w:fill="EEEEEF"/>
          </w:tcPr>
          <w:p>
            <w:pPr>
              <w:spacing w:after="0"/>
              <w:rPr>
                <w:sz w:val="23"/>
                <w:szCs w:val="23"/>
                <w:color w:val="auto"/>
              </w:rPr>
            </w:pPr>
          </w:p>
        </w:tc>
        <w:tc>
          <w:tcPr>
            <w:tcW w:w="140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i</w:t>
            </w:r>
          </w:p>
        </w:tc>
        <w:tc>
          <w:tcPr>
            <w:tcW w:w="0" w:type="dxa"/>
            <w:vAlign w:val="bottom"/>
          </w:tcPr>
          <w:p>
            <w:pPr>
              <w:spacing w:after="0"/>
              <w:rPr>
                <w:sz w:val="1"/>
                <w:szCs w:val="1"/>
                <w:color w:val="auto"/>
              </w:rPr>
            </w:pPr>
          </w:p>
        </w:tc>
      </w:tr>
      <w:tr>
        <w:trPr>
          <w:trHeight w:val="844"/>
        </w:trPr>
        <w:tc>
          <w:tcPr>
            <w:tcW w:w="1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type w:val="continuous"/>
        </w:sectPr>
      </w:pPr>
    </w:p>
    <w:bookmarkStart w:id="5" w:name="page6"/>
    <w:bookmarkEnd w:id="5"/>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PROXY STATEMENT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EAGLE MATERIALS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5960 Berkshire Ln., Suite 900</w:t>
      </w:r>
    </w:p>
    <w:p>
      <w:pPr>
        <w:jc w:val="center"/>
        <w:spacing w:after="0"/>
        <w:rPr>
          <w:sz w:val="20"/>
          <w:szCs w:val="20"/>
          <w:color w:val="auto"/>
        </w:rPr>
      </w:pPr>
      <w:r>
        <w:rPr>
          <w:rFonts w:ascii="Arial" w:cs="Arial" w:eastAsia="Arial" w:hAnsi="Arial"/>
          <w:sz w:val="18"/>
          <w:szCs w:val="18"/>
          <w:color w:val="auto"/>
        </w:rPr>
        <w:t>Dallas, Texas 75225</w:t>
      </w:r>
    </w:p>
    <w:p>
      <w:pPr>
        <w:spacing w:after="0" w:line="35" w:lineRule="exact"/>
        <w:rPr>
          <w:sz w:val="20"/>
          <w:szCs w:val="20"/>
          <w:color w:val="auto"/>
        </w:rPr>
      </w:pPr>
    </w:p>
    <w:p>
      <w:pPr>
        <w:ind w:right="3300" w:firstLine="3304"/>
        <w:spacing w:after="0" w:line="292" w:lineRule="auto"/>
        <w:rPr>
          <w:sz w:val="20"/>
          <w:szCs w:val="20"/>
          <w:color w:val="auto"/>
        </w:rPr>
      </w:pPr>
      <w:r>
        <w:rPr>
          <w:rFonts w:ascii="Times New Roman" w:cs="Times New Roman" w:eastAsia="Times New Roman" w:hAnsi="Times New Roman"/>
          <w:sz w:val="65"/>
          <w:szCs w:val="65"/>
          <w:b w:val="1"/>
          <w:bCs w:val="1"/>
          <w:color w:val="051972"/>
        </w:rPr>
        <w:t>Proxy Statement Introduction</w:t>
      </w:r>
    </w:p>
    <w:p>
      <w:pPr>
        <w:spacing w:after="0" w:line="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accompanying proxy, mailed or provided online, together with this Proxy Statement, is solicited by and on behalf of the Board of Directors of Eagle Materials Inc.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23,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Date, Time and Place of the Annual Meeting</w:t>
      </w:r>
    </w:p>
    <w:p>
      <w:pPr>
        <w:spacing w:after="0" w:line="9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2025 annual meeting of our stockholders will be held at the Douglas Conference Center, 8343 Douglas Avenue, Suite 125, Dallas, TX 75225, at 8:00 a.m., local time, on Monday, August 4,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Purposes of the Annual Meeting and Recommendations of our Board of Directors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At the meeting, action will be taken upon the following matters:</w:t>
      </w:r>
    </w:p>
    <w:p>
      <w:pPr>
        <w:spacing w:after="0" w:line="100" w:lineRule="exact"/>
        <w:rPr>
          <w:sz w:val="20"/>
          <w:szCs w:val="20"/>
          <w:color w:val="auto"/>
        </w:rPr>
      </w:pPr>
    </w:p>
    <w:p>
      <w:pPr>
        <w:ind w:left="380" w:right="220" w:hanging="372"/>
        <w:spacing w:after="0" w:line="285" w:lineRule="auto"/>
        <w:tabs>
          <w:tab w:leader="none" w:pos="380" w:val="left"/>
        </w:tabs>
        <w:numPr>
          <w:ilvl w:val="0"/>
          <w:numId w:val="7"/>
        </w:numPr>
        <w:rPr>
          <w:rFonts w:ascii="Times New Roman" w:cs="Times New Roman" w:eastAsia="Times New Roman" w:hAnsi="Times New Roman"/>
          <w:sz w:val="16"/>
          <w:szCs w:val="16"/>
          <w:b w:val="1"/>
          <w:bCs w:val="1"/>
          <w:color w:val="051972"/>
        </w:rPr>
      </w:pPr>
      <w:r>
        <w:rPr>
          <w:rFonts w:ascii="Arial" w:cs="Arial" w:eastAsia="Arial" w:hAnsi="Arial"/>
          <w:sz w:val="16"/>
          <w:szCs w:val="16"/>
          <w:i w:val="1"/>
          <w:iCs w:val="1"/>
          <w:color w:val="auto"/>
        </w:rPr>
        <w:t xml:space="preserve">Election of Directors. </w:t>
      </w:r>
      <w:r>
        <w:rPr>
          <w:rFonts w:ascii="Arial" w:cs="Arial" w:eastAsia="Arial" w:hAnsi="Arial"/>
          <w:sz w:val="16"/>
          <w:szCs w:val="16"/>
          <w:color w:val="auto"/>
        </w:rPr>
        <w:t>Stockholders will be asked to elect the three Class I directors identified in this Proxy Statement, each to hold office for a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three years.</w:t>
      </w:r>
    </w:p>
    <w:p>
      <w:pPr>
        <w:spacing w:after="0" w:line="21" w:lineRule="exact"/>
        <w:rPr>
          <w:rFonts w:ascii="Times New Roman" w:cs="Times New Roman" w:eastAsia="Times New Roman" w:hAnsi="Times New Roman"/>
          <w:sz w:val="16"/>
          <w:szCs w:val="16"/>
          <w:b w:val="1"/>
          <w:bCs w:val="1"/>
          <w:color w:val="051972"/>
        </w:rPr>
      </w:pPr>
    </w:p>
    <w:p>
      <w:pPr>
        <w:ind w:left="600" w:hanging="218"/>
        <w:spacing w:after="0"/>
        <w:tabs>
          <w:tab w:leader="none" w:pos="600" w:val="left"/>
        </w:tabs>
        <w:numPr>
          <w:ilvl w:val="1"/>
          <w:numId w:val="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16"/>
          <w:szCs w:val="16"/>
          <w:b w:val="1"/>
          <w:bCs w:val="1"/>
          <w:color w:val="051972"/>
        </w:rPr>
        <w:t>FOR</w:t>
      </w:r>
      <w:r>
        <w:rPr>
          <w:rFonts w:ascii="Arial" w:cs="Arial" w:eastAsia="Arial" w:hAnsi="Arial"/>
          <w:sz w:val="16"/>
          <w:szCs w:val="16"/>
          <w:b w:val="1"/>
          <w:bCs w:val="1"/>
          <w:color w:val="auto"/>
        </w:rPr>
        <w:t xml:space="preserve"> the election of its three nominees for director named in this Proxy Statement.</w:t>
      </w:r>
    </w:p>
    <w:p>
      <w:pPr>
        <w:spacing w:after="0" w:line="112" w:lineRule="exact"/>
        <w:rPr>
          <w:rFonts w:ascii="Times New Roman" w:cs="Times New Roman" w:eastAsia="Times New Roman" w:hAnsi="Times New Roman"/>
          <w:sz w:val="16"/>
          <w:szCs w:val="16"/>
          <w:color w:val="auto"/>
        </w:rPr>
      </w:pPr>
    </w:p>
    <w:p>
      <w:pPr>
        <w:ind w:left="380" w:right="620" w:hanging="372"/>
        <w:spacing w:after="0" w:line="285" w:lineRule="auto"/>
        <w:tabs>
          <w:tab w:leader="none" w:pos="380" w:val="left"/>
        </w:tabs>
        <w:numPr>
          <w:ilvl w:val="0"/>
          <w:numId w:val="7"/>
        </w:numPr>
        <w:rPr>
          <w:rFonts w:ascii="Times New Roman" w:cs="Times New Roman" w:eastAsia="Times New Roman" w:hAnsi="Times New Roman"/>
          <w:sz w:val="16"/>
          <w:szCs w:val="16"/>
          <w:b w:val="1"/>
          <w:bCs w:val="1"/>
          <w:color w:val="051972"/>
        </w:rPr>
      </w:pPr>
      <w:r>
        <w:rPr>
          <w:rFonts w:ascii="Arial" w:cs="Arial" w:eastAsia="Arial" w:hAnsi="Arial"/>
          <w:sz w:val="16"/>
          <w:szCs w:val="16"/>
          <w:i w:val="1"/>
          <w:iCs w:val="1"/>
          <w:color w:val="auto"/>
        </w:rPr>
        <w:t xml:space="preserve">Advisory Vote to Approve the Compensation of our Named Executive Officers. </w:t>
      </w:r>
      <w:r>
        <w:rPr>
          <w:rFonts w:ascii="Arial" w:cs="Arial" w:eastAsia="Arial" w:hAnsi="Arial"/>
          <w:sz w:val="16"/>
          <w:szCs w:val="16"/>
          <w:color w:val="auto"/>
        </w:rPr>
        <w:t>We are asking you to approve a non-binding advisory resolution</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compensation of our Named Executive Officers as reported in this Proxy Statement.</w:t>
      </w:r>
    </w:p>
    <w:p>
      <w:pPr>
        <w:spacing w:after="0" w:line="34" w:lineRule="exact"/>
        <w:rPr>
          <w:rFonts w:ascii="Times New Roman" w:cs="Times New Roman" w:eastAsia="Times New Roman" w:hAnsi="Times New Roman"/>
          <w:sz w:val="16"/>
          <w:szCs w:val="16"/>
          <w:b w:val="1"/>
          <w:bCs w:val="1"/>
          <w:color w:val="051972"/>
        </w:rPr>
      </w:pPr>
    </w:p>
    <w:p>
      <w:pPr>
        <w:ind w:left="600" w:right="220" w:hanging="218"/>
        <w:spacing w:after="0" w:line="296" w:lineRule="auto"/>
        <w:tabs>
          <w:tab w:leader="none" w:pos="600" w:val="left"/>
        </w:tabs>
        <w:numPr>
          <w:ilvl w:val="1"/>
          <w:numId w:val="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16"/>
          <w:szCs w:val="16"/>
          <w:b w:val="1"/>
          <w:bCs w:val="1"/>
          <w:color w:val="051972"/>
        </w:rPr>
        <w:t>FOR</w:t>
      </w:r>
      <w:r>
        <w:rPr>
          <w:rFonts w:ascii="Arial" w:cs="Arial" w:eastAsia="Arial" w:hAnsi="Arial"/>
          <w:sz w:val="16"/>
          <w:szCs w:val="16"/>
          <w:b w:val="1"/>
          <w:bCs w:val="1"/>
          <w:color w:val="auto"/>
        </w:rPr>
        <w:t xml:space="preserve"> the non-binding advisory resolution approving the compensation of our Named Executive Officers.</w:t>
      </w:r>
    </w:p>
    <w:p>
      <w:pPr>
        <w:spacing w:after="0" w:line="4" w:lineRule="exact"/>
        <w:rPr>
          <w:rFonts w:ascii="Times New Roman" w:cs="Times New Roman" w:eastAsia="Times New Roman" w:hAnsi="Times New Roman"/>
          <w:sz w:val="16"/>
          <w:szCs w:val="16"/>
          <w:color w:val="auto"/>
        </w:rPr>
      </w:pPr>
    </w:p>
    <w:p>
      <w:pPr>
        <w:ind w:left="380" w:right="620" w:hanging="372"/>
        <w:spacing w:after="0" w:line="285" w:lineRule="auto"/>
        <w:tabs>
          <w:tab w:leader="none" w:pos="380" w:val="left"/>
        </w:tabs>
        <w:numPr>
          <w:ilvl w:val="0"/>
          <w:numId w:val="7"/>
        </w:numPr>
        <w:rPr>
          <w:rFonts w:ascii="Times New Roman" w:cs="Times New Roman" w:eastAsia="Times New Roman" w:hAnsi="Times New Roman"/>
          <w:sz w:val="16"/>
          <w:szCs w:val="16"/>
          <w:b w:val="1"/>
          <w:bCs w:val="1"/>
          <w:color w:val="051972"/>
        </w:rPr>
      </w:pPr>
      <w:r>
        <w:rPr>
          <w:rFonts w:ascii="Arial" w:cs="Arial" w:eastAsia="Arial" w:hAnsi="Arial"/>
          <w:sz w:val="16"/>
          <w:szCs w:val="16"/>
          <w:i w:val="1"/>
          <w:iCs w:val="1"/>
          <w:color w:val="auto"/>
        </w:rPr>
        <w:t xml:space="preserve">Advisory Vote on Stockholder Proposal Requesting Board Declassification. </w:t>
      </w:r>
      <w:r>
        <w:rPr>
          <w:rFonts w:ascii="Arial" w:cs="Arial" w:eastAsia="Arial" w:hAnsi="Arial"/>
          <w:sz w:val="16"/>
          <w:szCs w:val="16"/>
          <w:color w:val="auto"/>
        </w:rPr>
        <w:t>If properly presented at the annual meeting, you are being asked to</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 and vote on a non-binding advisory stockholder proposal requesting the declassification of our Board of Directors.</w:t>
      </w:r>
    </w:p>
    <w:p>
      <w:pPr>
        <w:spacing w:after="0" w:line="34" w:lineRule="exact"/>
        <w:rPr>
          <w:rFonts w:ascii="Times New Roman" w:cs="Times New Roman" w:eastAsia="Times New Roman" w:hAnsi="Times New Roman"/>
          <w:sz w:val="16"/>
          <w:szCs w:val="16"/>
          <w:b w:val="1"/>
          <w:bCs w:val="1"/>
          <w:color w:val="051972"/>
        </w:rPr>
      </w:pPr>
    </w:p>
    <w:p>
      <w:pPr>
        <w:ind w:left="600" w:hanging="218"/>
        <w:spacing w:after="0"/>
        <w:tabs>
          <w:tab w:leader="none" w:pos="600" w:val="left"/>
        </w:tabs>
        <w:numPr>
          <w:ilvl w:val="1"/>
          <w:numId w:val="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16"/>
          <w:szCs w:val="16"/>
          <w:b w:val="1"/>
          <w:bCs w:val="1"/>
          <w:color w:val="C6001E"/>
        </w:rPr>
        <w:t>AGAINST</w:t>
      </w:r>
      <w:r>
        <w:rPr>
          <w:rFonts w:ascii="Arial" w:cs="Arial" w:eastAsia="Arial" w:hAnsi="Arial"/>
          <w:sz w:val="16"/>
          <w:szCs w:val="16"/>
          <w:b w:val="1"/>
          <w:bCs w:val="1"/>
          <w:color w:val="auto"/>
        </w:rPr>
        <w:t xml:space="preserve"> the stockholder proposal.</w:t>
      </w:r>
    </w:p>
    <w:p>
      <w:pPr>
        <w:spacing w:after="0" w:line="112" w:lineRule="exact"/>
        <w:rPr>
          <w:rFonts w:ascii="Times New Roman" w:cs="Times New Roman" w:eastAsia="Times New Roman" w:hAnsi="Times New Roman"/>
          <w:sz w:val="16"/>
          <w:szCs w:val="16"/>
          <w:color w:val="auto"/>
        </w:rPr>
      </w:pPr>
    </w:p>
    <w:p>
      <w:pPr>
        <w:ind w:left="380" w:right="420" w:hanging="372"/>
        <w:spacing w:after="0" w:line="285" w:lineRule="auto"/>
        <w:tabs>
          <w:tab w:leader="none" w:pos="380" w:val="left"/>
        </w:tabs>
        <w:numPr>
          <w:ilvl w:val="0"/>
          <w:numId w:val="7"/>
        </w:numPr>
        <w:rPr>
          <w:rFonts w:ascii="Times New Roman" w:cs="Times New Roman" w:eastAsia="Times New Roman" w:hAnsi="Times New Roman"/>
          <w:sz w:val="16"/>
          <w:szCs w:val="16"/>
          <w:b w:val="1"/>
          <w:bCs w:val="1"/>
          <w:color w:val="051972"/>
        </w:rPr>
      </w:pPr>
      <w:r>
        <w:rPr>
          <w:rFonts w:ascii="Arial" w:cs="Arial" w:eastAsia="Arial" w:hAnsi="Arial"/>
          <w:sz w:val="16"/>
          <w:szCs w:val="16"/>
          <w:i w:val="1"/>
          <w:iCs w:val="1"/>
          <w:color w:val="auto"/>
        </w:rPr>
        <w:t xml:space="preserve">Approval of the Expected Appointment of Ernst &amp; Young LLP. </w:t>
      </w:r>
      <w:r>
        <w:rPr>
          <w:rFonts w:ascii="Arial" w:cs="Arial" w:eastAsia="Arial" w:hAnsi="Arial"/>
          <w:sz w:val="16"/>
          <w:szCs w:val="16"/>
          <w:color w:val="auto"/>
        </w:rPr>
        <w:t>We are asking you to approve the expected appointment by our Audit Committee of</w:t>
      </w:r>
      <w:r>
        <w:rPr>
          <w:rFonts w:ascii="Arial" w:cs="Arial" w:eastAsia="Arial" w:hAnsi="Arial"/>
          <w:sz w:val="16"/>
          <w:szCs w:val="16"/>
          <w:i w:val="1"/>
          <w:iCs w:val="1"/>
          <w:color w:val="auto"/>
        </w:rPr>
        <w:t xml:space="preserve"> </w:t>
      </w:r>
      <w:r>
        <w:rPr>
          <w:rFonts w:ascii="Arial" w:cs="Arial" w:eastAsia="Arial" w:hAnsi="Arial"/>
          <w:sz w:val="16"/>
          <w:szCs w:val="16"/>
          <w:color w:val="auto"/>
        </w:rPr>
        <w:t>Ernst &amp; Young LLP as the Company’s independent auditors for the fiscal year ending March 31, 2026.</w:t>
      </w:r>
    </w:p>
    <w:p>
      <w:pPr>
        <w:spacing w:after="0" w:line="21" w:lineRule="exact"/>
        <w:rPr>
          <w:rFonts w:ascii="Times New Roman" w:cs="Times New Roman" w:eastAsia="Times New Roman" w:hAnsi="Times New Roman"/>
          <w:sz w:val="16"/>
          <w:szCs w:val="16"/>
          <w:b w:val="1"/>
          <w:bCs w:val="1"/>
          <w:color w:val="051972"/>
        </w:rPr>
      </w:pPr>
    </w:p>
    <w:p>
      <w:pPr>
        <w:ind w:left="600" w:right="900" w:hanging="218"/>
        <w:spacing w:after="0" w:line="296" w:lineRule="auto"/>
        <w:tabs>
          <w:tab w:leader="none" w:pos="600" w:val="left"/>
        </w:tabs>
        <w:numPr>
          <w:ilvl w:val="1"/>
          <w:numId w:val="7"/>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16"/>
          <w:szCs w:val="16"/>
          <w:b w:val="1"/>
          <w:bCs w:val="1"/>
          <w:color w:val="051972"/>
        </w:rPr>
        <w:t>FOR</w:t>
      </w:r>
      <w:r>
        <w:rPr>
          <w:rFonts w:ascii="Arial" w:cs="Arial" w:eastAsia="Arial" w:hAnsi="Arial"/>
          <w:sz w:val="16"/>
          <w:szCs w:val="16"/>
          <w:b w:val="1"/>
          <w:bCs w:val="1"/>
          <w:color w:val="auto"/>
        </w:rPr>
        <w:t xml:space="preserve"> the approval of the expected appointment of Ernst &amp; Young LLP as the Company’s independent auditors for the fiscal year ending March 31, 2026.</w:t>
      </w:r>
    </w:p>
    <w:p>
      <w:pPr>
        <w:spacing w:after="0" w:line="17" w:lineRule="exact"/>
        <w:rPr>
          <w:rFonts w:ascii="Times New Roman" w:cs="Times New Roman" w:eastAsia="Times New Roman" w:hAnsi="Times New Roman"/>
          <w:sz w:val="16"/>
          <w:szCs w:val="16"/>
          <w:color w:val="auto"/>
        </w:rPr>
      </w:pPr>
    </w:p>
    <w:p>
      <w:pPr>
        <w:ind w:left="380" w:right="900" w:hanging="372"/>
        <w:spacing w:after="0" w:line="285" w:lineRule="auto"/>
        <w:tabs>
          <w:tab w:leader="none" w:pos="380" w:val="left"/>
        </w:tabs>
        <w:numPr>
          <w:ilvl w:val="0"/>
          <w:numId w:val="7"/>
        </w:numPr>
        <w:rPr>
          <w:rFonts w:ascii="Times New Roman" w:cs="Times New Roman" w:eastAsia="Times New Roman" w:hAnsi="Times New Roman"/>
          <w:sz w:val="16"/>
          <w:szCs w:val="16"/>
          <w:b w:val="1"/>
          <w:bCs w:val="1"/>
          <w:color w:val="051972"/>
        </w:rPr>
      </w:pPr>
      <w:r>
        <w:rPr>
          <w:rFonts w:ascii="Arial" w:cs="Arial" w:eastAsia="Arial" w:hAnsi="Arial"/>
          <w:sz w:val="16"/>
          <w:szCs w:val="16"/>
          <w:i w:val="1"/>
          <w:iCs w:val="1"/>
          <w:color w:val="auto"/>
        </w:rPr>
        <w:t xml:space="preserve">Other Business. </w:t>
      </w:r>
      <w:r>
        <w:rPr>
          <w:rFonts w:ascii="Arial" w:cs="Arial" w:eastAsia="Arial" w:hAnsi="Arial"/>
          <w:sz w:val="16"/>
          <w:szCs w:val="16"/>
          <w:color w:val="auto"/>
        </w:rPr>
        <w:t>In addition, you may be asked to vote upon such other matters, if any, as properly come before the annual meeting, or any</w:t>
      </w:r>
      <w:r>
        <w:rPr>
          <w:rFonts w:ascii="Arial" w:cs="Arial" w:eastAsia="Arial" w:hAnsi="Arial"/>
          <w:sz w:val="16"/>
          <w:szCs w:val="16"/>
          <w:i w:val="1"/>
          <w:iCs w:val="1"/>
          <w:color w:val="auto"/>
        </w:rPr>
        <w:t xml:space="preserve"> </w:t>
      </w:r>
      <w:r>
        <w:rPr>
          <w:rFonts w:ascii="Arial" w:cs="Arial" w:eastAsia="Arial" w:hAnsi="Arial"/>
          <w:sz w:val="16"/>
          <w:szCs w:val="16"/>
          <w:color w:val="auto"/>
        </w:rPr>
        <w:t>adjournment thereof.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does not know of any matters to be acted upon at the meeting other than the matters set forth in items (1) through (4)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556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56895"/>
                    </a:xfrm>
                    <a:prstGeom prst="rect">
                      <a:avLst/>
                    </a:prstGeom>
                    <a:noFill/>
                  </pic:spPr>
                </pic:pic>
              </a:graphicData>
            </a:graphic>
          </wp:anchor>
        </w:drawing>
      </w:r>
    </w:p>
    <w:p>
      <w:pPr>
        <w:spacing w:after="0" w:line="142" w:lineRule="exact"/>
        <w:rPr>
          <w:sz w:val="20"/>
          <w:szCs w:val="20"/>
          <w:color w:val="auto"/>
        </w:rPr>
      </w:pPr>
    </w:p>
    <w:p>
      <w:pPr>
        <w:ind w:left="1960" w:right="1980" w:firstLine="260"/>
        <w:spacing w:after="0" w:line="259" w:lineRule="auto"/>
        <w:rPr>
          <w:sz w:val="20"/>
          <w:szCs w:val="20"/>
          <w:color w:val="auto"/>
        </w:rPr>
      </w:pPr>
      <w:r>
        <w:rPr>
          <w:rFonts w:ascii="Arial" w:cs="Arial" w:eastAsia="Arial" w:hAnsi="Arial"/>
          <w:sz w:val="17"/>
          <w:szCs w:val="17"/>
          <w:b w:val="1"/>
          <w:bCs w:val="1"/>
          <w:color w:val="auto"/>
        </w:rPr>
        <w:t>IMPORTANT NOTICE REGARDING THE AVAILABILITY OF PROXY MATERIALS FOR THE ANNUAL MEETING OF STOCKHOLDERS TO BE HELD ON AUGUST 4, 2025.</w:t>
      </w:r>
    </w:p>
    <w:p>
      <w:pPr>
        <w:jc w:val="center"/>
        <w:ind w:right="60"/>
        <w:spacing w:after="0" w:line="236" w:lineRule="auto"/>
        <w:rPr>
          <w:sz w:val="20"/>
          <w:szCs w:val="20"/>
          <w:color w:val="auto"/>
        </w:rPr>
      </w:pPr>
      <w:r>
        <w:rPr>
          <w:rFonts w:ascii="Arial" w:cs="Arial" w:eastAsia="Arial" w:hAnsi="Arial"/>
          <w:sz w:val="18"/>
          <w:szCs w:val="18"/>
          <w:b w:val="1"/>
          <w:bCs w:val="1"/>
          <w:color w:val="auto"/>
        </w:rPr>
        <w:t>Our Proxy Statement and 2025 Annual Report to stockholders are available</w:t>
      </w:r>
    </w:p>
    <w:p>
      <w:pPr>
        <w:jc w:val="center"/>
        <w:spacing w:after="0"/>
        <w:rPr>
          <w:sz w:val="20"/>
          <w:szCs w:val="20"/>
          <w:color w:val="auto"/>
        </w:rPr>
      </w:pPr>
      <w:r>
        <w:rPr>
          <w:rFonts w:ascii="Arial" w:cs="Arial" w:eastAsia="Arial" w:hAnsi="Arial"/>
          <w:sz w:val="18"/>
          <w:szCs w:val="18"/>
          <w:b w:val="1"/>
          <w:bCs w:val="1"/>
          <w:color w:val="auto"/>
        </w:rPr>
        <w:t>to you at www.proxyvote.com.</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2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2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1</w:t>
            </w:r>
          </w:p>
        </w:tc>
      </w:tr>
      <w:tr>
        <w:trPr>
          <w:trHeight w:val="844"/>
        </w:trPr>
        <w:tc>
          <w:tcPr>
            <w:tcW w:w="76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 w:name="page7"/>
    <w:bookmarkEnd w:id="6"/>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525780</wp:posOffset>
            </wp:positionV>
            <wp:extent cx="149161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PROXY STATEMENT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About the Meeting</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Who Can Attend</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Attendance at the meeting is limited to (i) holders of the Company’s Common Stock, par value $0.01 per share, which we refer to as our “Common Stock,” as of the close of business on June 6, 2025, which we refer to as the “record date,” (ii) proxies for and other representatives of the holders of our Common Stock as of the record date, including their legal counsel and financial advisors, whose names have been submitted to the Company by 5:00 p.m., local time, on August 3, 2025 and (iii) directors and officers of the Company and its subsidiaries and other representatives of the Company who are invited to attend the meeting by the Chairman.</w:t>
      </w:r>
    </w:p>
    <w:p>
      <w:pPr>
        <w:spacing w:after="0" w:line="99" w:lineRule="exact"/>
        <w:rPr>
          <w:sz w:val="20"/>
          <w:szCs w:val="20"/>
          <w:color w:val="auto"/>
        </w:rPr>
      </w:pPr>
    </w:p>
    <w:p>
      <w:pPr>
        <w:jc w:val="both"/>
        <w:ind w:right="340"/>
        <w:spacing w:after="0" w:line="266" w:lineRule="auto"/>
        <w:rPr>
          <w:sz w:val="20"/>
          <w:szCs w:val="20"/>
          <w:color w:val="auto"/>
        </w:rPr>
      </w:pPr>
      <w:r>
        <w:rPr>
          <w:rFonts w:ascii="Arial" w:cs="Arial" w:eastAsia="Arial" w:hAnsi="Arial"/>
          <w:sz w:val="16"/>
          <w:szCs w:val="16"/>
          <w:color w:val="auto"/>
        </w:rPr>
        <w:t>All persons attending the Annual Meeting, including holders of our Common Stock, must register at the reception desk in advance of the meeting and be escorted to the meeting room. The reception desk will be open at 7:00 a.m., local time, on the date of the meeting. An agenda for the meeting, which we refer to as the “Agenda,” will be distributed at the reception desk.</w:t>
      </w:r>
    </w:p>
    <w:p>
      <w:pPr>
        <w:spacing w:after="0" w:line="10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For security reasons, you will need a current government-issued picture identification (such as a driver’s license or a passport) to enter the meeting. The Company may implement additional security procedures to ensure the safety of meeting attendees and/or Company property, including prohibiting attendees from taking photographs or videos.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Who Can Vote</w:t>
      </w:r>
    </w:p>
    <w:p>
      <w:pPr>
        <w:spacing w:after="0" w:line="142"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6, 2025. In this Proxy Statement, we refer to this date as the record date. As of the record date, there were 32,630,879 shares of our Common Stock issued and outstanding and entitled to vote at the meeting. Our stock transfer books will not be closed in connection with the meeting. Our Common Stock is listed on the New York Stock Exchange (“NYSE”) under the symbol EXP.</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How Proxies Will be Voted</w:t>
      </w:r>
    </w:p>
    <w:p>
      <w:pPr>
        <w:spacing w:after="0" w:line="156"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Shares represented by valid proxies will be voted at the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 in the accompanying form of proxy to vote the proxies held by them in accordance with their best judgment in such matters.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Quorum and Required Vote</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Before any business can be transacted at our annual meeting, a quorum must be present. The presence at the meeting, in person or represented by proxy, of the holders of a majority of the voting power of the shares of our capital stock entitled to vote on any matter shall constitute a quorum for purposes of such matter. Abstentions will be included in determining the presence of a quorum at the meeting. Broker non-votes will be included in determining the presence of a quorum at the meeting in relation to matters that are considered “routine matters.” The only "routine matter" on which a broker may cast a vote is the approval of the expected appointment of Ernst &amp; Young LLP as our independent auditors for the fiscal year ending March 31, 2026.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2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2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2</w:t>
            </w:r>
          </w:p>
        </w:tc>
      </w:tr>
      <w:tr>
        <w:trPr>
          <w:trHeight w:val="844"/>
        </w:trPr>
        <w:tc>
          <w:tcPr>
            <w:tcW w:w="76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 w:name="page8"/>
    <w:bookmarkEnd w:id="7"/>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525780</wp:posOffset>
            </wp:positionV>
            <wp:extent cx="149161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PROXY STATEMENT</w:t>
      </w:r>
    </w:p>
    <w:p>
      <w:pPr>
        <w:spacing w:after="0" w:line="29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holders of Common Stock will be entitled to one vote per share on each matter that may properly be brought before the meeting or any adjournment thereof. There is no cumulative voting. A summary of the required vote for each proposal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560" w:type="dxa"/>
            <w:vAlign w:val="bottom"/>
          </w:tcPr>
          <w:p>
            <w:pPr>
              <w:jc w:val="center"/>
              <w:ind w:left="162"/>
              <w:spacing w:after="0"/>
              <w:rPr>
                <w:sz w:val="20"/>
                <w:szCs w:val="20"/>
                <w:color w:val="auto"/>
              </w:rPr>
            </w:pPr>
            <w:r>
              <w:rPr>
                <w:rFonts w:ascii="Arial" w:cs="Arial" w:eastAsia="Arial" w:hAnsi="Arial"/>
                <w:sz w:val="14"/>
                <w:szCs w:val="14"/>
                <w:b w:val="1"/>
                <w:bCs w:val="1"/>
                <w:color w:val="051972"/>
              </w:rPr>
              <w:t>Effect of Broker</w:t>
            </w:r>
          </w:p>
        </w:tc>
      </w:tr>
      <w:tr>
        <w:trPr>
          <w:trHeight w:val="229"/>
        </w:trPr>
        <w:tc>
          <w:tcPr>
            <w:tcW w:w="2640" w:type="dxa"/>
            <w:vAlign w:val="bottom"/>
            <w:tcBorders>
              <w:bottom w:val="single" w:sz="8" w:color="051972"/>
            </w:tcBorders>
          </w:tcPr>
          <w:p>
            <w:pPr>
              <w:ind w:left="1240"/>
              <w:spacing w:after="0"/>
              <w:rPr>
                <w:sz w:val="20"/>
                <w:szCs w:val="20"/>
                <w:color w:val="auto"/>
              </w:rPr>
            </w:pPr>
            <w:r>
              <w:rPr>
                <w:rFonts w:ascii="Arial" w:cs="Arial" w:eastAsia="Arial" w:hAnsi="Arial"/>
                <w:sz w:val="14"/>
                <w:szCs w:val="14"/>
                <w:b w:val="1"/>
                <w:bCs w:val="1"/>
                <w:color w:val="051972"/>
              </w:rPr>
              <w:t>Proposal</w:t>
            </w:r>
          </w:p>
        </w:tc>
        <w:tc>
          <w:tcPr>
            <w:tcW w:w="3740" w:type="dxa"/>
            <w:vAlign w:val="bottom"/>
            <w:tcBorders>
              <w:bottom w:val="single" w:sz="8" w:color="051972"/>
            </w:tcBorders>
          </w:tcPr>
          <w:p>
            <w:pPr>
              <w:ind w:left="1680"/>
              <w:spacing w:after="0"/>
              <w:rPr>
                <w:sz w:val="20"/>
                <w:szCs w:val="20"/>
                <w:color w:val="auto"/>
              </w:rPr>
            </w:pPr>
            <w:r>
              <w:rPr>
                <w:rFonts w:ascii="Arial" w:cs="Arial" w:eastAsia="Arial" w:hAnsi="Arial"/>
                <w:sz w:val="14"/>
                <w:szCs w:val="14"/>
                <w:b w:val="1"/>
                <w:bCs w:val="1"/>
                <w:color w:val="051972"/>
              </w:rPr>
              <w:t>Required Vote</w:t>
            </w:r>
          </w:p>
        </w:tc>
        <w:tc>
          <w:tcPr>
            <w:tcW w:w="2300" w:type="dxa"/>
            <w:vAlign w:val="bottom"/>
            <w:tcBorders>
              <w:bottom w:val="single" w:sz="8" w:color="051972"/>
            </w:tcBorders>
          </w:tcPr>
          <w:p>
            <w:pPr>
              <w:ind w:left="540"/>
              <w:spacing w:after="0"/>
              <w:rPr>
                <w:sz w:val="20"/>
                <w:szCs w:val="20"/>
                <w:color w:val="auto"/>
              </w:rPr>
            </w:pPr>
            <w:r>
              <w:rPr>
                <w:rFonts w:ascii="Arial" w:cs="Arial" w:eastAsia="Arial" w:hAnsi="Arial"/>
                <w:sz w:val="14"/>
                <w:szCs w:val="14"/>
                <w:b w:val="1"/>
                <w:bCs w:val="1"/>
                <w:color w:val="051972"/>
              </w:rPr>
              <w:t>Effect of Abstentions</w:t>
            </w:r>
          </w:p>
        </w:tc>
        <w:tc>
          <w:tcPr>
            <w:tcW w:w="2560" w:type="dxa"/>
            <w:vAlign w:val="bottom"/>
            <w:tcBorders>
              <w:bottom w:val="single" w:sz="8" w:color="051972"/>
            </w:tcBorders>
          </w:tcPr>
          <w:p>
            <w:pPr>
              <w:jc w:val="center"/>
              <w:ind w:left="162"/>
              <w:spacing w:after="0"/>
              <w:rPr>
                <w:sz w:val="20"/>
                <w:szCs w:val="20"/>
                <w:color w:val="auto"/>
              </w:rPr>
            </w:pPr>
            <w:r>
              <w:rPr>
                <w:rFonts w:ascii="Arial" w:cs="Arial" w:eastAsia="Arial" w:hAnsi="Arial"/>
                <w:sz w:val="14"/>
                <w:szCs w:val="14"/>
                <w:b w:val="1"/>
                <w:bCs w:val="1"/>
                <w:color w:val="051972"/>
                <w:w w:val="98"/>
              </w:rPr>
              <w:t>Non-Votes</w:t>
            </w:r>
            <w:r>
              <w:rPr>
                <w:rFonts w:ascii="Arial" w:cs="Arial" w:eastAsia="Arial" w:hAnsi="Arial"/>
                <w:sz w:val="19"/>
                <w:szCs w:val="19"/>
                <w:b w:val="1"/>
                <w:bCs w:val="1"/>
                <w:color w:val="051972"/>
                <w:w w:val="98"/>
                <w:vertAlign w:val="superscript"/>
              </w:rPr>
              <w:t>(1)</w:t>
            </w:r>
          </w:p>
        </w:tc>
      </w:tr>
      <w:tr>
        <w:trPr>
          <w:trHeight w:val="204"/>
        </w:trPr>
        <w:tc>
          <w:tcPr>
            <w:tcW w:w="2640" w:type="dxa"/>
            <w:vAlign w:val="bottom"/>
            <w:shd w:val="clear" w:color="auto" w:fill="E7E7E8"/>
          </w:tcPr>
          <w:p>
            <w:pPr>
              <w:ind w:left="80"/>
              <w:spacing w:after="0" w:line="204" w:lineRule="exact"/>
              <w:rPr>
                <w:sz w:val="20"/>
                <w:szCs w:val="20"/>
                <w:color w:val="auto"/>
              </w:rPr>
            </w:pPr>
            <w:r>
              <w:rPr>
                <w:rFonts w:ascii="Arial" w:cs="Arial" w:eastAsia="Arial" w:hAnsi="Arial"/>
                <w:sz w:val="18"/>
                <w:szCs w:val="18"/>
                <w:color w:val="auto"/>
              </w:rPr>
              <w:t>(1) Election of Directors</w:t>
            </w:r>
          </w:p>
        </w:tc>
        <w:tc>
          <w:tcPr>
            <w:tcW w:w="3740" w:type="dxa"/>
            <w:vAlign w:val="bottom"/>
            <w:shd w:val="clear" w:color="auto" w:fill="E7E7E8"/>
          </w:tcPr>
          <w:p>
            <w:pPr>
              <w:ind w:left="680"/>
              <w:spacing w:after="0" w:line="204" w:lineRule="exact"/>
              <w:rPr>
                <w:sz w:val="20"/>
                <w:szCs w:val="20"/>
                <w:color w:val="auto"/>
              </w:rPr>
            </w:pPr>
            <w:r>
              <w:rPr>
                <w:rFonts w:ascii="Arial" w:cs="Arial" w:eastAsia="Arial" w:hAnsi="Arial"/>
                <w:sz w:val="18"/>
                <w:szCs w:val="18"/>
                <w:color w:val="auto"/>
              </w:rPr>
              <w:t>Majority of votes cast by the shares</w:t>
            </w:r>
          </w:p>
        </w:tc>
        <w:tc>
          <w:tcPr>
            <w:tcW w:w="2300" w:type="dxa"/>
            <w:vAlign w:val="bottom"/>
            <w:shd w:val="clear" w:color="auto" w:fill="E7E7E8"/>
          </w:tcPr>
          <w:p>
            <w:pPr>
              <w:ind w:left="220"/>
              <w:spacing w:after="0" w:line="204" w:lineRule="exact"/>
              <w:rPr>
                <w:sz w:val="20"/>
                <w:szCs w:val="20"/>
                <w:color w:val="auto"/>
              </w:rPr>
            </w:pPr>
            <w:r>
              <w:rPr>
                <w:rFonts w:ascii="Arial" w:cs="Arial" w:eastAsia="Arial" w:hAnsi="Arial"/>
                <w:sz w:val="18"/>
                <w:szCs w:val="18"/>
                <w:color w:val="auto"/>
              </w:rPr>
              <w:t>No effect</w:t>
            </w:r>
          </w:p>
        </w:tc>
        <w:tc>
          <w:tcPr>
            <w:tcW w:w="2560" w:type="dxa"/>
            <w:vAlign w:val="bottom"/>
            <w:shd w:val="clear" w:color="auto" w:fill="E7E7E8"/>
          </w:tcPr>
          <w:p>
            <w:pPr>
              <w:ind w:left="320"/>
              <w:spacing w:after="0" w:line="204" w:lineRule="exact"/>
              <w:rPr>
                <w:sz w:val="20"/>
                <w:szCs w:val="20"/>
                <w:color w:val="auto"/>
              </w:rPr>
            </w:pPr>
            <w:r>
              <w:rPr>
                <w:rFonts w:ascii="Arial" w:cs="Arial" w:eastAsia="Arial" w:hAnsi="Arial"/>
                <w:sz w:val="18"/>
                <w:szCs w:val="18"/>
                <w:color w:val="auto"/>
              </w:rPr>
              <w:t>No effect</w:t>
            </w:r>
          </w:p>
        </w:tc>
      </w:tr>
      <w:tr>
        <w:trPr>
          <w:trHeight w:val="203"/>
        </w:trPr>
        <w:tc>
          <w:tcPr>
            <w:tcW w:w="2640" w:type="dxa"/>
            <w:vAlign w:val="bottom"/>
            <w:shd w:val="clear" w:color="auto" w:fill="E7E7E8"/>
          </w:tcPr>
          <w:p>
            <w:pPr>
              <w:spacing w:after="0"/>
              <w:rPr>
                <w:sz w:val="17"/>
                <w:szCs w:val="17"/>
                <w:color w:val="auto"/>
              </w:rPr>
            </w:pPr>
          </w:p>
        </w:tc>
        <w:tc>
          <w:tcPr>
            <w:tcW w:w="3740" w:type="dxa"/>
            <w:vAlign w:val="bottom"/>
            <w:shd w:val="clear" w:color="auto" w:fill="E7E7E8"/>
          </w:tcPr>
          <w:p>
            <w:pPr>
              <w:ind w:left="680"/>
              <w:spacing w:after="0" w:line="202" w:lineRule="exact"/>
              <w:rPr>
                <w:sz w:val="20"/>
                <w:szCs w:val="20"/>
                <w:color w:val="auto"/>
              </w:rPr>
            </w:pPr>
            <w:r>
              <w:rPr>
                <w:rFonts w:ascii="Arial" w:cs="Arial" w:eastAsia="Arial" w:hAnsi="Arial"/>
                <w:sz w:val="18"/>
                <w:szCs w:val="18"/>
                <w:color w:val="auto"/>
              </w:rPr>
              <w:t>present in person or represented by</w:t>
            </w:r>
          </w:p>
        </w:tc>
        <w:tc>
          <w:tcPr>
            <w:tcW w:w="2300" w:type="dxa"/>
            <w:vAlign w:val="bottom"/>
            <w:shd w:val="clear" w:color="auto" w:fill="E7E7E8"/>
          </w:tcPr>
          <w:p>
            <w:pPr>
              <w:spacing w:after="0"/>
              <w:rPr>
                <w:sz w:val="17"/>
                <w:szCs w:val="17"/>
                <w:color w:val="auto"/>
              </w:rPr>
            </w:pPr>
          </w:p>
        </w:tc>
        <w:tc>
          <w:tcPr>
            <w:tcW w:w="2560" w:type="dxa"/>
            <w:vAlign w:val="bottom"/>
            <w:shd w:val="clear" w:color="auto" w:fill="E7E7E8"/>
          </w:tcPr>
          <w:p>
            <w:pPr>
              <w:spacing w:after="0"/>
              <w:rPr>
                <w:sz w:val="17"/>
                <w:szCs w:val="17"/>
                <w:color w:val="auto"/>
              </w:rPr>
            </w:pPr>
          </w:p>
        </w:tc>
      </w:tr>
      <w:tr>
        <w:trPr>
          <w:trHeight w:val="203"/>
        </w:trPr>
        <w:tc>
          <w:tcPr>
            <w:tcW w:w="2640" w:type="dxa"/>
            <w:vAlign w:val="bottom"/>
            <w:shd w:val="clear" w:color="auto" w:fill="E7E7E8"/>
          </w:tcPr>
          <w:p>
            <w:pPr>
              <w:spacing w:after="0"/>
              <w:rPr>
                <w:sz w:val="17"/>
                <w:szCs w:val="17"/>
                <w:color w:val="auto"/>
              </w:rPr>
            </w:pPr>
          </w:p>
        </w:tc>
        <w:tc>
          <w:tcPr>
            <w:tcW w:w="3740" w:type="dxa"/>
            <w:vAlign w:val="bottom"/>
            <w:shd w:val="clear" w:color="auto" w:fill="E7E7E8"/>
          </w:tcPr>
          <w:p>
            <w:pPr>
              <w:ind w:left="680"/>
              <w:spacing w:after="0" w:line="202" w:lineRule="exact"/>
              <w:rPr>
                <w:sz w:val="20"/>
                <w:szCs w:val="20"/>
                <w:color w:val="auto"/>
              </w:rPr>
            </w:pPr>
            <w:r>
              <w:rPr>
                <w:rFonts w:ascii="Arial" w:cs="Arial" w:eastAsia="Arial" w:hAnsi="Arial"/>
                <w:sz w:val="18"/>
                <w:szCs w:val="18"/>
                <w:color w:val="auto"/>
              </w:rPr>
              <w:t>proxy at the meeting and entitled to</w:t>
            </w:r>
          </w:p>
        </w:tc>
        <w:tc>
          <w:tcPr>
            <w:tcW w:w="2300" w:type="dxa"/>
            <w:vAlign w:val="bottom"/>
            <w:shd w:val="clear" w:color="auto" w:fill="E7E7E8"/>
          </w:tcPr>
          <w:p>
            <w:pPr>
              <w:spacing w:after="0"/>
              <w:rPr>
                <w:sz w:val="17"/>
                <w:szCs w:val="17"/>
                <w:color w:val="auto"/>
              </w:rPr>
            </w:pPr>
          </w:p>
        </w:tc>
        <w:tc>
          <w:tcPr>
            <w:tcW w:w="2560" w:type="dxa"/>
            <w:vAlign w:val="bottom"/>
            <w:shd w:val="clear" w:color="auto" w:fill="E7E7E8"/>
          </w:tcPr>
          <w:p>
            <w:pPr>
              <w:spacing w:after="0"/>
              <w:rPr>
                <w:sz w:val="17"/>
                <w:szCs w:val="17"/>
                <w:color w:val="auto"/>
              </w:rPr>
            </w:pPr>
          </w:p>
        </w:tc>
      </w:tr>
      <w:tr>
        <w:trPr>
          <w:trHeight w:val="203"/>
        </w:trPr>
        <w:tc>
          <w:tcPr>
            <w:tcW w:w="2640" w:type="dxa"/>
            <w:vAlign w:val="bottom"/>
            <w:shd w:val="clear" w:color="auto" w:fill="E7E7E8"/>
          </w:tcPr>
          <w:p>
            <w:pPr>
              <w:spacing w:after="0"/>
              <w:rPr>
                <w:sz w:val="17"/>
                <w:szCs w:val="17"/>
                <w:color w:val="auto"/>
              </w:rPr>
            </w:pPr>
          </w:p>
        </w:tc>
        <w:tc>
          <w:tcPr>
            <w:tcW w:w="3740" w:type="dxa"/>
            <w:vAlign w:val="bottom"/>
            <w:shd w:val="clear" w:color="auto" w:fill="E7E7E8"/>
          </w:tcPr>
          <w:p>
            <w:pPr>
              <w:ind w:left="680"/>
              <w:spacing w:after="0" w:line="202" w:lineRule="exact"/>
              <w:rPr>
                <w:sz w:val="20"/>
                <w:szCs w:val="20"/>
                <w:color w:val="auto"/>
              </w:rPr>
            </w:pPr>
            <w:r>
              <w:rPr>
                <w:rFonts w:ascii="Arial" w:cs="Arial" w:eastAsia="Arial" w:hAnsi="Arial"/>
                <w:sz w:val="18"/>
                <w:szCs w:val="18"/>
                <w:color w:val="auto"/>
              </w:rPr>
              <w:t>vote on the subject matter (the</w:t>
            </w:r>
          </w:p>
        </w:tc>
        <w:tc>
          <w:tcPr>
            <w:tcW w:w="2300" w:type="dxa"/>
            <w:vAlign w:val="bottom"/>
            <w:shd w:val="clear" w:color="auto" w:fill="E7E7E8"/>
          </w:tcPr>
          <w:p>
            <w:pPr>
              <w:spacing w:after="0"/>
              <w:rPr>
                <w:sz w:val="17"/>
                <w:szCs w:val="17"/>
                <w:color w:val="auto"/>
              </w:rPr>
            </w:pPr>
          </w:p>
        </w:tc>
        <w:tc>
          <w:tcPr>
            <w:tcW w:w="2560" w:type="dxa"/>
            <w:vAlign w:val="bottom"/>
            <w:shd w:val="clear" w:color="auto" w:fill="E7E7E8"/>
          </w:tcPr>
          <w:p>
            <w:pPr>
              <w:spacing w:after="0"/>
              <w:rPr>
                <w:sz w:val="17"/>
                <w:szCs w:val="17"/>
                <w:color w:val="auto"/>
              </w:rPr>
            </w:pPr>
          </w:p>
        </w:tc>
      </w:tr>
      <w:tr>
        <w:trPr>
          <w:trHeight w:val="203"/>
        </w:trPr>
        <w:tc>
          <w:tcPr>
            <w:tcW w:w="2640" w:type="dxa"/>
            <w:vAlign w:val="bottom"/>
            <w:shd w:val="clear" w:color="auto" w:fill="E7E7E8"/>
          </w:tcPr>
          <w:p>
            <w:pPr>
              <w:spacing w:after="0"/>
              <w:rPr>
                <w:sz w:val="17"/>
                <w:szCs w:val="17"/>
                <w:color w:val="auto"/>
              </w:rPr>
            </w:pPr>
          </w:p>
        </w:tc>
        <w:tc>
          <w:tcPr>
            <w:tcW w:w="3740" w:type="dxa"/>
            <w:vAlign w:val="bottom"/>
            <w:shd w:val="clear" w:color="auto" w:fill="E7E7E8"/>
          </w:tcPr>
          <w:p>
            <w:pPr>
              <w:ind w:left="680"/>
              <w:spacing w:after="0" w:line="202" w:lineRule="exact"/>
              <w:rPr>
                <w:sz w:val="20"/>
                <w:szCs w:val="20"/>
                <w:color w:val="auto"/>
              </w:rPr>
            </w:pPr>
            <w:r>
              <w:rPr>
                <w:rFonts w:ascii="Arial" w:cs="Arial" w:eastAsia="Arial" w:hAnsi="Arial"/>
                <w:sz w:val="18"/>
                <w:szCs w:val="18"/>
                <w:color w:val="auto"/>
              </w:rPr>
              <w:t>shares voted "for" a nominee must</w:t>
            </w:r>
          </w:p>
        </w:tc>
        <w:tc>
          <w:tcPr>
            <w:tcW w:w="2300" w:type="dxa"/>
            <w:vAlign w:val="bottom"/>
            <w:shd w:val="clear" w:color="auto" w:fill="E7E7E8"/>
          </w:tcPr>
          <w:p>
            <w:pPr>
              <w:spacing w:after="0"/>
              <w:rPr>
                <w:sz w:val="17"/>
                <w:szCs w:val="17"/>
                <w:color w:val="auto"/>
              </w:rPr>
            </w:pPr>
          </w:p>
        </w:tc>
        <w:tc>
          <w:tcPr>
            <w:tcW w:w="2560" w:type="dxa"/>
            <w:vAlign w:val="bottom"/>
            <w:shd w:val="clear" w:color="auto" w:fill="E7E7E8"/>
          </w:tcPr>
          <w:p>
            <w:pPr>
              <w:spacing w:after="0"/>
              <w:rPr>
                <w:sz w:val="17"/>
                <w:szCs w:val="17"/>
                <w:color w:val="auto"/>
              </w:rPr>
            </w:pPr>
          </w:p>
        </w:tc>
      </w:tr>
      <w:tr>
        <w:trPr>
          <w:trHeight w:val="203"/>
        </w:trPr>
        <w:tc>
          <w:tcPr>
            <w:tcW w:w="2640" w:type="dxa"/>
            <w:vAlign w:val="bottom"/>
            <w:shd w:val="clear" w:color="auto" w:fill="E7E7E8"/>
          </w:tcPr>
          <w:p>
            <w:pPr>
              <w:spacing w:after="0"/>
              <w:rPr>
                <w:sz w:val="17"/>
                <w:szCs w:val="17"/>
                <w:color w:val="auto"/>
              </w:rPr>
            </w:pPr>
          </w:p>
        </w:tc>
        <w:tc>
          <w:tcPr>
            <w:tcW w:w="3740" w:type="dxa"/>
            <w:vAlign w:val="bottom"/>
            <w:shd w:val="clear" w:color="auto" w:fill="E7E7E8"/>
          </w:tcPr>
          <w:p>
            <w:pPr>
              <w:ind w:left="680"/>
              <w:spacing w:after="0" w:line="202" w:lineRule="exact"/>
              <w:rPr>
                <w:sz w:val="20"/>
                <w:szCs w:val="20"/>
                <w:color w:val="auto"/>
              </w:rPr>
            </w:pPr>
            <w:r>
              <w:rPr>
                <w:rFonts w:ascii="Arial" w:cs="Arial" w:eastAsia="Arial" w:hAnsi="Arial"/>
                <w:sz w:val="18"/>
                <w:szCs w:val="18"/>
                <w:color w:val="auto"/>
              </w:rPr>
              <w:t>exceed the number voted "against"</w:t>
            </w:r>
          </w:p>
        </w:tc>
        <w:tc>
          <w:tcPr>
            <w:tcW w:w="2300" w:type="dxa"/>
            <w:vAlign w:val="bottom"/>
            <w:shd w:val="clear" w:color="auto" w:fill="E7E7E8"/>
          </w:tcPr>
          <w:p>
            <w:pPr>
              <w:spacing w:after="0"/>
              <w:rPr>
                <w:sz w:val="17"/>
                <w:szCs w:val="17"/>
                <w:color w:val="auto"/>
              </w:rPr>
            </w:pPr>
          </w:p>
        </w:tc>
        <w:tc>
          <w:tcPr>
            <w:tcW w:w="2560" w:type="dxa"/>
            <w:vAlign w:val="bottom"/>
            <w:shd w:val="clear" w:color="auto" w:fill="E7E7E8"/>
          </w:tcPr>
          <w:p>
            <w:pPr>
              <w:spacing w:after="0"/>
              <w:rPr>
                <w:sz w:val="17"/>
                <w:szCs w:val="17"/>
                <w:color w:val="auto"/>
              </w:rPr>
            </w:pPr>
          </w:p>
        </w:tc>
      </w:tr>
      <w:tr>
        <w:trPr>
          <w:trHeight w:val="239"/>
        </w:trPr>
        <w:tc>
          <w:tcPr>
            <w:tcW w:w="2640" w:type="dxa"/>
            <w:vAlign w:val="bottom"/>
            <w:shd w:val="clear" w:color="auto" w:fill="E7E7E8"/>
          </w:tcPr>
          <w:p>
            <w:pPr>
              <w:spacing w:after="0"/>
              <w:rPr>
                <w:sz w:val="20"/>
                <w:szCs w:val="20"/>
                <w:color w:val="auto"/>
              </w:rPr>
            </w:pPr>
          </w:p>
        </w:tc>
        <w:tc>
          <w:tcPr>
            <w:tcW w:w="3740" w:type="dxa"/>
            <w:vAlign w:val="bottom"/>
            <w:shd w:val="clear" w:color="auto" w:fill="E7E7E8"/>
          </w:tcPr>
          <w:p>
            <w:pPr>
              <w:ind w:left="680"/>
              <w:spacing w:after="0"/>
              <w:rPr>
                <w:sz w:val="20"/>
                <w:szCs w:val="20"/>
                <w:color w:val="auto"/>
              </w:rPr>
            </w:pPr>
            <w:r>
              <w:rPr>
                <w:rFonts w:ascii="Arial" w:cs="Arial" w:eastAsia="Arial" w:hAnsi="Arial"/>
                <w:sz w:val="18"/>
                <w:szCs w:val="18"/>
                <w:color w:val="auto"/>
              </w:rPr>
              <w:t>that nominee)</w:t>
            </w:r>
          </w:p>
        </w:tc>
        <w:tc>
          <w:tcPr>
            <w:tcW w:w="2300" w:type="dxa"/>
            <w:vAlign w:val="bottom"/>
            <w:shd w:val="clear" w:color="auto" w:fill="E7E7E8"/>
          </w:tcPr>
          <w:p>
            <w:pPr>
              <w:spacing w:after="0"/>
              <w:rPr>
                <w:sz w:val="20"/>
                <w:szCs w:val="20"/>
                <w:color w:val="auto"/>
              </w:rPr>
            </w:pPr>
          </w:p>
        </w:tc>
        <w:tc>
          <w:tcPr>
            <w:tcW w:w="2560" w:type="dxa"/>
            <w:vAlign w:val="bottom"/>
            <w:shd w:val="clear" w:color="auto" w:fill="E7E7E8"/>
          </w:tcPr>
          <w:p>
            <w:pPr>
              <w:spacing w:after="0"/>
              <w:rPr>
                <w:sz w:val="20"/>
                <w:szCs w:val="20"/>
                <w:color w:val="auto"/>
              </w:rPr>
            </w:pPr>
          </w:p>
        </w:tc>
      </w:tr>
      <w:tr>
        <w:trPr>
          <w:trHeight w:val="23"/>
        </w:trPr>
        <w:tc>
          <w:tcPr>
            <w:tcW w:w="2640" w:type="dxa"/>
            <w:vAlign w:val="bottom"/>
            <w:shd w:val="clear" w:color="auto" w:fill="E7E7E8"/>
          </w:tcPr>
          <w:p>
            <w:pPr>
              <w:spacing w:after="0"/>
              <w:rPr>
                <w:sz w:val="2"/>
                <w:szCs w:val="2"/>
                <w:color w:val="auto"/>
              </w:rPr>
            </w:pPr>
          </w:p>
        </w:tc>
        <w:tc>
          <w:tcPr>
            <w:tcW w:w="3740" w:type="dxa"/>
            <w:vAlign w:val="bottom"/>
            <w:shd w:val="clear" w:color="auto" w:fill="E7E7E8"/>
          </w:tcPr>
          <w:p>
            <w:pPr>
              <w:spacing w:after="0"/>
              <w:rPr>
                <w:sz w:val="2"/>
                <w:szCs w:val="2"/>
                <w:color w:val="auto"/>
              </w:rPr>
            </w:pPr>
          </w:p>
        </w:tc>
        <w:tc>
          <w:tcPr>
            <w:tcW w:w="2300" w:type="dxa"/>
            <w:vAlign w:val="bottom"/>
            <w:shd w:val="clear" w:color="auto" w:fill="E7E7E8"/>
          </w:tcPr>
          <w:p>
            <w:pPr>
              <w:spacing w:after="0"/>
              <w:rPr>
                <w:sz w:val="2"/>
                <w:szCs w:val="2"/>
                <w:color w:val="auto"/>
              </w:rPr>
            </w:pPr>
          </w:p>
        </w:tc>
        <w:tc>
          <w:tcPr>
            <w:tcW w:w="2560" w:type="dxa"/>
            <w:vAlign w:val="bottom"/>
            <w:shd w:val="clear" w:color="auto" w:fill="E7E7E8"/>
          </w:tcPr>
          <w:p>
            <w:pPr>
              <w:spacing w:after="0"/>
              <w:rPr>
                <w:sz w:val="2"/>
                <w:szCs w:val="2"/>
                <w:color w:val="auto"/>
              </w:rPr>
            </w:pPr>
          </w:p>
        </w:tc>
      </w:tr>
    </w:tbl>
    <w:p>
      <w:pPr>
        <w:spacing w:after="0" w:line="8" w:lineRule="exact"/>
        <w:rPr>
          <w:sz w:val="20"/>
          <w:szCs w:val="20"/>
          <w:color w:val="auto"/>
        </w:rPr>
      </w:pPr>
    </w:p>
    <w:p>
      <w:pPr>
        <w:sectPr>
          <w:pgSz w:w="11900" w:h="16838" w:orient="portrait"/>
          <w:cols w:equalWidth="0" w:num="1">
            <w:col w:w="11240"/>
          </w:cols>
          <w:pgMar w:left="320" w:top="850" w:right="339" w:bottom="1440" w:gutter="0" w:footer="0" w:header="0"/>
        </w:sectPr>
      </w:pPr>
    </w:p>
    <w:p>
      <w:pPr>
        <w:ind w:left="80" w:hanging="7"/>
        <w:spacing w:after="0" w:line="253" w:lineRule="auto"/>
        <w:tabs>
          <w:tab w:leader="none" w:pos="35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Advisory vote to approve the compensation of our Named Executive Officers</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8"/>
          <w:szCs w:val="18"/>
          <w:color w:val="auto"/>
        </w:rPr>
        <w:t>Affirmative vote of a majority of the shares present in person or represented by proxy at the meeting and entitled to vote on the subject matter</w:t>
      </w:r>
    </w:p>
    <w:p>
      <w:pPr>
        <w:spacing w:after="0" w:line="20" w:lineRule="exact"/>
        <w:rPr>
          <w:sz w:val="20"/>
          <w:szCs w:val="20"/>
          <w:color w:val="auto"/>
        </w:rPr>
      </w:pPr>
      <w:r>
        <w:rPr>
          <w:sz w:val="20"/>
          <w:szCs w:val="20"/>
          <w:color w:val="auto"/>
        </w:rPr>
        <w:br w:type="column"/>
      </w:r>
    </w:p>
    <w:p>
      <w:pPr>
        <w:spacing w:after="0"/>
        <w:tabs>
          <w:tab w:leader="none" w:pos="2380" w:val="left"/>
        </w:tabs>
        <w:rPr>
          <w:sz w:val="20"/>
          <w:szCs w:val="20"/>
          <w:color w:val="auto"/>
        </w:rPr>
      </w:pPr>
      <w:r>
        <w:rPr>
          <w:rFonts w:ascii="Arial" w:cs="Arial" w:eastAsia="Arial" w:hAnsi="Arial"/>
          <w:sz w:val="18"/>
          <w:szCs w:val="18"/>
          <w:color w:val="auto"/>
        </w:rPr>
        <w:t>Same effect as a vote</w:t>
      </w:r>
      <w:r>
        <w:rPr>
          <w:sz w:val="20"/>
          <w:szCs w:val="20"/>
          <w:color w:val="auto"/>
        </w:rPr>
        <w:tab/>
      </w:r>
      <w:r>
        <w:rPr>
          <w:rFonts w:ascii="Arial" w:cs="Arial" w:eastAsia="Arial" w:hAnsi="Arial"/>
          <w:sz w:val="17"/>
          <w:szCs w:val="17"/>
          <w:color w:val="auto"/>
        </w:rPr>
        <w:t>No effect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against the proposal</w:t>
      </w:r>
    </w:p>
    <w:p>
      <w:pPr>
        <w:spacing w:after="0" w:line="644" w:lineRule="exact"/>
        <w:rPr>
          <w:sz w:val="20"/>
          <w:szCs w:val="20"/>
          <w:color w:val="auto"/>
        </w:rPr>
      </w:pPr>
    </w:p>
    <w:p>
      <w:pPr>
        <w:sectPr>
          <w:pgSz w:w="11900" w:h="16838" w:orient="portrait"/>
          <w:cols w:equalWidth="0" w:num="3">
            <w:col w:w="2620" w:space="700"/>
            <w:col w:w="2880" w:space="400"/>
            <w:col w:w="4640"/>
          </w:cols>
          <w:pgMar w:left="320" w:top="850"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3120" w:type="dxa"/>
            <w:vAlign w:val="bottom"/>
            <w:shd w:val="clear" w:color="auto" w:fill="E7E7E8"/>
          </w:tcPr>
          <w:p>
            <w:pPr>
              <w:ind w:left="80"/>
              <w:spacing w:after="0"/>
              <w:rPr>
                <w:sz w:val="20"/>
                <w:szCs w:val="20"/>
                <w:color w:val="auto"/>
              </w:rPr>
            </w:pPr>
            <w:r>
              <w:rPr>
                <w:rFonts w:ascii="Arial" w:cs="Arial" w:eastAsia="Arial" w:hAnsi="Arial"/>
                <w:sz w:val="18"/>
                <w:szCs w:val="18"/>
                <w:color w:val="auto"/>
              </w:rPr>
              <w:t>(3) Non-binding advisory vote on</w:t>
            </w:r>
          </w:p>
        </w:tc>
        <w:tc>
          <w:tcPr>
            <w:tcW w:w="3280" w:type="dxa"/>
            <w:vAlign w:val="bottom"/>
            <w:shd w:val="clear" w:color="auto" w:fill="E7E7E8"/>
          </w:tcPr>
          <w:p>
            <w:pPr>
              <w:ind w:left="200"/>
              <w:spacing w:after="0"/>
              <w:rPr>
                <w:sz w:val="20"/>
                <w:szCs w:val="20"/>
                <w:color w:val="auto"/>
              </w:rPr>
            </w:pPr>
            <w:r>
              <w:rPr>
                <w:rFonts w:ascii="Arial" w:cs="Arial" w:eastAsia="Arial" w:hAnsi="Arial"/>
                <w:sz w:val="18"/>
                <w:szCs w:val="18"/>
                <w:color w:val="auto"/>
              </w:rPr>
              <w:t>Affirmative vote of a majority of the</w:t>
            </w:r>
          </w:p>
        </w:tc>
        <w:tc>
          <w:tcPr>
            <w:tcW w:w="2260" w:type="dxa"/>
            <w:vAlign w:val="bottom"/>
            <w:shd w:val="clear" w:color="auto" w:fill="E7E7E8"/>
          </w:tcPr>
          <w:p>
            <w:pPr>
              <w:ind w:left="200"/>
              <w:spacing w:after="0"/>
              <w:rPr>
                <w:sz w:val="20"/>
                <w:szCs w:val="20"/>
                <w:color w:val="auto"/>
              </w:rPr>
            </w:pPr>
            <w:r>
              <w:rPr>
                <w:rFonts w:ascii="Arial" w:cs="Arial" w:eastAsia="Arial" w:hAnsi="Arial"/>
                <w:sz w:val="18"/>
                <w:szCs w:val="18"/>
                <w:color w:val="auto"/>
              </w:rPr>
              <w:t>Same effect as a vote</w:t>
            </w:r>
          </w:p>
        </w:tc>
        <w:tc>
          <w:tcPr>
            <w:tcW w:w="2580" w:type="dxa"/>
            <w:vAlign w:val="bottom"/>
            <w:shd w:val="clear" w:color="auto" w:fill="E7E7E8"/>
          </w:tcPr>
          <w:p>
            <w:pPr>
              <w:ind w:left="340"/>
              <w:spacing w:after="0"/>
              <w:rPr>
                <w:sz w:val="20"/>
                <w:szCs w:val="20"/>
                <w:color w:val="auto"/>
              </w:rPr>
            </w:pPr>
            <w:r>
              <w:rPr>
                <w:rFonts w:ascii="Arial" w:cs="Arial" w:eastAsia="Arial" w:hAnsi="Arial"/>
                <w:sz w:val="18"/>
                <w:szCs w:val="18"/>
                <w:color w:val="auto"/>
              </w:rPr>
              <w:t>No effect</w:t>
            </w:r>
          </w:p>
        </w:tc>
      </w:tr>
      <w:tr>
        <w:trPr>
          <w:trHeight w:val="203"/>
        </w:trPr>
        <w:tc>
          <w:tcPr>
            <w:tcW w:w="3120" w:type="dxa"/>
            <w:vAlign w:val="bottom"/>
            <w:shd w:val="clear" w:color="auto" w:fill="E7E7E8"/>
          </w:tcPr>
          <w:p>
            <w:pPr>
              <w:ind w:left="80"/>
              <w:spacing w:after="0" w:line="202" w:lineRule="exact"/>
              <w:rPr>
                <w:sz w:val="20"/>
                <w:szCs w:val="20"/>
                <w:color w:val="auto"/>
              </w:rPr>
            </w:pPr>
            <w:r>
              <w:rPr>
                <w:rFonts w:ascii="Arial" w:cs="Arial" w:eastAsia="Arial" w:hAnsi="Arial"/>
                <w:sz w:val="18"/>
                <w:szCs w:val="18"/>
                <w:color w:val="auto"/>
              </w:rPr>
              <w:t>stockholder proposal requesting the</w:t>
            </w:r>
          </w:p>
        </w:tc>
        <w:tc>
          <w:tcPr>
            <w:tcW w:w="3280" w:type="dxa"/>
            <w:vAlign w:val="bottom"/>
            <w:shd w:val="clear" w:color="auto" w:fill="E7E7E8"/>
          </w:tcPr>
          <w:p>
            <w:pPr>
              <w:ind w:left="200"/>
              <w:spacing w:after="0" w:line="202" w:lineRule="exact"/>
              <w:rPr>
                <w:sz w:val="20"/>
                <w:szCs w:val="20"/>
                <w:color w:val="auto"/>
              </w:rPr>
            </w:pPr>
            <w:r>
              <w:rPr>
                <w:rFonts w:ascii="Arial" w:cs="Arial" w:eastAsia="Arial" w:hAnsi="Arial"/>
                <w:sz w:val="18"/>
                <w:szCs w:val="18"/>
                <w:color w:val="auto"/>
              </w:rPr>
              <w:t>shares present in person or</w:t>
            </w:r>
          </w:p>
        </w:tc>
        <w:tc>
          <w:tcPr>
            <w:tcW w:w="2260" w:type="dxa"/>
            <w:vAlign w:val="bottom"/>
            <w:shd w:val="clear" w:color="auto" w:fill="E7E7E8"/>
          </w:tcPr>
          <w:p>
            <w:pPr>
              <w:ind w:left="200"/>
              <w:spacing w:after="0" w:line="202" w:lineRule="exact"/>
              <w:rPr>
                <w:sz w:val="20"/>
                <w:szCs w:val="20"/>
                <w:color w:val="auto"/>
              </w:rPr>
            </w:pPr>
            <w:r>
              <w:rPr>
                <w:rFonts w:ascii="Arial" w:cs="Arial" w:eastAsia="Arial" w:hAnsi="Arial"/>
                <w:sz w:val="18"/>
                <w:szCs w:val="18"/>
                <w:color w:val="auto"/>
              </w:rPr>
              <w:t>against the proposal</w:t>
            </w:r>
          </w:p>
        </w:tc>
        <w:tc>
          <w:tcPr>
            <w:tcW w:w="2580" w:type="dxa"/>
            <w:vAlign w:val="bottom"/>
            <w:shd w:val="clear" w:color="auto" w:fill="E7E7E8"/>
          </w:tcPr>
          <w:p>
            <w:pPr>
              <w:spacing w:after="0"/>
              <w:rPr>
                <w:sz w:val="17"/>
                <w:szCs w:val="17"/>
                <w:color w:val="auto"/>
              </w:rPr>
            </w:pPr>
          </w:p>
        </w:tc>
      </w:tr>
      <w:tr>
        <w:trPr>
          <w:trHeight w:val="203"/>
        </w:trPr>
        <w:tc>
          <w:tcPr>
            <w:tcW w:w="3120" w:type="dxa"/>
            <w:vAlign w:val="bottom"/>
            <w:shd w:val="clear" w:color="auto" w:fill="E7E7E8"/>
          </w:tcPr>
          <w:p>
            <w:pPr>
              <w:ind w:left="80"/>
              <w:spacing w:after="0" w:line="202" w:lineRule="exact"/>
              <w:rPr>
                <w:sz w:val="20"/>
                <w:szCs w:val="20"/>
                <w:color w:val="auto"/>
              </w:rPr>
            </w:pPr>
            <w:r>
              <w:rPr>
                <w:rFonts w:ascii="Arial" w:cs="Arial" w:eastAsia="Arial" w:hAnsi="Arial"/>
                <w:sz w:val="18"/>
                <w:szCs w:val="18"/>
                <w:color w:val="auto"/>
              </w:rPr>
              <w:t>declassification of our Board of</w:t>
            </w:r>
          </w:p>
        </w:tc>
        <w:tc>
          <w:tcPr>
            <w:tcW w:w="3280" w:type="dxa"/>
            <w:vAlign w:val="bottom"/>
            <w:shd w:val="clear" w:color="auto" w:fill="E7E7E8"/>
          </w:tcPr>
          <w:p>
            <w:pPr>
              <w:ind w:left="200"/>
              <w:spacing w:after="0" w:line="202" w:lineRule="exact"/>
              <w:rPr>
                <w:sz w:val="20"/>
                <w:szCs w:val="20"/>
                <w:color w:val="auto"/>
              </w:rPr>
            </w:pPr>
            <w:r>
              <w:rPr>
                <w:rFonts w:ascii="Arial" w:cs="Arial" w:eastAsia="Arial" w:hAnsi="Arial"/>
                <w:sz w:val="18"/>
                <w:szCs w:val="18"/>
                <w:color w:val="auto"/>
              </w:rPr>
              <w:t>represented by proxy at the meeting</w:t>
            </w:r>
          </w:p>
        </w:tc>
        <w:tc>
          <w:tcPr>
            <w:tcW w:w="2260" w:type="dxa"/>
            <w:vAlign w:val="bottom"/>
            <w:shd w:val="clear" w:color="auto" w:fill="E7E7E8"/>
          </w:tcPr>
          <w:p>
            <w:pPr>
              <w:spacing w:after="0"/>
              <w:rPr>
                <w:sz w:val="17"/>
                <w:szCs w:val="17"/>
                <w:color w:val="auto"/>
              </w:rPr>
            </w:pPr>
          </w:p>
        </w:tc>
        <w:tc>
          <w:tcPr>
            <w:tcW w:w="2580" w:type="dxa"/>
            <w:vAlign w:val="bottom"/>
            <w:shd w:val="clear" w:color="auto" w:fill="E7E7E8"/>
          </w:tcPr>
          <w:p>
            <w:pPr>
              <w:spacing w:after="0"/>
              <w:rPr>
                <w:sz w:val="17"/>
                <w:szCs w:val="17"/>
                <w:color w:val="auto"/>
              </w:rPr>
            </w:pPr>
          </w:p>
        </w:tc>
      </w:tr>
      <w:tr>
        <w:trPr>
          <w:trHeight w:val="202"/>
        </w:trPr>
        <w:tc>
          <w:tcPr>
            <w:tcW w:w="3120" w:type="dxa"/>
            <w:vAlign w:val="bottom"/>
            <w:shd w:val="clear" w:color="auto" w:fill="E7E7E8"/>
          </w:tcPr>
          <w:p>
            <w:pPr>
              <w:ind w:left="80"/>
              <w:spacing w:after="0" w:line="202" w:lineRule="exact"/>
              <w:rPr>
                <w:sz w:val="20"/>
                <w:szCs w:val="20"/>
                <w:color w:val="auto"/>
              </w:rPr>
            </w:pPr>
            <w:r>
              <w:rPr>
                <w:rFonts w:ascii="Arial" w:cs="Arial" w:eastAsia="Arial" w:hAnsi="Arial"/>
                <w:sz w:val="18"/>
                <w:szCs w:val="18"/>
                <w:color w:val="auto"/>
              </w:rPr>
              <w:t>Directors</w:t>
            </w:r>
          </w:p>
        </w:tc>
        <w:tc>
          <w:tcPr>
            <w:tcW w:w="3280" w:type="dxa"/>
            <w:vAlign w:val="bottom"/>
            <w:shd w:val="clear" w:color="auto" w:fill="E7E7E8"/>
          </w:tcPr>
          <w:p>
            <w:pPr>
              <w:ind w:left="200"/>
              <w:spacing w:after="0" w:line="202" w:lineRule="exact"/>
              <w:rPr>
                <w:sz w:val="20"/>
                <w:szCs w:val="20"/>
                <w:color w:val="auto"/>
              </w:rPr>
            </w:pPr>
            <w:r>
              <w:rPr>
                <w:rFonts w:ascii="Arial" w:cs="Arial" w:eastAsia="Arial" w:hAnsi="Arial"/>
                <w:sz w:val="18"/>
                <w:szCs w:val="18"/>
                <w:color w:val="auto"/>
              </w:rPr>
              <w:t>and entitled to vote on the subject</w:t>
            </w:r>
          </w:p>
        </w:tc>
        <w:tc>
          <w:tcPr>
            <w:tcW w:w="2260" w:type="dxa"/>
            <w:vAlign w:val="bottom"/>
            <w:shd w:val="clear" w:color="auto" w:fill="E7E7E8"/>
          </w:tcPr>
          <w:p>
            <w:pPr>
              <w:spacing w:after="0"/>
              <w:rPr>
                <w:sz w:val="17"/>
                <w:szCs w:val="17"/>
                <w:color w:val="auto"/>
              </w:rPr>
            </w:pPr>
          </w:p>
        </w:tc>
        <w:tc>
          <w:tcPr>
            <w:tcW w:w="2580" w:type="dxa"/>
            <w:vAlign w:val="bottom"/>
            <w:shd w:val="clear" w:color="auto" w:fill="E7E7E8"/>
          </w:tcPr>
          <w:p>
            <w:pPr>
              <w:spacing w:after="0"/>
              <w:rPr>
                <w:sz w:val="17"/>
                <w:szCs w:val="17"/>
                <w:color w:val="auto"/>
              </w:rPr>
            </w:pPr>
          </w:p>
        </w:tc>
      </w:tr>
      <w:tr>
        <w:trPr>
          <w:trHeight w:val="239"/>
        </w:trPr>
        <w:tc>
          <w:tcPr>
            <w:tcW w:w="3120" w:type="dxa"/>
            <w:vAlign w:val="bottom"/>
            <w:shd w:val="clear" w:color="auto" w:fill="E7E7E8"/>
          </w:tcPr>
          <w:p>
            <w:pPr>
              <w:spacing w:after="0"/>
              <w:rPr>
                <w:sz w:val="20"/>
                <w:szCs w:val="20"/>
                <w:color w:val="auto"/>
              </w:rPr>
            </w:pPr>
          </w:p>
        </w:tc>
        <w:tc>
          <w:tcPr>
            <w:tcW w:w="3280" w:type="dxa"/>
            <w:vAlign w:val="bottom"/>
            <w:shd w:val="clear" w:color="auto" w:fill="E7E7E8"/>
          </w:tcPr>
          <w:p>
            <w:pPr>
              <w:ind w:left="200"/>
              <w:spacing w:after="0"/>
              <w:rPr>
                <w:sz w:val="20"/>
                <w:szCs w:val="20"/>
                <w:color w:val="auto"/>
              </w:rPr>
            </w:pPr>
            <w:r>
              <w:rPr>
                <w:rFonts w:ascii="Arial" w:cs="Arial" w:eastAsia="Arial" w:hAnsi="Arial"/>
                <w:sz w:val="18"/>
                <w:szCs w:val="18"/>
                <w:color w:val="auto"/>
              </w:rPr>
              <w:t>matter</w:t>
            </w:r>
          </w:p>
        </w:tc>
        <w:tc>
          <w:tcPr>
            <w:tcW w:w="2260" w:type="dxa"/>
            <w:vAlign w:val="bottom"/>
            <w:shd w:val="clear" w:color="auto" w:fill="E7E7E8"/>
          </w:tcPr>
          <w:p>
            <w:pPr>
              <w:spacing w:after="0"/>
              <w:rPr>
                <w:sz w:val="20"/>
                <w:szCs w:val="20"/>
                <w:color w:val="auto"/>
              </w:rPr>
            </w:pPr>
          </w:p>
        </w:tc>
        <w:tc>
          <w:tcPr>
            <w:tcW w:w="2580" w:type="dxa"/>
            <w:vAlign w:val="bottom"/>
            <w:shd w:val="clear" w:color="auto" w:fill="E7E7E8"/>
          </w:tcPr>
          <w:p>
            <w:pPr>
              <w:spacing w:after="0"/>
              <w:rPr>
                <w:sz w:val="20"/>
                <w:szCs w:val="20"/>
                <w:color w:val="auto"/>
              </w:rPr>
            </w:pPr>
          </w:p>
        </w:tc>
      </w:tr>
      <w:tr>
        <w:trPr>
          <w:trHeight w:val="23"/>
        </w:trPr>
        <w:tc>
          <w:tcPr>
            <w:tcW w:w="3120" w:type="dxa"/>
            <w:vAlign w:val="bottom"/>
            <w:shd w:val="clear" w:color="auto" w:fill="E7E7E8"/>
          </w:tcPr>
          <w:p>
            <w:pPr>
              <w:spacing w:after="0"/>
              <w:rPr>
                <w:sz w:val="2"/>
                <w:szCs w:val="2"/>
                <w:color w:val="auto"/>
              </w:rPr>
            </w:pPr>
          </w:p>
        </w:tc>
        <w:tc>
          <w:tcPr>
            <w:tcW w:w="3280" w:type="dxa"/>
            <w:vAlign w:val="bottom"/>
            <w:shd w:val="clear" w:color="auto" w:fill="E7E7E8"/>
          </w:tcPr>
          <w:p>
            <w:pPr>
              <w:spacing w:after="0"/>
              <w:rPr>
                <w:sz w:val="2"/>
                <w:szCs w:val="2"/>
                <w:color w:val="auto"/>
              </w:rPr>
            </w:pPr>
          </w:p>
        </w:tc>
        <w:tc>
          <w:tcPr>
            <w:tcW w:w="2260" w:type="dxa"/>
            <w:vAlign w:val="bottom"/>
            <w:shd w:val="clear" w:color="auto" w:fill="E7E7E8"/>
          </w:tcPr>
          <w:p>
            <w:pPr>
              <w:spacing w:after="0"/>
              <w:rPr>
                <w:sz w:val="2"/>
                <w:szCs w:val="2"/>
                <w:color w:val="auto"/>
              </w:rPr>
            </w:pPr>
          </w:p>
        </w:tc>
        <w:tc>
          <w:tcPr>
            <w:tcW w:w="2580" w:type="dxa"/>
            <w:vAlign w:val="bottom"/>
            <w:shd w:val="clear" w:color="auto" w:fill="E7E7E8"/>
          </w:tcPr>
          <w:p>
            <w:pPr>
              <w:spacing w:after="0"/>
              <w:rPr>
                <w:sz w:val="2"/>
                <w:szCs w:val="2"/>
                <w:color w:val="auto"/>
              </w:rPr>
            </w:pPr>
          </w:p>
        </w:tc>
      </w:tr>
    </w:tbl>
    <w:p>
      <w:pPr>
        <w:spacing w:after="0" w:line="8" w:lineRule="exact"/>
        <w:rPr>
          <w:sz w:val="20"/>
          <w:szCs w:val="20"/>
          <w:color w:val="auto"/>
        </w:rPr>
      </w:pPr>
    </w:p>
    <w:p>
      <w:pPr>
        <w:sectPr>
          <w:pgSz w:w="11900" w:h="16838" w:orient="portrait"/>
          <w:cols w:equalWidth="0" w:num="1">
            <w:col w:w="11240"/>
          </w:cols>
          <w:pgMar w:left="320" w:top="850" w:right="339" w:bottom="1440" w:gutter="0" w:footer="0" w:header="0"/>
          <w:type w:val="continuous"/>
        </w:sectPr>
      </w:pPr>
    </w:p>
    <w:p>
      <w:pPr>
        <w:ind w:left="80" w:hanging="7"/>
        <w:spacing w:after="0" w:line="266" w:lineRule="auto"/>
        <w:tabs>
          <w:tab w:leader="none" w:pos="35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Approval of the expected appointment of Ernst &amp; Young LLP as our independent auditors for the fiscal year ending March 31, 2026</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8"/>
          <w:szCs w:val="18"/>
          <w:color w:val="auto"/>
        </w:rPr>
        <w:t>Affirmative vote of a majority of the shares present in person or represented by proxy at the meeting and entitled to vote on the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380" w:val="left"/>
        </w:tabs>
        <w:rPr>
          <w:sz w:val="20"/>
          <w:szCs w:val="20"/>
          <w:color w:val="auto"/>
        </w:rPr>
      </w:pPr>
      <w:r>
        <w:rPr>
          <w:rFonts w:ascii="Arial" w:cs="Arial" w:eastAsia="Arial" w:hAnsi="Arial"/>
          <w:sz w:val="18"/>
          <w:szCs w:val="18"/>
          <w:color w:val="auto"/>
        </w:rPr>
        <w:t>Same effect as a vote</w:t>
      </w:r>
      <w:r>
        <w:rPr>
          <w:sz w:val="20"/>
          <w:szCs w:val="20"/>
          <w:color w:val="auto"/>
        </w:rPr>
        <w:tab/>
      </w:r>
      <w:r>
        <w:rPr>
          <w:rFonts w:ascii="Arial" w:cs="Arial" w:eastAsia="Arial" w:hAnsi="Arial"/>
          <w:sz w:val="17"/>
          <w:szCs w:val="17"/>
          <w:color w:val="auto"/>
        </w:rPr>
        <w:t>Brokers have discretionary</w:t>
      </w:r>
    </w:p>
    <w:p>
      <w:pPr>
        <w:spacing w:after="0" w:line="14"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against the proposal</w:t>
      </w:r>
      <w:r>
        <w:rPr>
          <w:sz w:val="20"/>
          <w:szCs w:val="20"/>
          <w:color w:val="auto"/>
        </w:rPr>
        <w:tab/>
      </w:r>
      <w:r>
        <w:rPr>
          <w:rFonts w:ascii="Arial" w:cs="Arial" w:eastAsia="Arial" w:hAnsi="Arial"/>
          <w:sz w:val="17"/>
          <w:szCs w:val="17"/>
          <w:color w:val="auto"/>
        </w:rPr>
        <w:t>authority to vote</w:t>
      </w:r>
    </w:p>
    <w:p>
      <w:pPr>
        <w:spacing w:after="0" w:line="824" w:lineRule="exact"/>
        <w:rPr>
          <w:sz w:val="20"/>
          <w:szCs w:val="20"/>
          <w:color w:val="auto"/>
        </w:rPr>
      </w:pPr>
    </w:p>
    <w:p>
      <w:pPr>
        <w:sectPr>
          <w:pgSz w:w="11900" w:h="16838" w:orient="portrait"/>
          <w:cols w:equalWidth="0" w:num="3">
            <w:col w:w="2860" w:space="460"/>
            <w:col w:w="2880" w:space="400"/>
            <w:col w:w="4640"/>
          </w:cols>
          <w:pgMar w:left="320" w:top="850" w:right="339" w:bottom="1440" w:gutter="0" w:footer="0" w:header="0"/>
          <w:type w:val="continuous"/>
        </w:sectPr>
      </w:pPr>
    </w:p>
    <w:p>
      <w:pPr>
        <w:spacing w:after="0" w:line="121" w:lineRule="exact"/>
        <w:rPr>
          <w:sz w:val="20"/>
          <w:szCs w:val="20"/>
          <w:color w:val="auto"/>
        </w:rPr>
      </w:pPr>
    </w:p>
    <w:p>
      <w:pPr>
        <w:ind w:left="380" w:right="180" w:hanging="372"/>
        <w:spacing w:after="0" w:line="284" w:lineRule="auto"/>
        <w:tabs>
          <w:tab w:leader="none" w:pos="380" w:val="left"/>
        </w:tabs>
        <w:numPr>
          <w:ilvl w:val="0"/>
          <w:numId w:val="10"/>
        </w:numPr>
        <w:rPr>
          <w:rFonts w:ascii="Times New Roman" w:cs="Times New Roman" w:eastAsia="Times New Roman" w:hAnsi="Times New Roman"/>
          <w:sz w:val="14"/>
          <w:szCs w:val="14"/>
          <w:color w:val="auto"/>
        </w:rPr>
      </w:pPr>
      <w:r>
        <w:rPr>
          <w:rFonts w:ascii="Arial" w:cs="Arial" w:eastAsia="Arial" w:hAnsi="Arial"/>
          <w:sz w:val="14"/>
          <w:szCs w:val="14"/>
          <w:color w:val="auto"/>
        </w:rPr>
        <w:t>A broker non-vote occurs when banks, brokers or others hold shares in street name for a client and such client provides no instruction as to how shares should be voted on a particular matter.</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Pursuant to the rules of the NYSE, brokers do not have discretionary authority to vote in the election of directors if they did not receive instructions from the beneficial owner because the election of directors is not considered a routine matter. The advisory vote to approve the compensation of our named executive officers and the advisory vote on the stockholder proposal requesting the declassification of our board of directors are also not considered routine, and brokers may not vote your shares with respect to such matters without instructions from you.</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How to Revoke Your Proxy</w:t>
      </w:r>
    </w:p>
    <w:p>
      <w:pPr>
        <w:spacing w:after="0" w:line="15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You have the unconditional right to revoke your proxy at any time prior to the voting thereof by submitting a later-dated proxy, by attending the meeting and voting in person, or by written notice to us addressed to: Eagle Materials Inc., Attention: Matt Newby, Secretary, 5960 Berkshire Ln., Suite 900, Dallas, Texas 75225. No such revocation shall be effective, however, unless and until received by the Company at or prior to the meeting.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Expenses of Soliciting Proxies</w:t>
      </w:r>
    </w:p>
    <w:p>
      <w:pPr>
        <w:spacing w:after="0" w:line="15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cost of soliciting proxies for the meeting will be borne by the Company. Solicitations may be made on behalf of our Board by mail, personal interview, telephone or other electronic means by officers and other employees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2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2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3</w:t>
            </w:r>
          </w:p>
        </w:tc>
      </w:tr>
      <w:tr>
        <w:trPr>
          <w:trHeight w:val="844"/>
        </w:trPr>
        <w:tc>
          <w:tcPr>
            <w:tcW w:w="76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8" w:name="page9"/>
    <w:bookmarkEnd w:id="8"/>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525780</wp:posOffset>
            </wp:positionV>
            <wp:extent cx="149161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PROXY STATEMENT</w:t>
      </w:r>
    </w:p>
    <w:p>
      <w:pPr>
        <w:spacing w:after="0" w:line="29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who will receive no additional compensation therefor. To aid in the solicitation of proxies, we have retained the firm of Kingsdale Advisors, which will receive a fee of approximately $20,000, in addition to the reimbursement of out-of-pocket expenses.</w:t>
      </w:r>
    </w:p>
    <w:p>
      <w:pPr>
        <w:spacing w:after="0" w:line="75"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(“SEC”) and the NYSE, we will reimburse such persons for reasonable expenses incurred by them in forwarding proxy materials to the beneficial owners of our Common Stock.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How You Can Vote</w:t>
      </w:r>
    </w:p>
    <w:p>
      <w:pPr>
        <w:spacing w:after="0" w:line="156"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 xml:space="preserve">You can vote your shares at the meeting, by telephone, over the Internet or (if you requested a physical copy) by completing, signing, dating and returning your proxy in the enclosed envelope. If you have any questions, or require assistance, please contact the Company’s shareholder advisor and proxy solicitation agent, Kingsdale Advisors, at 1-888-327-0821 (toll free in North America), or at 917-933-5119 (collect outside North America), or by email at </w:t>
      </w:r>
      <w:r>
        <w:rPr>
          <w:rFonts w:ascii="Arial" w:cs="Arial" w:eastAsia="Arial" w:hAnsi="Arial"/>
          <w:sz w:val="16"/>
          <w:szCs w:val="16"/>
          <w:u w:val="single" w:color="auto"/>
          <w:color w:val="auto"/>
        </w:rPr>
        <w:t>contactus@kingsdaleadvisors.com</w:t>
      </w:r>
      <w:r>
        <w:rPr>
          <w:rFonts w:ascii="Arial" w:cs="Arial" w:eastAsia="Arial" w:hAnsi="Arial"/>
          <w:sz w:val="16"/>
          <w:szCs w:val="16"/>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Conduct of the Meeting</w:t>
      </w:r>
    </w:p>
    <w:p>
      <w:pPr>
        <w:spacing w:after="0" w:line="15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As authorized by our Bylaws, our Board has adopted rules of conduct and procedures for the meeting, which we refer to as the “meeting rules.” Our Bylaws provide that our Chairman of the Board will preside at the meeting and may adopt supplemental rules and procedures for the conduct of the meeting.</w:t>
      </w:r>
    </w:p>
    <w:p>
      <w:pPr>
        <w:spacing w:after="0" w:line="7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business of the meeting will be taken up in the order set forth in the Agenda, which will be distributed at the reception desk. The meeting rules specify that, when an item on the Agenda is before the meeting for consideration, discussion should be confined to that item.</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2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2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4</w:t>
            </w:r>
          </w:p>
        </w:tc>
      </w:tr>
      <w:tr>
        <w:trPr>
          <w:trHeight w:val="844"/>
        </w:trPr>
        <w:tc>
          <w:tcPr>
            <w:tcW w:w="76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4"/>
          <w:szCs w:val="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Proposal No. 1:</w:t>
      </w:r>
    </w:p>
    <w:p>
      <w:pPr>
        <w:spacing w:after="0" w:line="81" w:lineRule="exact"/>
        <w:rPr>
          <w:sz w:val="20"/>
          <w:szCs w:val="20"/>
          <w:color w:val="auto"/>
        </w:rPr>
      </w:pPr>
    </w:p>
    <w:p>
      <w:pPr>
        <w:ind w:right="2020"/>
        <w:spacing w:after="0" w:line="247" w:lineRule="auto"/>
        <w:rPr>
          <w:sz w:val="20"/>
          <w:szCs w:val="20"/>
          <w:color w:val="auto"/>
        </w:rPr>
      </w:pPr>
      <w:r>
        <w:rPr>
          <w:rFonts w:ascii="Times New Roman" w:cs="Times New Roman" w:eastAsia="Times New Roman" w:hAnsi="Times New Roman"/>
          <w:sz w:val="65"/>
          <w:szCs w:val="65"/>
          <w:b w:val="1"/>
          <w:bCs w:val="1"/>
          <w:color w:val="051972"/>
        </w:rPr>
        <w:t>Election of Directors and Related Matters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General</w:t>
      </w:r>
    </w:p>
    <w:p>
      <w:pPr>
        <w:spacing w:after="0" w:line="15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Board of Directors is the ultimate decision-making body of the Company, except with respect to those matters reserved to our stockholders. The primary responsibilities of our Board include:</w:t>
      </w:r>
    </w:p>
    <w:p>
      <w:pPr>
        <w:spacing w:after="0" w:line="75" w:lineRule="exact"/>
        <w:rPr>
          <w:sz w:val="20"/>
          <w:szCs w:val="20"/>
          <w:color w:val="auto"/>
        </w:rPr>
      </w:pPr>
    </w:p>
    <w:p>
      <w:pPr>
        <w:ind w:left="460" w:hanging="228"/>
        <w:spacing w:after="0"/>
        <w:tabs>
          <w:tab w:leader="none" w:pos="4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the selection, compensation and evaluation of our Chief Executive Officer and oversight over succession planning;</w:t>
      </w:r>
    </w:p>
    <w:p>
      <w:pPr>
        <w:spacing w:after="0" w:line="29"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oversight of our strategic planning;</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approval of material transactions and financings;</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oversight of processes that are in place to promote compliance with law and high standards of business ethics;</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advising management on major issues that may arise; and</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6"/>
          <w:szCs w:val="16"/>
          <w:color w:val="auto"/>
        </w:rPr>
        <w:t>evaluating the performance of the Board and its committees, and making appropriate changes where necessary.</w:t>
      </w:r>
    </w:p>
    <w:p>
      <w:pPr>
        <w:spacing w:after="0" w:line="15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Members of our Board of Directors are divided into three classes based on their term of office (Class I, II and III). The directors in each class hold office for staggered terms of three years each. At present, Class I has four directors, Class II has four directors and Class III has three directors. In light of the expected director retirements described in "Nominees" below, which will be effective at the annual meeting, the Board is expected to consist of nine directors immediately after the annual meeting. The following table and graphics show the composition by class, the tenure, the independence and diversity of our Board as of August 4, 2025, assuming the election of the proposed slate of Class I director nominees and the expected retirements described in "Nominees"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220" w:type="dxa"/>
            <w:vAlign w:val="bottom"/>
            <w:tcBorders>
              <w:bottom w:val="single" w:sz="8" w:color="051972"/>
            </w:tcBorders>
          </w:tcPr>
          <w:p>
            <w:pPr>
              <w:jc w:val="center"/>
              <w:ind w:right="1474"/>
              <w:spacing w:after="0"/>
              <w:rPr>
                <w:sz w:val="20"/>
                <w:szCs w:val="20"/>
                <w:color w:val="auto"/>
              </w:rPr>
            </w:pPr>
            <w:r>
              <w:rPr>
                <w:rFonts w:ascii="Arial" w:cs="Arial" w:eastAsia="Arial" w:hAnsi="Arial"/>
                <w:sz w:val="14"/>
                <w:szCs w:val="14"/>
                <w:b w:val="1"/>
                <w:bCs w:val="1"/>
                <w:color w:val="051972"/>
              </w:rPr>
              <w:t>Class</w:t>
            </w:r>
          </w:p>
        </w:tc>
        <w:tc>
          <w:tcPr>
            <w:tcW w:w="2520" w:type="dxa"/>
            <w:vAlign w:val="bottom"/>
            <w:tcBorders>
              <w:bottom w:val="single" w:sz="8" w:color="051972"/>
            </w:tcBorders>
          </w:tcPr>
          <w:p>
            <w:pPr>
              <w:jc w:val="center"/>
              <w:ind w:right="1315"/>
              <w:spacing w:after="0"/>
              <w:rPr>
                <w:sz w:val="20"/>
                <w:szCs w:val="20"/>
                <w:color w:val="auto"/>
              </w:rPr>
            </w:pPr>
            <w:r>
              <w:rPr>
                <w:rFonts w:ascii="Arial" w:cs="Arial" w:eastAsia="Arial" w:hAnsi="Arial"/>
                <w:sz w:val="14"/>
                <w:szCs w:val="14"/>
                <w:b w:val="1"/>
                <w:bCs w:val="1"/>
                <w:color w:val="051972"/>
              </w:rPr>
              <w:t>Term Expires</w:t>
            </w:r>
          </w:p>
        </w:tc>
        <w:tc>
          <w:tcPr>
            <w:tcW w:w="4500" w:type="dxa"/>
            <w:vAlign w:val="bottom"/>
            <w:tcBorders>
              <w:bottom w:val="single" w:sz="8" w:color="051972"/>
            </w:tcBorders>
          </w:tcPr>
          <w:p>
            <w:pPr>
              <w:jc w:val="center"/>
              <w:ind w:left="52"/>
              <w:spacing w:after="0"/>
              <w:rPr>
                <w:sz w:val="20"/>
                <w:szCs w:val="20"/>
                <w:color w:val="auto"/>
              </w:rPr>
            </w:pPr>
            <w:r>
              <w:rPr>
                <w:rFonts w:ascii="Arial" w:cs="Arial" w:eastAsia="Arial" w:hAnsi="Arial"/>
                <w:sz w:val="14"/>
                <w:szCs w:val="14"/>
                <w:b w:val="1"/>
                <w:bCs w:val="1"/>
                <w:color w:val="051972"/>
              </w:rPr>
              <w:t>Directors</w:t>
            </w:r>
          </w:p>
        </w:tc>
      </w:tr>
      <w:tr>
        <w:trPr>
          <w:trHeight w:val="224"/>
        </w:trPr>
        <w:tc>
          <w:tcPr>
            <w:tcW w:w="4220" w:type="dxa"/>
            <w:vAlign w:val="bottom"/>
            <w:shd w:val="clear" w:color="auto" w:fill="E7E7E8"/>
          </w:tcPr>
          <w:p>
            <w:pPr>
              <w:jc w:val="center"/>
              <w:ind w:right="1454"/>
              <w:spacing w:after="0"/>
              <w:rPr>
                <w:sz w:val="20"/>
                <w:szCs w:val="20"/>
                <w:color w:val="auto"/>
              </w:rPr>
            </w:pPr>
            <w:r>
              <w:rPr>
                <w:rFonts w:ascii="Arial" w:cs="Arial" w:eastAsia="Arial" w:hAnsi="Arial"/>
                <w:sz w:val="18"/>
                <w:szCs w:val="18"/>
                <w:color w:val="auto"/>
                <w:w w:val="78"/>
              </w:rPr>
              <w:t>I</w:t>
            </w:r>
          </w:p>
        </w:tc>
        <w:tc>
          <w:tcPr>
            <w:tcW w:w="2520" w:type="dxa"/>
            <w:vAlign w:val="bottom"/>
            <w:shd w:val="clear" w:color="auto" w:fill="E7E7E8"/>
          </w:tcPr>
          <w:p>
            <w:pPr>
              <w:jc w:val="center"/>
              <w:ind w:right="1315"/>
              <w:spacing w:after="0"/>
              <w:rPr>
                <w:sz w:val="20"/>
                <w:szCs w:val="20"/>
                <w:color w:val="auto"/>
              </w:rPr>
            </w:pPr>
            <w:r>
              <w:rPr>
                <w:rFonts w:ascii="Arial" w:cs="Arial" w:eastAsia="Arial" w:hAnsi="Arial"/>
                <w:sz w:val="18"/>
                <w:szCs w:val="18"/>
                <w:color w:val="auto"/>
                <w:w w:val="99"/>
              </w:rPr>
              <w:t>2028</w:t>
            </w:r>
          </w:p>
        </w:tc>
        <w:tc>
          <w:tcPr>
            <w:tcW w:w="4500" w:type="dxa"/>
            <w:vAlign w:val="bottom"/>
            <w:shd w:val="clear" w:color="auto" w:fill="E7E7E8"/>
          </w:tcPr>
          <w:p>
            <w:pPr>
              <w:jc w:val="center"/>
              <w:ind w:left="52"/>
              <w:spacing w:after="0"/>
              <w:rPr>
                <w:sz w:val="20"/>
                <w:szCs w:val="20"/>
                <w:color w:val="auto"/>
              </w:rPr>
            </w:pPr>
            <w:r>
              <w:rPr>
                <w:rFonts w:ascii="Arial" w:cs="Arial" w:eastAsia="Arial" w:hAnsi="Arial"/>
                <w:sz w:val="18"/>
                <w:szCs w:val="18"/>
                <w:color w:val="auto"/>
                <w:w w:val="99"/>
              </w:rPr>
              <w:t>George J. Damiris</w:t>
            </w:r>
          </w:p>
        </w:tc>
      </w:tr>
      <w:tr>
        <w:trPr>
          <w:trHeight w:val="203"/>
        </w:trPr>
        <w:tc>
          <w:tcPr>
            <w:tcW w:w="4220" w:type="dxa"/>
            <w:vAlign w:val="bottom"/>
            <w:shd w:val="clear" w:color="auto" w:fill="E7E7E8"/>
          </w:tcPr>
          <w:p>
            <w:pPr>
              <w:spacing w:after="0"/>
              <w:rPr>
                <w:sz w:val="17"/>
                <w:szCs w:val="17"/>
                <w:color w:val="auto"/>
              </w:rPr>
            </w:pPr>
          </w:p>
        </w:tc>
        <w:tc>
          <w:tcPr>
            <w:tcW w:w="2520" w:type="dxa"/>
            <w:vAlign w:val="bottom"/>
            <w:shd w:val="clear" w:color="auto" w:fill="E7E7E8"/>
          </w:tcPr>
          <w:p>
            <w:pPr>
              <w:spacing w:after="0"/>
              <w:rPr>
                <w:sz w:val="17"/>
                <w:szCs w:val="17"/>
                <w:color w:val="auto"/>
              </w:rPr>
            </w:pPr>
          </w:p>
        </w:tc>
        <w:tc>
          <w:tcPr>
            <w:tcW w:w="4500" w:type="dxa"/>
            <w:vAlign w:val="bottom"/>
            <w:shd w:val="clear" w:color="auto" w:fill="E7E7E8"/>
          </w:tcPr>
          <w:p>
            <w:pPr>
              <w:jc w:val="center"/>
              <w:ind w:left="52"/>
              <w:spacing w:after="0" w:line="202" w:lineRule="exact"/>
              <w:rPr>
                <w:sz w:val="20"/>
                <w:szCs w:val="20"/>
                <w:color w:val="auto"/>
              </w:rPr>
            </w:pPr>
            <w:r>
              <w:rPr>
                <w:rFonts w:ascii="Arial" w:cs="Arial" w:eastAsia="Arial" w:hAnsi="Arial"/>
                <w:sz w:val="18"/>
                <w:szCs w:val="18"/>
                <w:color w:val="auto"/>
                <w:w w:val="99"/>
              </w:rPr>
              <w:t>Martin M. Ellen</w:t>
            </w:r>
          </w:p>
        </w:tc>
      </w:tr>
      <w:tr>
        <w:trPr>
          <w:trHeight w:val="221"/>
        </w:trPr>
        <w:tc>
          <w:tcPr>
            <w:tcW w:w="4220" w:type="dxa"/>
            <w:vAlign w:val="bottom"/>
            <w:shd w:val="clear" w:color="auto" w:fill="E7E7E8"/>
          </w:tcPr>
          <w:p>
            <w:pPr>
              <w:spacing w:after="0"/>
              <w:rPr>
                <w:sz w:val="19"/>
                <w:szCs w:val="19"/>
                <w:color w:val="auto"/>
              </w:rPr>
            </w:pPr>
          </w:p>
        </w:tc>
        <w:tc>
          <w:tcPr>
            <w:tcW w:w="2520" w:type="dxa"/>
            <w:vAlign w:val="bottom"/>
            <w:shd w:val="clear" w:color="auto" w:fill="E7E7E8"/>
          </w:tcPr>
          <w:p>
            <w:pPr>
              <w:spacing w:after="0"/>
              <w:rPr>
                <w:sz w:val="19"/>
                <w:szCs w:val="19"/>
                <w:color w:val="auto"/>
              </w:rPr>
            </w:pPr>
          </w:p>
        </w:tc>
        <w:tc>
          <w:tcPr>
            <w:tcW w:w="4500" w:type="dxa"/>
            <w:vAlign w:val="bottom"/>
            <w:shd w:val="clear" w:color="auto" w:fill="E7E7E8"/>
          </w:tcPr>
          <w:p>
            <w:pPr>
              <w:jc w:val="center"/>
              <w:ind w:left="52"/>
              <w:spacing w:after="0"/>
              <w:rPr>
                <w:sz w:val="20"/>
                <w:szCs w:val="20"/>
                <w:color w:val="auto"/>
              </w:rPr>
            </w:pPr>
            <w:r>
              <w:rPr>
                <w:rFonts w:ascii="Arial" w:cs="Arial" w:eastAsia="Arial" w:hAnsi="Arial"/>
                <w:sz w:val="18"/>
                <w:szCs w:val="18"/>
                <w:color w:val="auto"/>
                <w:w w:val="98"/>
              </w:rPr>
              <w:t>David Rush</w:t>
            </w:r>
          </w:p>
        </w:tc>
      </w:tr>
      <w:tr>
        <w:trPr>
          <w:trHeight w:val="68"/>
        </w:trPr>
        <w:tc>
          <w:tcPr>
            <w:tcW w:w="4220" w:type="dxa"/>
            <w:vAlign w:val="bottom"/>
            <w:shd w:val="clear" w:color="auto" w:fill="E7E7E8"/>
          </w:tcPr>
          <w:p>
            <w:pPr>
              <w:spacing w:after="0"/>
              <w:rPr>
                <w:sz w:val="5"/>
                <w:szCs w:val="5"/>
                <w:color w:val="auto"/>
              </w:rPr>
            </w:pPr>
          </w:p>
        </w:tc>
        <w:tc>
          <w:tcPr>
            <w:tcW w:w="2520" w:type="dxa"/>
            <w:vAlign w:val="bottom"/>
            <w:shd w:val="clear" w:color="auto" w:fill="E7E7E8"/>
          </w:tcPr>
          <w:p>
            <w:pPr>
              <w:spacing w:after="0"/>
              <w:rPr>
                <w:sz w:val="5"/>
                <w:szCs w:val="5"/>
                <w:color w:val="auto"/>
              </w:rPr>
            </w:pPr>
          </w:p>
        </w:tc>
        <w:tc>
          <w:tcPr>
            <w:tcW w:w="4500" w:type="dxa"/>
            <w:vAlign w:val="bottom"/>
            <w:shd w:val="clear" w:color="auto" w:fill="E7E7E8"/>
          </w:tcPr>
          <w:p>
            <w:pPr>
              <w:spacing w:after="0"/>
              <w:rPr>
                <w:sz w:val="5"/>
                <w:szCs w:val="5"/>
                <w:color w:val="auto"/>
              </w:rPr>
            </w:pPr>
          </w:p>
        </w:tc>
      </w:tr>
      <w:tr>
        <w:trPr>
          <w:trHeight w:val="251"/>
        </w:trPr>
        <w:tc>
          <w:tcPr>
            <w:tcW w:w="4220" w:type="dxa"/>
            <w:vAlign w:val="bottom"/>
          </w:tcPr>
          <w:p>
            <w:pPr>
              <w:jc w:val="center"/>
              <w:ind w:right="1474"/>
              <w:spacing w:after="0"/>
              <w:rPr>
                <w:sz w:val="20"/>
                <w:szCs w:val="20"/>
                <w:color w:val="auto"/>
              </w:rPr>
            </w:pPr>
            <w:r>
              <w:rPr>
                <w:rFonts w:ascii="Arial" w:cs="Arial" w:eastAsia="Arial" w:hAnsi="Arial"/>
                <w:sz w:val="18"/>
                <w:szCs w:val="18"/>
                <w:color w:val="auto"/>
                <w:w w:val="99"/>
              </w:rPr>
              <w:t>II</w:t>
            </w:r>
          </w:p>
        </w:tc>
        <w:tc>
          <w:tcPr>
            <w:tcW w:w="2520" w:type="dxa"/>
            <w:vAlign w:val="bottom"/>
          </w:tcPr>
          <w:p>
            <w:pPr>
              <w:jc w:val="center"/>
              <w:ind w:right="1315"/>
              <w:spacing w:after="0"/>
              <w:rPr>
                <w:sz w:val="20"/>
                <w:szCs w:val="20"/>
                <w:color w:val="auto"/>
              </w:rPr>
            </w:pPr>
            <w:r>
              <w:rPr>
                <w:rFonts w:ascii="Arial" w:cs="Arial" w:eastAsia="Arial" w:hAnsi="Arial"/>
                <w:sz w:val="18"/>
                <w:szCs w:val="18"/>
                <w:color w:val="auto"/>
                <w:w w:val="99"/>
              </w:rPr>
              <w:t>2026</w:t>
            </w:r>
          </w:p>
        </w:tc>
        <w:tc>
          <w:tcPr>
            <w:tcW w:w="4500" w:type="dxa"/>
            <w:vAlign w:val="bottom"/>
          </w:tcPr>
          <w:p>
            <w:pPr>
              <w:jc w:val="center"/>
              <w:ind w:left="52"/>
              <w:spacing w:after="0"/>
              <w:rPr>
                <w:sz w:val="20"/>
                <w:szCs w:val="20"/>
                <w:color w:val="auto"/>
              </w:rPr>
            </w:pPr>
            <w:r>
              <w:rPr>
                <w:rFonts w:ascii="Arial" w:cs="Arial" w:eastAsia="Arial" w:hAnsi="Arial"/>
                <w:sz w:val="18"/>
                <w:szCs w:val="18"/>
                <w:color w:val="auto"/>
              </w:rPr>
              <w:t>Margot L. Carter</w:t>
            </w:r>
          </w:p>
        </w:tc>
      </w:tr>
      <w:tr>
        <w:trPr>
          <w:trHeight w:val="203"/>
        </w:trPr>
        <w:tc>
          <w:tcPr>
            <w:tcW w:w="4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500" w:type="dxa"/>
            <w:vAlign w:val="bottom"/>
          </w:tcPr>
          <w:p>
            <w:pPr>
              <w:jc w:val="center"/>
              <w:ind w:left="52"/>
              <w:spacing w:after="0" w:line="202" w:lineRule="exact"/>
              <w:rPr>
                <w:sz w:val="20"/>
                <w:szCs w:val="20"/>
                <w:color w:val="auto"/>
              </w:rPr>
            </w:pPr>
            <w:r>
              <w:rPr>
                <w:rFonts w:ascii="Arial" w:cs="Arial" w:eastAsia="Arial" w:hAnsi="Arial"/>
                <w:sz w:val="18"/>
                <w:szCs w:val="18"/>
                <w:color w:val="auto"/>
                <w:w w:val="99"/>
              </w:rPr>
              <w:t>Michael R. Nicolais</w:t>
            </w:r>
          </w:p>
        </w:tc>
      </w:tr>
      <w:tr>
        <w:trPr>
          <w:trHeight w:val="239"/>
        </w:trPr>
        <w:tc>
          <w:tcPr>
            <w:tcW w:w="4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500" w:type="dxa"/>
            <w:vAlign w:val="bottom"/>
          </w:tcPr>
          <w:p>
            <w:pPr>
              <w:jc w:val="center"/>
              <w:ind w:left="52"/>
              <w:spacing w:after="0"/>
              <w:rPr>
                <w:sz w:val="20"/>
                <w:szCs w:val="20"/>
                <w:color w:val="auto"/>
              </w:rPr>
            </w:pPr>
            <w:r>
              <w:rPr>
                <w:rFonts w:ascii="Arial" w:cs="Arial" w:eastAsia="Arial" w:hAnsi="Arial"/>
                <w:sz w:val="18"/>
                <w:szCs w:val="18"/>
                <w:color w:val="auto"/>
                <w:w w:val="99"/>
              </w:rPr>
              <w:t>Mary P. Ricciardello</w:t>
            </w:r>
          </w:p>
        </w:tc>
      </w:tr>
      <w:tr>
        <w:trPr>
          <w:trHeight w:val="50"/>
        </w:trPr>
        <w:tc>
          <w:tcPr>
            <w:tcW w:w="42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4500" w:type="dxa"/>
            <w:vAlign w:val="bottom"/>
          </w:tcPr>
          <w:p>
            <w:pPr>
              <w:spacing w:after="0"/>
              <w:rPr>
                <w:sz w:val="4"/>
                <w:szCs w:val="4"/>
                <w:color w:val="auto"/>
              </w:rPr>
            </w:pPr>
          </w:p>
        </w:tc>
      </w:tr>
      <w:tr>
        <w:trPr>
          <w:trHeight w:val="251"/>
        </w:trPr>
        <w:tc>
          <w:tcPr>
            <w:tcW w:w="4220" w:type="dxa"/>
            <w:vAlign w:val="bottom"/>
            <w:shd w:val="clear" w:color="auto" w:fill="E7E7E8"/>
          </w:tcPr>
          <w:p>
            <w:pPr>
              <w:jc w:val="center"/>
              <w:ind w:right="1454"/>
              <w:spacing w:after="0"/>
              <w:rPr>
                <w:sz w:val="20"/>
                <w:szCs w:val="20"/>
                <w:color w:val="auto"/>
              </w:rPr>
            </w:pPr>
            <w:r>
              <w:rPr>
                <w:rFonts w:ascii="Arial" w:cs="Arial" w:eastAsia="Arial" w:hAnsi="Arial"/>
                <w:sz w:val="18"/>
                <w:szCs w:val="18"/>
                <w:color w:val="auto"/>
              </w:rPr>
              <w:t>III</w:t>
            </w:r>
          </w:p>
        </w:tc>
        <w:tc>
          <w:tcPr>
            <w:tcW w:w="2520" w:type="dxa"/>
            <w:vAlign w:val="bottom"/>
            <w:shd w:val="clear" w:color="auto" w:fill="E7E7E8"/>
          </w:tcPr>
          <w:p>
            <w:pPr>
              <w:jc w:val="center"/>
              <w:ind w:right="1315"/>
              <w:spacing w:after="0"/>
              <w:rPr>
                <w:sz w:val="20"/>
                <w:szCs w:val="20"/>
                <w:color w:val="auto"/>
              </w:rPr>
            </w:pPr>
            <w:r>
              <w:rPr>
                <w:rFonts w:ascii="Arial" w:cs="Arial" w:eastAsia="Arial" w:hAnsi="Arial"/>
                <w:sz w:val="18"/>
                <w:szCs w:val="18"/>
                <w:color w:val="auto"/>
                <w:w w:val="99"/>
              </w:rPr>
              <w:t>2027</w:t>
            </w:r>
          </w:p>
        </w:tc>
        <w:tc>
          <w:tcPr>
            <w:tcW w:w="4500" w:type="dxa"/>
            <w:vAlign w:val="bottom"/>
            <w:shd w:val="clear" w:color="auto" w:fill="E7E7E8"/>
          </w:tcPr>
          <w:p>
            <w:pPr>
              <w:jc w:val="center"/>
              <w:ind w:left="52"/>
              <w:spacing w:after="0"/>
              <w:rPr>
                <w:sz w:val="20"/>
                <w:szCs w:val="20"/>
                <w:color w:val="auto"/>
              </w:rPr>
            </w:pPr>
            <w:r>
              <w:rPr>
                <w:rFonts w:ascii="Arial" w:cs="Arial" w:eastAsia="Arial" w:hAnsi="Arial"/>
                <w:sz w:val="18"/>
                <w:szCs w:val="18"/>
                <w:color w:val="auto"/>
              </w:rPr>
              <w:t>Rick Beckwitt</w:t>
            </w:r>
          </w:p>
        </w:tc>
      </w:tr>
      <w:tr>
        <w:trPr>
          <w:trHeight w:val="203"/>
        </w:trPr>
        <w:tc>
          <w:tcPr>
            <w:tcW w:w="4220" w:type="dxa"/>
            <w:vAlign w:val="bottom"/>
            <w:shd w:val="clear" w:color="auto" w:fill="E7E7E8"/>
          </w:tcPr>
          <w:p>
            <w:pPr>
              <w:spacing w:after="0"/>
              <w:rPr>
                <w:sz w:val="17"/>
                <w:szCs w:val="17"/>
                <w:color w:val="auto"/>
              </w:rPr>
            </w:pPr>
          </w:p>
        </w:tc>
        <w:tc>
          <w:tcPr>
            <w:tcW w:w="2520" w:type="dxa"/>
            <w:vAlign w:val="bottom"/>
            <w:shd w:val="clear" w:color="auto" w:fill="E7E7E8"/>
          </w:tcPr>
          <w:p>
            <w:pPr>
              <w:spacing w:after="0"/>
              <w:rPr>
                <w:sz w:val="17"/>
                <w:szCs w:val="17"/>
                <w:color w:val="auto"/>
              </w:rPr>
            </w:pPr>
          </w:p>
        </w:tc>
        <w:tc>
          <w:tcPr>
            <w:tcW w:w="4500" w:type="dxa"/>
            <w:vAlign w:val="bottom"/>
            <w:shd w:val="clear" w:color="auto" w:fill="E7E7E8"/>
          </w:tcPr>
          <w:p>
            <w:pPr>
              <w:jc w:val="center"/>
              <w:ind w:left="32"/>
              <w:spacing w:after="0" w:line="202" w:lineRule="exact"/>
              <w:rPr>
                <w:sz w:val="20"/>
                <w:szCs w:val="20"/>
                <w:color w:val="auto"/>
              </w:rPr>
            </w:pPr>
            <w:r>
              <w:rPr>
                <w:rFonts w:ascii="Arial" w:cs="Arial" w:eastAsia="Arial" w:hAnsi="Arial"/>
                <w:sz w:val="18"/>
                <w:szCs w:val="18"/>
                <w:color w:val="auto"/>
                <w:w w:val="99"/>
              </w:rPr>
              <w:t>Mauro Gregorio</w:t>
            </w:r>
          </w:p>
        </w:tc>
      </w:tr>
      <w:tr>
        <w:trPr>
          <w:trHeight w:val="242"/>
        </w:trPr>
        <w:tc>
          <w:tcPr>
            <w:tcW w:w="4220" w:type="dxa"/>
            <w:vAlign w:val="bottom"/>
            <w:tcBorders>
              <w:bottom w:val="single" w:sz="8" w:color="051972"/>
            </w:tcBorders>
            <w:shd w:val="clear" w:color="auto" w:fill="E7E7E8"/>
          </w:tcPr>
          <w:p>
            <w:pPr>
              <w:spacing w:after="0"/>
              <w:rPr>
                <w:sz w:val="21"/>
                <w:szCs w:val="21"/>
                <w:color w:val="auto"/>
              </w:rPr>
            </w:pPr>
          </w:p>
        </w:tc>
        <w:tc>
          <w:tcPr>
            <w:tcW w:w="2520" w:type="dxa"/>
            <w:vAlign w:val="bottom"/>
            <w:tcBorders>
              <w:bottom w:val="single" w:sz="8" w:color="051972"/>
            </w:tcBorders>
            <w:shd w:val="clear" w:color="auto" w:fill="E7E7E8"/>
          </w:tcPr>
          <w:p>
            <w:pPr>
              <w:spacing w:after="0"/>
              <w:rPr>
                <w:sz w:val="21"/>
                <w:szCs w:val="21"/>
                <w:color w:val="auto"/>
              </w:rPr>
            </w:pPr>
          </w:p>
        </w:tc>
        <w:tc>
          <w:tcPr>
            <w:tcW w:w="4500" w:type="dxa"/>
            <w:vAlign w:val="bottom"/>
            <w:tcBorders>
              <w:bottom w:val="single" w:sz="8" w:color="051972"/>
            </w:tcBorders>
            <w:shd w:val="clear" w:color="auto" w:fill="E7E7E8"/>
          </w:tcPr>
          <w:p>
            <w:pPr>
              <w:jc w:val="center"/>
              <w:ind w:left="52"/>
              <w:spacing w:after="0"/>
              <w:rPr>
                <w:sz w:val="20"/>
                <w:szCs w:val="20"/>
                <w:color w:val="auto"/>
              </w:rPr>
            </w:pPr>
            <w:r>
              <w:rPr>
                <w:rFonts w:ascii="Arial" w:cs="Arial" w:eastAsia="Arial" w:hAnsi="Arial"/>
                <w:sz w:val="18"/>
                <w:szCs w:val="18"/>
                <w:color w:val="auto"/>
                <w:w w:val="99"/>
              </w:rPr>
              <w:t>Michael R. Haack</w:t>
            </w:r>
          </w:p>
        </w:tc>
      </w:tr>
      <w:tr>
        <w:trPr>
          <w:trHeight w:val="432"/>
        </w:trPr>
        <w:tc>
          <w:tcPr>
            <w:tcW w:w="4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70"/>
        </w:trPr>
        <w:tc>
          <w:tcPr>
            <w:tcW w:w="422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2520" w:type="dxa"/>
            <w:vAlign w:val="bottom"/>
            <w:shd w:val="clear" w:color="auto" w:fill="EEEEEF"/>
          </w:tcPr>
          <w:p>
            <w:pPr>
              <w:spacing w:after="0"/>
              <w:rPr>
                <w:sz w:val="23"/>
                <w:szCs w:val="23"/>
                <w:color w:val="auto"/>
              </w:rPr>
            </w:pPr>
          </w:p>
        </w:tc>
        <w:tc>
          <w:tcPr>
            <w:tcW w:w="450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5</w:t>
            </w:r>
          </w:p>
        </w:tc>
      </w:tr>
      <w:tr>
        <w:trPr>
          <w:trHeight w:val="844"/>
        </w:trPr>
        <w:tc>
          <w:tcPr>
            <w:tcW w:w="42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4"/>
          <w:szCs w:val="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Board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150495</wp:posOffset>
            </wp:positionV>
            <wp:extent cx="5503545" cy="4483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03545" cy="448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Director Independence</w:t>
      </w:r>
    </w:p>
    <w:p>
      <w:pPr>
        <w:spacing w:after="0" w:line="14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NYSE corporate governance rules require that our Board of Directors be comprised of a majority of independent directors. Our Board of Directors has determined, upon the recommendation of our Corporate Governance, Nominating and Sustainability Committee (“Governance Committee”), that all members of our Board of Directors, other than Mr. Haack, are “independent” within the meaning of the specific provisions of the Securities Exchange Act of 1934, as amended (“Exchange Act”) and the corporate governance rules of the NYSE.</w:t>
      </w:r>
    </w:p>
    <w:p>
      <w:pPr>
        <w:spacing w:after="0" w:line="110"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determining that eight of our nine continuing directors are independent, our Board of Directors did not identify any material relationship that would potentially cause Mses. Carter and Ricciardello and Messrs. Beckwitt, Damiris, Gregorio, Ellen, Nicolais and Rush not to be independent for purposes of the Exchange Act or the corporate governance rules of the NYSE. In making its determination, our Board of Directors reviewed information provided by each of the independent directors and information gathered by our management, and determined that none of the independent directors, other than Messrs. Rush and Beckwitt, have any relationship with the Company other than as a director and stockholder. The Board considered that Mr. Rush serves on the board of directors of Builders FirstSource, a customer of our wallboard business, and that Mr. Beckwitt serves on the board of directors of Ferguson Enterprises, a supplier to and customer of our cement business. The Board determined that neither the nature of the relationship between these entities and the Company nor the amount of payments was material to the Company, and that neither Mr. Rush nor Mr. Beckwitt has a material interest in the foregoing transactions. Accordingly, the Board determined that neither Mr. Rush nor Mr. Beckwitt has a material relationship with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2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2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6</w:t>
            </w:r>
          </w:p>
        </w:tc>
      </w:tr>
      <w:tr>
        <w:trPr>
          <w:trHeight w:val="844"/>
        </w:trPr>
        <w:tc>
          <w:tcPr>
            <w:tcW w:w="76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4"/>
          <w:szCs w:val="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97"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Our Board includes leaders with a diverse set of skills across several fields that are material to our business. The matrix below illustrates some of the key skills, qualifications and demographics that our directors bring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99060</wp:posOffset>
            </wp:positionV>
            <wp:extent cx="6506210" cy="60693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06210" cy="6069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051972"/>
        </w:rPr>
        <w:t>Skills &amp; Qualifications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180340</wp:posOffset>
            </wp:positionV>
            <wp:extent cx="33401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4010" cy="274320"/>
                    </a:xfrm>
                    <a:prstGeom prst="rect">
                      <a:avLst/>
                    </a:prstGeom>
                    <a:noFill/>
                  </pic:spPr>
                </pic:pic>
              </a:graphicData>
            </a:graphic>
          </wp:anchor>
        </w:drawing>
      </w:r>
    </w:p>
    <w:p>
      <w:pPr>
        <w:spacing w:after="0" w:line="372"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CEO / Public Company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226695</wp:posOffset>
            </wp:positionV>
            <wp:extent cx="325755" cy="282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755" cy="28257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Public Company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234950</wp:posOffset>
            </wp:positionV>
            <wp:extent cx="351155"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1155" cy="2743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M&amp;A /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226695</wp:posOffset>
            </wp:positionV>
            <wp:extent cx="282575"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Relevant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234950</wp:posOffset>
            </wp:positionV>
            <wp:extent cx="274320" cy="283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320" cy="28321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Finance /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234950</wp:posOffset>
            </wp:positionV>
            <wp:extent cx="299720" cy="274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9720" cy="2743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226695</wp:posOffset>
            </wp:positionV>
            <wp:extent cx="37719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7190" cy="205740"/>
                    </a:xfrm>
                    <a:prstGeom prst="rect">
                      <a:avLst/>
                    </a:prstGeom>
                    <a:noFill/>
                  </pic:spPr>
                </pic:pic>
              </a:graphicData>
            </a:graphic>
          </wp:anchor>
        </w:drawing>
      </w:r>
    </w:p>
    <w:p>
      <w:pPr>
        <w:spacing w:after="0" w:line="390"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Logistics / Supply Chain /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192405</wp:posOffset>
            </wp:positionV>
            <wp:extent cx="402590" cy="282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2590" cy="282575"/>
                    </a:xfrm>
                    <a:prstGeom prst="rect">
                      <a:avLst/>
                    </a:prstGeom>
                    <a:noFill/>
                  </pic:spPr>
                </pic:pic>
              </a:graphicData>
            </a:graphic>
          </wp:anchor>
        </w:drawing>
      </w:r>
    </w:p>
    <w:p>
      <w:pPr>
        <w:spacing w:after="0" w:line="390" w:lineRule="exact"/>
        <w:rPr>
          <w:sz w:val="20"/>
          <w:szCs w:val="20"/>
          <w:color w:val="auto"/>
        </w:rPr>
      </w:pPr>
    </w:p>
    <w:p>
      <w:pPr>
        <w:ind w:left="2040"/>
        <w:spacing w:after="0"/>
        <w:rPr>
          <w:sz w:val="20"/>
          <w:szCs w:val="20"/>
          <w:color w:val="auto"/>
        </w:rPr>
      </w:pPr>
      <w:r>
        <w:rPr>
          <w:rFonts w:ascii="Arial" w:cs="Arial" w:eastAsia="Arial" w:hAnsi="Arial"/>
          <w:sz w:val="16"/>
          <w:szCs w:val="16"/>
          <w:color w:val="051972"/>
        </w:rPr>
        <w:t>Government / Regulatory /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234950</wp:posOffset>
            </wp:positionV>
            <wp:extent cx="265430" cy="283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430" cy="28321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740"/>
        <w:spacing w:after="0"/>
        <w:rPr>
          <w:sz w:val="20"/>
          <w:szCs w:val="20"/>
          <w:color w:val="auto"/>
        </w:rPr>
      </w:pPr>
      <w:r>
        <w:rPr>
          <w:rFonts w:ascii="Arial" w:cs="Arial" w:eastAsia="Arial" w:hAnsi="Arial"/>
          <w:sz w:val="16"/>
          <w:szCs w:val="16"/>
          <w:color w:val="051972"/>
        </w:rPr>
        <w:t>Technology / Engineering /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234950</wp:posOffset>
            </wp:positionV>
            <wp:extent cx="316865" cy="2825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6865" cy="28257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234950</wp:posOffset>
            </wp:positionV>
            <wp:extent cx="282575" cy="282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2575" cy="28257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760"/>
        <w:spacing w:after="0"/>
        <w:rPr>
          <w:sz w:val="20"/>
          <w:szCs w:val="20"/>
          <w:color w:val="auto"/>
        </w:rPr>
      </w:pPr>
      <w:r>
        <w:rPr>
          <w:rFonts w:ascii="Arial" w:cs="Arial" w:eastAsia="Arial" w:hAnsi="Arial"/>
          <w:sz w:val="16"/>
          <w:szCs w:val="16"/>
          <w:color w:val="051972"/>
        </w:rPr>
        <w:t>Executive Compensation</w:t>
      </w:r>
    </w:p>
    <w:p>
      <w:pPr>
        <w:spacing w:after="0" w:line="35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051972"/>
        </w:rPr>
        <w:t>Other Board Demographics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000" w:type="dxa"/>
            <w:vAlign w:val="bottom"/>
          </w:tcPr>
          <w:p>
            <w:pPr>
              <w:spacing w:after="0"/>
              <w:rPr>
                <w:sz w:val="24"/>
                <w:szCs w:val="24"/>
                <w:color w:val="auto"/>
              </w:rPr>
            </w:pPr>
          </w:p>
        </w:tc>
        <w:tc>
          <w:tcPr>
            <w:tcW w:w="4500" w:type="dxa"/>
            <w:vAlign w:val="bottom"/>
            <w:tcBorders>
              <w:top w:val="single" w:sz="8" w:color="F9C100"/>
              <w:right w:val="single" w:sz="8" w:color="F9C100"/>
            </w:tcBorders>
          </w:tcPr>
          <w:p>
            <w:pPr>
              <w:jc w:val="center"/>
              <w:spacing w:after="0"/>
              <w:rPr>
                <w:sz w:val="20"/>
                <w:szCs w:val="20"/>
                <w:color w:val="auto"/>
              </w:rPr>
            </w:pPr>
            <w:r>
              <w:rPr>
                <w:rFonts w:ascii="Arial" w:cs="Arial" w:eastAsia="Arial" w:hAnsi="Arial"/>
                <w:sz w:val="18"/>
                <w:szCs w:val="18"/>
                <w:color w:val="051972"/>
                <w:w w:val="99"/>
              </w:rPr>
              <w:t>Age</w:t>
            </w:r>
          </w:p>
        </w:tc>
        <w:tc>
          <w:tcPr>
            <w:tcW w:w="640" w:type="dxa"/>
            <w:vAlign w:val="bottom"/>
            <w:tcBorders>
              <w:top w:val="single" w:sz="8" w:color="F9C100"/>
            </w:tcBorders>
          </w:tcPr>
          <w:p>
            <w:pPr>
              <w:jc w:val="right"/>
              <w:ind w:right="159"/>
              <w:spacing w:after="0"/>
              <w:rPr>
                <w:sz w:val="20"/>
                <w:szCs w:val="20"/>
                <w:color w:val="auto"/>
              </w:rPr>
            </w:pPr>
            <w:r>
              <w:rPr>
                <w:rFonts w:ascii="Arial" w:cs="Arial" w:eastAsia="Arial" w:hAnsi="Arial"/>
                <w:sz w:val="16"/>
                <w:szCs w:val="16"/>
                <w:color w:val="auto"/>
              </w:rPr>
              <w:t>66</w:t>
            </w:r>
          </w:p>
        </w:tc>
        <w:tc>
          <w:tcPr>
            <w:tcW w:w="640" w:type="dxa"/>
            <w:vAlign w:val="bottom"/>
            <w:tcBorders>
              <w:top w:val="single" w:sz="8" w:color="F9C100"/>
            </w:tcBorders>
          </w:tcPr>
          <w:p>
            <w:pPr>
              <w:jc w:val="right"/>
              <w:ind w:right="159"/>
              <w:spacing w:after="0"/>
              <w:rPr>
                <w:sz w:val="20"/>
                <w:szCs w:val="20"/>
                <w:color w:val="auto"/>
              </w:rPr>
            </w:pPr>
            <w:r>
              <w:rPr>
                <w:rFonts w:ascii="Arial" w:cs="Arial" w:eastAsia="Arial" w:hAnsi="Arial"/>
                <w:sz w:val="16"/>
                <w:szCs w:val="16"/>
                <w:color w:val="auto"/>
              </w:rPr>
              <w:t>57</w:t>
            </w:r>
          </w:p>
        </w:tc>
        <w:tc>
          <w:tcPr>
            <w:tcW w:w="620" w:type="dxa"/>
            <w:vAlign w:val="bottom"/>
            <w:tcBorders>
              <w:top w:val="single" w:sz="8" w:color="F9C100"/>
            </w:tcBorders>
          </w:tcPr>
          <w:p>
            <w:pPr>
              <w:jc w:val="right"/>
              <w:ind w:right="139"/>
              <w:spacing w:after="0"/>
              <w:rPr>
                <w:sz w:val="20"/>
                <w:szCs w:val="20"/>
                <w:color w:val="auto"/>
              </w:rPr>
            </w:pPr>
            <w:r>
              <w:rPr>
                <w:rFonts w:ascii="Arial" w:cs="Arial" w:eastAsia="Arial" w:hAnsi="Arial"/>
                <w:sz w:val="16"/>
                <w:szCs w:val="16"/>
                <w:color w:val="auto"/>
              </w:rPr>
              <w:t>65</w:t>
            </w:r>
          </w:p>
        </w:tc>
        <w:tc>
          <w:tcPr>
            <w:tcW w:w="640" w:type="dxa"/>
            <w:vAlign w:val="bottom"/>
            <w:tcBorders>
              <w:top w:val="single" w:sz="8" w:color="F9C100"/>
            </w:tcBorders>
          </w:tcPr>
          <w:p>
            <w:pPr>
              <w:jc w:val="right"/>
              <w:ind w:right="139"/>
              <w:spacing w:after="0"/>
              <w:rPr>
                <w:sz w:val="20"/>
                <w:szCs w:val="20"/>
                <w:color w:val="auto"/>
              </w:rPr>
            </w:pPr>
            <w:r>
              <w:rPr>
                <w:rFonts w:ascii="Arial" w:cs="Arial" w:eastAsia="Arial" w:hAnsi="Arial"/>
                <w:sz w:val="16"/>
                <w:szCs w:val="16"/>
                <w:color w:val="auto"/>
              </w:rPr>
              <w:t>71</w:t>
            </w:r>
          </w:p>
        </w:tc>
        <w:tc>
          <w:tcPr>
            <w:tcW w:w="640" w:type="dxa"/>
            <w:vAlign w:val="bottom"/>
            <w:tcBorders>
              <w:top w:val="single" w:sz="8" w:color="F9C100"/>
            </w:tcBorders>
          </w:tcPr>
          <w:p>
            <w:pPr>
              <w:jc w:val="right"/>
              <w:ind w:right="159"/>
              <w:spacing w:after="0"/>
              <w:rPr>
                <w:sz w:val="20"/>
                <w:szCs w:val="20"/>
                <w:color w:val="auto"/>
              </w:rPr>
            </w:pPr>
            <w:r>
              <w:rPr>
                <w:rFonts w:ascii="Arial" w:cs="Arial" w:eastAsia="Arial" w:hAnsi="Arial"/>
                <w:sz w:val="16"/>
                <w:szCs w:val="16"/>
                <w:color w:val="auto"/>
              </w:rPr>
              <w:t>62</w:t>
            </w:r>
          </w:p>
        </w:tc>
        <w:tc>
          <w:tcPr>
            <w:tcW w:w="620" w:type="dxa"/>
            <w:vAlign w:val="bottom"/>
            <w:tcBorders>
              <w:top w:val="single" w:sz="8" w:color="F9C100"/>
            </w:tcBorders>
          </w:tcPr>
          <w:p>
            <w:pPr>
              <w:jc w:val="right"/>
              <w:ind w:right="139"/>
              <w:spacing w:after="0"/>
              <w:rPr>
                <w:sz w:val="20"/>
                <w:szCs w:val="20"/>
                <w:color w:val="auto"/>
              </w:rPr>
            </w:pPr>
            <w:r>
              <w:rPr>
                <w:rFonts w:ascii="Arial" w:cs="Arial" w:eastAsia="Arial" w:hAnsi="Arial"/>
                <w:sz w:val="16"/>
                <w:szCs w:val="16"/>
                <w:color w:val="auto"/>
              </w:rPr>
              <w:t>52</w:t>
            </w:r>
          </w:p>
        </w:tc>
        <w:tc>
          <w:tcPr>
            <w:tcW w:w="640" w:type="dxa"/>
            <w:vAlign w:val="bottom"/>
            <w:tcBorders>
              <w:top w:val="single" w:sz="8" w:color="F9C100"/>
            </w:tcBorders>
          </w:tcPr>
          <w:p>
            <w:pPr>
              <w:jc w:val="right"/>
              <w:ind w:right="139"/>
              <w:spacing w:after="0"/>
              <w:rPr>
                <w:sz w:val="20"/>
                <w:szCs w:val="20"/>
                <w:color w:val="auto"/>
              </w:rPr>
            </w:pPr>
            <w:r>
              <w:rPr>
                <w:rFonts w:ascii="Arial" w:cs="Arial" w:eastAsia="Arial" w:hAnsi="Arial"/>
                <w:sz w:val="16"/>
                <w:szCs w:val="16"/>
                <w:color w:val="auto"/>
              </w:rPr>
              <w:t>67</w:t>
            </w:r>
          </w:p>
        </w:tc>
        <w:tc>
          <w:tcPr>
            <w:tcW w:w="660" w:type="dxa"/>
            <w:vAlign w:val="bottom"/>
            <w:tcBorders>
              <w:top w:val="single" w:sz="8" w:color="F9C100"/>
            </w:tcBorders>
          </w:tcPr>
          <w:p>
            <w:pPr>
              <w:jc w:val="right"/>
              <w:ind w:right="159"/>
              <w:spacing w:after="0"/>
              <w:rPr>
                <w:sz w:val="20"/>
                <w:szCs w:val="20"/>
                <w:color w:val="auto"/>
              </w:rPr>
            </w:pPr>
            <w:r>
              <w:rPr>
                <w:rFonts w:ascii="Arial" w:cs="Arial" w:eastAsia="Arial" w:hAnsi="Arial"/>
                <w:sz w:val="16"/>
                <w:szCs w:val="16"/>
                <w:color w:val="auto"/>
              </w:rPr>
              <w:t>69</w:t>
            </w:r>
          </w:p>
        </w:tc>
        <w:tc>
          <w:tcPr>
            <w:tcW w:w="640" w:type="dxa"/>
            <w:vAlign w:val="bottom"/>
            <w:tcBorders>
              <w:top w:val="single" w:sz="8" w:color="F9C100"/>
            </w:tcBorders>
          </w:tcPr>
          <w:p>
            <w:pPr>
              <w:jc w:val="right"/>
              <w:ind w:right="156"/>
              <w:spacing w:after="0"/>
              <w:rPr>
                <w:sz w:val="20"/>
                <w:szCs w:val="20"/>
                <w:color w:val="auto"/>
              </w:rPr>
            </w:pPr>
            <w:r>
              <w:rPr>
                <w:rFonts w:ascii="Arial" w:cs="Arial" w:eastAsia="Arial" w:hAnsi="Arial"/>
                <w:sz w:val="16"/>
                <w:szCs w:val="16"/>
                <w:color w:val="auto"/>
              </w:rPr>
              <w:t>62</w:t>
            </w:r>
          </w:p>
        </w:tc>
      </w:tr>
      <w:tr>
        <w:trPr>
          <w:trHeight w:val="257"/>
        </w:trPr>
        <w:tc>
          <w:tcPr>
            <w:tcW w:w="1000" w:type="dxa"/>
            <w:vAlign w:val="bottom"/>
          </w:tcPr>
          <w:p>
            <w:pPr>
              <w:spacing w:after="0"/>
              <w:rPr>
                <w:sz w:val="22"/>
                <w:szCs w:val="22"/>
                <w:color w:val="auto"/>
              </w:rPr>
            </w:pPr>
          </w:p>
        </w:tc>
        <w:tc>
          <w:tcPr>
            <w:tcW w:w="4500" w:type="dxa"/>
            <w:vAlign w:val="bottom"/>
            <w:tcBorders>
              <w:right w:val="single" w:sz="8" w:color="F9C100"/>
            </w:tcBorders>
          </w:tcPr>
          <w:p>
            <w:pPr>
              <w:jc w:val="center"/>
              <w:spacing w:after="0"/>
              <w:rPr>
                <w:sz w:val="20"/>
                <w:szCs w:val="20"/>
                <w:color w:val="auto"/>
              </w:rPr>
            </w:pPr>
            <w:r>
              <w:rPr>
                <w:rFonts w:ascii="Arial" w:cs="Arial" w:eastAsia="Arial" w:hAnsi="Arial"/>
                <w:sz w:val="18"/>
                <w:szCs w:val="18"/>
                <w:color w:val="051972"/>
                <w:w w:val="99"/>
              </w:rPr>
              <w:t>Gender Diversity</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7"/>
        </w:trPr>
        <w:tc>
          <w:tcPr>
            <w:tcW w:w="1000" w:type="dxa"/>
            <w:vAlign w:val="bottom"/>
          </w:tcPr>
          <w:p>
            <w:pPr>
              <w:spacing w:after="0"/>
              <w:rPr>
                <w:sz w:val="22"/>
                <w:szCs w:val="22"/>
                <w:color w:val="auto"/>
              </w:rPr>
            </w:pPr>
          </w:p>
        </w:tc>
        <w:tc>
          <w:tcPr>
            <w:tcW w:w="4500" w:type="dxa"/>
            <w:vAlign w:val="bottom"/>
            <w:tcBorders>
              <w:right w:val="single" w:sz="8" w:color="F9C100"/>
            </w:tcBorders>
          </w:tcPr>
          <w:p>
            <w:pPr>
              <w:jc w:val="center"/>
              <w:spacing w:after="0"/>
              <w:rPr>
                <w:sz w:val="20"/>
                <w:szCs w:val="20"/>
                <w:color w:val="auto"/>
              </w:rPr>
            </w:pPr>
            <w:r>
              <w:rPr>
                <w:rFonts w:ascii="Arial" w:cs="Arial" w:eastAsia="Arial" w:hAnsi="Arial"/>
                <w:sz w:val="18"/>
                <w:szCs w:val="18"/>
                <w:color w:val="051972"/>
                <w:w w:val="99"/>
              </w:rPr>
              <w:t>Racial / Ethnic Diversity</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9"/>
        </w:trPr>
        <w:tc>
          <w:tcPr>
            <w:tcW w:w="1000" w:type="dxa"/>
            <w:vAlign w:val="bottom"/>
          </w:tcPr>
          <w:p>
            <w:pPr>
              <w:spacing w:after="0"/>
              <w:rPr>
                <w:sz w:val="24"/>
                <w:szCs w:val="24"/>
                <w:color w:val="auto"/>
              </w:rPr>
            </w:pPr>
          </w:p>
        </w:tc>
        <w:tc>
          <w:tcPr>
            <w:tcW w:w="4500" w:type="dxa"/>
            <w:vAlign w:val="bottom"/>
            <w:tcBorders>
              <w:right w:val="single" w:sz="8" w:color="F9C100"/>
            </w:tcBorders>
          </w:tcPr>
          <w:p>
            <w:pPr>
              <w:jc w:val="center"/>
              <w:spacing w:after="0"/>
              <w:rPr>
                <w:sz w:val="20"/>
                <w:szCs w:val="20"/>
                <w:color w:val="auto"/>
              </w:rPr>
            </w:pPr>
            <w:r>
              <w:rPr>
                <w:rFonts w:ascii="Arial" w:cs="Arial" w:eastAsia="Arial" w:hAnsi="Arial"/>
                <w:sz w:val="18"/>
                <w:szCs w:val="18"/>
                <w:color w:val="051972"/>
                <w:w w:val="99"/>
              </w:rPr>
              <w:t>Tenure (# years)</w:t>
            </w:r>
          </w:p>
        </w:tc>
        <w:tc>
          <w:tcPr>
            <w:tcW w:w="640" w:type="dxa"/>
            <w:vAlign w:val="bottom"/>
          </w:tcPr>
          <w:p>
            <w:pPr>
              <w:jc w:val="right"/>
              <w:ind w:right="159"/>
              <w:spacing w:after="0"/>
              <w:rPr>
                <w:sz w:val="20"/>
                <w:szCs w:val="20"/>
                <w:color w:val="auto"/>
              </w:rPr>
            </w:pPr>
            <w:r>
              <w:rPr>
                <w:rFonts w:ascii="Arial" w:cs="Arial" w:eastAsia="Arial" w:hAnsi="Arial"/>
                <w:sz w:val="16"/>
                <w:szCs w:val="16"/>
                <w:color w:val="auto"/>
              </w:rPr>
              <w:t>11</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8</w:t>
            </w: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640" w:type="dxa"/>
            <w:vAlign w:val="bottom"/>
          </w:tcPr>
          <w:p>
            <w:pPr>
              <w:jc w:val="right"/>
              <w:ind w:right="199"/>
              <w:spacing w:after="0"/>
              <w:rPr>
                <w:sz w:val="20"/>
                <w:szCs w:val="20"/>
                <w:color w:val="auto"/>
              </w:rPr>
            </w:pPr>
            <w:r>
              <w:rPr>
                <w:rFonts w:ascii="Arial" w:cs="Arial" w:eastAsia="Arial" w:hAnsi="Arial"/>
                <w:sz w:val="16"/>
                <w:szCs w:val="16"/>
                <w:color w:val="auto"/>
              </w:rPr>
              <w:t>4</w:t>
            </w: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6</w:t>
            </w: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24</w:t>
            </w:r>
          </w:p>
        </w:tc>
        <w:tc>
          <w:tcPr>
            <w:tcW w:w="66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640" w:type="dxa"/>
            <w:vAlign w:val="bottom"/>
          </w:tcPr>
          <w:p>
            <w:pPr>
              <w:jc w:val="right"/>
              <w:ind w:right="196"/>
              <w:spacing w:after="0"/>
              <w:rPr>
                <w:sz w:val="20"/>
                <w:szCs w:val="20"/>
                <w:color w:val="auto"/>
              </w:rPr>
            </w:pPr>
            <w:r>
              <w:rPr>
                <w:rFonts w:ascii="Arial" w:cs="Arial" w:eastAsia="Arial" w:hAnsi="Arial"/>
                <w:sz w:val="16"/>
                <w:szCs w:val="16"/>
                <w:color w:val="auto"/>
              </w:rPr>
              <w:t>1</w:t>
            </w:r>
          </w:p>
        </w:tc>
      </w:tr>
      <w:tr>
        <w:trPr>
          <w:trHeight w:val="432"/>
        </w:trPr>
        <w:tc>
          <w:tcPr>
            <w:tcW w:w="10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5500" w:type="dxa"/>
            <w:vAlign w:val="bottom"/>
            <w:tcBorders>
              <w:right w:val="single" w:sz="8" w:color="EEEEEF"/>
            </w:tcBorders>
            <w:gridSpan w:val="2"/>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640" w:type="dxa"/>
            <w:vAlign w:val="bottom"/>
            <w:shd w:val="clear" w:color="auto" w:fill="EEEEEF"/>
          </w:tcPr>
          <w:p>
            <w:pPr>
              <w:spacing w:after="0"/>
              <w:rPr>
                <w:sz w:val="23"/>
                <w:szCs w:val="23"/>
                <w:color w:val="auto"/>
              </w:rPr>
            </w:pPr>
          </w:p>
        </w:tc>
        <w:tc>
          <w:tcPr>
            <w:tcW w:w="640" w:type="dxa"/>
            <w:vAlign w:val="bottom"/>
            <w:shd w:val="clear" w:color="auto" w:fill="EEEEEF"/>
          </w:tcPr>
          <w:p>
            <w:pPr>
              <w:spacing w:after="0"/>
              <w:rPr>
                <w:sz w:val="23"/>
                <w:szCs w:val="23"/>
                <w:color w:val="auto"/>
              </w:rPr>
            </w:pPr>
          </w:p>
        </w:tc>
        <w:tc>
          <w:tcPr>
            <w:tcW w:w="620" w:type="dxa"/>
            <w:vAlign w:val="bottom"/>
            <w:shd w:val="clear" w:color="auto" w:fill="EEEEEF"/>
          </w:tcPr>
          <w:p>
            <w:pPr>
              <w:spacing w:after="0"/>
              <w:rPr>
                <w:sz w:val="23"/>
                <w:szCs w:val="23"/>
                <w:color w:val="auto"/>
              </w:rPr>
            </w:pPr>
          </w:p>
        </w:tc>
        <w:tc>
          <w:tcPr>
            <w:tcW w:w="640" w:type="dxa"/>
            <w:vAlign w:val="bottom"/>
            <w:shd w:val="clear" w:color="auto" w:fill="EEEEEF"/>
          </w:tcPr>
          <w:p>
            <w:pPr>
              <w:spacing w:after="0"/>
              <w:rPr>
                <w:sz w:val="23"/>
                <w:szCs w:val="23"/>
                <w:color w:val="auto"/>
              </w:rPr>
            </w:pPr>
          </w:p>
        </w:tc>
        <w:tc>
          <w:tcPr>
            <w:tcW w:w="640" w:type="dxa"/>
            <w:vAlign w:val="bottom"/>
            <w:shd w:val="clear" w:color="auto" w:fill="EEEEEF"/>
          </w:tcPr>
          <w:p>
            <w:pPr>
              <w:spacing w:after="0"/>
              <w:rPr>
                <w:sz w:val="23"/>
                <w:szCs w:val="23"/>
                <w:color w:val="auto"/>
              </w:rPr>
            </w:pPr>
          </w:p>
        </w:tc>
        <w:tc>
          <w:tcPr>
            <w:tcW w:w="620" w:type="dxa"/>
            <w:vAlign w:val="bottom"/>
            <w:shd w:val="clear" w:color="auto" w:fill="EEEEEF"/>
          </w:tcPr>
          <w:p>
            <w:pPr>
              <w:spacing w:after="0"/>
              <w:rPr>
                <w:sz w:val="23"/>
                <w:szCs w:val="23"/>
                <w:color w:val="auto"/>
              </w:rPr>
            </w:pPr>
          </w:p>
        </w:tc>
        <w:tc>
          <w:tcPr>
            <w:tcW w:w="640" w:type="dxa"/>
            <w:vAlign w:val="bottom"/>
            <w:shd w:val="clear" w:color="auto" w:fill="EEEEEF"/>
          </w:tcPr>
          <w:p>
            <w:pPr>
              <w:spacing w:after="0"/>
              <w:rPr>
                <w:sz w:val="23"/>
                <w:szCs w:val="23"/>
                <w:color w:val="auto"/>
              </w:rPr>
            </w:pPr>
          </w:p>
        </w:tc>
        <w:tc>
          <w:tcPr>
            <w:tcW w:w="660" w:type="dxa"/>
            <w:vAlign w:val="bottom"/>
            <w:shd w:val="clear" w:color="auto" w:fill="EEEEEF"/>
          </w:tcPr>
          <w:p>
            <w:pPr>
              <w:spacing w:after="0"/>
              <w:rPr>
                <w:sz w:val="23"/>
                <w:szCs w:val="23"/>
                <w:color w:val="auto"/>
              </w:rPr>
            </w:pPr>
          </w:p>
        </w:tc>
        <w:tc>
          <w:tcPr>
            <w:tcW w:w="64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7</w:t>
            </w:r>
          </w:p>
        </w:tc>
      </w:tr>
      <w:tr>
        <w:trPr>
          <w:trHeight w:val="844"/>
        </w:trPr>
        <w:tc>
          <w:tcPr>
            <w:tcW w:w="10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4"/>
          <w:szCs w:val="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Nominees</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Each of the nominees listed below is currently a member of our Board of Directors. Each of these nominees has been recommended for nomination by our Governance Committee after considering the criteria described below under the heading “Corporate Governance, Nominating and Sustainability Committee.” We have no reason to believe that any of the listed nominees will become unavailable for election, but if for any reason that should be the case, proxies may be voted for substitute nominees.</w:t>
      </w:r>
    </w:p>
    <w:p>
      <w:pPr>
        <w:spacing w:after="0" w:line="11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Because this is an uncontested election of directors, a majority of votes cast by the holders of our Common Stock present in person or represented by proxy at the meeting and entitled to vote on the subject matter (number of shares voted “for” a director nominee must exceed the number of votes cast “against” the director nominee) will be required to elect the nominees for director in accordance with our Bylaws. (A plurality voting standard would apply in a contested election.) Under our Corporate Governance Guidelines, the Governance Committee will not nominate any director candidate until such director candidate has submitted in writing his or her resignation as a director, which resignation would become effective if the director candidate fails to receive the required majority vote in an uncontested election and the Board accepts such resignation. If a director candidate fails to receive the required majority vote, a special committee of independent directors will consider the resignation and make a recommendation to the Board as to whether to accept or reject such resignation. The Board will then publicly disclose its decision regarding the resignation and the rationale behind the decision.</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Corporate Governance Guidelines generally require directors to retire at the first annual meeting that occurs after the director’s 75th birthday unless the Board (other than the affected director) waives the requirement upon the recommendation of the Governance Committee. Pursuant to these guidelines, (a) Mr. Powers will retire at the annual meeting and is not seeking re-election as a Class I director; and (b) Mr. Stewart is anticipated to retire as a Class II director at the annual meeting.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107950</wp:posOffset>
            </wp:positionV>
            <wp:extent cx="5554980" cy="960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54980" cy="960120"/>
                    </a:xfrm>
                    <a:prstGeom prst="rect">
                      <a:avLst/>
                    </a:prstGeom>
                    <a:noFill/>
                  </pic:spPr>
                </pic:pic>
              </a:graphicData>
            </a:graphic>
          </wp:anchor>
        </w:drawing>
      </w:r>
    </w:p>
    <w:p>
      <w:pPr>
        <w:spacing w:after="0" w:line="229" w:lineRule="exact"/>
        <w:rPr>
          <w:sz w:val="20"/>
          <w:szCs w:val="20"/>
          <w:color w:val="auto"/>
        </w:rPr>
      </w:pPr>
    </w:p>
    <w:p>
      <w:pPr>
        <w:ind w:left="2600" w:right="180"/>
        <w:spacing w:after="0" w:line="266" w:lineRule="auto"/>
        <w:rPr>
          <w:sz w:val="20"/>
          <w:szCs w:val="20"/>
          <w:color w:val="auto"/>
        </w:rPr>
      </w:pPr>
      <w:r>
        <w:rPr>
          <w:rFonts w:ascii="Arial" w:cs="Arial" w:eastAsia="Arial" w:hAnsi="Arial"/>
          <w:sz w:val="16"/>
          <w:szCs w:val="16"/>
          <w:b w:val="1"/>
          <w:bCs w:val="1"/>
          <w:color w:val="auto"/>
        </w:rPr>
        <w:t xml:space="preserve">Our Board of Directors recommends that holders of Common Stock vote </w:t>
      </w:r>
      <w:r>
        <w:rPr>
          <w:rFonts w:ascii="Arial" w:cs="Arial" w:eastAsia="Arial" w:hAnsi="Arial"/>
          <w:sz w:val="21"/>
          <w:szCs w:val="21"/>
          <w:b w:val="1"/>
          <w:bCs w:val="1"/>
          <w:color w:val="051972"/>
        </w:rPr>
        <w:t>FOR</w:t>
      </w:r>
      <w:r>
        <w:rPr>
          <w:rFonts w:ascii="Arial" w:cs="Arial" w:eastAsia="Arial" w:hAnsi="Arial"/>
          <w:sz w:val="16"/>
          <w:szCs w:val="16"/>
          <w:b w:val="1"/>
          <w:bCs w:val="1"/>
          <w:color w:val="auto"/>
        </w:rPr>
        <w:t xml:space="preserve"> the election of the three nominees listed below to serve as Class I directors for a three-year term ending at our 2028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-238760</wp:posOffset>
            </wp:positionV>
            <wp:extent cx="480060" cy="4800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6"/>
          <w:szCs w:val="16"/>
          <w:color w:val="auto"/>
        </w:rPr>
        <w:t>George J. Damiris</w:t>
      </w:r>
    </w:p>
    <w:p>
      <w:pPr>
        <w:spacing w:after="0" w:line="46"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Martin M. Ellen</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David Rush</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Director Qualifications and Biographies</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Set forth below is information about the nominees standing for election at our 2025 annual meeting, as well as our continuing directors whose terms of office do not expire at such annual meeting. The biographical information appearing below regarding the nominees for director and continuing directors has been furnished to us by the respective nominees and directors. Also included below is a brief description of how each individual’s experience qualifies him or her to serve as a director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2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2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8</w:t>
            </w:r>
          </w:p>
        </w:tc>
      </w:tr>
      <w:tr>
        <w:trPr>
          <w:trHeight w:val="844"/>
        </w:trPr>
        <w:tc>
          <w:tcPr>
            <w:tcW w:w="76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4"/>
          <w:szCs w:val="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Nominees Whose Terms Expire at our 2025 Annual Meeting</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4465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4659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George J. Damiris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Retired President and</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HollyFrontier Corporation</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Holly Energy Partners, L.P.</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65</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2016</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12"/>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 (Chair)</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ind w:left="140" w:right="240" w:hanging="133"/>
        <w:spacing w:after="0" w:line="263" w:lineRule="auto"/>
        <w:tabs>
          <w:tab w:leader="none" w:pos="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and Chief Executive Officer, HollyFrontier Corporation and Holly Energy Partners, L.P. (2016-2019)</w:t>
      </w:r>
    </w:p>
    <w:p>
      <w:pPr>
        <w:ind w:left="140" w:hanging="133"/>
        <w:spacing w:after="0"/>
        <w:tabs>
          <w:tab w:leader="none" w:pos="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and Chief Operating Officer, HollyFrontier Corporation (2014-2016)</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Supply and Marketing, HollyFrontier Corporation (2008-2014)</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Vice President, Corporate Development, HollyFrontier Corporation (2007-2008)</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INVISTA Intermediates, Koch Industries, Inc. (2004-2007)</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Managing Director, Koch Capital Markets, Koch Industries, Inc. (2001-2004)</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Vice President, Koch Refining Company, Koch Industries, Inc. (1997-2001)</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Vice President, Koch Chemical, Koch Industries, Inc. (1994-1997)</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Koch Gas Services, Koch Industries, Inc. (1991-1994)</w:t>
      </w:r>
    </w:p>
    <w:p>
      <w:pPr>
        <w:spacing w:after="0" w:line="31" w:lineRule="exact"/>
        <w:rPr>
          <w:rFonts w:ascii="Times New Roman" w:cs="Times New Roman" w:eastAsia="Times New Roman" w:hAnsi="Times New Roman"/>
          <w:sz w:val="16"/>
          <w:szCs w:val="16"/>
          <w:color w:val="auto"/>
        </w:rPr>
      </w:pPr>
    </w:p>
    <w:p>
      <w:pPr>
        <w:ind w:left="140" w:right="320" w:hanging="133"/>
        <w:spacing w:after="0" w:line="285" w:lineRule="auto"/>
        <w:tabs>
          <w:tab w:leader="none" w:pos="14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Manager – Commercial Development, Koch Petroleum Group, Koch Industries, Inc. (1989-1991)</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340" w:hanging="133"/>
        <w:spacing w:after="0" w:line="262" w:lineRule="auto"/>
        <w:tabs>
          <w:tab w:leader="none" w:pos="1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Deep business leadership experience, including commercial and operational oversight of a regulated heavy industrial business</w:t>
      </w:r>
    </w:p>
    <w:p>
      <w:pPr>
        <w:ind w:left="140" w:right="420" w:hanging="133"/>
        <w:spacing w:after="0" w:line="252" w:lineRule="auto"/>
        <w:tabs>
          <w:tab w:leader="none" w:pos="1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public company leadership experience, including strategic planning, capital allocation, compensation programs, succession planning, governance, investor and other stakeholder relations</w:t>
      </w:r>
    </w:p>
    <w:p>
      <w:pPr>
        <w:ind w:left="140" w:right="300" w:hanging="133"/>
        <w:spacing w:after="0" w:line="269" w:lineRule="auto"/>
        <w:tabs>
          <w:tab w:leader="none" w:pos="14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Proven business development experience identifying, evaluating, executing and integrating various mergers, acquisitions, divestitures and capital projects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MRC Global Inc. (NYSE: MRC) (2021-present)</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HollyFrontier Corporation (NYSE: HFC) (2015-2019)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Holly Energy Partners, L.P. (NYSE: HEP) (2016-2019)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Petroleum Service Corporation (2021-2024)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B.S., Chemical Engineering, Case Western Reserve University</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M.B.A., Case Western Reserve University</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2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2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9</w:t>
            </w:r>
          </w:p>
        </w:tc>
      </w:tr>
      <w:tr>
        <w:trPr>
          <w:trHeight w:val="844"/>
        </w:trPr>
        <w:tc>
          <w:tcPr>
            <w:tcW w:w="76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4"/>
          <w:szCs w:val="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46462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Martin M. Ellen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Retired Chief Financial Officer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and Executive Vice President,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Dr Pepper Snapple Group, Inc.</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71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2013</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Audit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ind w:left="140" w:right="160" w:hanging="133"/>
        <w:spacing w:after="0" w:line="263" w:lineRule="auto"/>
        <w:tabs>
          <w:tab w:leader="none" w:pos="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and Executive Vice President, Dr Pepper Snapple Group, Inc. (NYSE: DPS) (2010-2018)</w:t>
      </w:r>
    </w:p>
    <w:p>
      <w:pPr>
        <w:ind w:left="140" w:right="420" w:hanging="133"/>
        <w:spacing w:after="0" w:line="262" w:lineRule="auto"/>
        <w:tabs>
          <w:tab w:leader="none" w:pos="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and Senior Vice President – Finance, Snap-on Inc. (NYSE: SNAP) (2002-2010)</w:t>
      </w:r>
    </w:p>
    <w:p>
      <w:pPr>
        <w:spacing w:after="0" w:line="1" w:lineRule="exact"/>
        <w:rPr>
          <w:rFonts w:ascii="Times New Roman" w:cs="Times New Roman" w:eastAsia="Times New Roman" w:hAnsi="Times New Roman"/>
          <w:sz w:val="16"/>
          <w:szCs w:val="16"/>
          <w:color w:val="auto"/>
        </w:rPr>
      </w:pPr>
    </w:p>
    <w:p>
      <w:pPr>
        <w:ind w:left="140" w:right="180" w:hanging="133"/>
        <w:spacing w:after="0" w:line="254" w:lineRule="auto"/>
        <w:tabs>
          <w:tab w:leader="none" w:pos="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Vice President and Chief Financial Officer, Cabot Microelectronics Corporation (NTSE: CBT) (2001-2002)</w:t>
      </w:r>
    </w:p>
    <w:p>
      <w:pPr>
        <w:spacing w:after="0" w:line="1" w:lineRule="exact"/>
        <w:rPr>
          <w:rFonts w:ascii="Times New Roman" w:cs="Times New Roman" w:eastAsia="Times New Roman" w:hAnsi="Times New Roman"/>
          <w:sz w:val="16"/>
          <w:szCs w:val="16"/>
          <w:color w:val="auto"/>
        </w:rPr>
      </w:pPr>
    </w:p>
    <w:p>
      <w:pPr>
        <w:ind w:left="140" w:right="160" w:hanging="133"/>
        <w:spacing w:after="0" w:line="255" w:lineRule="auto"/>
        <w:tabs>
          <w:tab w:leader="none" w:pos="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and Chief Financial Officer, Whitman Corporation (NYSE: PAS) (1998-2001)</w:t>
      </w:r>
    </w:p>
    <w:p>
      <w:pPr>
        <w:spacing w:after="0" w:line="1" w:lineRule="exact"/>
        <w:rPr>
          <w:rFonts w:ascii="Times New Roman" w:cs="Times New Roman" w:eastAsia="Times New Roman" w:hAnsi="Times New Roman"/>
          <w:sz w:val="16"/>
          <w:szCs w:val="16"/>
          <w:color w:val="auto"/>
        </w:rPr>
      </w:pPr>
    </w:p>
    <w:p>
      <w:pPr>
        <w:ind w:left="140" w:right="280" w:hanging="133"/>
        <w:spacing w:after="0" w:line="262" w:lineRule="auto"/>
        <w:tabs>
          <w:tab w:leader="none" w:pos="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of two Caremark divisions (Home Healthcare and Physician Practice Management) (1992-1998)</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Sun Electric Corp. (1988-1992)</w:t>
      </w:r>
    </w:p>
    <w:p>
      <w:pPr>
        <w:spacing w:after="0" w:line="19"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D&amp;K Financial Corp. (1984-1988)</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Senior Audit Manager, Price Waterhouse (1975-1984)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220" w:hanging="133"/>
        <w:spacing w:after="0" w:line="257" w:lineRule="auto"/>
        <w:tabs>
          <w:tab w:leader="none" w:pos="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Rigorous accounting, tax, treasury, audit, information technology and business development experience and knowledge gained from over 30 years serving as chief financial officer with public and private companies and prior experience with a major public accounting firm</w:t>
      </w:r>
    </w:p>
    <w:p>
      <w:pPr>
        <w:ind w:left="140" w:right="480" w:hanging="133"/>
        <w:spacing w:after="0" w:line="252" w:lineRule="auto"/>
        <w:tabs>
          <w:tab w:leader="none" w:pos="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As Chief Financial Officer, extensive executive, leadership and operational experience in strategic planning, risk oversight, executive compensation, lean and six sigma process improvement methodologies and environmental, social and governance issues</w:t>
      </w:r>
    </w:p>
    <w:p>
      <w:pPr>
        <w:ind w:left="140" w:right="60" w:hanging="133"/>
        <w:spacing w:after="0" w:line="269" w:lineRule="auto"/>
        <w:tabs>
          <w:tab w:leader="none" w:pos="1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M&amp;A and business development experience gained through principal involvement in over $40 billion of acquisitions and divestitures internationally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B.S., Accounting, University of Illinois Urbana-Champaign</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M.B.A., J.L. Kellogg Graduate School of Business, Northwestern University</w:t>
      </w:r>
    </w:p>
    <w:p>
      <w:pPr>
        <w:spacing w:after="0" w:line="58"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Certified Public Accountant</w:t>
      </w:r>
    </w:p>
    <w:p>
      <w:pPr>
        <w:spacing w:after="0" w:line="31" w:lineRule="exact"/>
        <w:rPr>
          <w:rFonts w:ascii="Times New Roman" w:cs="Times New Roman" w:eastAsia="Times New Roman" w:hAnsi="Times New Roman"/>
          <w:sz w:val="16"/>
          <w:szCs w:val="16"/>
          <w:color w:val="auto"/>
        </w:rPr>
      </w:pPr>
    </w:p>
    <w:p>
      <w:pPr>
        <w:ind w:left="140" w:right="660" w:hanging="133"/>
        <w:spacing w:after="0" w:line="285" w:lineRule="auto"/>
        <w:tabs>
          <w:tab w:leader="none" w:pos="14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Instructor, Business Leadership Center, Southern Methodist University, Cox School of Business</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10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4"/>
          <w:szCs w:val="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4088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08876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David Rush</w:t>
      </w:r>
    </w:p>
    <w:p>
      <w:pPr>
        <w:spacing w:after="0" w:line="23" w:lineRule="exact"/>
        <w:rPr>
          <w:sz w:val="20"/>
          <w:szCs w:val="20"/>
          <w:color w:val="auto"/>
        </w:rPr>
      </w:pPr>
    </w:p>
    <w:p>
      <w:pPr>
        <w:ind w:left="60"/>
        <w:spacing w:after="0" w:line="276" w:lineRule="auto"/>
        <w:rPr>
          <w:sz w:val="20"/>
          <w:szCs w:val="20"/>
          <w:color w:val="auto"/>
        </w:rPr>
      </w:pPr>
      <w:r>
        <w:rPr>
          <w:rFonts w:ascii="Arial" w:cs="Arial" w:eastAsia="Arial" w:hAnsi="Arial"/>
          <w:sz w:val="16"/>
          <w:szCs w:val="16"/>
          <w:b w:val="1"/>
          <w:bCs w:val="1"/>
          <w:color w:val="auto"/>
        </w:rPr>
        <w:t>Retired President and Chief Executive Officer, Builders FirstSource, Inc.</w:t>
      </w:r>
    </w:p>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Times New Roman" w:cs="Times New Roman" w:eastAsia="Times New Roman" w:hAnsi="Times New Roman"/>
          <w:sz w:val="18"/>
          <w:szCs w:val="18"/>
          <w:b w:val="1"/>
          <w:bCs w:val="1"/>
          <w:color w:val="000000"/>
        </w:rPr>
        <w:t>62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2025</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Audit (appointed May 2025)</w:t>
      </w:r>
    </w:p>
    <w:p>
      <w:pPr>
        <w:spacing w:after="0" w:line="44" w:lineRule="exact"/>
        <w:rPr>
          <w:rFonts w:ascii="Times New Roman" w:cs="Times New Roman" w:eastAsia="Times New Roman" w:hAnsi="Times New Roman"/>
          <w:sz w:val="16"/>
          <w:szCs w:val="16"/>
          <w:color w:val="auto"/>
        </w:rPr>
      </w:pPr>
    </w:p>
    <w:p>
      <w:pPr>
        <w:ind w:left="140" w:hanging="81"/>
        <w:spacing w:after="0"/>
        <w:tabs>
          <w:tab w:leader="none" w:pos="14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 (appointed May 2025)</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ind w:left="140" w:hanging="133"/>
        <w:spacing w:after="0"/>
        <w:tabs>
          <w:tab w:leader="none" w:pos="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and Chief Executive Officer, Builders FirstSource, Inc. (NYSE: BLDR) (2023-2024)</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Interim Chief Executive Officer, Builders FirstSource, Inc. (2022-2023)</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Strategic Management Office, Builders FirstSource, Inc. (2022-2022)</w:t>
      </w:r>
    </w:p>
    <w:p>
      <w:pPr>
        <w:spacing w:after="0" w:line="31" w:lineRule="exact"/>
        <w:rPr>
          <w:rFonts w:ascii="Times New Roman" w:cs="Times New Roman" w:eastAsia="Times New Roman" w:hAnsi="Times New Roman"/>
          <w:sz w:val="16"/>
          <w:szCs w:val="16"/>
          <w:color w:val="auto"/>
        </w:rPr>
      </w:pPr>
    </w:p>
    <w:p>
      <w:pPr>
        <w:ind w:left="140" w:right="300" w:hanging="133"/>
        <w:spacing w:after="0" w:line="263" w:lineRule="auto"/>
        <w:tabs>
          <w:tab w:leader="none" w:pos="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Integration Management Office, Builders FirstSource, Inc. (2021-2022)</w:t>
      </w:r>
    </w:p>
    <w:p>
      <w:pPr>
        <w:ind w:left="140" w:right="240" w:hanging="133"/>
        <w:spacing w:after="0" w:line="262" w:lineRule="auto"/>
        <w:tabs>
          <w:tab w:leader="none" w:pos="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and Regional Chief Operating Officer, East, Builders FirstSource, Inc. (2018-2021)</w:t>
      </w:r>
    </w:p>
    <w:p>
      <w:pPr>
        <w:spacing w:after="0" w:line="1" w:lineRule="exact"/>
        <w:rPr>
          <w:rFonts w:ascii="Times New Roman" w:cs="Times New Roman" w:eastAsia="Times New Roman" w:hAnsi="Times New Roman"/>
          <w:sz w:val="16"/>
          <w:szCs w:val="16"/>
          <w:color w:val="auto"/>
        </w:rPr>
      </w:pPr>
    </w:p>
    <w:p>
      <w:pPr>
        <w:ind w:left="140" w:right="140" w:hanging="133"/>
        <w:spacing w:after="0" w:line="254" w:lineRule="auto"/>
        <w:tabs>
          <w:tab w:leader="none" w:pos="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Strategy and Business Development, Builders FirstSource, Inc. (2017-2018)</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Integration, Builders FirstSource, Inc. (2015-2017)</w:t>
      </w:r>
    </w:p>
    <w:p>
      <w:pPr>
        <w:spacing w:after="0" w:line="32" w:lineRule="exact"/>
        <w:rPr>
          <w:rFonts w:ascii="Times New Roman" w:cs="Times New Roman" w:eastAsia="Times New Roman" w:hAnsi="Times New Roman"/>
          <w:sz w:val="16"/>
          <w:szCs w:val="16"/>
          <w:color w:val="auto"/>
        </w:rPr>
      </w:pPr>
    </w:p>
    <w:p>
      <w:pPr>
        <w:ind w:left="140" w:right="20" w:hanging="133"/>
        <w:spacing w:after="0" w:line="262" w:lineRule="auto"/>
        <w:tabs>
          <w:tab w:leader="none" w:pos="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Area Vice President, South Carolina, North Carolina and Tennessee, Builders FirstSource, Inc. (2003-2015)</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Vice President, Finance, Builders FirstSource, Inc. (1999-2003)</w:t>
      </w:r>
    </w:p>
    <w:p>
      <w:pPr>
        <w:spacing w:after="0" w:line="19"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Chief Financial Officer, Bojangles Inc. (1998-1999)</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hanging="133"/>
        <w:spacing w:after="0"/>
        <w:tabs>
          <w:tab w:leader="none" w:pos="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Previous President and CEO of publicly traded Fortune 500 company</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Current member of Board of Directors of Builders FirstSource</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Various senior management financial roles throughout his 40-year career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Builders FirstSource, Inc. (NYSE: BLDR) (2022-present)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B.A., Accounting, University of North Carolina at Chapel Hill</w:t>
      </w:r>
    </w:p>
    <w:p>
      <w:pPr>
        <w:spacing w:after="0" w:line="200" w:lineRule="exact"/>
        <w:rPr>
          <w:sz w:val="20"/>
          <w:szCs w:val="20"/>
          <w:color w:val="auto"/>
        </w:rPr>
      </w:pPr>
    </w:p>
    <w:p>
      <w:pPr>
        <w:sectPr>
          <w:pgSz w:w="11900" w:h="16838" w:orient="portrait"/>
          <w:cols w:equalWidth="0" w:num="2">
            <w:col w:w="3600" w:space="680"/>
            <w:col w:w="6960"/>
          </w:cols>
          <w:pgMar w:left="320" w:top="7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11</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4"/>
          <w:szCs w:val="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360" w:lineRule="exact"/>
        <w:rPr>
          <w:sz w:val="20"/>
          <w:szCs w:val="20"/>
          <w:color w:val="auto"/>
        </w:rPr>
      </w:pPr>
    </w:p>
    <w:p>
      <w:pPr>
        <w:ind w:left="4820" w:right="2980" w:hanging="2583"/>
        <w:spacing w:after="0" w:line="281" w:lineRule="auto"/>
        <w:rPr>
          <w:sz w:val="20"/>
          <w:szCs w:val="20"/>
          <w:color w:val="auto"/>
        </w:rPr>
      </w:pPr>
      <w:r>
        <w:rPr>
          <w:rFonts w:ascii="Arial" w:cs="Arial" w:eastAsia="Arial" w:hAnsi="Arial"/>
          <w:sz w:val="18"/>
          <w:szCs w:val="18"/>
          <w:b w:val="1"/>
          <w:bCs w:val="1"/>
          <w:color w:val="auto"/>
        </w:rPr>
        <w:t>Continuing Directors Whose Terms Expire at our 2026 Annual Meeting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5469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5469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Margot L. Carter</w:t>
      </w:r>
    </w:p>
    <w:p>
      <w:pPr>
        <w:spacing w:after="0" w:line="23" w:lineRule="exact"/>
        <w:rPr>
          <w:sz w:val="20"/>
          <w:szCs w:val="20"/>
          <w:color w:val="auto"/>
        </w:rPr>
      </w:pPr>
    </w:p>
    <w:p>
      <w:pPr>
        <w:ind w:left="60" w:right="1180"/>
        <w:spacing w:after="0" w:line="276" w:lineRule="auto"/>
        <w:rPr>
          <w:sz w:val="20"/>
          <w:szCs w:val="20"/>
          <w:color w:val="auto"/>
        </w:rPr>
      </w:pPr>
      <w:r>
        <w:rPr>
          <w:rFonts w:ascii="Arial" w:cs="Arial" w:eastAsia="Arial" w:hAnsi="Arial"/>
          <w:sz w:val="16"/>
          <w:szCs w:val="16"/>
          <w:b w:val="1"/>
          <w:bCs w:val="1"/>
          <w:color w:val="auto"/>
        </w:rPr>
        <w:t>President and Founder, Living Mountain Capital L.L.C.</w:t>
      </w:r>
    </w:p>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57</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2017</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w:t>
      </w:r>
    </w:p>
    <w:p>
      <w:pPr>
        <w:spacing w:after="0" w:line="44" w:lineRule="exact"/>
        <w:rPr>
          <w:rFonts w:ascii="Times New Roman" w:cs="Times New Roman" w:eastAsia="Times New Roman" w:hAnsi="Times New Roman"/>
          <w:sz w:val="16"/>
          <w:szCs w:val="16"/>
          <w:color w:val="auto"/>
        </w:rPr>
      </w:pPr>
    </w:p>
    <w:p>
      <w:pPr>
        <w:ind w:left="140" w:right="560" w:hanging="81"/>
        <w:spacing w:after="0" w:line="262" w:lineRule="auto"/>
        <w:tabs>
          <w:tab w:leader="none" w:pos="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Governance, Nominating and Sustainability</w:t>
      </w:r>
    </w:p>
    <w:p>
      <w:pPr>
        <w:spacing w:after="0" w:line="1" w:lineRule="exact"/>
        <w:rPr>
          <w:rFonts w:ascii="Times New Roman" w:cs="Times New Roman" w:eastAsia="Times New Roman" w:hAnsi="Times New Roman"/>
          <w:sz w:val="16"/>
          <w:szCs w:val="16"/>
          <w:color w:val="auto"/>
        </w:rPr>
      </w:pPr>
    </w:p>
    <w:p>
      <w:pPr>
        <w:ind w:left="140" w:hanging="81"/>
        <w:spacing w:after="0"/>
        <w:tabs>
          <w:tab w:leader="none" w:pos="1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Former Member of the Audit Committee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jc w:val="both"/>
        <w:ind w:left="140" w:right="140" w:hanging="133"/>
        <w:spacing w:after="0" w:line="257" w:lineRule="auto"/>
        <w:tabs>
          <w:tab w:leader="none" w:pos="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Living Mountain Capital L.L.C., a business advisory consulting firm she founded in 1998. She advises and invests in companies, including Cien.ai, a cloud-based digital AI sales intelligence business, which she co-founded in 2016</w:t>
      </w:r>
    </w:p>
    <w:p>
      <w:pPr>
        <w:spacing w:after="0" w:line="2" w:lineRule="exact"/>
        <w:rPr>
          <w:rFonts w:ascii="Times New Roman" w:cs="Times New Roman" w:eastAsia="Times New Roman" w:hAnsi="Times New Roman"/>
          <w:sz w:val="16"/>
          <w:szCs w:val="16"/>
          <w:color w:val="auto"/>
        </w:rPr>
      </w:pPr>
    </w:p>
    <w:p>
      <w:pPr>
        <w:ind w:left="140" w:right="180" w:hanging="133"/>
        <w:spacing w:after="0" w:line="262" w:lineRule="auto"/>
        <w:tabs>
          <w:tab w:leader="none" w:pos="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Chief Legal Officer and Secretary, RealPage, Inc. (Nasdaq: RP), a leading global software and data analytics company for the real estate industry (2010-2015)</w:t>
      </w:r>
    </w:p>
    <w:p>
      <w:pPr>
        <w:spacing w:after="0" w:line="1" w:lineRule="exact"/>
        <w:rPr>
          <w:rFonts w:ascii="Times New Roman" w:cs="Times New Roman" w:eastAsia="Times New Roman" w:hAnsi="Times New Roman"/>
          <w:sz w:val="16"/>
          <w:szCs w:val="16"/>
          <w:color w:val="auto"/>
        </w:rPr>
      </w:pPr>
    </w:p>
    <w:p>
      <w:pPr>
        <w:ind w:left="140" w:right="300" w:hanging="133"/>
        <w:spacing w:after="0" w:line="254" w:lineRule="auto"/>
        <w:tabs>
          <w:tab w:leader="none" w:pos="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and General Counsel, The Princeton Review, Inc. (Nasdaq: TPR) (2004-2007)</w:t>
      </w:r>
    </w:p>
    <w:p>
      <w:pPr>
        <w:spacing w:after="0" w:line="1" w:lineRule="exact"/>
        <w:rPr>
          <w:rFonts w:ascii="Times New Roman" w:cs="Times New Roman" w:eastAsia="Times New Roman" w:hAnsi="Times New Roman"/>
          <w:sz w:val="16"/>
          <w:szCs w:val="16"/>
          <w:color w:val="auto"/>
        </w:rPr>
      </w:pPr>
    </w:p>
    <w:p>
      <w:pPr>
        <w:ind w:left="140" w:right="400" w:hanging="133"/>
        <w:spacing w:after="0" w:line="255" w:lineRule="auto"/>
        <w:tabs>
          <w:tab w:leader="none" w:pos="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General Counsel and Executive Managing Director, Soundview Technology Group, Inc. (Nasdaq: SNDV) (2003-2004)</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Assistant General Counsel, Cantor Fitzgerald and eSpeed, Inc. (Nasdaq: ESPD) (2001-2003)</w:t>
      </w:r>
    </w:p>
    <w:p>
      <w:pPr>
        <w:spacing w:after="0" w:line="31" w:lineRule="exact"/>
        <w:rPr>
          <w:rFonts w:ascii="Times New Roman" w:cs="Times New Roman" w:eastAsia="Times New Roman" w:hAnsi="Times New Roman"/>
          <w:sz w:val="16"/>
          <w:szCs w:val="16"/>
          <w:color w:val="auto"/>
        </w:rPr>
      </w:pPr>
    </w:p>
    <w:p>
      <w:pPr>
        <w:ind w:left="140" w:right="100" w:hanging="133"/>
        <w:spacing w:after="0" w:line="262" w:lineRule="auto"/>
        <w:tabs>
          <w:tab w:leader="none" w:pos="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General Counsel and Secretary, SourceHOV (Nasdaq: FYII) (1996-2000)</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Finance Attorney, Morgan Lewis &amp; Bockius (1991-1996)</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80" w:hanging="133"/>
        <w:spacing w:after="0" w:line="254" w:lineRule="auto"/>
        <w:tabs>
          <w:tab w:leader="none" w:pos="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Proven executive and leadership experience, including as a C-suite executive and director of public companies, providing broad insight into the dynamics of a corporate board, strategic planning, risk oversight and human capital, executive compensation and environmental, social and governance issues</w:t>
      </w:r>
    </w:p>
    <w:p>
      <w:pPr>
        <w:spacing w:after="0" w:line="1" w:lineRule="exact"/>
        <w:rPr>
          <w:rFonts w:ascii="Times New Roman" w:cs="Times New Roman" w:eastAsia="Times New Roman" w:hAnsi="Times New Roman"/>
          <w:sz w:val="16"/>
          <w:szCs w:val="16"/>
          <w:color w:val="auto"/>
        </w:rPr>
      </w:pPr>
    </w:p>
    <w:p>
      <w:pPr>
        <w:ind w:left="140" w:right="300" w:hanging="133"/>
        <w:spacing w:after="0" w:line="250" w:lineRule="auto"/>
        <w:tabs>
          <w:tab w:leader="none" w:pos="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Deep M&amp;A and business development experience gained through multiple acquisitions throughout her career, including while at RealPage (which she took public) and through the sale of businesses (The Princeton Review’s sale to Bain Capital Ventures and Soundview Technology Group’s sale to The Charles Schwab Corporation)</w:t>
      </w:r>
    </w:p>
    <w:p>
      <w:pPr>
        <w:spacing w:after="0" w:line="2" w:lineRule="exact"/>
        <w:rPr>
          <w:rFonts w:ascii="Times New Roman" w:cs="Times New Roman" w:eastAsia="Times New Roman" w:hAnsi="Times New Roman"/>
          <w:sz w:val="16"/>
          <w:szCs w:val="16"/>
          <w:color w:val="auto"/>
        </w:rPr>
      </w:pPr>
    </w:p>
    <w:p>
      <w:pPr>
        <w:jc w:val="both"/>
        <w:ind w:left="140" w:right="460" w:hanging="133"/>
        <w:spacing w:after="0" w:line="254" w:lineRule="auto"/>
        <w:tabs>
          <w:tab w:leader="none" w:pos="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Industry knowledge gained through service as presiding independent director of Installed Building Products and as a director of Interior Logic Group through its sale to Blackstone</w:t>
      </w:r>
    </w:p>
    <w:p>
      <w:pPr>
        <w:spacing w:after="0" w:line="1" w:lineRule="exact"/>
        <w:rPr>
          <w:rFonts w:ascii="Times New Roman" w:cs="Times New Roman" w:eastAsia="Times New Roman" w:hAnsi="Times New Roman"/>
          <w:sz w:val="16"/>
          <w:szCs w:val="16"/>
          <w:color w:val="auto"/>
        </w:rPr>
      </w:pPr>
    </w:p>
    <w:p>
      <w:pPr>
        <w:ind w:left="140" w:right="120" w:hanging="133"/>
        <w:spacing w:after="0" w:line="269" w:lineRule="auto"/>
        <w:tabs>
          <w:tab w:leader="none" w:pos="1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Rigorous financial discipline as a former member of our Audit Committee and as a member of IBP’s audit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Tyler Technologies, Inc. (NYSE: TYL) (2024-present)</w:t>
      </w:r>
    </w:p>
    <w:p>
      <w:pPr>
        <w:spacing w:after="0" w:line="30" w:lineRule="exact"/>
        <w:rPr>
          <w:rFonts w:ascii="Times New Roman" w:cs="Times New Roman" w:eastAsia="Times New Roman" w:hAnsi="Times New Roman"/>
          <w:sz w:val="16"/>
          <w:szCs w:val="16"/>
          <w:color w:val="auto"/>
        </w:rPr>
      </w:pPr>
    </w:p>
    <w:p>
      <w:pPr>
        <w:ind w:left="140" w:right="160" w:hanging="133"/>
        <w:spacing w:after="0" w:line="262" w:lineRule="auto"/>
        <w:tabs>
          <w:tab w:leader="none" w:pos="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Installed Building Products, Inc. (NYSE: IBP) – Presiding Independent Director, Chair of Nominating and Governance Committee and member of the Audit Committee (2014-present)</w:t>
      </w:r>
    </w:p>
    <w:p>
      <w:pPr>
        <w:spacing w:after="0" w:line="1" w:lineRule="exact"/>
        <w:rPr>
          <w:rFonts w:ascii="Times New Roman" w:cs="Times New Roman" w:eastAsia="Times New Roman" w:hAnsi="Times New Roman"/>
          <w:sz w:val="16"/>
          <w:szCs w:val="16"/>
          <w:color w:val="auto"/>
        </w:rPr>
      </w:pPr>
    </w:p>
    <w:p>
      <w:pPr>
        <w:ind w:left="140" w:right="340" w:hanging="133"/>
        <w:spacing w:after="0" w:line="254" w:lineRule="auto"/>
        <w:tabs>
          <w:tab w:leader="none" w:pos="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North Texas Chapter of National Association of Corporate Directors, Chair Emeritus; Chair (2022-2023)</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Interior Logic Group Holdings, Inc. (2017-2021)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B.A., Economics and History, Binghamton University</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J.D., Fordham University School of Law</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NACD Directorship Certified (NACD.DC)</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12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4"/>
          <w:szCs w:val="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088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08876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Michael R. Nicolais</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Managing Partner,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Roble Drive Investment Company</w:t>
      </w:r>
    </w:p>
    <w:p>
      <w:pPr>
        <w:spacing w:after="0" w:line="1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67</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2001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67" w:lineRule="exact"/>
        <w:rPr>
          <w:sz w:val="20"/>
          <w:szCs w:val="20"/>
          <w:color w:val="auto"/>
        </w:rPr>
      </w:pPr>
    </w:p>
    <w:p>
      <w:pPr>
        <w:ind w:left="60" w:right="1300"/>
        <w:spacing w:after="0" w:line="296" w:lineRule="auto"/>
        <w:rPr>
          <w:sz w:val="20"/>
          <w:szCs w:val="20"/>
          <w:color w:val="auto"/>
        </w:rPr>
      </w:pPr>
      <w:r>
        <w:rPr>
          <w:rFonts w:ascii="Arial" w:cs="Arial" w:eastAsia="Arial" w:hAnsi="Arial"/>
          <w:sz w:val="16"/>
          <w:szCs w:val="16"/>
          <w:b w:val="1"/>
          <w:bCs w:val="1"/>
          <w:color w:val="auto"/>
        </w:rPr>
        <w:t>Chairman of the Board since 2019</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Executive</w:t>
      </w:r>
    </w:p>
    <w:p>
      <w:pPr>
        <w:spacing w:after="0" w:line="30" w:lineRule="exact"/>
        <w:rPr>
          <w:rFonts w:ascii="Times New Roman" w:cs="Times New Roman" w:eastAsia="Times New Roman" w:hAnsi="Times New Roman"/>
          <w:sz w:val="16"/>
          <w:szCs w:val="16"/>
          <w:color w:val="auto"/>
        </w:rPr>
      </w:pPr>
    </w:p>
    <w:p>
      <w:pPr>
        <w:ind w:left="140" w:hanging="81"/>
        <w:spacing w:after="0"/>
        <w:tabs>
          <w:tab w:leader="none" w:pos="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Compensation</w:t>
      </w:r>
    </w:p>
    <w:p>
      <w:pPr>
        <w:spacing w:after="0" w:line="44" w:lineRule="exact"/>
        <w:rPr>
          <w:rFonts w:ascii="Times New Roman" w:cs="Times New Roman" w:eastAsia="Times New Roman" w:hAnsi="Times New Roman"/>
          <w:sz w:val="16"/>
          <w:szCs w:val="16"/>
          <w:color w:val="auto"/>
        </w:rPr>
      </w:pPr>
    </w:p>
    <w:p>
      <w:pPr>
        <w:ind w:left="140" w:right="20" w:hanging="81"/>
        <w:spacing w:after="0" w:line="285" w:lineRule="auto"/>
        <w:tabs>
          <w:tab w:leader="none" w:pos="1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Former Chairman of the Corporate Governance and Nominating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98" w:lineRule="exact"/>
        <w:rPr>
          <w:sz w:val="20"/>
          <w:szCs w:val="20"/>
          <w:color w:val="auto"/>
        </w:rPr>
      </w:pPr>
    </w:p>
    <w:p>
      <w:pPr>
        <w:ind w:left="140" w:right="100" w:hanging="133"/>
        <w:spacing w:after="0" w:line="263" w:lineRule="auto"/>
        <w:tabs>
          <w:tab w:leader="none" w:pos="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Managing Director, Roble Drive Investment Company, a private investment firm he founded in 2020 (2020-present)</w:t>
      </w:r>
    </w:p>
    <w:p>
      <w:pPr>
        <w:ind w:left="140" w:hanging="133"/>
        <w:spacing w:after="0"/>
        <w:tabs>
          <w:tab w:leader="none" w:pos="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Vice Chairman and Chief Executive Officer, Highlander Partners L.P. (2017-2019)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Highlander Partners, L.P. (2004-2016)</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Managing Director, Stephens, Inc. (2002-2004)</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Partner, Olivhan Investments, L.P. (2001-2002)</w:t>
      </w:r>
    </w:p>
    <w:p>
      <w:pPr>
        <w:spacing w:after="0" w:line="31" w:lineRule="exact"/>
        <w:rPr>
          <w:rFonts w:ascii="Times New Roman" w:cs="Times New Roman" w:eastAsia="Times New Roman" w:hAnsi="Times New Roman"/>
          <w:sz w:val="16"/>
          <w:szCs w:val="16"/>
          <w:color w:val="auto"/>
        </w:rPr>
      </w:pPr>
    </w:p>
    <w:p>
      <w:pPr>
        <w:ind w:left="140" w:right="440" w:hanging="133"/>
        <w:spacing w:after="0" w:line="285" w:lineRule="auto"/>
        <w:tabs>
          <w:tab w:leader="none" w:pos="1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Managing Director, Investment Banking Division, Donaldson, Lufkin &amp; Jenrette Securities Corporation (1986-2000)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480" w:hanging="133"/>
        <w:spacing w:after="0" w:line="262" w:lineRule="auto"/>
        <w:tabs>
          <w:tab w:leader="none" w:pos="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Deep knowledge of capital markets, financial analysis and financial oversight experience gained through his work as an investment banker and investment manager</w:t>
      </w:r>
    </w:p>
    <w:p>
      <w:pPr>
        <w:ind w:left="140" w:right="200" w:hanging="133"/>
        <w:spacing w:after="0" w:line="254" w:lineRule="auto"/>
        <w:tabs>
          <w:tab w:leader="none" w:pos="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experience as a director of portfolio companies, including with respect to financial, operational and executive compensation matters</w:t>
      </w:r>
    </w:p>
    <w:p>
      <w:pPr>
        <w:spacing w:after="0" w:line="1" w:lineRule="exact"/>
        <w:rPr>
          <w:rFonts w:ascii="Times New Roman" w:cs="Times New Roman" w:eastAsia="Times New Roman" w:hAnsi="Times New Roman"/>
          <w:sz w:val="16"/>
          <w:szCs w:val="16"/>
          <w:color w:val="auto"/>
        </w:rPr>
      </w:pPr>
    </w:p>
    <w:p>
      <w:pPr>
        <w:ind w:left="140" w:right="600" w:hanging="133"/>
        <w:spacing w:after="0" w:line="269" w:lineRule="auto"/>
        <w:tabs>
          <w:tab w:leader="none" w:pos="1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mergers and acquisitions experience gained through numerous acquisitions, investments and divestitures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Hi-Tech Systems, LLC (2022-present)</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University of Puget Sound, Trustee (2018-2020)</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Bevolution Corp (2016-2019)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Twitchell Corp. (2016-2019)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FDL Ltd. (2017-2019)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Biamp, Inc. (2017-2019)</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B.A., Economics, Wake Forest University</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M.B.A., The Wharton School, University of Pennsylvania</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13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4"/>
          <w:szCs w:val="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954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495490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Mary P. Ricciardello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Retired Senior Vice President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and Chief Accounting Officer,</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Reliant Energy Inc.</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69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2020</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Audit</w:t>
      </w:r>
    </w:p>
    <w:p>
      <w:pPr>
        <w:spacing w:after="0" w:line="44" w:lineRule="exact"/>
        <w:rPr>
          <w:rFonts w:ascii="Times New Roman" w:cs="Times New Roman" w:eastAsia="Times New Roman" w:hAnsi="Times New Roman"/>
          <w:sz w:val="16"/>
          <w:szCs w:val="16"/>
          <w:color w:val="auto"/>
        </w:rPr>
      </w:pPr>
    </w:p>
    <w:p>
      <w:pPr>
        <w:ind w:left="140" w:right="560" w:hanging="81"/>
        <w:spacing w:after="0" w:line="285" w:lineRule="auto"/>
        <w:tabs>
          <w:tab w:leader="none" w:pos="1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Governance, Nominating 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58" w:lineRule="exact"/>
        <w:rPr>
          <w:sz w:val="20"/>
          <w:szCs w:val="20"/>
          <w:color w:val="auto"/>
        </w:rPr>
      </w:pPr>
    </w:p>
    <w:p>
      <w:pPr>
        <w:ind w:left="140" w:hanging="133"/>
        <w:spacing w:after="0"/>
        <w:tabs>
          <w:tab w:leader="none" w:pos="1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Senior Vice President and Chief Accounting Officer, Reliant Energy Inc. (1999-2002)</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Vice President and Comptroller, Reliant Energy Inc. (1996-1999)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Comptroller, Reliant Energy Inc. (1993-1996)</w:t>
      </w:r>
    </w:p>
    <w:p>
      <w:pPr>
        <w:spacing w:after="0" w:line="31" w:lineRule="exact"/>
        <w:rPr>
          <w:rFonts w:ascii="Times New Roman" w:cs="Times New Roman" w:eastAsia="Times New Roman" w:hAnsi="Times New Roman"/>
          <w:sz w:val="16"/>
          <w:szCs w:val="16"/>
          <w:color w:val="auto"/>
        </w:rPr>
      </w:pPr>
    </w:p>
    <w:p>
      <w:pPr>
        <w:ind w:left="140" w:right="180" w:hanging="133"/>
        <w:spacing w:after="0" w:line="263" w:lineRule="auto"/>
        <w:tabs>
          <w:tab w:leader="none" w:pos="1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Assistant Treasurer and Assistant Corporate Secretary, Houston Lighting &amp; Power Company (1991-1993)</w:t>
      </w:r>
    </w:p>
    <w:p>
      <w:pPr>
        <w:ind w:left="140" w:hanging="133"/>
        <w:spacing w:after="0"/>
        <w:tabs>
          <w:tab w:leader="none" w:pos="1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Manager, Financial Services, Houston Lighting &amp; Power Company (1986 -1990)</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200" w:hanging="133"/>
        <w:spacing w:after="0" w:line="262" w:lineRule="auto"/>
        <w:tabs>
          <w:tab w:leader="none" w:pos="1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Rigorous accounting, corporate finance, tax and financial experience gained as an executive officer and board member of public and private entities</w:t>
      </w:r>
    </w:p>
    <w:p>
      <w:pPr>
        <w:ind w:left="140" w:right="440" w:hanging="133"/>
        <w:spacing w:after="0" w:line="252" w:lineRule="auto"/>
        <w:tabs>
          <w:tab w:leader="none" w:pos="1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Deep experience and knowledge acquired as an executive officer and board member, including with respect to strategic planning, corporate governance, strategic transactions, executive compensation, and environmental and social matters</w:t>
      </w:r>
    </w:p>
    <w:p>
      <w:pPr>
        <w:ind w:left="140" w:right="60" w:hanging="133"/>
        <w:spacing w:after="0" w:line="269" w:lineRule="auto"/>
        <w:tabs>
          <w:tab w:leader="none" w:pos="1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M&amp;A and business development experience gained through large acquisitions and divestitures (domestic and international)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ProPetro Holding Corp. (NYSE: PUMP) (2023-present)</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Devon Energy (NYSE: DVN) (2008-2021)</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Noble Corporation (NYSE: NE) (2003-2020)</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EnLink Midstream (NYSE: ENLC) (2014-2018)</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Midstates Petroleum (NYSE: MPO) (2010-2013)</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U.S. Concrete (Nasdaq: RMIX) (2003-2010)</w:t>
      </w:r>
    </w:p>
    <w:p>
      <w:pPr>
        <w:spacing w:after="0" w:line="31" w:lineRule="exact"/>
        <w:rPr>
          <w:rFonts w:ascii="Times New Roman" w:cs="Times New Roman" w:eastAsia="Times New Roman" w:hAnsi="Times New Roman"/>
          <w:sz w:val="16"/>
          <w:szCs w:val="16"/>
          <w:color w:val="auto"/>
        </w:rPr>
      </w:pPr>
    </w:p>
    <w:p>
      <w:pPr>
        <w:ind w:left="140" w:right="140" w:hanging="133"/>
        <w:spacing w:after="0" w:line="262" w:lineRule="auto"/>
        <w:tabs>
          <w:tab w:leader="none" w:pos="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TriCities Chapter (Houston) of National Association of Corporate Directors, Board Leadership Fellow</w:t>
      </w:r>
    </w:p>
    <w:p>
      <w:pPr>
        <w:spacing w:after="0" w:line="1" w:lineRule="exact"/>
        <w:rPr>
          <w:rFonts w:ascii="Times New Roman" w:cs="Times New Roman" w:eastAsia="Times New Roman" w:hAnsi="Times New Roman"/>
          <w:sz w:val="16"/>
          <w:szCs w:val="16"/>
          <w:color w:val="auto"/>
        </w:rPr>
      </w:pPr>
    </w:p>
    <w:p>
      <w:pPr>
        <w:ind w:left="140" w:right="300" w:hanging="133"/>
        <w:spacing w:after="0" w:line="254" w:lineRule="auto"/>
        <w:tabs>
          <w:tab w:leader="none" w:pos="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University of Saint Thomas (2012-2017), Executive Committee Member, Audit and Finance Committee Chairperson</w:t>
      </w:r>
    </w:p>
    <w:p>
      <w:pPr>
        <w:spacing w:after="0" w:line="1" w:lineRule="exact"/>
        <w:rPr>
          <w:rFonts w:ascii="Times New Roman" w:cs="Times New Roman" w:eastAsia="Times New Roman" w:hAnsi="Times New Roman"/>
          <w:sz w:val="16"/>
          <w:szCs w:val="16"/>
          <w:color w:val="auto"/>
        </w:rPr>
      </w:pPr>
    </w:p>
    <w:p>
      <w:pPr>
        <w:ind w:left="140" w:right="680" w:hanging="133"/>
        <w:spacing w:after="0" w:line="269" w:lineRule="auto"/>
        <w:tabs>
          <w:tab w:leader="none" w:pos="1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Galveston/Houston Catholic Endowment Foundation (2003-2012), Vice President and Assistant Treasurer, Executive Committee, Finance Committee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B.B.A., University of South Dakota</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M.B.A., (Finance), University of Houston</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Licensed Certified Public Accountant</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CERT Certificate in Cybersecurity, Carnegie Mellon University (2017)</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14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4"/>
          <w:szCs w:val="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35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Continuing Directors Whose Terms Expire at our 2027 Annual Meeting</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(Class III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3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Rick Beckwitt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2425700" cy="4080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25700" cy="4080510"/>
                    </a:xfrm>
                    <a:prstGeom prst="rect">
                      <a:avLst/>
                    </a:prstGeom>
                    <a:noFill/>
                  </pic:spPr>
                </pic:pic>
              </a:graphicData>
            </a:graphic>
          </wp:anchor>
        </w:drawing>
      </w:r>
    </w:p>
    <w:p>
      <w:pPr>
        <w:spacing w:after="0" w:line="13" w:lineRule="exact"/>
        <w:rPr>
          <w:sz w:val="20"/>
          <w:szCs w:val="20"/>
          <w:color w:val="auto"/>
        </w:rPr>
      </w:pPr>
    </w:p>
    <w:p>
      <w:pPr>
        <w:ind w:left="60" w:right="200"/>
        <w:spacing w:after="0" w:line="280" w:lineRule="auto"/>
        <w:rPr>
          <w:sz w:val="20"/>
          <w:szCs w:val="20"/>
          <w:color w:val="auto"/>
        </w:rPr>
      </w:pPr>
      <w:r>
        <w:rPr>
          <w:rFonts w:ascii="Arial" w:cs="Arial" w:eastAsia="Arial" w:hAnsi="Arial"/>
          <w:sz w:val="16"/>
          <w:szCs w:val="16"/>
          <w:b w:val="1"/>
          <w:bCs w:val="1"/>
          <w:color w:val="auto"/>
        </w:rPr>
        <w:t>Retired Co-Chief Executive Officer and Co-President, Lennar Corporation</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66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2014</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right="560" w:hanging="81"/>
        <w:spacing w:after="0" w:line="263" w:lineRule="auto"/>
        <w:tabs>
          <w:tab w:leader="none" w:pos="14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Governance, Nominating and Sustainability (Chair)</w:t>
      </w:r>
    </w:p>
    <w:p>
      <w:pPr>
        <w:ind w:left="140" w:hanging="81"/>
        <w:spacing w:after="0"/>
        <w:tabs>
          <w:tab w:leader="none" w:pos="14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Former Member of the Audit Committee</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-142240</wp:posOffset>
            </wp:positionV>
            <wp:extent cx="8890" cy="4080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4080510"/>
                    </a:xfrm>
                    <a:prstGeom prst="rect">
                      <a:avLst/>
                    </a:prstGeom>
                    <a:noFill/>
                  </pic:spPr>
                </pic:pic>
              </a:graphicData>
            </a:graphic>
          </wp:anchor>
        </w:drawing>
      </w:r>
    </w:p>
    <w:p>
      <w:pPr>
        <w:spacing w:after="0" w:line="11" w:lineRule="exact"/>
        <w:rPr>
          <w:sz w:val="20"/>
          <w:szCs w:val="20"/>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Co-Chief Executive Officer and Co-President, Lennar Corporation (2020-2023)</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Chief Executive Officer, Lennar Corporation (2018-2020)</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Lennar Corporation (2011-2018)</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Lennar Corporation (2006-2011)</w:t>
      </w:r>
    </w:p>
    <w:p>
      <w:pPr>
        <w:spacing w:after="0" w:line="44" w:lineRule="exact"/>
        <w:rPr>
          <w:rFonts w:ascii="Times New Roman" w:cs="Times New Roman" w:eastAsia="Times New Roman" w:hAnsi="Times New Roman"/>
          <w:sz w:val="16"/>
          <w:szCs w:val="16"/>
          <w:color w:val="auto"/>
        </w:rPr>
      </w:pPr>
    </w:p>
    <w:p>
      <w:pPr>
        <w:ind w:left="140" w:right="260" w:hanging="133"/>
        <w:spacing w:after="0" w:line="262" w:lineRule="auto"/>
        <w:tabs>
          <w:tab w:leader="none" w:pos="1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Owner and Principal, EVP Capital, L.P., a venture capital and real estate advisory company (2000-2003)</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officer roles, including President, D.R. Horton (1993-2000)</w:t>
      </w:r>
    </w:p>
    <w:p>
      <w:pPr>
        <w:spacing w:after="0" w:line="19"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Mergers and Acquisitions and Corporate Finance Departments, Lehman Brothers (1986-1993)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40" w:hanging="133"/>
        <w:spacing w:after="0" w:line="257" w:lineRule="auto"/>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Deep knowledge of the homebuilding and real estate industries gained through executive roles leading, managing, operating and growing the two largest homebuilding companies in the United States</w:t>
      </w:r>
    </w:p>
    <w:p>
      <w:pPr>
        <w:ind w:left="140" w:right="160" w:hanging="133"/>
        <w:spacing w:after="0" w:line="254" w:lineRule="auto"/>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executive, leadership and operational experience, including as the Chief Executive Officer and as a director, providing broad insight into the dynamics of a corporate board</w:t>
      </w:r>
    </w:p>
    <w:p>
      <w:pPr>
        <w:spacing w:after="0" w:line="1" w:lineRule="exact"/>
        <w:rPr>
          <w:rFonts w:ascii="Times New Roman" w:cs="Times New Roman" w:eastAsia="Times New Roman" w:hAnsi="Times New Roman"/>
          <w:sz w:val="16"/>
          <w:szCs w:val="16"/>
          <w:color w:val="auto"/>
        </w:rPr>
      </w:pPr>
    </w:p>
    <w:p>
      <w:pPr>
        <w:ind w:left="140" w:right="80" w:hanging="133"/>
        <w:spacing w:after="0" w:line="254" w:lineRule="auto"/>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Strategic planning, risk oversight, human capital, executive development, succession planning and compensation matters, and environmental, social, regulatory and governance issues</w:t>
      </w:r>
    </w:p>
    <w:p>
      <w:pPr>
        <w:spacing w:after="0" w:line="1" w:lineRule="exact"/>
        <w:rPr>
          <w:rFonts w:ascii="Times New Roman" w:cs="Times New Roman" w:eastAsia="Times New Roman" w:hAnsi="Times New Roman"/>
          <w:sz w:val="16"/>
          <w:szCs w:val="16"/>
          <w:color w:val="auto"/>
        </w:rPr>
      </w:pPr>
    </w:p>
    <w:p>
      <w:pPr>
        <w:jc w:val="both"/>
        <w:ind w:left="140" w:right="420" w:hanging="133"/>
        <w:spacing w:after="0" w:line="263" w:lineRule="auto"/>
        <w:tabs>
          <w:tab w:leader="none" w:pos="1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M&amp;A, corporate finance and business development experience gained through numerous acquisitions undertaken by Lennar and D.R. Horton and t</w:t>
      </w:r>
      <w:r>
        <w:rPr>
          <w:rFonts w:ascii="Arial" w:cs="Arial" w:eastAsia="Arial" w:hAnsi="Arial"/>
          <w:sz w:val="17"/>
          <w:szCs w:val="17"/>
          <w:color w:val="auto"/>
        </w:rPr>
        <w:t>hrough his experience as an</w:t>
      </w:r>
      <w:r>
        <w:rPr>
          <w:rFonts w:ascii="Arial" w:cs="Arial" w:eastAsia="Arial" w:hAnsi="Arial"/>
          <w:sz w:val="16"/>
          <w:szCs w:val="16"/>
          <w:color w:val="auto"/>
        </w:rPr>
        <w:t xml:space="preserve"> </w:t>
      </w:r>
      <w:r>
        <w:rPr>
          <w:rFonts w:ascii="Arial" w:cs="Arial" w:eastAsia="Arial" w:hAnsi="Arial"/>
          <w:sz w:val="17"/>
          <w:szCs w:val="17"/>
          <w:color w:val="auto"/>
        </w:rPr>
        <w:t>investment banker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Ferguson Enterprises Inc. (NYSE: FERG) (2024-present)</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Lennar Corporation (NYSE: LEN) – Director (2018-2023)</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Five Point Holdings (NYSE: FPH) – Director (2016-2020)</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D.R. Horton (NYSE: DHI) – Director (1993-2003)</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B.A., Psychology, Claremont McKenna College</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15</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4"/>
          <w:szCs w:val="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834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4834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Mauro Gregorio</w:t>
      </w:r>
    </w:p>
    <w:p>
      <w:pPr>
        <w:spacing w:after="0" w:line="23" w:lineRule="exact"/>
        <w:rPr>
          <w:sz w:val="20"/>
          <w:szCs w:val="20"/>
          <w:color w:val="auto"/>
        </w:rPr>
      </w:pPr>
    </w:p>
    <w:p>
      <w:pPr>
        <w:ind w:left="60"/>
        <w:spacing w:after="0" w:line="276" w:lineRule="auto"/>
        <w:rPr>
          <w:sz w:val="20"/>
          <w:szCs w:val="20"/>
          <w:color w:val="auto"/>
        </w:rPr>
      </w:pPr>
      <w:r>
        <w:rPr>
          <w:rFonts w:ascii="Arial" w:cs="Arial" w:eastAsia="Arial" w:hAnsi="Arial"/>
          <w:sz w:val="16"/>
          <w:szCs w:val="16"/>
          <w:b w:val="1"/>
          <w:bCs w:val="1"/>
          <w:color w:val="auto"/>
        </w:rPr>
        <w:t>Retired President - Performance Materials and Coatings Division, Dow Inc.</w:t>
      </w:r>
    </w:p>
    <w:p>
      <w:pPr>
        <w:spacing w:after="0" w:line="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62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2021</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Independent</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Audit</w:t>
      </w:r>
    </w:p>
    <w:p>
      <w:pPr>
        <w:spacing w:after="0" w:line="15" w:lineRule="exact"/>
        <w:rPr>
          <w:rFonts w:ascii="Times New Roman" w:cs="Times New Roman" w:eastAsia="Times New Roman" w:hAnsi="Times New Roman"/>
          <w:sz w:val="16"/>
          <w:szCs w:val="16"/>
          <w:color w:val="auto"/>
        </w:rPr>
      </w:pPr>
    </w:p>
    <w:p>
      <w:pPr>
        <w:ind w:left="140" w:right="620" w:hanging="81"/>
        <w:spacing w:after="0" w:line="269" w:lineRule="auto"/>
        <w:tabs>
          <w:tab w:leader="none" w:pos="14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Governance, Nominating and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44" w:lineRule="exact"/>
        <w:rPr>
          <w:sz w:val="20"/>
          <w:szCs w:val="20"/>
          <w:color w:val="auto"/>
        </w:rPr>
      </w:pPr>
    </w:p>
    <w:p>
      <w:pPr>
        <w:ind w:left="140" w:hanging="133"/>
        <w:spacing w:after="0"/>
        <w:tabs>
          <w:tab w:leader="none" w:pos="14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 Performance Materials and Coatings, Dow Inc. (2020-2024)</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Oversight for Latin America, Dow Inc. (2019-2024)</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CEO – Dow Silicone Corporation f/k/a Dow Corning (2016-2024)</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 Dow Consumer Solutions, Dow Inc. (2016-2020)</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 Feedstocks and Energy Business, Dow Inc. (2012-2016)</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Commercial Vice President – EMEA and North America, Dow Inc. (2009-2012)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right="100" w:hanging="133"/>
        <w:spacing w:after="0" w:line="262" w:lineRule="auto"/>
        <w:tabs>
          <w:tab w:leader="none" w:pos="14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leadership experience as an officer at a Fortune 100 Company (Dow) leading multi-billion-dollar global business divisions</w:t>
      </w:r>
    </w:p>
    <w:p>
      <w:pPr>
        <w:jc w:val="both"/>
        <w:ind w:left="140" w:right="220" w:hanging="133"/>
        <w:spacing w:after="0" w:line="254" w:lineRule="auto"/>
        <w:tabs>
          <w:tab w:leader="none" w:pos="14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executive business management experience acquired through several leadership assignments that included supply chain, commercial, innovation and large M&amp;A transactions</w:t>
      </w:r>
    </w:p>
    <w:p>
      <w:pPr>
        <w:spacing w:after="0" w:line="1" w:lineRule="exact"/>
        <w:rPr>
          <w:rFonts w:ascii="Times New Roman" w:cs="Times New Roman" w:eastAsia="Times New Roman" w:hAnsi="Times New Roman"/>
          <w:sz w:val="16"/>
          <w:szCs w:val="16"/>
          <w:color w:val="auto"/>
        </w:rPr>
      </w:pPr>
    </w:p>
    <w:p>
      <w:pPr>
        <w:ind w:left="140" w:right="260" w:hanging="133"/>
        <w:spacing w:after="0" w:line="254" w:lineRule="auto"/>
        <w:tabs>
          <w:tab w:leader="none" w:pos="14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Deep global business leadership experience, including through international assignments in Europe and Latin America and JV board service in Asia and the Middle East</w:t>
      </w:r>
    </w:p>
    <w:p>
      <w:pPr>
        <w:spacing w:after="0" w:line="1" w:lineRule="exact"/>
        <w:rPr>
          <w:rFonts w:ascii="Times New Roman" w:cs="Times New Roman" w:eastAsia="Times New Roman" w:hAnsi="Times New Roman"/>
          <w:sz w:val="16"/>
          <w:szCs w:val="16"/>
          <w:color w:val="auto"/>
        </w:rPr>
      </w:pPr>
    </w:p>
    <w:p>
      <w:pPr>
        <w:ind w:left="140" w:right="160" w:hanging="133"/>
        <w:spacing w:after="0" w:line="254" w:lineRule="auto"/>
        <w:tabs>
          <w:tab w:leader="none" w:pos="14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Breadth of business management experience from industrial commodity to specialty-oriented businesses, building inclusive growth-oriented teams</w:t>
      </w:r>
    </w:p>
    <w:p>
      <w:pPr>
        <w:spacing w:after="0" w:line="1" w:lineRule="exact"/>
        <w:rPr>
          <w:rFonts w:ascii="Times New Roman" w:cs="Times New Roman" w:eastAsia="Times New Roman" w:hAnsi="Times New Roman"/>
          <w:sz w:val="16"/>
          <w:szCs w:val="16"/>
          <w:color w:val="auto"/>
        </w:rPr>
      </w:pPr>
    </w:p>
    <w:p>
      <w:pPr>
        <w:ind w:left="140" w:right="160" w:hanging="133"/>
        <w:spacing w:after="0" w:line="269" w:lineRule="auto"/>
        <w:tabs>
          <w:tab w:leader="none" w:pos="14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Implementation of leading-edge sustainability projects addressing greenhouse gas emissions and energy transition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Radius Recycling, Inc. (Nasdaq: RDUS) (2024-present)</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My Michigan Health Foundation Board Vice Chair (2020-present)</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Chairman USA Delegation of USA-Brazil CEO Forum (2019-2024)</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United Way (Great Lakes Bay Region) (2016-2022)</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Northwood University (2017-2020)</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Several Dow JVs (Korea, Japan, Kuwait, Brazil, USA)</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B.S., Chemical Engineering, Escola de Engenharia Maua, Brazil</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M.B.A., Northwood University</w:t>
      </w:r>
    </w:p>
    <w:p>
      <w:pPr>
        <w:spacing w:after="0" w:line="31" w:lineRule="exact"/>
        <w:rPr>
          <w:rFonts w:ascii="Times New Roman" w:cs="Times New Roman" w:eastAsia="Times New Roman" w:hAnsi="Times New Roman"/>
          <w:sz w:val="16"/>
          <w:szCs w:val="16"/>
          <w:color w:val="auto"/>
        </w:rPr>
      </w:pPr>
    </w:p>
    <w:p>
      <w:pPr>
        <w:ind w:left="140" w:right="200" w:hanging="133"/>
        <w:spacing w:after="0" w:line="262" w:lineRule="auto"/>
        <w:tabs>
          <w:tab w:leader="none" w:pos="14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LCDA (Latino Corporate Directors Association) BoardReady Institute (BRI) program in board governance excellence</w:t>
      </w:r>
    </w:p>
    <w:p>
      <w:pPr>
        <w:spacing w:after="0" w:line="1" w:lineRule="exact"/>
        <w:rPr>
          <w:rFonts w:ascii="Times New Roman" w:cs="Times New Roman" w:eastAsia="Times New Roman" w:hAnsi="Times New Roman"/>
          <w:sz w:val="16"/>
          <w:szCs w:val="16"/>
          <w:color w:val="auto"/>
        </w:rPr>
      </w:pPr>
    </w:p>
    <w:p>
      <w:pPr>
        <w:ind w:left="140" w:right="360" w:hanging="133"/>
        <w:spacing w:after="0" w:line="269" w:lineRule="auto"/>
        <w:tabs>
          <w:tab w:leader="none" w:pos="14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No. 1 Executive on the Yahoo Finance Empower Top 100 Ethnic Minority Senior Business Leader Role Models (2020) – Top 10 Awardee in 2021-2023</w:t>
      </w:r>
    </w:p>
    <w:p>
      <w:pPr>
        <w:spacing w:after="0" w:line="200" w:lineRule="exact"/>
        <w:rPr>
          <w:sz w:val="20"/>
          <w:szCs w:val="20"/>
          <w:color w:val="auto"/>
        </w:rPr>
      </w:pPr>
    </w:p>
    <w:p>
      <w:pPr>
        <w:sectPr>
          <w:pgSz w:w="11900" w:h="16838" w:orient="portrait"/>
          <w:cols w:equalWidth="0" w:num="2">
            <w:col w:w="3620" w:space="660"/>
            <w:col w:w="6960"/>
          </w:cols>
          <w:pgMar w:left="320" w:top="779" w:right="339" w:bottom="1440" w:gutter="0" w:footer="0" w:header="0"/>
          <w:type w:val="continuous"/>
        </w:sect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16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4"/>
          <w:szCs w:val="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5948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459486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051972"/>
        </w:rPr>
        <w:t>Michael R. Haack</w:t>
      </w:r>
    </w:p>
    <w:p>
      <w:pPr>
        <w:spacing w:after="0" w:line="45" w:lineRule="exact"/>
        <w:rPr>
          <w:sz w:val="20"/>
          <w:szCs w:val="20"/>
          <w:color w:val="auto"/>
        </w:rPr>
      </w:pPr>
    </w:p>
    <w:p>
      <w:pPr>
        <w:ind w:left="60" w:right="80"/>
        <w:spacing w:after="0" w:line="277" w:lineRule="auto"/>
        <w:rPr>
          <w:sz w:val="20"/>
          <w:szCs w:val="20"/>
          <w:color w:val="auto"/>
        </w:rPr>
      </w:pPr>
      <w:r>
        <w:rPr>
          <w:rFonts w:ascii="Arial" w:cs="Arial" w:eastAsia="Arial" w:hAnsi="Arial"/>
          <w:sz w:val="16"/>
          <w:szCs w:val="16"/>
          <w:b w:val="1"/>
          <w:bCs w:val="1"/>
          <w:color w:val="auto"/>
        </w:rPr>
        <w:t>President and Chief Executive Officer, Eagle Materials Inc.</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52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 xml:space="preserve">Director since: </w:t>
      </w:r>
      <w:r>
        <w:rPr>
          <w:rFonts w:ascii="Arial" w:cs="Arial" w:eastAsia="Arial" w:hAnsi="Arial"/>
          <w:sz w:val="16"/>
          <w:szCs w:val="16"/>
          <w:b w:val="1"/>
          <w:bCs w:val="1"/>
          <w:color w:val="000000"/>
        </w:rPr>
        <w:t>2019</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051972"/>
        </w:rPr>
        <w:t>Committee Membership:</w:t>
      </w:r>
    </w:p>
    <w:p>
      <w:pPr>
        <w:spacing w:after="0" w:line="31" w:lineRule="exact"/>
        <w:rPr>
          <w:sz w:val="20"/>
          <w:szCs w:val="20"/>
          <w:color w:val="auto"/>
        </w:rPr>
      </w:pPr>
    </w:p>
    <w:p>
      <w:pPr>
        <w:ind w:left="140" w:hanging="81"/>
        <w:spacing w:after="0"/>
        <w:tabs>
          <w:tab w:leader="none" w:pos="14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Experience</w:t>
      </w:r>
    </w:p>
    <w:p>
      <w:pPr>
        <w:spacing w:after="0" w:line="85" w:lineRule="exact"/>
        <w:rPr>
          <w:sz w:val="20"/>
          <w:szCs w:val="20"/>
          <w:color w:val="auto"/>
        </w:rPr>
      </w:pPr>
    </w:p>
    <w:p>
      <w:pPr>
        <w:ind w:left="140" w:hanging="133"/>
        <w:spacing w:after="0"/>
        <w:tabs>
          <w:tab w:leader="none" w:pos="1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and Chief Executive Officer, Eagle Materials Inc. (2019-present)</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President and Chief Operating Officer, Eagle Materials Inc. (2018-2019)</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Vice President and Chief Operating Officer, Eagle Materials Inc. (2014-2018)</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Global Operations Manager, Sperry Drilling, Halliburton Energy Services (2014)</w:t>
      </w:r>
    </w:p>
    <w:p>
      <w:pPr>
        <w:spacing w:after="0" w:line="44" w:lineRule="exact"/>
        <w:rPr>
          <w:rFonts w:ascii="Times New Roman" w:cs="Times New Roman" w:eastAsia="Times New Roman" w:hAnsi="Times New Roman"/>
          <w:sz w:val="16"/>
          <w:szCs w:val="16"/>
          <w:color w:val="auto"/>
        </w:rPr>
      </w:pPr>
    </w:p>
    <w:p>
      <w:pPr>
        <w:ind w:left="140" w:right="420" w:hanging="133"/>
        <w:spacing w:after="0" w:line="262" w:lineRule="auto"/>
        <w:tabs>
          <w:tab w:leader="none" w:pos="1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Principal Global Strategic Business Manager, Sperry Drilling, Halliburton Energy Services (2013-2014)</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Senior Northern Region Manager, Sperry Drilling, Halliburton Energy Services (2010-2013)</w:t>
      </w:r>
    </w:p>
    <w:p>
      <w:pPr>
        <w:spacing w:after="0" w:line="19"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Senior Country Manager (Norway), Sperry Drilling, Halliburton Energy Services (2008-2010)</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Qualifications and Expertise Provided to Our Board</w:t>
      </w:r>
    </w:p>
    <w:p>
      <w:pPr>
        <w:spacing w:after="0" w:line="31" w:lineRule="exact"/>
        <w:rPr>
          <w:sz w:val="20"/>
          <w:szCs w:val="20"/>
          <w:color w:val="auto"/>
        </w:rPr>
      </w:pPr>
    </w:p>
    <w:p>
      <w:pPr>
        <w:ind w:left="140" w:hanging="133"/>
        <w:spacing w:after="0"/>
        <w:tabs>
          <w:tab w:leader="none" w:pos="1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knowledge of the Company’s operations</w:t>
      </w:r>
    </w:p>
    <w:p>
      <w:pPr>
        <w:spacing w:after="0" w:line="30" w:lineRule="exact"/>
        <w:rPr>
          <w:rFonts w:ascii="Times New Roman" w:cs="Times New Roman" w:eastAsia="Times New Roman" w:hAnsi="Times New Roman"/>
          <w:sz w:val="16"/>
          <w:szCs w:val="16"/>
          <w:color w:val="auto"/>
        </w:rPr>
      </w:pPr>
    </w:p>
    <w:p>
      <w:pPr>
        <w:ind w:left="140" w:right="1060" w:hanging="133"/>
        <w:spacing w:after="0" w:line="262" w:lineRule="auto"/>
        <w:tabs>
          <w:tab w:leader="none" w:pos="1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operational, supply chain and strategic planning experience gained in manufacturing and heavy industry over the past 20 years</w:t>
      </w:r>
    </w:p>
    <w:p>
      <w:pPr>
        <w:spacing w:after="0" w:line="1" w:lineRule="exact"/>
        <w:rPr>
          <w:rFonts w:ascii="Times New Roman" w:cs="Times New Roman" w:eastAsia="Times New Roman" w:hAnsi="Times New Roman"/>
          <w:sz w:val="16"/>
          <w:szCs w:val="16"/>
          <w:color w:val="auto"/>
        </w:rPr>
      </w:pPr>
    </w:p>
    <w:p>
      <w:pPr>
        <w:ind w:left="140" w:right="620" w:hanging="133"/>
        <w:spacing w:after="0" w:line="254" w:lineRule="auto"/>
        <w:tabs>
          <w:tab w:leader="none" w:pos="1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Mergers and acquisitions experience, including divestitures and integration of acquired businesses</w:t>
      </w:r>
    </w:p>
    <w:p>
      <w:pPr>
        <w:spacing w:after="0" w:line="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Deep engineering and environmental experience gained in heavy industry</w:t>
      </w:r>
    </w:p>
    <w:p>
      <w:pPr>
        <w:spacing w:after="0" w:line="19" w:lineRule="exact"/>
        <w:rPr>
          <w:rFonts w:ascii="Times New Roman" w:cs="Times New Roman" w:eastAsia="Times New Roman" w:hAnsi="Times New Roman"/>
          <w:sz w:val="16"/>
          <w:szCs w:val="16"/>
          <w:color w:val="auto"/>
        </w:rPr>
      </w:pPr>
    </w:p>
    <w:p>
      <w:pPr>
        <w:ind w:left="140" w:right="60" w:hanging="133"/>
        <w:spacing w:after="0" w:line="257" w:lineRule="auto"/>
        <w:tabs>
          <w:tab w:leader="none" w:pos="1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international experience living and managing operations in foreign countries and managing remote operations globally for Halliburton, bringing a global view to decision-making and strategy</w:t>
      </w:r>
    </w:p>
    <w:p>
      <w:pPr>
        <w:ind w:left="140" w:right="200" w:hanging="133"/>
        <w:spacing w:after="0" w:line="254" w:lineRule="auto"/>
        <w:tabs>
          <w:tab w:leader="none" w:pos="1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Extensive experience managing large operations – $3.6 billion in revenue, 8,000+ personnel with extensive network of facilities globally</w:t>
      </w:r>
    </w:p>
    <w:p>
      <w:pPr>
        <w:spacing w:after="0" w:line="1" w:lineRule="exact"/>
        <w:rPr>
          <w:rFonts w:ascii="Times New Roman" w:cs="Times New Roman" w:eastAsia="Times New Roman" w:hAnsi="Times New Roman"/>
          <w:sz w:val="16"/>
          <w:szCs w:val="16"/>
          <w:color w:val="auto"/>
        </w:rPr>
      </w:pPr>
    </w:p>
    <w:p>
      <w:pPr>
        <w:ind w:left="140" w:right="20" w:hanging="133"/>
        <w:spacing w:after="0" w:line="269" w:lineRule="auto"/>
        <w:tabs>
          <w:tab w:leader="none" w:pos="1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Deep commitment and experience with establishing safety cultures, processes and procedures to enable operations to run more safely with reduced impact on the environment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Other Boards</w:t>
      </w:r>
    </w:p>
    <w:p>
      <w:pPr>
        <w:spacing w:after="0" w:line="31" w:lineRule="exact"/>
        <w:rPr>
          <w:sz w:val="20"/>
          <w:szCs w:val="20"/>
          <w:color w:val="auto"/>
        </w:rPr>
      </w:pPr>
    </w:p>
    <w:p>
      <w:pPr>
        <w:ind w:left="140" w:hanging="133"/>
        <w:spacing w:after="0"/>
        <w:tabs>
          <w:tab w:leader="none" w:pos="14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Concrete Advancement Foundation Trustee (2025-present)</w:t>
      </w:r>
    </w:p>
    <w:p>
      <w:pPr>
        <w:spacing w:after="0" w:line="44"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Member of the Texas A&amp;M University Industrial Engineering Advisory Council (2002-present)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Education and Certifications</w:t>
      </w:r>
    </w:p>
    <w:p>
      <w:pPr>
        <w:spacing w:after="0" w:line="31" w:lineRule="exact"/>
        <w:rPr>
          <w:sz w:val="20"/>
          <w:szCs w:val="20"/>
          <w:color w:val="auto"/>
        </w:rPr>
      </w:pPr>
    </w:p>
    <w:p>
      <w:pPr>
        <w:ind w:left="140" w:hanging="133"/>
        <w:spacing w:after="0"/>
        <w:tabs>
          <w:tab w:leader="none" w:pos="14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B.S., Industrial Engineering, Purdue University</w:t>
      </w:r>
    </w:p>
    <w:p>
      <w:pPr>
        <w:spacing w:after="0" w:line="30"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M.S., Industrial Engineering, Texas A&amp;M University</w:t>
      </w:r>
    </w:p>
    <w:p>
      <w:pPr>
        <w:spacing w:after="0" w:line="31" w:lineRule="exact"/>
        <w:rPr>
          <w:rFonts w:ascii="Times New Roman" w:cs="Times New Roman" w:eastAsia="Times New Roman" w:hAnsi="Times New Roman"/>
          <w:sz w:val="16"/>
          <w:szCs w:val="16"/>
          <w:color w:val="auto"/>
        </w:rPr>
      </w:pPr>
    </w:p>
    <w:p>
      <w:pPr>
        <w:ind w:left="140" w:hanging="133"/>
        <w:spacing w:after="0"/>
        <w:tabs>
          <w:tab w:leader="none" w:pos="14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M.B.A., Rice University</w:t>
      </w:r>
    </w:p>
    <w:p>
      <w:pPr>
        <w:spacing w:after="0" w:line="200" w:lineRule="exact"/>
        <w:rPr>
          <w:sz w:val="20"/>
          <w:szCs w:val="20"/>
          <w:color w:val="auto"/>
        </w:rPr>
      </w:pPr>
    </w:p>
    <w:p>
      <w:pPr>
        <w:sectPr>
          <w:pgSz w:w="11900" w:h="16838" w:orient="portrait"/>
          <w:cols w:equalWidth="0" w:num="2">
            <w:col w:w="3560" w:space="720"/>
            <w:col w:w="6960"/>
          </w:cols>
          <w:pgMar w:left="320" w:top="7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17</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4"/>
          <w:szCs w:val="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Board Meetings and Attendance Records</w:t>
      </w:r>
    </w:p>
    <w:p>
      <w:pPr>
        <w:spacing w:after="0" w:line="156"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During the Company’s fiscal year ended March 31, 2025, our Board of Directors held four regularly scheduled meetings and no special meetings. During such fiscal year, all of the incumbent directors attended at least 75% of the meetings of the Board and the committees of the Board on which they served. In accordance with our informal policy, we anticipate that all continuing directors and nominees will attend our 2025 annual stockholders meeting. All of our then-current directors attended our 2024 annual meeting. We strongly encourage all directors to attend our stockholder meetings. Our non-employee directors (which currently constitute all our directors, except for Mr. Haack) meet immediately after all Board meetings without management present. The Chairman presides at all executive sessions of the non-employee directors.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18</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3" w:name="page24"/>
    <w:bookmarkEnd w:id="23"/>
    <w:p>
      <w:pPr>
        <w:ind w:left="83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DIRECTOR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Director Compensation</w:t>
      </w:r>
    </w:p>
    <w:p>
      <w:pPr>
        <w:spacing w:after="0" w:line="374" w:lineRule="exact"/>
        <w:rPr>
          <w:sz w:val="20"/>
          <w:szCs w:val="20"/>
          <w:color w:val="auto"/>
        </w:rPr>
      </w:pPr>
    </w:p>
    <w:p>
      <w:pPr>
        <w:jc w:val="both"/>
        <w:ind w:right="480"/>
        <w:spacing w:after="0" w:line="259" w:lineRule="auto"/>
        <w:rPr>
          <w:sz w:val="20"/>
          <w:szCs w:val="20"/>
          <w:color w:val="auto"/>
        </w:rPr>
      </w:pPr>
      <w:r>
        <w:rPr>
          <w:rFonts w:ascii="Arial" w:cs="Arial" w:eastAsia="Arial" w:hAnsi="Arial"/>
          <w:sz w:val="16"/>
          <w:szCs w:val="16"/>
          <w:color w:val="auto"/>
        </w:rPr>
        <w:t>Director compensation for the 12-month period from August 2024 through July 2025 was approved by our Board of Directors in August 2024 and was unchanged from the compensation program in effect for the preceding one-year period. The Board adopted a director compensation structure in which directors who are not employees of the Company or any of our subsidiaries received compensation for their services during the 12-month period from August 2024 through July 2025 by electing one of the following two compensation package alternatives:</w:t>
      </w:r>
    </w:p>
    <w:p>
      <w:pPr>
        <w:spacing w:after="0" w:line="110" w:lineRule="exact"/>
        <w:rPr>
          <w:sz w:val="20"/>
          <w:szCs w:val="20"/>
          <w:color w:val="auto"/>
        </w:rPr>
      </w:pPr>
    </w:p>
    <w:p>
      <w:pPr>
        <w:ind w:left="760" w:right="60" w:hanging="378"/>
        <w:spacing w:after="0" w:line="256" w:lineRule="auto"/>
        <w:tabs>
          <w:tab w:leader="none" w:pos="76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total compensation valued at $230,000, of which $105,000 is paid in cash fees and the remainder is provided in the form of an equity grant valued at $125,000; or</w:t>
      </w:r>
    </w:p>
    <w:p>
      <w:pPr>
        <w:ind w:left="760" w:hanging="378"/>
        <w:spacing w:after="0"/>
        <w:tabs>
          <w:tab w:leader="none" w:pos="76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color w:val="auto"/>
        </w:rPr>
        <w:t>an equity grant valued at $261,500.</w:t>
      </w:r>
    </w:p>
    <w:p>
      <w:pPr>
        <w:spacing w:after="0" w:line="137"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The value of the equity grant under either alternative is allocated between restricted stock and options to purchase Common Stock (based upon the recommendation of the Compensation Committee, which was based in part on the stated preference of the recipient) with respect to each non-employee director.</w:t>
      </w:r>
    </w:p>
    <w:p>
      <w:pPr>
        <w:spacing w:after="0" w:line="10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accordance with the terms of the Eagle Materials Inc. 2023 Equity Incentive Plan (“2023 Incentive Plan”) the exercise price of stock options is set at the closing price of the Common Stock on the NYSE on the date of grant. The number of option shares granted is determined as of the date of the grant by using the Black-Scholes method. All options granted to directors in August 2024 have a ten-year term but are subject to vesting requirements, with the options becoming fully vested (exercisable) on the earliest to occur of (i) the one-year anniversary of the date of grant;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w:t>
      </w:r>
    </w:p>
    <w:p>
      <w:pPr>
        <w:spacing w:after="0" w:line="11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number of shares of restricted stock is determined as of the date of grant using the closing price of the Common Stock on the NYSE on the date of grant. The restricted stock granted to directors in August 2024 is subject to vesting requirements, with the shares becoming fully vested (unrestricted) on the earliest to occur of (i) the one-year anniversary of the date of grant;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 During the restriction period the director will have the right to vote the shares. In addition, upon the vesting of the underlying shares, the director will also be entitled to accrued cash dividends with respect to such shares that were paid to holders of Common Stock during the restriction period.</w:t>
      </w:r>
    </w:p>
    <w:p>
      <w:pPr>
        <w:spacing w:after="0" w:line="102"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Non-employee directors who chair committees of the Board of Directors receive additional annual compensation. The chairs of the Audit Committee, Compensation Committee and Governance Committee each receive a fee of $20,000 per year. The Chairman of the Board received an additional fee of $125,000 during the past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30% premium is added to such fees when valuing the equity to be received by such chairperson.</w:t>
      </w:r>
    </w:p>
    <w:p>
      <w:pPr>
        <w:spacing w:after="0" w:line="11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certain prior years, equity grants were in some cases made in the form of restricted stock units, which we refer to as “RSUs.” In the case of non-employee directors who hold unvested RSUs (which currently only includes Mr. Nicolais), these directors will receive dividend equivalent units as and when the Company pays a cash dividend on the Common Stock in accordance with the terms of the RSUs.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All directors are reimbursed for reasonable expenses of attending meetings.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19</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4" w:name="page25"/>
    <w:bookmarkEnd w:id="24"/>
    <w:p>
      <w:pPr>
        <w:ind w:left="83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DIRECTOR COMPENSATION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Non-Employee Director Compensation for Fiscal Year 2025</w:t>
      </w:r>
    </w:p>
    <w:p>
      <w:pPr>
        <w:spacing w:after="0" w:line="156"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table below summarizes the compensation paid by the Company to our non-employee directors for the fiscal year ended March 31, 2025. Mr. Haack served as a director for the fiscal year ended March 31, 2025 but did not receive any additional compensation for such service, and his compensation as our Chief Executive Officer is included in the Fiscal 2025 Summary Compensation Table found in the Executive Compensation section of this proxy statement.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1820" w:type="dxa"/>
            <w:vAlign w:val="bottom"/>
          </w:tcPr>
          <w:p>
            <w:pPr>
              <w:jc w:val="center"/>
              <w:ind w:right="55"/>
              <w:spacing w:after="0"/>
              <w:rPr>
                <w:sz w:val="20"/>
                <w:szCs w:val="20"/>
                <w:color w:val="auto"/>
              </w:rPr>
            </w:pPr>
            <w:r>
              <w:rPr>
                <w:rFonts w:ascii="Arial" w:cs="Arial" w:eastAsia="Arial" w:hAnsi="Arial"/>
                <w:sz w:val="14"/>
                <w:szCs w:val="14"/>
                <w:b w:val="1"/>
                <w:bCs w:val="1"/>
                <w:color w:val="051972"/>
              </w:rPr>
              <w:t>Fees Earned</w:t>
            </w:r>
          </w:p>
        </w:tc>
        <w:tc>
          <w:tcPr>
            <w:tcW w:w="1300" w:type="dxa"/>
            <w:vAlign w:val="bottom"/>
          </w:tcPr>
          <w:p>
            <w:pPr>
              <w:jc w:val="center"/>
              <w:ind w:right="195"/>
              <w:spacing w:after="0"/>
              <w:rPr>
                <w:sz w:val="20"/>
                <w:szCs w:val="20"/>
                <w:color w:val="auto"/>
              </w:rPr>
            </w:pPr>
            <w:r>
              <w:rPr>
                <w:rFonts w:ascii="Arial" w:cs="Arial" w:eastAsia="Arial" w:hAnsi="Arial"/>
                <w:sz w:val="14"/>
                <w:szCs w:val="14"/>
                <w:b w:val="1"/>
                <w:bCs w:val="1"/>
                <w:color w:val="051972"/>
                <w:w w:val="99"/>
              </w:rPr>
              <w:t>Stock</w:t>
            </w:r>
          </w:p>
        </w:tc>
        <w:tc>
          <w:tcPr>
            <w:tcW w:w="1340" w:type="dxa"/>
            <w:vAlign w:val="bottom"/>
          </w:tcPr>
          <w:p>
            <w:pPr>
              <w:jc w:val="center"/>
              <w:ind w:right="235"/>
              <w:spacing w:after="0"/>
              <w:rPr>
                <w:sz w:val="20"/>
                <w:szCs w:val="20"/>
                <w:color w:val="auto"/>
              </w:rPr>
            </w:pPr>
            <w:r>
              <w:rPr>
                <w:rFonts w:ascii="Arial" w:cs="Arial" w:eastAsia="Arial" w:hAnsi="Arial"/>
                <w:sz w:val="14"/>
                <w:szCs w:val="14"/>
                <w:b w:val="1"/>
                <w:bCs w:val="1"/>
                <w:color w:val="051972"/>
              </w:rPr>
              <w:t>Option</w:t>
            </w:r>
          </w:p>
        </w:tc>
        <w:tc>
          <w:tcPr>
            <w:tcW w:w="1120" w:type="dxa"/>
            <w:vAlign w:val="bottom"/>
          </w:tcPr>
          <w:p>
            <w:pPr>
              <w:spacing w:after="0"/>
              <w:rPr>
                <w:sz w:val="14"/>
                <w:szCs w:val="14"/>
                <w:color w:val="auto"/>
              </w:rPr>
            </w:pPr>
          </w:p>
        </w:tc>
      </w:tr>
      <w:tr>
        <w:trPr>
          <w:trHeight w:val="144"/>
        </w:trPr>
        <w:tc>
          <w:tcPr>
            <w:tcW w:w="5660" w:type="dxa"/>
            <w:vAlign w:val="bottom"/>
          </w:tcPr>
          <w:p>
            <w:pPr>
              <w:spacing w:after="0"/>
              <w:rPr>
                <w:sz w:val="12"/>
                <w:szCs w:val="12"/>
                <w:color w:val="auto"/>
              </w:rPr>
            </w:pPr>
          </w:p>
        </w:tc>
        <w:tc>
          <w:tcPr>
            <w:tcW w:w="182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051972"/>
              </w:rPr>
              <w:t>or Paid in Cash</w:t>
            </w:r>
          </w:p>
        </w:tc>
        <w:tc>
          <w:tcPr>
            <w:tcW w:w="1300" w:type="dxa"/>
            <w:vAlign w:val="bottom"/>
          </w:tcPr>
          <w:p>
            <w:pPr>
              <w:jc w:val="center"/>
              <w:ind w:right="215"/>
              <w:spacing w:after="0" w:line="145" w:lineRule="exact"/>
              <w:rPr>
                <w:sz w:val="20"/>
                <w:szCs w:val="20"/>
                <w:color w:val="auto"/>
              </w:rPr>
            </w:pPr>
            <w:r>
              <w:rPr>
                <w:rFonts w:ascii="Arial" w:cs="Arial" w:eastAsia="Arial" w:hAnsi="Arial"/>
                <w:sz w:val="14"/>
                <w:szCs w:val="14"/>
                <w:b w:val="1"/>
                <w:bCs w:val="1"/>
                <w:color w:val="051972"/>
              </w:rPr>
              <w:t>Awards</w:t>
            </w:r>
          </w:p>
        </w:tc>
        <w:tc>
          <w:tcPr>
            <w:tcW w:w="1340" w:type="dxa"/>
            <w:vAlign w:val="bottom"/>
          </w:tcPr>
          <w:p>
            <w:pPr>
              <w:jc w:val="center"/>
              <w:ind w:right="255"/>
              <w:spacing w:after="0" w:line="145" w:lineRule="exact"/>
              <w:rPr>
                <w:sz w:val="20"/>
                <w:szCs w:val="20"/>
                <w:color w:val="auto"/>
              </w:rPr>
            </w:pPr>
            <w:r>
              <w:rPr>
                <w:rFonts w:ascii="Arial" w:cs="Arial" w:eastAsia="Arial" w:hAnsi="Arial"/>
                <w:sz w:val="14"/>
                <w:szCs w:val="14"/>
                <w:b w:val="1"/>
                <w:bCs w:val="1"/>
                <w:color w:val="051972"/>
              </w:rPr>
              <w:t>Awards</w:t>
            </w:r>
          </w:p>
        </w:tc>
        <w:tc>
          <w:tcPr>
            <w:tcW w:w="1120" w:type="dxa"/>
            <w:vAlign w:val="bottom"/>
          </w:tcPr>
          <w:p>
            <w:pPr>
              <w:ind w:left="300"/>
              <w:spacing w:after="0" w:line="145" w:lineRule="exact"/>
              <w:rPr>
                <w:sz w:val="20"/>
                <w:szCs w:val="20"/>
                <w:color w:val="auto"/>
              </w:rPr>
            </w:pPr>
            <w:r>
              <w:rPr>
                <w:rFonts w:ascii="Arial" w:cs="Arial" w:eastAsia="Arial" w:hAnsi="Arial"/>
                <w:sz w:val="14"/>
                <w:szCs w:val="14"/>
                <w:b w:val="1"/>
                <w:bCs w:val="1"/>
                <w:color w:val="051972"/>
              </w:rPr>
              <w:t>Total</w:t>
            </w:r>
          </w:p>
        </w:tc>
      </w:tr>
      <w:tr>
        <w:trPr>
          <w:trHeight w:val="203"/>
        </w:trPr>
        <w:tc>
          <w:tcPr>
            <w:tcW w:w="5660" w:type="dxa"/>
            <w:vAlign w:val="bottom"/>
            <w:tcBorders>
              <w:bottom w:val="single" w:sz="8" w:color="051972"/>
            </w:tcBorders>
          </w:tcPr>
          <w:p>
            <w:pPr>
              <w:ind w:left="60"/>
              <w:spacing w:after="0"/>
              <w:rPr>
                <w:sz w:val="20"/>
                <w:szCs w:val="20"/>
                <w:color w:val="auto"/>
              </w:rPr>
            </w:pPr>
            <w:r>
              <w:rPr>
                <w:rFonts w:ascii="Arial" w:cs="Arial" w:eastAsia="Arial" w:hAnsi="Arial"/>
                <w:sz w:val="14"/>
                <w:szCs w:val="14"/>
                <w:b w:val="1"/>
                <w:bCs w:val="1"/>
                <w:color w:val="051972"/>
              </w:rPr>
              <w:t>Name</w:t>
            </w:r>
          </w:p>
        </w:tc>
        <w:tc>
          <w:tcPr>
            <w:tcW w:w="1820" w:type="dxa"/>
            <w:vAlign w:val="bottom"/>
            <w:tcBorders>
              <w:bottom w:val="single" w:sz="8" w:color="051972"/>
            </w:tcBorders>
          </w:tcPr>
          <w:p>
            <w:pPr>
              <w:jc w:val="center"/>
              <w:ind w:right="55"/>
              <w:spacing w:after="0"/>
              <w:rPr>
                <w:sz w:val="20"/>
                <w:szCs w:val="20"/>
                <w:color w:val="auto"/>
              </w:rPr>
            </w:pPr>
            <w:r>
              <w:rPr>
                <w:rFonts w:ascii="Arial" w:cs="Arial" w:eastAsia="Arial" w:hAnsi="Arial"/>
                <w:sz w:val="14"/>
                <w:szCs w:val="14"/>
                <w:b w:val="1"/>
                <w:bCs w:val="1"/>
                <w:color w:val="051972"/>
                <w:w w:val="93"/>
              </w:rPr>
              <w:t>($)</w:t>
            </w:r>
          </w:p>
        </w:tc>
        <w:tc>
          <w:tcPr>
            <w:tcW w:w="1300" w:type="dxa"/>
            <w:vAlign w:val="bottom"/>
            <w:tcBorders>
              <w:bottom w:val="single" w:sz="8" w:color="051972"/>
            </w:tcBorders>
          </w:tcPr>
          <w:p>
            <w:pPr>
              <w:jc w:val="center"/>
              <w:ind w:right="195"/>
              <w:spacing w:after="0" w:line="203" w:lineRule="exact"/>
              <w:rPr>
                <w:sz w:val="20"/>
                <w:szCs w:val="20"/>
                <w:color w:val="auto"/>
              </w:rPr>
            </w:pPr>
            <w:r>
              <w:rPr>
                <w:rFonts w:ascii="Arial" w:cs="Arial" w:eastAsia="Arial" w:hAnsi="Arial"/>
                <w:sz w:val="14"/>
                <w:szCs w:val="14"/>
                <w:b w:val="1"/>
                <w:bCs w:val="1"/>
                <w:color w:val="051972"/>
                <w:w w:val="91"/>
              </w:rPr>
              <w:t>($)</w:t>
            </w:r>
            <w:r>
              <w:rPr>
                <w:rFonts w:ascii="Arial" w:cs="Arial" w:eastAsia="Arial" w:hAnsi="Arial"/>
                <w:sz w:val="19"/>
                <w:szCs w:val="19"/>
                <w:b w:val="1"/>
                <w:bCs w:val="1"/>
                <w:color w:val="051972"/>
                <w:w w:val="91"/>
                <w:vertAlign w:val="superscript"/>
              </w:rPr>
              <w:t>(1)</w:t>
            </w:r>
          </w:p>
        </w:tc>
        <w:tc>
          <w:tcPr>
            <w:tcW w:w="1340" w:type="dxa"/>
            <w:vAlign w:val="bottom"/>
            <w:tcBorders>
              <w:bottom w:val="single" w:sz="8" w:color="051972"/>
            </w:tcBorders>
          </w:tcPr>
          <w:p>
            <w:pPr>
              <w:jc w:val="center"/>
              <w:ind w:right="255"/>
              <w:spacing w:after="0" w:line="203" w:lineRule="exact"/>
              <w:rPr>
                <w:sz w:val="20"/>
                <w:szCs w:val="20"/>
                <w:color w:val="auto"/>
              </w:rPr>
            </w:pPr>
            <w:r>
              <w:rPr>
                <w:rFonts w:ascii="Arial" w:cs="Arial" w:eastAsia="Arial" w:hAnsi="Arial"/>
                <w:sz w:val="14"/>
                <w:szCs w:val="14"/>
                <w:b w:val="1"/>
                <w:bCs w:val="1"/>
                <w:color w:val="051972"/>
                <w:w w:val="85"/>
              </w:rPr>
              <w:t>($)</w:t>
            </w:r>
            <w:r>
              <w:rPr>
                <w:rFonts w:ascii="Arial" w:cs="Arial" w:eastAsia="Arial" w:hAnsi="Arial"/>
                <w:sz w:val="19"/>
                <w:szCs w:val="19"/>
                <w:b w:val="1"/>
                <w:bCs w:val="1"/>
                <w:color w:val="051972"/>
                <w:w w:val="85"/>
                <w:vertAlign w:val="superscript"/>
              </w:rPr>
              <w:t>(2)</w:t>
            </w:r>
          </w:p>
        </w:tc>
        <w:tc>
          <w:tcPr>
            <w:tcW w:w="1120" w:type="dxa"/>
            <w:vAlign w:val="bottom"/>
            <w:tcBorders>
              <w:bottom w:val="single" w:sz="8" w:color="051972"/>
            </w:tcBorders>
          </w:tcPr>
          <w:p>
            <w:pPr>
              <w:ind w:left="380"/>
              <w:spacing w:after="0"/>
              <w:rPr>
                <w:sz w:val="20"/>
                <w:szCs w:val="20"/>
                <w:color w:val="auto"/>
              </w:rPr>
            </w:pPr>
            <w:r>
              <w:rPr>
                <w:rFonts w:ascii="Arial" w:cs="Arial" w:eastAsia="Arial" w:hAnsi="Arial"/>
                <w:sz w:val="14"/>
                <w:szCs w:val="14"/>
                <w:b w:val="1"/>
                <w:bCs w:val="1"/>
                <w:color w:val="051972"/>
              </w:rPr>
              <w:t>($)</w:t>
            </w:r>
          </w:p>
        </w:tc>
      </w:tr>
      <w:tr>
        <w:trPr>
          <w:trHeight w:val="304"/>
        </w:trPr>
        <w:tc>
          <w:tcPr>
            <w:tcW w:w="5660" w:type="dxa"/>
            <w:vAlign w:val="bottom"/>
            <w:shd w:val="clear" w:color="auto" w:fill="E7E7E8"/>
          </w:tcPr>
          <w:p>
            <w:pPr>
              <w:ind w:left="60"/>
              <w:spacing w:after="0"/>
              <w:rPr>
                <w:sz w:val="20"/>
                <w:szCs w:val="20"/>
                <w:color w:val="auto"/>
              </w:rPr>
            </w:pPr>
            <w:r>
              <w:rPr>
                <w:rFonts w:ascii="Arial" w:cs="Arial" w:eastAsia="Arial" w:hAnsi="Arial"/>
                <w:sz w:val="18"/>
                <w:szCs w:val="18"/>
                <w:color w:val="auto"/>
              </w:rPr>
              <w:t>Rick Beckwitt</w:t>
            </w:r>
            <w:r>
              <w:rPr>
                <w:rFonts w:ascii="Arial" w:cs="Arial" w:eastAsia="Arial" w:hAnsi="Arial"/>
                <w:sz w:val="24"/>
                <w:szCs w:val="24"/>
                <w:color w:val="auto"/>
                <w:vertAlign w:val="superscript"/>
              </w:rPr>
              <w:t>(3)</w:t>
            </w:r>
          </w:p>
        </w:tc>
        <w:tc>
          <w:tcPr>
            <w:tcW w:w="1820" w:type="dxa"/>
            <w:vAlign w:val="bottom"/>
            <w:shd w:val="clear" w:color="auto" w:fill="E7E7E8"/>
          </w:tcPr>
          <w:p>
            <w:pPr>
              <w:jc w:val="right"/>
              <w:ind w:right="175"/>
              <w:spacing w:after="0"/>
              <w:rPr>
                <w:sz w:val="20"/>
                <w:szCs w:val="20"/>
                <w:color w:val="auto"/>
              </w:rPr>
            </w:pPr>
            <w:r>
              <w:rPr>
                <w:rFonts w:ascii="Arial" w:cs="Arial" w:eastAsia="Arial" w:hAnsi="Arial"/>
                <w:sz w:val="18"/>
                <w:szCs w:val="18"/>
                <w:color w:val="auto"/>
              </w:rPr>
              <w:t>—</w:t>
            </w:r>
          </w:p>
        </w:tc>
        <w:tc>
          <w:tcPr>
            <w:tcW w:w="1300" w:type="dxa"/>
            <w:vAlign w:val="bottom"/>
            <w:shd w:val="clear" w:color="auto" w:fill="E7E7E8"/>
          </w:tcPr>
          <w:p>
            <w:pPr>
              <w:jc w:val="right"/>
              <w:ind w:right="175"/>
              <w:spacing w:after="0"/>
              <w:rPr>
                <w:sz w:val="20"/>
                <w:szCs w:val="20"/>
                <w:color w:val="auto"/>
              </w:rPr>
            </w:pPr>
            <w:r>
              <w:rPr>
                <w:rFonts w:ascii="Arial" w:cs="Arial" w:eastAsia="Arial" w:hAnsi="Arial"/>
                <w:sz w:val="18"/>
                <w:szCs w:val="18"/>
                <w:color w:val="auto"/>
              </w:rPr>
              <w:t>287,936</w:t>
            </w:r>
          </w:p>
        </w:tc>
        <w:tc>
          <w:tcPr>
            <w:tcW w:w="1340" w:type="dxa"/>
            <w:vAlign w:val="bottom"/>
            <w:shd w:val="clear" w:color="auto" w:fill="E7E7E8"/>
          </w:tcPr>
          <w:p>
            <w:pPr>
              <w:jc w:val="right"/>
              <w:ind w:right="215"/>
              <w:spacing w:after="0"/>
              <w:rPr>
                <w:sz w:val="20"/>
                <w:szCs w:val="20"/>
                <w:color w:val="auto"/>
              </w:rPr>
            </w:pPr>
            <w:r>
              <w:rPr>
                <w:rFonts w:ascii="Arial" w:cs="Arial" w:eastAsia="Arial" w:hAnsi="Arial"/>
                <w:sz w:val="18"/>
                <w:szCs w:val="18"/>
                <w:color w:val="auto"/>
              </w:rPr>
              <w:t>—</w:t>
            </w:r>
          </w:p>
        </w:tc>
        <w:tc>
          <w:tcPr>
            <w:tcW w:w="1120" w:type="dxa"/>
            <w:vAlign w:val="bottom"/>
            <w:shd w:val="clear" w:color="auto" w:fill="E7E7E8"/>
          </w:tcPr>
          <w:p>
            <w:pPr>
              <w:ind w:left="360"/>
              <w:spacing w:after="0"/>
              <w:rPr>
                <w:sz w:val="20"/>
                <w:szCs w:val="20"/>
                <w:color w:val="auto"/>
              </w:rPr>
            </w:pPr>
            <w:r>
              <w:rPr>
                <w:rFonts w:ascii="Arial" w:cs="Arial" w:eastAsia="Arial" w:hAnsi="Arial"/>
                <w:sz w:val="18"/>
                <w:szCs w:val="18"/>
                <w:color w:val="auto"/>
              </w:rPr>
              <w:t>287,936</w:t>
            </w:r>
          </w:p>
        </w:tc>
      </w:tr>
      <w:tr>
        <w:trPr>
          <w:trHeight w:val="297"/>
        </w:trPr>
        <w:tc>
          <w:tcPr>
            <w:tcW w:w="5660" w:type="dxa"/>
            <w:vAlign w:val="bottom"/>
          </w:tcPr>
          <w:p>
            <w:pPr>
              <w:ind w:left="60"/>
              <w:spacing w:after="0"/>
              <w:rPr>
                <w:sz w:val="20"/>
                <w:szCs w:val="20"/>
                <w:color w:val="auto"/>
              </w:rPr>
            </w:pPr>
            <w:r>
              <w:rPr>
                <w:rFonts w:ascii="Arial" w:cs="Arial" w:eastAsia="Arial" w:hAnsi="Arial"/>
                <w:sz w:val="18"/>
                <w:szCs w:val="18"/>
                <w:color w:val="auto"/>
              </w:rPr>
              <w:t>Margot L. Carter</w:t>
            </w:r>
            <w:r>
              <w:rPr>
                <w:rFonts w:ascii="Arial" w:cs="Arial" w:eastAsia="Arial" w:hAnsi="Arial"/>
                <w:sz w:val="24"/>
                <w:szCs w:val="24"/>
                <w:color w:val="auto"/>
                <w:vertAlign w:val="superscript"/>
              </w:rPr>
              <w:t>(4)</w:t>
            </w:r>
          </w:p>
        </w:tc>
        <w:tc>
          <w:tcPr>
            <w:tcW w:w="1820" w:type="dxa"/>
            <w:vAlign w:val="bottom"/>
          </w:tcPr>
          <w:p>
            <w:pPr>
              <w:jc w:val="right"/>
              <w:ind w:right="175"/>
              <w:spacing w:after="0"/>
              <w:rPr>
                <w:sz w:val="20"/>
                <w:szCs w:val="20"/>
                <w:color w:val="auto"/>
              </w:rPr>
            </w:pPr>
            <w:r>
              <w:rPr>
                <w:rFonts w:ascii="Arial" w:cs="Arial" w:eastAsia="Arial" w:hAnsi="Arial"/>
                <w:sz w:val="18"/>
                <w:szCs w:val="18"/>
                <w:color w:val="auto"/>
              </w:rPr>
              <w:t>70,000</w:t>
            </w:r>
          </w:p>
        </w:tc>
        <w:tc>
          <w:tcPr>
            <w:tcW w:w="1300" w:type="dxa"/>
            <w:vAlign w:val="bottom"/>
          </w:tcPr>
          <w:p>
            <w:pPr>
              <w:jc w:val="right"/>
              <w:ind w:right="175"/>
              <w:spacing w:after="0"/>
              <w:rPr>
                <w:sz w:val="20"/>
                <w:szCs w:val="20"/>
                <w:color w:val="auto"/>
              </w:rPr>
            </w:pPr>
            <w:r>
              <w:rPr>
                <w:rFonts w:ascii="Arial" w:cs="Arial" w:eastAsia="Arial" w:hAnsi="Arial"/>
                <w:sz w:val="18"/>
                <w:szCs w:val="18"/>
                <w:color w:val="auto"/>
              </w:rPr>
              <w:t>125,122</w:t>
            </w:r>
          </w:p>
        </w:tc>
        <w:tc>
          <w:tcPr>
            <w:tcW w:w="134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120" w:type="dxa"/>
            <w:vAlign w:val="bottom"/>
          </w:tcPr>
          <w:p>
            <w:pPr>
              <w:ind w:left="360"/>
              <w:spacing w:after="0"/>
              <w:rPr>
                <w:sz w:val="20"/>
                <w:szCs w:val="20"/>
                <w:color w:val="auto"/>
              </w:rPr>
            </w:pPr>
            <w:r>
              <w:rPr>
                <w:rFonts w:ascii="Arial" w:cs="Arial" w:eastAsia="Arial" w:hAnsi="Arial"/>
                <w:sz w:val="18"/>
                <w:szCs w:val="18"/>
                <w:color w:val="auto"/>
              </w:rPr>
              <w:t>195,122</w:t>
            </w:r>
          </w:p>
        </w:tc>
      </w:tr>
      <w:tr>
        <w:trPr>
          <w:trHeight w:val="297"/>
        </w:trPr>
        <w:tc>
          <w:tcPr>
            <w:tcW w:w="5660" w:type="dxa"/>
            <w:vAlign w:val="bottom"/>
            <w:shd w:val="clear" w:color="auto" w:fill="E7E7E8"/>
          </w:tcPr>
          <w:p>
            <w:pPr>
              <w:ind w:left="60"/>
              <w:spacing w:after="0"/>
              <w:rPr>
                <w:sz w:val="20"/>
                <w:szCs w:val="20"/>
                <w:color w:val="auto"/>
              </w:rPr>
            </w:pPr>
            <w:r>
              <w:rPr>
                <w:rFonts w:ascii="Arial" w:cs="Arial" w:eastAsia="Arial" w:hAnsi="Arial"/>
                <w:sz w:val="18"/>
                <w:szCs w:val="18"/>
                <w:color w:val="auto"/>
              </w:rPr>
              <w:t>George J. Damiris</w:t>
            </w:r>
            <w:r>
              <w:rPr>
                <w:rFonts w:ascii="Arial" w:cs="Arial" w:eastAsia="Arial" w:hAnsi="Arial"/>
                <w:sz w:val="24"/>
                <w:szCs w:val="24"/>
                <w:color w:val="auto"/>
                <w:vertAlign w:val="superscript"/>
              </w:rPr>
              <w:t>(5)</w:t>
            </w:r>
          </w:p>
        </w:tc>
        <w:tc>
          <w:tcPr>
            <w:tcW w:w="1820" w:type="dxa"/>
            <w:vAlign w:val="bottom"/>
            <w:shd w:val="clear" w:color="auto" w:fill="E7E7E8"/>
          </w:tcPr>
          <w:p>
            <w:pPr>
              <w:jc w:val="right"/>
              <w:ind w:right="175"/>
              <w:spacing w:after="0"/>
              <w:rPr>
                <w:sz w:val="20"/>
                <w:szCs w:val="20"/>
                <w:color w:val="auto"/>
              </w:rPr>
            </w:pPr>
            <w:r>
              <w:rPr>
                <w:rFonts w:ascii="Arial" w:cs="Arial" w:eastAsia="Arial" w:hAnsi="Arial"/>
                <w:sz w:val="18"/>
                <w:szCs w:val="18"/>
                <w:color w:val="auto"/>
              </w:rPr>
              <w:t>—</w:t>
            </w:r>
          </w:p>
        </w:tc>
        <w:tc>
          <w:tcPr>
            <w:tcW w:w="1300" w:type="dxa"/>
            <w:vAlign w:val="bottom"/>
            <w:shd w:val="clear" w:color="auto" w:fill="E7E7E8"/>
          </w:tcPr>
          <w:p>
            <w:pPr>
              <w:jc w:val="right"/>
              <w:ind w:right="175"/>
              <w:spacing w:after="0"/>
              <w:rPr>
                <w:sz w:val="20"/>
                <w:szCs w:val="20"/>
                <w:color w:val="auto"/>
              </w:rPr>
            </w:pPr>
            <w:r>
              <w:rPr>
                <w:rFonts w:ascii="Arial" w:cs="Arial" w:eastAsia="Arial" w:hAnsi="Arial"/>
                <w:sz w:val="18"/>
                <w:szCs w:val="18"/>
                <w:color w:val="auto"/>
              </w:rPr>
              <w:t>287,936</w:t>
            </w:r>
          </w:p>
        </w:tc>
        <w:tc>
          <w:tcPr>
            <w:tcW w:w="1340" w:type="dxa"/>
            <w:vAlign w:val="bottom"/>
            <w:shd w:val="clear" w:color="auto" w:fill="E7E7E8"/>
          </w:tcPr>
          <w:p>
            <w:pPr>
              <w:jc w:val="right"/>
              <w:ind w:right="215"/>
              <w:spacing w:after="0"/>
              <w:rPr>
                <w:sz w:val="20"/>
                <w:szCs w:val="20"/>
                <w:color w:val="auto"/>
              </w:rPr>
            </w:pPr>
            <w:r>
              <w:rPr>
                <w:rFonts w:ascii="Arial" w:cs="Arial" w:eastAsia="Arial" w:hAnsi="Arial"/>
                <w:sz w:val="18"/>
                <w:szCs w:val="18"/>
                <w:color w:val="auto"/>
              </w:rPr>
              <w:t>—</w:t>
            </w:r>
          </w:p>
        </w:tc>
        <w:tc>
          <w:tcPr>
            <w:tcW w:w="1120" w:type="dxa"/>
            <w:vAlign w:val="bottom"/>
            <w:shd w:val="clear" w:color="auto" w:fill="E7E7E8"/>
          </w:tcPr>
          <w:p>
            <w:pPr>
              <w:ind w:left="360"/>
              <w:spacing w:after="0"/>
              <w:rPr>
                <w:sz w:val="20"/>
                <w:szCs w:val="20"/>
                <w:color w:val="auto"/>
              </w:rPr>
            </w:pPr>
            <w:r>
              <w:rPr>
                <w:rFonts w:ascii="Arial" w:cs="Arial" w:eastAsia="Arial" w:hAnsi="Arial"/>
                <w:sz w:val="18"/>
                <w:szCs w:val="18"/>
                <w:color w:val="auto"/>
              </w:rPr>
              <w:t>287,936</w:t>
            </w:r>
          </w:p>
        </w:tc>
      </w:tr>
      <w:tr>
        <w:trPr>
          <w:trHeight w:val="297"/>
        </w:trPr>
        <w:tc>
          <w:tcPr>
            <w:tcW w:w="5660" w:type="dxa"/>
            <w:vAlign w:val="bottom"/>
          </w:tcPr>
          <w:p>
            <w:pPr>
              <w:ind w:left="60"/>
              <w:spacing w:after="0"/>
              <w:rPr>
                <w:sz w:val="20"/>
                <w:szCs w:val="20"/>
                <w:color w:val="auto"/>
              </w:rPr>
            </w:pPr>
            <w:r>
              <w:rPr>
                <w:rFonts w:ascii="Arial" w:cs="Arial" w:eastAsia="Arial" w:hAnsi="Arial"/>
                <w:sz w:val="18"/>
                <w:szCs w:val="18"/>
                <w:color w:val="auto"/>
              </w:rPr>
              <w:t>Martin M. Ellen</w:t>
            </w:r>
            <w:r>
              <w:rPr>
                <w:rFonts w:ascii="Arial" w:cs="Arial" w:eastAsia="Arial" w:hAnsi="Arial"/>
                <w:sz w:val="24"/>
                <w:szCs w:val="24"/>
                <w:color w:val="auto"/>
                <w:vertAlign w:val="superscript"/>
              </w:rPr>
              <w:t>(6)</w:t>
            </w:r>
          </w:p>
        </w:tc>
        <w:tc>
          <w:tcPr>
            <w:tcW w:w="1820" w:type="dxa"/>
            <w:vAlign w:val="bottom"/>
          </w:tcPr>
          <w:p>
            <w:pPr>
              <w:jc w:val="right"/>
              <w:ind w:right="175"/>
              <w:spacing w:after="0"/>
              <w:rPr>
                <w:sz w:val="20"/>
                <w:szCs w:val="20"/>
                <w:color w:val="auto"/>
              </w:rPr>
            </w:pPr>
            <w:r>
              <w:rPr>
                <w:rFonts w:ascii="Arial" w:cs="Arial" w:eastAsia="Arial" w:hAnsi="Arial"/>
                <w:sz w:val="18"/>
                <w:szCs w:val="18"/>
                <w:color w:val="auto"/>
              </w:rPr>
              <w:t>125,000</w:t>
            </w:r>
          </w:p>
        </w:tc>
        <w:tc>
          <w:tcPr>
            <w:tcW w:w="1300" w:type="dxa"/>
            <w:vAlign w:val="bottom"/>
          </w:tcPr>
          <w:p>
            <w:pPr>
              <w:jc w:val="right"/>
              <w:ind w:right="175"/>
              <w:spacing w:after="0"/>
              <w:rPr>
                <w:sz w:val="20"/>
                <w:szCs w:val="20"/>
                <w:color w:val="auto"/>
              </w:rPr>
            </w:pPr>
            <w:r>
              <w:rPr>
                <w:rFonts w:ascii="Arial" w:cs="Arial" w:eastAsia="Arial" w:hAnsi="Arial"/>
                <w:sz w:val="18"/>
                <w:szCs w:val="18"/>
                <w:color w:val="auto"/>
              </w:rPr>
              <w:t>125,122</w:t>
            </w:r>
          </w:p>
        </w:tc>
        <w:tc>
          <w:tcPr>
            <w:tcW w:w="134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120" w:type="dxa"/>
            <w:vAlign w:val="bottom"/>
          </w:tcPr>
          <w:p>
            <w:pPr>
              <w:ind w:left="360"/>
              <w:spacing w:after="0"/>
              <w:rPr>
                <w:sz w:val="20"/>
                <w:szCs w:val="20"/>
                <w:color w:val="auto"/>
              </w:rPr>
            </w:pPr>
            <w:r>
              <w:rPr>
                <w:rFonts w:ascii="Arial" w:cs="Arial" w:eastAsia="Arial" w:hAnsi="Arial"/>
                <w:sz w:val="18"/>
                <w:szCs w:val="18"/>
                <w:color w:val="auto"/>
              </w:rPr>
              <w:t>250,122</w:t>
            </w:r>
          </w:p>
        </w:tc>
      </w:tr>
      <w:tr>
        <w:trPr>
          <w:trHeight w:val="297"/>
        </w:trPr>
        <w:tc>
          <w:tcPr>
            <w:tcW w:w="5660" w:type="dxa"/>
            <w:vAlign w:val="bottom"/>
            <w:shd w:val="clear" w:color="auto" w:fill="E7E7E8"/>
          </w:tcPr>
          <w:p>
            <w:pPr>
              <w:ind w:left="60"/>
              <w:spacing w:after="0"/>
              <w:rPr>
                <w:sz w:val="20"/>
                <w:szCs w:val="20"/>
                <w:color w:val="auto"/>
              </w:rPr>
            </w:pPr>
            <w:r>
              <w:rPr>
                <w:rFonts w:ascii="Arial" w:cs="Arial" w:eastAsia="Arial" w:hAnsi="Arial"/>
                <w:sz w:val="18"/>
                <w:szCs w:val="18"/>
                <w:color w:val="auto"/>
              </w:rPr>
              <w:t>Mauro Gregorio</w:t>
            </w:r>
            <w:r>
              <w:rPr>
                <w:rFonts w:ascii="Arial" w:cs="Arial" w:eastAsia="Arial" w:hAnsi="Arial"/>
                <w:sz w:val="24"/>
                <w:szCs w:val="24"/>
                <w:color w:val="auto"/>
                <w:vertAlign w:val="superscript"/>
              </w:rPr>
              <w:t>(7)</w:t>
            </w:r>
          </w:p>
        </w:tc>
        <w:tc>
          <w:tcPr>
            <w:tcW w:w="1820" w:type="dxa"/>
            <w:vAlign w:val="bottom"/>
            <w:shd w:val="clear" w:color="auto" w:fill="E7E7E8"/>
          </w:tcPr>
          <w:p>
            <w:pPr>
              <w:jc w:val="right"/>
              <w:ind w:right="175"/>
              <w:spacing w:after="0"/>
              <w:rPr>
                <w:sz w:val="20"/>
                <w:szCs w:val="20"/>
                <w:color w:val="auto"/>
              </w:rPr>
            </w:pPr>
            <w:r>
              <w:rPr>
                <w:rFonts w:ascii="Arial" w:cs="Arial" w:eastAsia="Arial" w:hAnsi="Arial"/>
                <w:sz w:val="18"/>
                <w:szCs w:val="18"/>
                <w:color w:val="auto"/>
              </w:rPr>
              <w:t>—</w:t>
            </w:r>
          </w:p>
        </w:tc>
        <w:tc>
          <w:tcPr>
            <w:tcW w:w="1300" w:type="dxa"/>
            <w:vAlign w:val="bottom"/>
            <w:shd w:val="clear" w:color="auto" w:fill="E7E7E8"/>
          </w:tcPr>
          <w:p>
            <w:pPr>
              <w:jc w:val="right"/>
              <w:ind w:right="175"/>
              <w:spacing w:after="0"/>
              <w:rPr>
                <w:sz w:val="20"/>
                <w:szCs w:val="20"/>
                <w:color w:val="auto"/>
              </w:rPr>
            </w:pPr>
            <w:r>
              <w:rPr>
                <w:rFonts w:ascii="Arial" w:cs="Arial" w:eastAsia="Arial" w:hAnsi="Arial"/>
                <w:sz w:val="18"/>
                <w:szCs w:val="18"/>
                <w:color w:val="auto"/>
              </w:rPr>
              <w:t>261,760</w:t>
            </w:r>
          </w:p>
        </w:tc>
        <w:tc>
          <w:tcPr>
            <w:tcW w:w="1340" w:type="dxa"/>
            <w:vAlign w:val="bottom"/>
            <w:shd w:val="clear" w:color="auto" w:fill="E7E7E8"/>
          </w:tcPr>
          <w:p>
            <w:pPr>
              <w:jc w:val="right"/>
              <w:ind w:right="215"/>
              <w:spacing w:after="0"/>
              <w:rPr>
                <w:sz w:val="20"/>
                <w:szCs w:val="20"/>
                <w:color w:val="auto"/>
              </w:rPr>
            </w:pPr>
            <w:r>
              <w:rPr>
                <w:rFonts w:ascii="Arial" w:cs="Arial" w:eastAsia="Arial" w:hAnsi="Arial"/>
                <w:sz w:val="18"/>
                <w:szCs w:val="18"/>
                <w:color w:val="auto"/>
              </w:rPr>
              <w:t>—</w:t>
            </w:r>
          </w:p>
        </w:tc>
        <w:tc>
          <w:tcPr>
            <w:tcW w:w="1120" w:type="dxa"/>
            <w:vAlign w:val="bottom"/>
            <w:shd w:val="clear" w:color="auto" w:fill="E7E7E8"/>
          </w:tcPr>
          <w:p>
            <w:pPr>
              <w:ind w:left="360"/>
              <w:spacing w:after="0"/>
              <w:rPr>
                <w:sz w:val="20"/>
                <w:szCs w:val="20"/>
                <w:color w:val="auto"/>
              </w:rPr>
            </w:pPr>
            <w:r>
              <w:rPr>
                <w:rFonts w:ascii="Arial" w:cs="Arial" w:eastAsia="Arial" w:hAnsi="Arial"/>
                <w:sz w:val="18"/>
                <w:szCs w:val="18"/>
                <w:color w:val="auto"/>
              </w:rPr>
              <w:t>261,760</w:t>
            </w:r>
          </w:p>
        </w:tc>
      </w:tr>
      <w:tr>
        <w:trPr>
          <w:trHeight w:val="297"/>
        </w:trPr>
        <w:tc>
          <w:tcPr>
            <w:tcW w:w="5660" w:type="dxa"/>
            <w:vAlign w:val="bottom"/>
          </w:tcPr>
          <w:p>
            <w:pPr>
              <w:ind w:left="60"/>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24"/>
                <w:szCs w:val="24"/>
                <w:color w:val="auto"/>
                <w:vertAlign w:val="superscript"/>
              </w:rPr>
              <w:t>(8)</w:t>
            </w:r>
          </w:p>
        </w:tc>
        <w:tc>
          <w:tcPr>
            <w:tcW w:w="182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5"/>
              <w:spacing w:after="0"/>
              <w:rPr>
                <w:sz w:val="20"/>
                <w:szCs w:val="20"/>
                <w:color w:val="auto"/>
              </w:rPr>
            </w:pPr>
            <w:r>
              <w:rPr>
                <w:rFonts w:ascii="Arial" w:cs="Arial" w:eastAsia="Arial" w:hAnsi="Arial"/>
                <w:sz w:val="18"/>
                <w:szCs w:val="18"/>
                <w:color w:val="auto"/>
              </w:rPr>
              <w:t>318,301</w:t>
            </w:r>
          </w:p>
        </w:tc>
        <w:tc>
          <w:tcPr>
            <w:tcW w:w="1340" w:type="dxa"/>
            <w:vAlign w:val="bottom"/>
          </w:tcPr>
          <w:p>
            <w:pPr>
              <w:jc w:val="right"/>
              <w:ind w:right="215"/>
              <w:spacing w:after="0"/>
              <w:rPr>
                <w:sz w:val="20"/>
                <w:szCs w:val="20"/>
                <w:color w:val="auto"/>
              </w:rPr>
            </w:pPr>
            <w:r>
              <w:rPr>
                <w:rFonts w:ascii="Arial" w:cs="Arial" w:eastAsia="Arial" w:hAnsi="Arial"/>
                <w:sz w:val="18"/>
                <w:szCs w:val="18"/>
                <w:color w:val="auto"/>
              </w:rPr>
              <w:t>106,149</w:t>
            </w:r>
          </w:p>
        </w:tc>
        <w:tc>
          <w:tcPr>
            <w:tcW w:w="1120" w:type="dxa"/>
            <w:vAlign w:val="bottom"/>
          </w:tcPr>
          <w:p>
            <w:pPr>
              <w:ind w:left="360"/>
              <w:spacing w:after="0"/>
              <w:rPr>
                <w:sz w:val="20"/>
                <w:szCs w:val="20"/>
                <w:color w:val="auto"/>
              </w:rPr>
            </w:pPr>
            <w:r>
              <w:rPr>
                <w:rFonts w:ascii="Arial" w:cs="Arial" w:eastAsia="Arial" w:hAnsi="Arial"/>
                <w:sz w:val="18"/>
                <w:szCs w:val="18"/>
                <w:color w:val="auto"/>
              </w:rPr>
              <w:t>424,450</w:t>
            </w:r>
          </w:p>
        </w:tc>
      </w:tr>
      <w:tr>
        <w:trPr>
          <w:trHeight w:val="297"/>
        </w:trPr>
        <w:tc>
          <w:tcPr>
            <w:tcW w:w="5660" w:type="dxa"/>
            <w:vAlign w:val="bottom"/>
            <w:shd w:val="clear" w:color="auto" w:fill="E7E7E8"/>
          </w:tcPr>
          <w:p>
            <w:pPr>
              <w:ind w:left="60"/>
              <w:spacing w:after="0"/>
              <w:rPr>
                <w:sz w:val="20"/>
                <w:szCs w:val="20"/>
                <w:color w:val="auto"/>
              </w:rPr>
            </w:pPr>
            <w:r>
              <w:rPr>
                <w:rFonts w:ascii="Arial" w:cs="Arial" w:eastAsia="Arial" w:hAnsi="Arial"/>
                <w:sz w:val="18"/>
                <w:szCs w:val="18"/>
                <w:color w:val="auto"/>
              </w:rPr>
              <w:t>David B. Powers</w:t>
            </w:r>
            <w:r>
              <w:rPr>
                <w:rFonts w:ascii="Arial" w:cs="Arial" w:eastAsia="Arial" w:hAnsi="Arial"/>
                <w:sz w:val="24"/>
                <w:szCs w:val="24"/>
                <w:color w:val="auto"/>
                <w:vertAlign w:val="superscript"/>
              </w:rPr>
              <w:t>(4)</w:t>
            </w:r>
          </w:p>
        </w:tc>
        <w:tc>
          <w:tcPr>
            <w:tcW w:w="1820" w:type="dxa"/>
            <w:vAlign w:val="bottom"/>
            <w:shd w:val="clear" w:color="auto" w:fill="E7E7E8"/>
          </w:tcPr>
          <w:p>
            <w:pPr>
              <w:jc w:val="right"/>
              <w:ind w:right="175"/>
              <w:spacing w:after="0"/>
              <w:rPr>
                <w:sz w:val="20"/>
                <w:szCs w:val="20"/>
                <w:color w:val="auto"/>
              </w:rPr>
            </w:pPr>
            <w:r>
              <w:rPr>
                <w:rFonts w:ascii="Arial" w:cs="Arial" w:eastAsia="Arial" w:hAnsi="Arial"/>
                <w:sz w:val="18"/>
                <w:szCs w:val="18"/>
                <w:color w:val="auto"/>
              </w:rPr>
              <w:t>105,000</w:t>
            </w:r>
          </w:p>
        </w:tc>
        <w:tc>
          <w:tcPr>
            <w:tcW w:w="1300" w:type="dxa"/>
            <w:vAlign w:val="bottom"/>
            <w:shd w:val="clear" w:color="auto" w:fill="E7E7E8"/>
          </w:tcPr>
          <w:p>
            <w:pPr>
              <w:jc w:val="right"/>
              <w:ind w:right="175"/>
              <w:spacing w:after="0"/>
              <w:rPr>
                <w:sz w:val="20"/>
                <w:szCs w:val="20"/>
                <w:color w:val="auto"/>
              </w:rPr>
            </w:pPr>
            <w:r>
              <w:rPr>
                <w:rFonts w:ascii="Arial" w:cs="Arial" w:eastAsia="Arial" w:hAnsi="Arial"/>
                <w:sz w:val="18"/>
                <w:szCs w:val="18"/>
                <w:color w:val="auto"/>
              </w:rPr>
              <w:t>125,122</w:t>
            </w:r>
          </w:p>
        </w:tc>
        <w:tc>
          <w:tcPr>
            <w:tcW w:w="1340" w:type="dxa"/>
            <w:vAlign w:val="bottom"/>
            <w:shd w:val="clear" w:color="auto" w:fill="E7E7E8"/>
          </w:tcPr>
          <w:p>
            <w:pPr>
              <w:jc w:val="right"/>
              <w:ind w:right="215"/>
              <w:spacing w:after="0"/>
              <w:rPr>
                <w:sz w:val="20"/>
                <w:szCs w:val="20"/>
                <w:color w:val="auto"/>
              </w:rPr>
            </w:pPr>
            <w:r>
              <w:rPr>
                <w:rFonts w:ascii="Arial" w:cs="Arial" w:eastAsia="Arial" w:hAnsi="Arial"/>
                <w:sz w:val="18"/>
                <w:szCs w:val="18"/>
                <w:color w:val="auto"/>
              </w:rPr>
              <w:t>—</w:t>
            </w:r>
          </w:p>
        </w:tc>
        <w:tc>
          <w:tcPr>
            <w:tcW w:w="1120" w:type="dxa"/>
            <w:vAlign w:val="bottom"/>
            <w:shd w:val="clear" w:color="auto" w:fill="E7E7E8"/>
          </w:tcPr>
          <w:p>
            <w:pPr>
              <w:ind w:left="360"/>
              <w:spacing w:after="0"/>
              <w:rPr>
                <w:sz w:val="20"/>
                <w:szCs w:val="20"/>
                <w:color w:val="auto"/>
              </w:rPr>
            </w:pPr>
            <w:r>
              <w:rPr>
                <w:rFonts w:ascii="Arial" w:cs="Arial" w:eastAsia="Arial" w:hAnsi="Arial"/>
                <w:sz w:val="18"/>
                <w:szCs w:val="18"/>
                <w:color w:val="auto"/>
              </w:rPr>
              <w:t>230,122</w:t>
            </w:r>
          </w:p>
        </w:tc>
      </w:tr>
      <w:tr>
        <w:trPr>
          <w:trHeight w:val="297"/>
        </w:trPr>
        <w:tc>
          <w:tcPr>
            <w:tcW w:w="5660" w:type="dxa"/>
            <w:vAlign w:val="bottom"/>
          </w:tcPr>
          <w:p>
            <w:pPr>
              <w:ind w:left="60"/>
              <w:spacing w:after="0"/>
              <w:rPr>
                <w:sz w:val="20"/>
                <w:szCs w:val="20"/>
                <w:color w:val="auto"/>
              </w:rPr>
            </w:pPr>
            <w:r>
              <w:rPr>
                <w:rFonts w:ascii="Arial" w:cs="Arial" w:eastAsia="Arial" w:hAnsi="Arial"/>
                <w:sz w:val="18"/>
                <w:szCs w:val="18"/>
                <w:color w:val="auto"/>
              </w:rPr>
              <w:t>Mary P. Ricciardello</w:t>
            </w:r>
            <w:r>
              <w:rPr>
                <w:rFonts w:ascii="Arial" w:cs="Arial" w:eastAsia="Arial" w:hAnsi="Arial"/>
                <w:sz w:val="24"/>
                <w:szCs w:val="24"/>
                <w:color w:val="auto"/>
                <w:vertAlign w:val="superscript"/>
              </w:rPr>
              <w:t>(7)</w:t>
            </w:r>
          </w:p>
        </w:tc>
        <w:tc>
          <w:tcPr>
            <w:tcW w:w="182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5"/>
              <w:spacing w:after="0"/>
              <w:rPr>
                <w:sz w:val="20"/>
                <w:szCs w:val="20"/>
                <w:color w:val="auto"/>
              </w:rPr>
            </w:pPr>
            <w:r>
              <w:rPr>
                <w:rFonts w:ascii="Arial" w:cs="Arial" w:eastAsia="Arial" w:hAnsi="Arial"/>
                <w:sz w:val="18"/>
                <w:szCs w:val="18"/>
                <w:color w:val="auto"/>
              </w:rPr>
              <w:t>196,320</w:t>
            </w:r>
          </w:p>
        </w:tc>
        <w:tc>
          <w:tcPr>
            <w:tcW w:w="1340" w:type="dxa"/>
            <w:vAlign w:val="bottom"/>
          </w:tcPr>
          <w:p>
            <w:pPr>
              <w:jc w:val="right"/>
              <w:ind w:right="215"/>
              <w:spacing w:after="0"/>
              <w:rPr>
                <w:sz w:val="20"/>
                <w:szCs w:val="20"/>
                <w:color w:val="auto"/>
              </w:rPr>
            </w:pPr>
            <w:r>
              <w:rPr>
                <w:rFonts w:ascii="Arial" w:cs="Arial" w:eastAsia="Arial" w:hAnsi="Arial"/>
                <w:sz w:val="18"/>
                <w:szCs w:val="18"/>
                <w:color w:val="auto"/>
              </w:rPr>
              <w:t>65,416</w:t>
            </w:r>
          </w:p>
        </w:tc>
        <w:tc>
          <w:tcPr>
            <w:tcW w:w="1120" w:type="dxa"/>
            <w:vAlign w:val="bottom"/>
          </w:tcPr>
          <w:p>
            <w:pPr>
              <w:ind w:left="360"/>
              <w:spacing w:after="0"/>
              <w:rPr>
                <w:sz w:val="20"/>
                <w:szCs w:val="20"/>
                <w:color w:val="auto"/>
              </w:rPr>
            </w:pPr>
            <w:r>
              <w:rPr>
                <w:rFonts w:ascii="Arial" w:cs="Arial" w:eastAsia="Arial" w:hAnsi="Arial"/>
                <w:sz w:val="18"/>
                <w:szCs w:val="18"/>
                <w:color w:val="auto"/>
              </w:rPr>
              <w:t>261,736</w:t>
            </w:r>
          </w:p>
        </w:tc>
      </w:tr>
      <w:tr>
        <w:trPr>
          <w:trHeight w:val="331"/>
        </w:trPr>
        <w:tc>
          <w:tcPr>
            <w:tcW w:w="5660" w:type="dxa"/>
            <w:vAlign w:val="bottom"/>
            <w:tcBorders>
              <w:bottom w:val="single" w:sz="8" w:color="051972"/>
            </w:tcBorders>
            <w:shd w:val="clear" w:color="auto" w:fill="E7E7E8"/>
          </w:tcPr>
          <w:p>
            <w:pPr>
              <w:ind w:left="60"/>
              <w:spacing w:after="0"/>
              <w:rPr>
                <w:sz w:val="20"/>
                <w:szCs w:val="20"/>
                <w:color w:val="auto"/>
              </w:rPr>
            </w:pPr>
            <w:r>
              <w:rPr>
                <w:rFonts w:ascii="Arial" w:cs="Arial" w:eastAsia="Arial" w:hAnsi="Arial"/>
                <w:sz w:val="18"/>
                <w:szCs w:val="18"/>
                <w:color w:val="auto"/>
              </w:rPr>
              <w:t>Richard R. Stewart</w:t>
            </w:r>
            <w:r>
              <w:rPr>
                <w:rFonts w:ascii="Arial" w:cs="Arial" w:eastAsia="Arial" w:hAnsi="Arial"/>
                <w:sz w:val="24"/>
                <w:szCs w:val="24"/>
                <w:color w:val="auto"/>
                <w:vertAlign w:val="superscript"/>
              </w:rPr>
              <w:t>(4)</w:t>
            </w:r>
          </w:p>
        </w:tc>
        <w:tc>
          <w:tcPr>
            <w:tcW w:w="1820" w:type="dxa"/>
            <w:vAlign w:val="bottom"/>
            <w:tcBorders>
              <w:bottom w:val="single" w:sz="8" w:color="051972"/>
            </w:tcBorders>
            <w:shd w:val="clear" w:color="auto" w:fill="E7E7E8"/>
          </w:tcPr>
          <w:p>
            <w:pPr>
              <w:jc w:val="right"/>
              <w:ind w:right="175"/>
              <w:spacing w:after="0"/>
              <w:rPr>
                <w:sz w:val="20"/>
                <w:szCs w:val="20"/>
                <w:color w:val="auto"/>
              </w:rPr>
            </w:pPr>
            <w:r>
              <w:rPr>
                <w:rFonts w:ascii="Arial" w:cs="Arial" w:eastAsia="Arial" w:hAnsi="Arial"/>
                <w:sz w:val="18"/>
                <w:szCs w:val="18"/>
                <w:color w:val="auto"/>
              </w:rPr>
              <w:t>105,000</w:t>
            </w:r>
          </w:p>
        </w:tc>
        <w:tc>
          <w:tcPr>
            <w:tcW w:w="1300" w:type="dxa"/>
            <w:vAlign w:val="bottom"/>
            <w:tcBorders>
              <w:bottom w:val="single" w:sz="8" w:color="051972"/>
            </w:tcBorders>
            <w:shd w:val="clear" w:color="auto" w:fill="E7E7E8"/>
          </w:tcPr>
          <w:p>
            <w:pPr>
              <w:jc w:val="right"/>
              <w:ind w:right="175"/>
              <w:spacing w:after="0"/>
              <w:rPr>
                <w:sz w:val="20"/>
                <w:szCs w:val="20"/>
                <w:color w:val="auto"/>
              </w:rPr>
            </w:pPr>
            <w:r>
              <w:rPr>
                <w:rFonts w:ascii="Arial" w:cs="Arial" w:eastAsia="Arial" w:hAnsi="Arial"/>
                <w:sz w:val="18"/>
                <w:szCs w:val="18"/>
                <w:color w:val="auto"/>
              </w:rPr>
              <w:t>125,122</w:t>
            </w:r>
          </w:p>
        </w:tc>
        <w:tc>
          <w:tcPr>
            <w:tcW w:w="1340" w:type="dxa"/>
            <w:vAlign w:val="bottom"/>
            <w:tcBorders>
              <w:bottom w:val="single" w:sz="8" w:color="051972"/>
            </w:tcBorders>
            <w:shd w:val="clear" w:color="auto" w:fill="E7E7E8"/>
          </w:tcPr>
          <w:p>
            <w:pPr>
              <w:jc w:val="right"/>
              <w:ind w:right="21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051972"/>
            </w:tcBorders>
            <w:shd w:val="clear" w:color="auto" w:fill="E7E7E8"/>
          </w:tcPr>
          <w:p>
            <w:pPr>
              <w:ind w:left="360"/>
              <w:spacing w:after="0"/>
              <w:rPr>
                <w:sz w:val="20"/>
                <w:szCs w:val="20"/>
                <w:color w:val="auto"/>
              </w:rPr>
            </w:pPr>
            <w:r>
              <w:rPr>
                <w:rFonts w:ascii="Arial" w:cs="Arial" w:eastAsia="Arial" w:hAnsi="Arial"/>
                <w:sz w:val="18"/>
                <w:szCs w:val="18"/>
                <w:color w:val="auto"/>
              </w:rPr>
              <w:t>230,122</w:t>
            </w:r>
          </w:p>
        </w:tc>
      </w:tr>
    </w:tbl>
    <w:p>
      <w:pPr>
        <w:spacing w:after="0" w:line="193" w:lineRule="exact"/>
        <w:rPr>
          <w:sz w:val="20"/>
          <w:szCs w:val="20"/>
          <w:color w:val="auto"/>
        </w:rPr>
      </w:pPr>
    </w:p>
    <w:p>
      <w:pPr>
        <w:ind w:left="380" w:right="220" w:hanging="372"/>
        <w:spacing w:after="0" w:line="255" w:lineRule="auto"/>
        <w:tabs>
          <w:tab w:leader="none" w:pos="38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in this column reflect the value of restricted stock awards made to the directors in the fiscal year ended March 31, 2025 and are consistent with the grant date fair value of the awards computed in accordance with Financial Accounting Standards Board Accounting Standards Certification ("FASB ASC") Topic 718. For assumptions used in determining these values, refer to footnote (K) to the Company’s audited financial statements for the fiscal year ended March 31, 2025, included in the Company’s Annual Report on Form 10-K filed with the SEC on May 20, 2025 (“Fiscal 2025 Form 10-K”).</w:t>
      </w:r>
    </w:p>
    <w:p>
      <w:pPr>
        <w:spacing w:after="0" w:line="71" w:lineRule="exact"/>
        <w:rPr>
          <w:rFonts w:ascii="Times New Roman" w:cs="Times New Roman" w:eastAsia="Times New Roman" w:hAnsi="Times New Roman"/>
          <w:sz w:val="14"/>
          <w:szCs w:val="14"/>
          <w:color w:val="auto"/>
        </w:rPr>
      </w:pPr>
    </w:p>
    <w:p>
      <w:pPr>
        <w:ind w:left="380" w:right="320" w:hanging="372"/>
        <w:spacing w:after="0" w:line="262" w:lineRule="auto"/>
        <w:tabs>
          <w:tab w:leader="none" w:pos="38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in this column reflect the value of option awards made to the directors in the fiscal year ended March 31, 2024 and are consistent with the grant date fair value of the awards computed in accordance with FASB ASC Topic 718. For assumptions used in determining these values, refer to footnote (K) to the Company’s audited financial statements for the fiscal year ended March 31, 2025, included in the Fiscal 2025 Form 10-K.</w:t>
      </w:r>
    </w:p>
    <w:p>
      <w:pPr>
        <w:spacing w:after="0" w:line="66"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Mr. Beckwitt is the Chair of the Governance Committee. He elected to receive 100% of his director compensation in the form of equity (including his chairperson fee).</w:t>
      </w:r>
    </w:p>
    <w:p>
      <w:pPr>
        <w:spacing w:after="0" w:line="108" w:lineRule="exact"/>
        <w:rPr>
          <w:rFonts w:ascii="Times New Roman" w:cs="Times New Roman" w:eastAsia="Times New Roman" w:hAnsi="Times New Roman"/>
          <w:sz w:val="14"/>
          <w:szCs w:val="14"/>
          <w:color w:val="auto"/>
        </w:rPr>
      </w:pPr>
    </w:p>
    <w:p>
      <w:pPr>
        <w:ind w:left="380" w:right="220" w:hanging="372"/>
        <w:spacing w:after="0" w:line="284" w:lineRule="auto"/>
        <w:tabs>
          <w:tab w:leader="none" w:pos="38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Ms. Carter and Messrs. Powers and Stewart selected the compensation package where they receive a portion of their director compensation in the form of equity and a portion in cash.</w:t>
      </w:r>
    </w:p>
    <w:p>
      <w:pPr>
        <w:spacing w:after="0" w:line="50"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Mr. Damiris is the Chair of the Compensation Committee. He elected to receive 100% of his director compensation in the form of equity (including his chairperson fee).</w:t>
      </w:r>
    </w:p>
    <w:p>
      <w:pPr>
        <w:spacing w:after="0" w:line="108" w:lineRule="exact"/>
        <w:rPr>
          <w:rFonts w:ascii="Times New Roman" w:cs="Times New Roman" w:eastAsia="Times New Roman" w:hAnsi="Times New Roman"/>
          <w:sz w:val="14"/>
          <w:szCs w:val="14"/>
          <w:color w:val="auto"/>
        </w:rPr>
      </w:pPr>
    </w:p>
    <w:p>
      <w:pPr>
        <w:ind w:left="380" w:right="320" w:hanging="372"/>
        <w:spacing w:after="0" w:line="284" w:lineRule="auto"/>
        <w:tabs>
          <w:tab w:leader="none" w:pos="38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Mr. Ellen is Chair of the Audit Committee. He selected the compensation package where he receives a portion of his director compensation in the form of equity and a portion in cash. Mr. Ellen received his chairperson fee in cash.</w:t>
      </w:r>
    </w:p>
    <w:p>
      <w:pPr>
        <w:spacing w:after="0" w:line="50"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Mr. Gregorio and Ms. Ricciardello elected to receive 100% of their director compensation in the form of equity</w:t>
      </w:r>
    </w:p>
    <w:p>
      <w:pPr>
        <w:spacing w:after="0" w:line="108" w:lineRule="exact"/>
        <w:rPr>
          <w:rFonts w:ascii="Times New Roman" w:cs="Times New Roman" w:eastAsia="Times New Roman" w:hAnsi="Times New Roman"/>
          <w:sz w:val="14"/>
          <w:szCs w:val="14"/>
          <w:color w:val="auto"/>
        </w:rPr>
      </w:pPr>
    </w:p>
    <w:p>
      <w:pPr>
        <w:ind w:left="380" w:right="140" w:hanging="372"/>
        <w:spacing w:after="0" w:line="284" w:lineRule="auto"/>
        <w:tabs>
          <w:tab w:leader="none" w:pos="380" w:val="left"/>
        </w:tabs>
        <w:numPr>
          <w:ilvl w:val="0"/>
          <w:numId w:val="57"/>
        </w:numPr>
        <w:rPr>
          <w:rFonts w:ascii="Times New Roman" w:cs="Times New Roman" w:eastAsia="Times New Roman" w:hAnsi="Times New Roman"/>
          <w:sz w:val="14"/>
          <w:szCs w:val="14"/>
          <w:color w:val="auto"/>
        </w:rPr>
      </w:pPr>
      <w:r>
        <w:rPr>
          <w:rFonts w:ascii="Arial" w:cs="Arial" w:eastAsia="Arial" w:hAnsi="Arial"/>
          <w:sz w:val="14"/>
          <w:szCs w:val="14"/>
          <w:color w:val="auto"/>
        </w:rPr>
        <w:t>Mr. Nicolais served as Chairman of the Board during fiscal 2025. He elected to receive 100% of his director compensation in the form of equity (including his chairperson fee).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20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5" w:name="page26"/>
    <w:bookmarkEnd w:id="25"/>
    <w:p>
      <w:pPr>
        <w:ind w:left="83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DIRECTOR COMPENSATION</w:t>
      </w:r>
    </w:p>
    <w:p>
      <w:pPr>
        <w:spacing w:after="0" w:line="297"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following chart shows the number of outstanding stock options, RSUs and shares of restricted stock held by each non-employee director as of March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520" w:type="dxa"/>
            <w:vAlign w:val="bottom"/>
            <w:tcBorders>
              <w:bottom w:val="single" w:sz="8" w:color="051972"/>
            </w:tcBorders>
          </w:tcPr>
          <w:p>
            <w:pPr>
              <w:ind w:left="60"/>
              <w:spacing w:after="0"/>
              <w:rPr>
                <w:sz w:val="20"/>
                <w:szCs w:val="20"/>
                <w:color w:val="auto"/>
              </w:rPr>
            </w:pPr>
            <w:r>
              <w:rPr>
                <w:rFonts w:ascii="Arial" w:cs="Arial" w:eastAsia="Arial" w:hAnsi="Arial"/>
                <w:sz w:val="14"/>
                <w:szCs w:val="14"/>
                <w:b w:val="1"/>
                <w:bCs w:val="1"/>
                <w:color w:val="051972"/>
              </w:rPr>
              <w:t>Name</w:t>
            </w:r>
          </w:p>
        </w:tc>
        <w:tc>
          <w:tcPr>
            <w:tcW w:w="1840" w:type="dxa"/>
            <w:vAlign w:val="bottom"/>
            <w:tcBorders>
              <w:bottom w:val="single" w:sz="8" w:color="051972"/>
            </w:tcBorders>
          </w:tcPr>
          <w:p>
            <w:pPr>
              <w:jc w:val="right"/>
              <w:ind w:right="332"/>
              <w:spacing w:after="0"/>
              <w:rPr>
                <w:sz w:val="20"/>
                <w:szCs w:val="20"/>
                <w:color w:val="auto"/>
              </w:rPr>
            </w:pPr>
            <w:r>
              <w:rPr>
                <w:rFonts w:ascii="Arial" w:cs="Arial" w:eastAsia="Arial" w:hAnsi="Arial"/>
                <w:sz w:val="14"/>
                <w:szCs w:val="14"/>
                <w:b w:val="1"/>
                <w:bCs w:val="1"/>
                <w:color w:val="051972"/>
              </w:rPr>
              <w:t>Stock Options</w:t>
            </w:r>
            <w:r>
              <w:rPr>
                <w:rFonts w:ascii="Arial" w:cs="Arial" w:eastAsia="Arial" w:hAnsi="Arial"/>
                <w:sz w:val="19"/>
                <w:szCs w:val="19"/>
                <w:b w:val="1"/>
                <w:bCs w:val="1"/>
                <w:color w:val="051972"/>
                <w:vertAlign w:val="superscript"/>
              </w:rPr>
              <w:t>(1)</w:t>
            </w:r>
          </w:p>
        </w:tc>
        <w:tc>
          <w:tcPr>
            <w:tcW w:w="1100" w:type="dxa"/>
            <w:vAlign w:val="bottom"/>
            <w:tcBorders>
              <w:bottom w:val="single" w:sz="8" w:color="051972"/>
            </w:tcBorders>
          </w:tcPr>
          <w:p>
            <w:pPr>
              <w:jc w:val="right"/>
              <w:ind w:right="312"/>
              <w:spacing w:after="0"/>
              <w:rPr>
                <w:sz w:val="20"/>
                <w:szCs w:val="20"/>
                <w:color w:val="auto"/>
              </w:rPr>
            </w:pPr>
            <w:r>
              <w:rPr>
                <w:rFonts w:ascii="Arial" w:cs="Arial" w:eastAsia="Arial" w:hAnsi="Arial"/>
                <w:sz w:val="14"/>
                <w:szCs w:val="14"/>
                <w:b w:val="1"/>
                <w:bCs w:val="1"/>
                <w:color w:val="051972"/>
              </w:rPr>
              <w:t>RSUs</w:t>
            </w:r>
            <w:r>
              <w:rPr>
                <w:rFonts w:ascii="Arial" w:cs="Arial" w:eastAsia="Arial" w:hAnsi="Arial"/>
                <w:sz w:val="19"/>
                <w:szCs w:val="19"/>
                <w:b w:val="1"/>
                <w:bCs w:val="1"/>
                <w:color w:val="051972"/>
                <w:vertAlign w:val="superscript"/>
              </w:rPr>
              <w:t>(2)</w:t>
            </w:r>
          </w:p>
        </w:tc>
        <w:tc>
          <w:tcPr>
            <w:tcW w:w="1780" w:type="dxa"/>
            <w:vAlign w:val="bottom"/>
            <w:tcBorders>
              <w:bottom w:val="single" w:sz="8" w:color="051972"/>
            </w:tcBorders>
          </w:tcPr>
          <w:p>
            <w:pPr>
              <w:jc w:val="right"/>
              <w:ind w:right="232"/>
              <w:spacing w:after="0"/>
              <w:rPr>
                <w:sz w:val="20"/>
                <w:szCs w:val="20"/>
                <w:color w:val="auto"/>
              </w:rPr>
            </w:pPr>
            <w:r>
              <w:rPr>
                <w:rFonts w:ascii="Arial" w:cs="Arial" w:eastAsia="Arial" w:hAnsi="Arial"/>
                <w:sz w:val="14"/>
                <w:szCs w:val="14"/>
                <w:b w:val="1"/>
                <w:bCs w:val="1"/>
                <w:color w:val="051972"/>
              </w:rPr>
              <w:t>Restricted Stock</w:t>
            </w:r>
            <w:r>
              <w:rPr>
                <w:rFonts w:ascii="Arial" w:cs="Arial" w:eastAsia="Arial" w:hAnsi="Arial"/>
                <w:sz w:val="19"/>
                <w:szCs w:val="19"/>
                <w:b w:val="1"/>
                <w:bCs w:val="1"/>
                <w:color w:val="051972"/>
                <w:vertAlign w:val="superscript"/>
              </w:rPr>
              <w:t>(3)</w:t>
            </w:r>
          </w:p>
        </w:tc>
      </w:tr>
      <w:tr>
        <w:trPr>
          <w:trHeight w:val="284"/>
        </w:trPr>
        <w:tc>
          <w:tcPr>
            <w:tcW w:w="65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Rick Beckwitt</w:t>
            </w:r>
          </w:p>
        </w:tc>
        <w:tc>
          <w:tcPr>
            <w:tcW w:w="1840" w:type="dxa"/>
            <w:vAlign w:val="bottom"/>
            <w:tcBorders>
              <w:bottom w:val="single" w:sz="8" w:color="E7E7E8"/>
            </w:tcBorders>
            <w:shd w:val="clear" w:color="auto" w:fill="E7E7E8"/>
          </w:tcPr>
          <w:p>
            <w:pPr>
              <w:jc w:val="right"/>
              <w:ind w:right="132"/>
              <w:spacing w:after="0"/>
              <w:rPr>
                <w:sz w:val="20"/>
                <w:szCs w:val="20"/>
                <w:color w:val="auto"/>
              </w:rPr>
            </w:pPr>
            <w:r>
              <w:rPr>
                <w:rFonts w:ascii="Arial" w:cs="Arial" w:eastAsia="Arial" w:hAnsi="Arial"/>
                <w:sz w:val="18"/>
                <w:szCs w:val="18"/>
                <w:color w:val="auto"/>
              </w:rPr>
              <w:t>2,070</w:t>
            </w:r>
          </w:p>
        </w:tc>
        <w:tc>
          <w:tcPr>
            <w:tcW w:w="1100" w:type="dxa"/>
            <w:vAlign w:val="bottom"/>
            <w:tcBorders>
              <w:bottom w:val="single" w:sz="8" w:color="E7E7E8"/>
            </w:tcBorders>
            <w:shd w:val="clear" w:color="auto" w:fill="E7E7E8"/>
          </w:tcPr>
          <w:p>
            <w:pPr>
              <w:jc w:val="right"/>
              <w:ind w:right="11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E7E7E8"/>
            </w:tcBorders>
            <w:shd w:val="clear" w:color="auto" w:fill="E7E7E8"/>
          </w:tcPr>
          <w:p>
            <w:pPr>
              <w:jc w:val="right"/>
              <w:ind w:right="32"/>
              <w:spacing w:after="0"/>
              <w:rPr>
                <w:sz w:val="20"/>
                <w:szCs w:val="20"/>
                <w:color w:val="auto"/>
              </w:rPr>
            </w:pPr>
            <w:r>
              <w:rPr>
                <w:rFonts w:ascii="Arial" w:cs="Arial" w:eastAsia="Arial" w:hAnsi="Arial"/>
                <w:sz w:val="18"/>
                <w:szCs w:val="18"/>
                <w:color w:val="auto"/>
              </w:rPr>
              <w:t>5,505</w:t>
            </w:r>
          </w:p>
        </w:tc>
      </w:tr>
      <w:tr>
        <w:trPr>
          <w:trHeight w:val="261"/>
        </w:trPr>
        <w:tc>
          <w:tcPr>
            <w:tcW w:w="6520" w:type="dxa"/>
            <w:vAlign w:val="bottom"/>
          </w:tcPr>
          <w:p>
            <w:pPr>
              <w:ind w:left="60"/>
              <w:spacing w:after="0"/>
              <w:rPr>
                <w:sz w:val="20"/>
                <w:szCs w:val="20"/>
                <w:color w:val="auto"/>
              </w:rPr>
            </w:pPr>
            <w:r>
              <w:rPr>
                <w:rFonts w:ascii="Arial" w:cs="Arial" w:eastAsia="Arial" w:hAnsi="Arial"/>
                <w:sz w:val="18"/>
                <w:szCs w:val="18"/>
                <w:color w:val="auto"/>
              </w:rPr>
              <w:t>Margot L. Carter</w:t>
            </w:r>
          </w:p>
        </w:tc>
        <w:tc>
          <w:tcPr>
            <w:tcW w:w="18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478</w:t>
            </w:r>
          </w:p>
        </w:tc>
      </w:tr>
      <w:tr>
        <w:trPr>
          <w:trHeight w:val="37"/>
        </w:trPr>
        <w:tc>
          <w:tcPr>
            <w:tcW w:w="6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7"/>
        </w:trPr>
        <w:tc>
          <w:tcPr>
            <w:tcW w:w="65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George J. Damiris</w:t>
            </w:r>
          </w:p>
        </w:tc>
        <w:tc>
          <w:tcPr>
            <w:tcW w:w="1840" w:type="dxa"/>
            <w:vAlign w:val="bottom"/>
            <w:tcBorders>
              <w:bottom w:val="single" w:sz="8" w:color="E7E7E8"/>
            </w:tcBorders>
            <w:shd w:val="clear" w:color="auto" w:fill="E7E7E8"/>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7E7E8"/>
            </w:tcBorders>
            <w:shd w:val="clear" w:color="auto" w:fill="E7E7E8"/>
          </w:tcPr>
          <w:p>
            <w:pPr>
              <w:jc w:val="right"/>
              <w:ind w:right="11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E7E7E8"/>
            </w:tcBorders>
            <w:shd w:val="clear" w:color="auto" w:fill="E7E7E8"/>
          </w:tcPr>
          <w:p>
            <w:pPr>
              <w:jc w:val="right"/>
              <w:ind w:right="32"/>
              <w:spacing w:after="0"/>
              <w:rPr>
                <w:sz w:val="20"/>
                <w:szCs w:val="20"/>
                <w:color w:val="auto"/>
              </w:rPr>
            </w:pPr>
            <w:r>
              <w:rPr>
                <w:rFonts w:ascii="Arial" w:cs="Arial" w:eastAsia="Arial" w:hAnsi="Arial"/>
                <w:sz w:val="18"/>
                <w:szCs w:val="18"/>
                <w:color w:val="auto"/>
              </w:rPr>
              <w:t>1,100</w:t>
            </w:r>
          </w:p>
        </w:tc>
      </w:tr>
      <w:tr>
        <w:trPr>
          <w:trHeight w:val="261"/>
        </w:trPr>
        <w:tc>
          <w:tcPr>
            <w:tcW w:w="6520" w:type="dxa"/>
            <w:vAlign w:val="bottom"/>
          </w:tcPr>
          <w:p>
            <w:pPr>
              <w:ind w:left="60"/>
              <w:spacing w:after="0"/>
              <w:rPr>
                <w:sz w:val="20"/>
                <w:szCs w:val="20"/>
                <w:color w:val="auto"/>
              </w:rPr>
            </w:pPr>
            <w:r>
              <w:rPr>
                <w:rFonts w:ascii="Arial" w:cs="Arial" w:eastAsia="Arial" w:hAnsi="Arial"/>
                <w:sz w:val="18"/>
                <w:szCs w:val="18"/>
                <w:color w:val="auto"/>
              </w:rPr>
              <w:t>Martin M. Ellen</w:t>
            </w:r>
          </w:p>
        </w:tc>
        <w:tc>
          <w:tcPr>
            <w:tcW w:w="18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2,330</w:t>
            </w:r>
          </w:p>
        </w:tc>
      </w:tr>
      <w:tr>
        <w:trPr>
          <w:trHeight w:val="37"/>
        </w:trPr>
        <w:tc>
          <w:tcPr>
            <w:tcW w:w="6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7"/>
        </w:trPr>
        <w:tc>
          <w:tcPr>
            <w:tcW w:w="65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Mauro Gregorio</w:t>
            </w:r>
          </w:p>
        </w:tc>
        <w:tc>
          <w:tcPr>
            <w:tcW w:w="1840" w:type="dxa"/>
            <w:vAlign w:val="bottom"/>
            <w:tcBorders>
              <w:bottom w:val="single" w:sz="8" w:color="E7E7E8"/>
            </w:tcBorders>
            <w:shd w:val="clear" w:color="auto" w:fill="E7E7E8"/>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7E7E8"/>
            </w:tcBorders>
            <w:shd w:val="clear" w:color="auto" w:fill="E7E7E8"/>
          </w:tcPr>
          <w:p>
            <w:pPr>
              <w:jc w:val="right"/>
              <w:ind w:right="11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E7E7E8"/>
            </w:tcBorders>
            <w:shd w:val="clear" w:color="auto" w:fill="E7E7E8"/>
          </w:tcPr>
          <w:p>
            <w:pPr>
              <w:jc w:val="right"/>
              <w:ind w:right="32"/>
              <w:spacing w:after="0"/>
              <w:rPr>
                <w:sz w:val="20"/>
                <w:szCs w:val="20"/>
                <w:color w:val="auto"/>
              </w:rPr>
            </w:pPr>
            <w:r>
              <w:rPr>
                <w:rFonts w:ascii="Arial" w:cs="Arial" w:eastAsia="Arial" w:hAnsi="Arial"/>
                <w:sz w:val="18"/>
                <w:szCs w:val="18"/>
                <w:color w:val="auto"/>
              </w:rPr>
              <w:t>1,000</w:t>
            </w:r>
          </w:p>
        </w:tc>
      </w:tr>
      <w:tr>
        <w:trPr>
          <w:trHeight w:val="261"/>
        </w:trPr>
        <w:tc>
          <w:tcPr>
            <w:tcW w:w="6520" w:type="dxa"/>
            <w:vAlign w:val="bottom"/>
          </w:tcPr>
          <w:p>
            <w:pPr>
              <w:ind w:left="60"/>
              <w:spacing w:after="0"/>
              <w:rPr>
                <w:sz w:val="20"/>
                <w:szCs w:val="20"/>
                <w:color w:val="auto"/>
              </w:rPr>
            </w:pPr>
            <w:r>
              <w:rPr>
                <w:rFonts w:ascii="Arial" w:cs="Arial" w:eastAsia="Arial" w:hAnsi="Arial"/>
                <w:sz w:val="18"/>
                <w:szCs w:val="18"/>
                <w:color w:val="auto"/>
              </w:rPr>
              <w:t>Michael R. Nicolais</w:t>
            </w:r>
          </w:p>
        </w:tc>
        <w:tc>
          <w:tcPr>
            <w:tcW w:w="1840" w:type="dxa"/>
            <w:vAlign w:val="bottom"/>
          </w:tcPr>
          <w:p>
            <w:pPr>
              <w:jc w:val="right"/>
              <w:ind w:right="132"/>
              <w:spacing w:after="0"/>
              <w:rPr>
                <w:sz w:val="20"/>
                <w:szCs w:val="20"/>
                <w:color w:val="auto"/>
              </w:rPr>
            </w:pPr>
            <w:r>
              <w:rPr>
                <w:rFonts w:ascii="Arial" w:cs="Arial" w:eastAsia="Arial" w:hAnsi="Arial"/>
                <w:sz w:val="18"/>
                <w:szCs w:val="18"/>
                <w:color w:val="auto"/>
              </w:rPr>
              <w:t>17,026</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3,958</w:t>
            </w: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6,584</w:t>
            </w:r>
          </w:p>
        </w:tc>
      </w:tr>
      <w:tr>
        <w:trPr>
          <w:trHeight w:val="36"/>
        </w:trPr>
        <w:tc>
          <w:tcPr>
            <w:tcW w:w="6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77"/>
        </w:trPr>
        <w:tc>
          <w:tcPr>
            <w:tcW w:w="65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David B. Powers</w:t>
            </w:r>
          </w:p>
        </w:tc>
        <w:tc>
          <w:tcPr>
            <w:tcW w:w="1840" w:type="dxa"/>
            <w:vAlign w:val="bottom"/>
            <w:tcBorders>
              <w:bottom w:val="single" w:sz="8" w:color="E7E7E8"/>
            </w:tcBorders>
            <w:shd w:val="clear" w:color="auto" w:fill="E7E7E8"/>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7E7E8"/>
            </w:tcBorders>
            <w:shd w:val="clear" w:color="auto" w:fill="E7E7E8"/>
          </w:tcPr>
          <w:p>
            <w:pPr>
              <w:jc w:val="right"/>
              <w:ind w:right="11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E7E7E8"/>
            </w:tcBorders>
            <w:shd w:val="clear" w:color="auto" w:fill="E7E7E8"/>
          </w:tcPr>
          <w:p>
            <w:pPr>
              <w:jc w:val="right"/>
              <w:ind w:right="32"/>
              <w:spacing w:after="0"/>
              <w:rPr>
                <w:sz w:val="20"/>
                <w:szCs w:val="20"/>
                <w:color w:val="auto"/>
              </w:rPr>
            </w:pPr>
            <w:r>
              <w:rPr>
                <w:rFonts w:ascii="Arial" w:cs="Arial" w:eastAsia="Arial" w:hAnsi="Arial"/>
                <w:sz w:val="18"/>
                <w:szCs w:val="18"/>
                <w:color w:val="auto"/>
              </w:rPr>
              <w:t>478</w:t>
            </w:r>
          </w:p>
        </w:tc>
      </w:tr>
      <w:tr>
        <w:trPr>
          <w:trHeight w:val="261"/>
        </w:trPr>
        <w:tc>
          <w:tcPr>
            <w:tcW w:w="6520" w:type="dxa"/>
            <w:vAlign w:val="bottom"/>
          </w:tcPr>
          <w:p>
            <w:pPr>
              <w:ind w:left="60"/>
              <w:spacing w:after="0"/>
              <w:rPr>
                <w:sz w:val="20"/>
                <w:szCs w:val="20"/>
                <w:color w:val="auto"/>
              </w:rPr>
            </w:pPr>
            <w:r>
              <w:rPr>
                <w:rFonts w:ascii="Arial" w:cs="Arial" w:eastAsia="Arial" w:hAnsi="Arial"/>
                <w:sz w:val="18"/>
                <w:szCs w:val="18"/>
                <w:color w:val="auto"/>
              </w:rPr>
              <w:t>Mary P. Ricciardello</w:t>
            </w:r>
          </w:p>
        </w:tc>
        <w:tc>
          <w:tcPr>
            <w:tcW w:w="1840" w:type="dxa"/>
            <w:vAlign w:val="bottom"/>
          </w:tcPr>
          <w:p>
            <w:pPr>
              <w:jc w:val="right"/>
              <w:ind w:right="132"/>
              <w:spacing w:after="0"/>
              <w:rPr>
                <w:sz w:val="20"/>
                <w:szCs w:val="20"/>
                <w:color w:val="auto"/>
              </w:rPr>
            </w:pPr>
            <w:r>
              <w:rPr>
                <w:rFonts w:ascii="Arial" w:cs="Arial" w:eastAsia="Arial" w:hAnsi="Arial"/>
                <w:sz w:val="18"/>
                <w:szCs w:val="18"/>
                <w:color w:val="auto"/>
              </w:rPr>
              <w:t>5,338</w:t>
            </w: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750</w:t>
            </w:r>
          </w:p>
        </w:tc>
      </w:tr>
      <w:tr>
        <w:trPr>
          <w:trHeight w:val="36"/>
        </w:trPr>
        <w:tc>
          <w:tcPr>
            <w:tcW w:w="6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780" w:type="dxa"/>
            <w:vAlign w:val="bottom"/>
          </w:tcPr>
          <w:p>
            <w:pPr>
              <w:spacing w:after="0"/>
              <w:rPr>
                <w:sz w:val="3"/>
                <w:szCs w:val="3"/>
                <w:color w:val="auto"/>
              </w:rPr>
            </w:pPr>
          </w:p>
        </w:tc>
      </w:tr>
      <w:tr>
        <w:trPr>
          <w:trHeight w:val="291"/>
        </w:trPr>
        <w:tc>
          <w:tcPr>
            <w:tcW w:w="652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Richard R. Stewart</w:t>
            </w:r>
          </w:p>
        </w:tc>
        <w:tc>
          <w:tcPr>
            <w:tcW w:w="1840" w:type="dxa"/>
            <w:vAlign w:val="bottom"/>
            <w:tcBorders>
              <w:bottom w:val="single" w:sz="8" w:color="E7E7E8"/>
            </w:tcBorders>
            <w:shd w:val="clear" w:color="auto" w:fill="E7E7E8"/>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7E7E8"/>
            </w:tcBorders>
            <w:shd w:val="clear" w:color="auto" w:fill="E7E7E8"/>
          </w:tcPr>
          <w:p>
            <w:pPr>
              <w:jc w:val="right"/>
              <w:ind w:right="11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E7E7E8"/>
            </w:tcBorders>
            <w:shd w:val="clear" w:color="auto" w:fill="E7E7E8"/>
          </w:tcPr>
          <w:p>
            <w:pPr>
              <w:jc w:val="right"/>
              <w:ind w:right="32"/>
              <w:spacing w:after="0"/>
              <w:rPr>
                <w:sz w:val="20"/>
                <w:szCs w:val="20"/>
                <w:color w:val="auto"/>
              </w:rPr>
            </w:pPr>
            <w:r>
              <w:rPr>
                <w:rFonts w:ascii="Arial" w:cs="Arial" w:eastAsia="Arial" w:hAnsi="Arial"/>
                <w:sz w:val="18"/>
                <w:szCs w:val="18"/>
                <w:color w:val="auto"/>
              </w:rPr>
              <w:t>4,028</w:t>
            </w:r>
          </w:p>
        </w:tc>
      </w:tr>
      <w:tr>
        <w:trPr>
          <w:trHeight w:val="40"/>
        </w:trPr>
        <w:tc>
          <w:tcPr>
            <w:tcW w:w="6520" w:type="dxa"/>
            <w:vAlign w:val="bottom"/>
            <w:shd w:val="clear" w:color="auto" w:fill="051972"/>
          </w:tcPr>
          <w:p>
            <w:pPr>
              <w:spacing w:after="0"/>
              <w:rPr>
                <w:sz w:val="3"/>
                <w:szCs w:val="3"/>
                <w:color w:val="auto"/>
              </w:rPr>
            </w:pPr>
          </w:p>
        </w:tc>
        <w:tc>
          <w:tcPr>
            <w:tcW w:w="1840" w:type="dxa"/>
            <w:vAlign w:val="bottom"/>
            <w:shd w:val="clear" w:color="auto" w:fill="051972"/>
          </w:tcPr>
          <w:p>
            <w:pPr>
              <w:spacing w:after="0"/>
              <w:rPr>
                <w:sz w:val="3"/>
                <w:szCs w:val="3"/>
                <w:color w:val="auto"/>
              </w:rPr>
            </w:pPr>
          </w:p>
        </w:tc>
        <w:tc>
          <w:tcPr>
            <w:tcW w:w="1100" w:type="dxa"/>
            <w:vAlign w:val="bottom"/>
            <w:shd w:val="clear" w:color="auto" w:fill="051972"/>
          </w:tcPr>
          <w:p>
            <w:pPr>
              <w:spacing w:after="0"/>
              <w:rPr>
                <w:sz w:val="3"/>
                <w:szCs w:val="3"/>
                <w:color w:val="auto"/>
              </w:rPr>
            </w:pPr>
          </w:p>
        </w:tc>
        <w:tc>
          <w:tcPr>
            <w:tcW w:w="1780" w:type="dxa"/>
            <w:vAlign w:val="bottom"/>
            <w:shd w:val="clear" w:color="auto" w:fill="051972"/>
          </w:tcPr>
          <w:p>
            <w:pPr>
              <w:spacing w:after="0"/>
              <w:rPr>
                <w:sz w:val="3"/>
                <w:szCs w:val="3"/>
                <w:color w:val="auto"/>
              </w:rPr>
            </w:pPr>
          </w:p>
        </w:tc>
      </w:tr>
    </w:tbl>
    <w:p>
      <w:pPr>
        <w:spacing w:after="0" w:line="234" w:lineRule="exact"/>
        <w:rPr>
          <w:sz w:val="20"/>
          <w:szCs w:val="20"/>
          <w:color w:val="auto"/>
        </w:rPr>
      </w:pPr>
    </w:p>
    <w:p>
      <w:pPr>
        <w:ind w:left="380" w:right="100" w:hanging="372"/>
        <w:spacing w:after="0" w:line="255" w:lineRule="auto"/>
        <w:tabs>
          <w:tab w:leader="none" w:pos="380" w:val="left"/>
        </w:tabs>
        <w:numPr>
          <w:ilvl w:val="0"/>
          <w:numId w:val="58"/>
        </w:numPr>
        <w:rPr>
          <w:rFonts w:ascii="Times New Roman" w:cs="Times New Roman" w:eastAsia="Times New Roman" w:hAnsi="Times New Roman"/>
          <w:sz w:val="14"/>
          <w:szCs w:val="14"/>
          <w:color w:val="auto"/>
        </w:rPr>
      </w:pPr>
      <w:r>
        <w:rPr>
          <w:rFonts w:ascii="Arial" w:cs="Arial" w:eastAsia="Arial" w:hAnsi="Arial"/>
          <w:sz w:val="14"/>
          <w:szCs w:val="14"/>
          <w:color w:val="auto"/>
        </w:rPr>
        <w:t>All of these stock options were fully exercisable as of March 31, 2025, except for 959 of Mr. Nicolais's stock options and 591 of Ms. Ricciardello's stock options, which will vest on the earliest to occur of (i) August 1, 2025;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w:t>
      </w:r>
    </w:p>
    <w:p>
      <w:pPr>
        <w:spacing w:after="0" w:line="71" w:lineRule="exact"/>
        <w:rPr>
          <w:rFonts w:ascii="Times New Roman" w:cs="Times New Roman" w:eastAsia="Times New Roman" w:hAnsi="Times New Roman"/>
          <w:sz w:val="14"/>
          <w:szCs w:val="14"/>
          <w:color w:val="auto"/>
        </w:rPr>
      </w:pPr>
    </w:p>
    <w:p>
      <w:pPr>
        <w:ind w:left="380" w:right="40" w:hanging="372"/>
        <w:spacing w:after="0" w:line="255" w:lineRule="auto"/>
        <w:tabs>
          <w:tab w:leader="none" w:pos="380" w:val="left"/>
        </w:tabs>
        <w:numPr>
          <w:ilvl w:val="0"/>
          <w:numId w:val="58"/>
        </w:numPr>
        <w:rPr>
          <w:rFonts w:ascii="Times New Roman" w:cs="Times New Roman" w:eastAsia="Times New Roman" w:hAnsi="Times New Roman"/>
          <w:sz w:val="14"/>
          <w:szCs w:val="14"/>
          <w:color w:val="auto"/>
        </w:rPr>
      </w:pPr>
      <w:r>
        <w:rPr>
          <w:rFonts w:ascii="Arial" w:cs="Arial" w:eastAsia="Arial" w:hAnsi="Arial"/>
          <w:sz w:val="14"/>
          <w:szCs w:val="14"/>
          <w:color w:val="auto"/>
        </w:rPr>
        <w:t>The RSUs granted to non-employee directors (and any accrued dividend equivalent RSUs) are not payable until the non-employee director’s service on the board terminates because of the director’s death or the director’s retirement in accordance with the Company’s director retirement policy, or under such circumstances as are approved by the Compensation Committee. The number of RSUs reflected in this column includes the following aggregate dividend equivalent units, which are accrued by holders of our RSUs at any time we pay a cash dividend on our Common Stock: Mr. Nicolais – 674 RSUs.</w:t>
      </w:r>
    </w:p>
    <w:p>
      <w:pPr>
        <w:spacing w:after="0" w:line="71" w:lineRule="exact"/>
        <w:rPr>
          <w:rFonts w:ascii="Times New Roman" w:cs="Times New Roman" w:eastAsia="Times New Roman" w:hAnsi="Times New Roman"/>
          <w:sz w:val="14"/>
          <w:szCs w:val="14"/>
          <w:color w:val="auto"/>
        </w:rPr>
      </w:pPr>
    </w:p>
    <w:p>
      <w:pPr>
        <w:ind w:left="380" w:right="60" w:hanging="372"/>
        <w:spacing w:after="0" w:line="246" w:lineRule="auto"/>
        <w:tabs>
          <w:tab w:leader="none" w:pos="380" w:val="left"/>
        </w:tabs>
        <w:numPr>
          <w:ilvl w:val="0"/>
          <w:numId w:val="58"/>
        </w:numPr>
        <w:rPr>
          <w:rFonts w:ascii="Times New Roman" w:cs="Times New Roman" w:eastAsia="Times New Roman" w:hAnsi="Times New Roman"/>
          <w:sz w:val="14"/>
          <w:szCs w:val="14"/>
          <w:color w:val="auto"/>
        </w:rPr>
      </w:pPr>
      <w:r>
        <w:rPr>
          <w:rFonts w:ascii="Arial" w:cs="Arial" w:eastAsia="Arial" w:hAnsi="Arial"/>
          <w:sz w:val="14"/>
          <w:szCs w:val="14"/>
          <w:color w:val="auto"/>
        </w:rPr>
        <w:t>The restrictions on the following restricted stock awards (made prior to fiscal 2024) will not lapse until the non-employee director’s service on the board terminates because of the director’s death or the director’s retirement in accordance with the Company’s director retirement policy, or under such circumstances as are approved by the Compensation Committee: Mr. Beckwitt - 4,405 shares; Mr. Ellen - 1,852 shares; Mr. Nicolais - 5,368 shares; and Mr. Stewart - 3,550 shares. Any cash dividends declared and paid by the Company during the restricted period are paid in cash at the time of the dividend payment with respect to such prior restricted stock grants. The remaining restricted shares reflected in the table were granted in fiscal 2025 and will vest on the earliest to occur of (i) August 1, 2025; (ii) the next annual meeting of the Company’s stockholders, which is at least 50 weeks after the immediately preceding year’s annual meeting; (iii) the recipient’s retirement from the Board in accordance with the Company’s director retirement policy, or earlier under such terms and conditions as approved by the Compensation Committee; (iv) the recipient’s disability as determined by the Compensation Committee; or (v) the recipient’s death. Upon the vesting of the fiscal 2025 shares, the director will be entitled to accrued cash dividends with respect to such shares that were paid to holders of Common Stock during the restriction period.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21</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6" w:name="page27"/>
    <w:bookmarkEnd w:id="26"/>
    <w:p>
      <w:pPr>
        <w:ind w:left="83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Corporate Governance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Board Leadership Structure and Role in Risk Oversight</w:t>
      </w:r>
    </w:p>
    <w:p>
      <w:pPr>
        <w:spacing w:after="0" w:line="14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positions of Chairman of the Board and Chief Executive Officer (“CEO”) are performed by two different individuals. Mr. Haack, our CEO, focuses on the day-to-day operation of the Company’s businesses and also participates in long-term strategy and development. Mr. Nicolais, our Chairman, oversees the Company’s general strategic direction and leads and manages the Board. In particular, Mr. Nicolais (i) presides at Board meetings; (ii) approves agendas and adds agenda items for Board meetings and meetings of independent directors; (iii) acts as liaison between independent directors and the CEO; (iv) presides over executive sessions of independent directors; (v) where appropriate, engages and consults with major shareholders and other constituencies;</w:t>
      </w:r>
    </w:p>
    <w:p>
      <w:pPr>
        <w:spacing w:after="0" w:line="3" w:lineRule="exact"/>
        <w:rPr>
          <w:sz w:val="20"/>
          <w:szCs w:val="20"/>
          <w:color w:val="auto"/>
        </w:rPr>
      </w:pPr>
    </w:p>
    <w:p>
      <w:pPr>
        <w:ind w:right="880" w:firstLine="8"/>
        <w:spacing w:after="0" w:line="265" w:lineRule="auto"/>
        <w:tabs>
          <w:tab w:leader="none" w:pos="27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meets one-on-one with the CEO following executive sessions of independent directors; and (vii) guides the Board in its consideration of CEO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737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C6001E"/>
        </w:rPr>
        <w:t>Board of Directors</w:t>
      </w:r>
    </w:p>
    <w:p>
      <w:pPr>
        <w:spacing w:after="0" w:line="23" w:lineRule="exact"/>
        <w:rPr>
          <w:sz w:val="20"/>
          <w:szCs w:val="20"/>
          <w:color w:val="auto"/>
        </w:rPr>
      </w:pPr>
    </w:p>
    <w:p>
      <w:pPr>
        <w:ind w:left="80" w:right="20"/>
        <w:spacing w:after="0" w:line="252" w:lineRule="auto"/>
        <w:rPr>
          <w:sz w:val="20"/>
          <w:szCs w:val="20"/>
          <w:color w:val="auto"/>
        </w:rPr>
      </w:pPr>
      <w:r>
        <w:rPr>
          <w:rFonts w:ascii="Arial" w:cs="Arial" w:eastAsia="Arial" w:hAnsi="Arial"/>
          <w:sz w:val="16"/>
          <w:szCs w:val="16"/>
          <w:color w:val="auto"/>
        </w:rPr>
        <w:t>Our entire Board of Directors is involved in the oversight of management’s efforts to identify, evaluate and manage risks on behalf of the Company, and the Board discusses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174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17475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C6001E"/>
        </w:rPr>
        <w:t>Audit Committee</w:t>
      </w:r>
    </w:p>
    <w:p>
      <w:pPr>
        <w:spacing w:after="0" w:line="23" w:lineRule="exact"/>
        <w:rPr>
          <w:sz w:val="20"/>
          <w:szCs w:val="20"/>
          <w:color w:val="auto"/>
        </w:rPr>
      </w:pPr>
    </w:p>
    <w:p>
      <w:pPr>
        <w:jc w:val="both"/>
        <w:ind w:left="40"/>
        <w:spacing w:after="0" w:line="265" w:lineRule="auto"/>
        <w:rPr>
          <w:sz w:val="20"/>
          <w:szCs w:val="20"/>
          <w:color w:val="auto"/>
        </w:rPr>
      </w:pPr>
      <w:r>
        <w:rPr>
          <w:rFonts w:ascii="Arial" w:cs="Arial" w:eastAsia="Arial" w:hAnsi="Arial"/>
          <w:sz w:val="16"/>
          <w:szCs w:val="16"/>
          <w:color w:val="auto"/>
        </w:rPr>
        <w:t>The Audit Committee oversees the preparation by management of a risk report on a quarterly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Compensation Committee</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Compensation Committee is responsible for overseeing incentive metrics and the mix of incentive pay for executive compensation plans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296545</wp:posOffset>
            </wp:positionV>
            <wp:extent cx="7132320" cy="6940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Governance Committee</w:t>
      </w:r>
    </w:p>
    <w:p>
      <w:pPr>
        <w:spacing w:after="0" w:line="23"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The Governance Committee is responsible for overseeing governance issues that may create governance risks, such as board composition, director selection and other governance policies and practices that are critical to the success of the Company.</w:t>
      </w:r>
    </w:p>
    <w:p>
      <w:pPr>
        <w:spacing w:after="0" w:line="200" w:lineRule="exact"/>
        <w:rPr>
          <w:sz w:val="20"/>
          <w:szCs w:val="20"/>
          <w:color w:val="auto"/>
        </w:rPr>
      </w:pPr>
    </w:p>
    <w:p>
      <w:pPr>
        <w:sectPr>
          <w:pgSz w:w="11900" w:h="16838" w:orient="portrait"/>
          <w:cols w:equalWidth="0" w:num="3">
            <w:col w:w="3600" w:space="260"/>
            <w:col w:w="3480" w:space="340"/>
            <w:col w:w="3560"/>
          </w:cols>
          <w:pgMar w:left="320" w:top="850" w:right="339" w:bottom="1440" w:gutter="0" w:footer="0" w:header="0"/>
          <w:type w:val="continuous"/>
        </w:sect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C6001E"/>
        </w:rPr>
        <w:t>Management</w:t>
      </w:r>
    </w:p>
    <w:p>
      <w:pPr>
        <w:spacing w:after="0" w:line="23" w:lineRule="exact"/>
        <w:rPr>
          <w:sz w:val="20"/>
          <w:szCs w:val="20"/>
          <w:color w:val="auto"/>
        </w:rPr>
      </w:pPr>
    </w:p>
    <w:p>
      <w:pPr>
        <w:ind w:left="80" w:right="300"/>
        <w:spacing w:after="0" w:line="265" w:lineRule="auto"/>
        <w:rPr>
          <w:sz w:val="20"/>
          <w:szCs w:val="20"/>
          <w:color w:val="auto"/>
        </w:rPr>
      </w:pPr>
      <w:r>
        <w:rPr>
          <w:rFonts w:ascii="Arial" w:cs="Arial" w:eastAsia="Arial" w:hAnsi="Arial"/>
          <w:sz w:val="16"/>
          <w:szCs w:val="16"/>
          <w:color w:val="auto"/>
        </w:rPr>
        <w:t>Our risk management processes include continuous work to assess and analyze the most likely future risks and address them in our long-term planning process and daily risk management activity.</w:t>
      </w:r>
    </w:p>
    <w:p>
      <w:pPr>
        <w:spacing w:after="0" w:line="226"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As part of its primary risk management function, the Audit Committee oversees the preparation by management of a risk report on a quarterly basis. However, our entire Board of Directors is also involved in the oversight of management’s efforts to identify, evaluate and manage risks on behalf of the Company, and the Board discusses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 For example, the Governance Committee is responsible for overseeing governance issues that may create governance risks, such as board composition, director selection and other governance policies and practices that are critical to the success of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Cybersecurity Risk Oversight</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At quarterly Audit Committee meetings (at which the rest of the Board is also present), management provides updates on cybersecurity, including third-party engagement regarding the cybersecurity landscape and emerging threats, the results of annual cybersecurity training for all personnel with network access, and the results of periodic employee phishing exercises. As part of its insurance program, the Company maintains cyber insurance. The Company has no indication of a material cybersecurity breach within the past three fiscal years that would have had a material impact on our business or results of operations. For additional information, see Part I, Item 1C of our Annual Report on Form 10-K for the year ended March 31, 2025, filed with the SEC on May 20,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22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27" w:name="page28"/>
    <w:bookmarkEnd w:id="27"/>
    <w:p>
      <w:pPr>
        <w:ind w:left="83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Risk Assessment in Compensation Programs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Consistent with SEC disclosure requirements, management, the Compensation Committee and the Board have assessed the Company’s compensation programs. Based upon all of the facts and circumstances available to the Company at the time of the filing of this Proxy Statement, the Board has concluded that risks arising from the Company’s compensation policies and practices are not reasonably likely to have a material adverse effect on the Company or encourage unnecessary and excessive risk-taking.</w:t>
      </w:r>
    </w:p>
    <w:p>
      <w:pPr>
        <w:spacing w:after="0" w:line="9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This assessment was overseen by the Compensation Committee, in consultation with management. The Board reviewed the compensation policies and practices in effect for our executive officers, senior management and other employees and assessed the features the Company has built into the compensation programs and other programs and policies to discourage excessive risk-taking. These features include, among other things, a balance among different elements of compensation, use of different performance metrics for different elements of compensation, restrictions on pricing authority, review and approval of material contracts, and stock ownership guidelines for senior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Oversight of Sustainability Matters</w:t>
      </w:r>
    </w:p>
    <w:p>
      <w:pPr>
        <w:spacing w:after="0" w:line="16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Board is committed to effective oversight of sustainability matters, including our climate-related risks, and ensuring progress across our sustainability initiatives. In particular, pursuant to its charter, our Governance Committee has formal responsibility for leading the Board’s oversight of these matters in coordination with management and other Board committees as appropriate. The Governance Committee’s sustainability oversight responsibilities include providing updates and making recommendations to the Board regarding current and emerging sustainability trends affecting the Company’s business, reviewing the Company’s environmental initiatives related to sustainability and climate change impacts and overseeing and reviewing the Company’s public disclosures on sustainability matters and related metrics (including, for example, the Company’s Sustainability Report, which is hosted on the Company’s website). The Governance Committee reviews sustainability matters at its regular quarterly meetings. Our Board is supported in its oversight by our CEO and other senior executives across functions including executive management, operations, engineering, finance, legal and investor relations. Working together, our Board and management ensure we are implementing and properly disclosing a responsible sustainability strategy that serves the best interests of the Company and its stakeholders.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Director Orientation and Continuing Education</w:t>
      </w:r>
    </w:p>
    <w:p>
      <w:pPr>
        <w:spacing w:after="0" w:line="156"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Upon joining our Board, as part of our onboarding process, new directors are provided background materials, attend meetings with management and are invited to tour our operating facilities. This orientation enables new directors to become familiar with our business and strategic plans, significant financial matters, core values, compliance programs, corporate governance practices and other key policies and practices, including workplace safety, risk management, investor relations and sustainability efforts.</w:t>
      </w:r>
    </w:p>
    <w:p>
      <w:pPr>
        <w:spacing w:after="0" w:line="97"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Continuing education opportunities are provided to keep directors updated with information about our industry, corporate governance developments, critical strategic issues facing the Company, changes in regulations applicable to the Company and significant changes in institutional investor sentiment and/or proxy advisory firm policies. Updates are included as part of quarterly Board and Committee meetings, and from time to time, external advisers are invited to present such updates. The Company provides frequent opportunities for the Board or individual directors to engage with team leaders in different functional areas of the Company and visit Company facilities in order to support greater understanding of the Company's business, strategy and operations. Directors may also participate in the National Association of Corporate Directors (NACD), of which the Company is a member.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23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28" w:name="page29"/>
    <w:bookmarkEnd w:id="28"/>
    <w:p>
      <w:pPr>
        <w:ind w:left="83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Board Committees</w:t>
      </w:r>
    </w:p>
    <w:p>
      <w:pPr>
        <w:spacing w:after="0" w:line="15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standing committees of our Board of Directors include the Audit Committee, the Compensation Committee, the Governance Committee and the Executive Committee. The following table lists the chairperson and members of each committee as of March 31, 2025, and the number of meetings held by each committee during the fiscal year ended March 31, 2025:</w:t>
      </w:r>
    </w:p>
    <w:p>
      <w:pPr>
        <w:sectPr>
          <w:pgSz w:w="11900" w:h="16838" w:orient="portrait"/>
          <w:cols w:equalWidth="0" w:num="1">
            <w:col w:w="11240"/>
          </w:cols>
          <w:pgMar w:left="320" w:top="850" w:right="339"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95453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54530" cy="1714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Meetings in Fiscal 2025: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Members:</w:t>
      </w:r>
    </w:p>
    <w:p>
      <w:pPr>
        <w:spacing w:after="0" w:line="28" w:lineRule="exact"/>
        <w:rPr>
          <w:sz w:val="20"/>
          <w:szCs w:val="20"/>
          <w:color w:val="auto"/>
        </w:rPr>
      </w:pPr>
    </w:p>
    <w:p>
      <w:pPr>
        <w:ind w:right="1140"/>
        <w:spacing w:after="0" w:line="256" w:lineRule="auto"/>
        <w:rPr>
          <w:sz w:val="20"/>
          <w:szCs w:val="20"/>
          <w:color w:val="auto"/>
        </w:rPr>
      </w:pPr>
      <w:r>
        <w:rPr>
          <w:rFonts w:ascii="Arial" w:cs="Arial" w:eastAsia="Arial" w:hAnsi="Arial"/>
          <w:sz w:val="16"/>
          <w:szCs w:val="16"/>
          <w:color w:val="auto"/>
        </w:rPr>
        <w:t xml:space="preserve">Martin M. Ellen (Chair) </w:t>
      </w:r>
      <w:r>
        <w:rPr>
          <w:rFonts w:ascii="Arial" w:cs="Arial" w:eastAsia="Arial" w:hAnsi="Arial"/>
          <w:sz w:val="16"/>
          <w:szCs w:val="16"/>
          <w:color w:val="C6001E"/>
        </w:rPr>
        <w:t>•</w:t>
      </w:r>
      <w:r>
        <w:rPr>
          <w:rFonts w:ascii="Arial" w:cs="Arial" w:eastAsia="Arial" w:hAnsi="Arial"/>
          <w:sz w:val="16"/>
          <w:szCs w:val="16"/>
          <w:color w:val="auto"/>
        </w:rPr>
        <w:t xml:space="preserve"> Mauro Gregorio Mary P. Ricciardello Richard R. Stewart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C6001E"/>
        </w:rPr>
        <w:t>•</w:t>
      </w:r>
      <w:r>
        <w:rPr>
          <w:rFonts w:ascii="Arial" w:cs="Arial" w:eastAsia="Arial" w:hAnsi="Arial"/>
          <w:sz w:val="16"/>
          <w:szCs w:val="16"/>
          <w:color w:val="000000"/>
        </w:rPr>
        <w:t>Financial Expert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Consists of four Independent Directors</w:t>
      </w:r>
      <w:r>
        <w:rPr>
          <w:rFonts w:ascii="Arial" w:cs="Arial" w:eastAsia="Arial" w:hAnsi="Arial"/>
          <w:sz w:val="16"/>
          <w:szCs w:val="16"/>
          <w:color w:val="auto"/>
        </w:rPr>
        <w:t>.</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(David Rush was appointed to the Audit Committee in May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left="153" w:hanging="153"/>
        <w:spacing w:after="0"/>
        <w:tabs>
          <w:tab w:leader="none" w:pos="153"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has a standing Audit Committee, composed of at least three independent directors.</w:t>
      </w:r>
    </w:p>
    <w:p>
      <w:pPr>
        <w:spacing w:after="0" w:line="125" w:lineRule="exact"/>
        <w:rPr>
          <w:rFonts w:ascii="Times New Roman" w:cs="Times New Roman" w:eastAsia="Times New Roman" w:hAnsi="Times New Roman"/>
          <w:sz w:val="16"/>
          <w:szCs w:val="16"/>
          <w:color w:val="auto"/>
        </w:rPr>
      </w:pPr>
    </w:p>
    <w:p>
      <w:pPr>
        <w:jc w:val="both"/>
        <w:ind w:left="153" w:right="340" w:hanging="153"/>
        <w:spacing w:after="0" w:line="259" w:lineRule="auto"/>
        <w:tabs>
          <w:tab w:leader="none" w:pos="153"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Our Audit Committee assists the Board in fulfilling its responsibility to oversee the integrity of our financial statements, our compliance with legal and regulatory requirements, the qualifications, independence and appointment of our independent auditors, the performance of our internal audit function and independent auditors and the assessment of risks, including cybersecurity risks.</w:t>
      </w:r>
    </w:p>
    <w:p>
      <w:pPr>
        <w:spacing w:after="0" w:line="69" w:lineRule="exact"/>
        <w:rPr>
          <w:rFonts w:ascii="Times New Roman" w:cs="Times New Roman" w:eastAsia="Times New Roman" w:hAnsi="Times New Roman"/>
          <w:sz w:val="16"/>
          <w:szCs w:val="16"/>
          <w:color w:val="auto"/>
        </w:rPr>
      </w:pPr>
    </w:p>
    <w:p>
      <w:pPr>
        <w:ind w:left="153" w:right="20" w:hanging="153"/>
        <w:spacing w:after="0" w:line="256" w:lineRule="auto"/>
        <w:tabs>
          <w:tab w:leader="none" w:pos="153"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Our Audit Committee is governed by an amended and restated Audit Committee charter, a copy of which may be viewed on our website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will be provided free of charge upon written request to our Secretary at our principal executive office. 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70" w:lineRule="exact"/>
        <w:rPr>
          <w:rFonts w:ascii="Times New Roman" w:cs="Times New Roman" w:eastAsia="Times New Roman" w:hAnsi="Times New Roman"/>
          <w:sz w:val="16"/>
          <w:szCs w:val="16"/>
          <w:color w:val="auto"/>
        </w:rPr>
      </w:pPr>
    </w:p>
    <w:p>
      <w:pPr>
        <w:jc w:val="both"/>
        <w:ind w:left="153" w:right="240" w:hanging="153"/>
        <w:spacing w:after="0" w:line="266" w:lineRule="auto"/>
        <w:tabs>
          <w:tab w:leader="none" w:pos="153"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has determined that each member of our Audit Committee is independent within the meaning of applicable (1) corporate governance rules of the NYSE and (2) requirements set forth in the Exchange Act and the applicable SEC rules.</w:t>
      </w:r>
    </w:p>
    <w:p>
      <w:pPr>
        <w:spacing w:after="0" w:line="62" w:lineRule="exact"/>
        <w:rPr>
          <w:rFonts w:ascii="Times New Roman" w:cs="Times New Roman" w:eastAsia="Times New Roman" w:hAnsi="Times New Roman"/>
          <w:sz w:val="16"/>
          <w:szCs w:val="16"/>
          <w:color w:val="auto"/>
        </w:rPr>
      </w:pPr>
    </w:p>
    <w:p>
      <w:pPr>
        <w:ind w:left="153" w:right="120" w:hanging="153"/>
        <w:spacing w:after="0" w:line="256" w:lineRule="auto"/>
        <w:tabs>
          <w:tab w:leader="none" w:pos="153"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In addition, our Board has determined that each member of our Audit Committee satisfies applicable NYSE standards for financial literacy and that, based on his auditing and financial experience, including over 25 years of experience as a chief financial officer with public and private companies and prior experience with a major public accounting firm, the Chair of the Audit Committee, Mr. Ellen, is an audit committee financial expert within the meaning of the rules of the SEC.</w:t>
      </w:r>
    </w:p>
    <w:p>
      <w:pPr>
        <w:spacing w:after="0" w:line="70" w:lineRule="exact"/>
        <w:rPr>
          <w:rFonts w:ascii="Times New Roman" w:cs="Times New Roman" w:eastAsia="Times New Roman" w:hAnsi="Times New Roman"/>
          <w:sz w:val="16"/>
          <w:szCs w:val="16"/>
          <w:color w:val="auto"/>
        </w:rPr>
      </w:pPr>
    </w:p>
    <w:p>
      <w:pPr>
        <w:ind w:left="153" w:right="20" w:hanging="153"/>
        <w:spacing w:after="0" w:line="285" w:lineRule="auto"/>
        <w:tabs>
          <w:tab w:leader="none" w:pos="153"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Unless otherwise determined by the Board, no member of our Audit Committee may serve as a member of an audit committee of more than two other public companies.</w:t>
      </w:r>
    </w:p>
    <w:p>
      <w:pPr>
        <w:spacing w:after="0" w:line="48" w:lineRule="exact"/>
        <w:rPr>
          <w:rFonts w:ascii="Times New Roman" w:cs="Times New Roman" w:eastAsia="Times New Roman" w:hAnsi="Times New Roman"/>
          <w:sz w:val="16"/>
          <w:szCs w:val="16"/>
          <w:color w:val="auto"/>
        </w:rPr>
      </w:pPr>
    </w:p>
    <w:p>
      <w:pPr>
        <w:ind w:left="153" w:hanging="153"/>
        <w:spacing w:after="0"/>
        <w:tabs>
          <w:tab w:leader="none" w:pos="153"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Certain key functions and responsibilities of our Audit Committee are to:</w:t>
      </w:r>
    </w:p>
    <w:p>
      <w:pPr>
        <w:spacing w:after="0" w:line="29" w:lineRule="exact"/>
        <w:rPr>
          <w:rFonts w:ascii="Times New Roman" w:cs="Times New Roman" w:eastAsia="Times New Roman" w:hAnsi="Times New Roman"/>
          <w:sz w:val="16"/>
          <w:szCs w:val="16"/>
          <w:color w:val="auto"/>
        </w:rPr>
      </w:pPr>
    </w:p>
    <w:p>
      <w:pPr>
        <w:ind w:left="433" w:right="460" w:hanging="216"/>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select, appoint, compensate, evaluate, retain and oversee the independent auditors engaged for</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purposes of preparing or issuing an audit report or related work or performing other audit, review, or attestation services for us;</w:t>
      </w:r>
    </w:p>
    <w:p>
      <w:pPr>
        <w:spacing w:after="0" w:line="92" w:lineRule="exact"/>
        <w:rPr>
          <w:rFonts w:ascii="Times New Roman" w:cs="Times New Roman" w:eastAsia="Times New Roman" w:hAnsi="Times New Roman"/>
          <w:sz w:val="16"/>
          <w:szCs w:val="16"/>
          <w:color w:val="auto"/>
        </w:rPr>
      </w:pPr>
    </w:p>
    <w:p>
      <w:pPr>
        <w:ind w:left="433" w:right="120" w:hanging="216"/>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obtain and review, at least annually, a formal written statement from our independent auditors describing</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all relationships between our auditors and the Company and engage in a dialogue with our auditors with respect to any disclosed relationships or services that may affect the objectivity and independence of the auditors and to recommend appropriate action in response to the reports to our Board;</w:t>
      </w:r>
    </w:p>
    <w:p>
      <w:pPr>
        <w:spacing w:after="0" w:line="92" w:lineRule="exact"/>
        <w:rPr>
          <w:rFonts w:ascii="Times New Roman" w:cs="Times New Roman" w:eastAsia="Times New Roman" w:hAnsi="Times New Roman"/>
          <w:sz w:val="16"/>
          <w:szCs w:val="16"/>
          <w:color w:val="auto"/>
        </w:rPr>
      </w:pPr>
    </w:p>
    <w:p>
      <w:pPr>
        <w:ind w:left="433" w:right="40" w:hanging="216"/>
        <w:spacing w:after="0" w:line="2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pre-approve all audit engagement fees and terms and all permissible non-audit services provided to us by</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our independent auditors, in accordance with the committee’s policies and procedures for pre-approving audit and non-audit services;</w:t>
      </w:r>
    </w:p>
    <w:p>
      <w:pPr>
        <w:spacing w:after="0" w:line="93" w:lineRule="exact"/>
        <w:rPr>
          <w:rFonts w:ascii="Times New Roman" w:cs="Times New Roman" w:eastAsia="Times New Roman" w:hAnsi="Times New Roman"/>
          <w:sz w:val="16"/>
          <w:szCs w:val="16"/>
          <w:color w:val="auto"/>
        </w:rPr>
      </w:pPr>
    </w:p>
    <w:p>
      <w:pPr>
        <w:ind w:left="433" w:right="40" w:hanging="216"/>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establish procedures for (i) the receipt, retention and treatment of complaints received by the Company</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regarding accounting, internal accounting controls or auditing matters and (ii) the confidential, anonymous submission by employees of the Company of concerns regarding questionable accounting or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-4969510</wp:posOffset>
            </wp:positionV>
            <wp:extent cx="5186045" cy="5031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86045" cy="5031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60" w:space="347"/>
            <w:col w:w="8033"/>
          </w:cols>
          <w:pgMar w:left="320" w:top="850" w:right="339" w:bottom="1440" w:gutter="0" w:footer="0" w:header="0"/>
          <w:type w:val="continuous"/>
        </w:sectPr>
      </w:pP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24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29" w:name="page30"/>
    <w:bookmarkEnd w:id="29"/>
    <w:p>
      <w:pPr>
        <w:ind w:left="83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158" w:lineRule="exact"/>
        <w:rPr>
          <w:sz w:val="20"/>
          <w:szCs w:val="20"/>
          <w:color w:val="auto"/>
        </w:rPr>
      </w:pPr>
    </w:p>
    <w:p>
      <w:pPr>
        <w:ind w:left="3640" w:right="500" w:hanging="216"/>
        <w:spacing w:after="0" w:line="236" w:lineRule="auto"/>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discuss our annual audited financial statements, quarterly financial statements and other significant</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financial disclosures with management and our independent auditors;</w:t>
      </w:r>
    </w:p>
    <w:p>
      <w:pPr>
        <w:spacing w:after="0" w:line="9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discuss with management the types of information to be disclosed and the types of presentations to be</w:t>
      </w:r>
    </w:p>
    <w:p>
      <w:pPr>
        <w:spacing w:after="0" w:line="2" w:lineRule="exact"/>
        <w:rPr>
          <w:sz w:val="20"/>
          <w:szCs w:val="20"/>
          <w:color w:val="auto"/>
        </w:rPr>
      </w:pPr>
    </w:p>
    <w:p>
      <w:pPr>
        <w:ind w:left="3640" w:right="480"/>
        <w:spacing w:after="0" w:line="265" w:lineRule="auto"/>
        <w:rPr>
          <w:sz w:val="20"/>
          <w:szCs w:val="20"/>
          <w:color w:val="auto"/>
        </w:rPr>
      </w:pPr>
      <w:r>
        <w:rPr>
          <w:rFonts w:ascii="Arial" w:cs="Arial" w:eastAsia="Arial" w:hAnsi="Arial"/>
          <w:sz w:val="16"/>
          <w:szCs w:val="16"/>
          <w:color w:val="auto"/>
        </w:rPr>
        <w:t>made in our earnings press releases, as well as the financial information and earnings guidance we provide to analysts and rating agencies;</w:t>
      </w:r>
    </w:p>
    <w:p>
      <w:pPr>
        <w:spacing w:after="0" w:line="7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annually review and assess the performance of the Audit Committee and the adequacy of its charter;</w:t>
      </w:r>
    </w:p>
    <w:p>
      <w:pPr>
        <w:spacing w:after="0" w:line="10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discuss policies with respect to risk assessment and risk management;</w:t>
      </w:r>
    </w:p>
    <w:p>
      <w:pPr>
        <w:spacing w:after="0" w:line="103" w:lineRule="exact"/>
        <w:rPr>
          <w:sz w:val="20"/>
          <w:szCs w:val="20"/>
          <w:color w:val="auto"/>
        </w:rPr>
      </w:pPr>
    </w:p>
    <w:p>
      <w:pPr>
        <w:ind w:left="3640" w:right="200" w:hanging="216"/>
        <w:spacing w:after="0" w:line="236" w:lineRule="auto"/>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consider the effectiveness of our internal control systems, including information technology security and</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control;</w:t>
      </w:r>
    </w:p>
    <w:p>
      <w:pPr>
        <w:spacing w:after="0" w:line="6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review related-party transactions between the Company and ay Section 16 officers and directors; and</w:t>
      </w:r>
    </w:p>
    <w:p>
      <w:pPr>
        <w:spacing w:after="0" w:line="238" w:lineRule="exact"/>
        <w:rPr>
          <w:sz w:val="20"/>
          <w:szCs w:val="20"/>
          <w:color w:val="auto"/>
        </w:rPr>
      </w:pPr>
    </w:p>
    <w:p>
      <w:pPr>
        <w:ind w:left="3640" w:right="540" w:hanging="216"/>
        <w:spacing w:after="0" w:line="236" w:lineRule="auto"/>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prepare the report that is required to be included in our annual proxy statement regarding review of</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financial statements and auditor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-1986280</wp:posOffset>
            </wp:positionV>
            <wp:extent cx="8890" cy="20148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2014855"/>
                    </a:xfrm>
                    <a:prstGeom prst="rect">
                      <a:avLst/>
                    </a:prstGeom>
                    <a:noFill/>
                  </pic:spPr>
                </pic:pic>
              </a:graphicData>
            </a:graphic>
          </wp:anchor>
        </w:drawing>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Our Audit Committee’s report on our financial statements for the fiscal year ended March 31, 2025 is presented below under the heading "Audit Committee Report."</w:t>
      </w:r>
    </w:p>
    <w:p>
      <w:pPr>
        <w:spacing w:after="0" w:line="8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25</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0" w:name="page31"/>
    <w:bookmarkEnd w:id="30"/>
    <w:p>
      <w:pPr>
        <w:jc w:val="right"/>
        <w:ind w:right="3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4972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497205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Meetings in Fiscal 2025: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Members:</w:t>
      </w:r>
    </w:p>
    <w:p>
      <w:pPr>
        <w:spacing w:after="0" w:line="28" w:lineRule="exact"/>
        <w:rPr>
          <w:sz w:val="20"/>
          <w:szCs w:val="20"/>
          <w:color w:val="auto"/>
        </w:rPr>
      </w:pPr>
    </w:p>
    <w:p>
      <w:pPr>
        <w:ind w:right="1040"/>
        <w:spacing w:after="0" w:line="261" w:lineRule="auto"/>
        <w:rPr>
          <w:sz w:val="20"/>
          <w:szCs w:val="20"/>
          <w:color w:val="auto"/>
        </w:rPr>
      </w:pPr>
      <w:r>
        <w:rPr>
          <w:rFonts w:ascii="Arial" w:cs="Arial" w:eastAsia="Arial" w:hAnsi="Arial"/>
          <w:sz w:val="16"/>
          <w:szCs w:val="16"/>
          <w:color w:val="auto"/>
        </w:rPr>
        <w:t>George J. Damiris (Chair) Margot L. Carter Michael R. Nicolais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Consists of three Independent Directors</w:t>
      </w:r>
      <w:r>
        <w:rPr>
          <w:rFonts w:ascii="Arial" w:cs="Arial" w:eastAsia="Arial" w:hAnsi="Arial"/>
          <w:sz w:val="16"/>
          <w:szCs w:val="16"/>
          <w:color w:val="auto"/>
        </w:rPr>
        <w:t>.</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(David Rush was appointed to the Compensation Committee in May 2025)</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53" w:right="80" w:hanging="153"/>
        <w:spacing w:after="0" w:line="259" w:lineRule="auto"/>
        <w:tabs>
          <w:tab w:leader="none" w:pos="153"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Our Board’s Compensation Committee is composed of independent directors who meet the corporate governance standards of the NYSE, including the enhanced NYSE independence requirements for directors serving on compensation committees, and who qualify as non-employee directors within the meaning of Rule 16b-3(b)(3) of the Exchange Act.</w:t>
      </w:r>
    </w:p>
    <w:p>
      <w:pPr>
        <w:spacing w:after="0" w:line="69" w:lineRule="exact"/>
        <w:rPr>
          <w:rFonts w:ascii="Times New Roman" w:cs="Times New Roman" w:eastAsia="Times New Roman" w:hAnsi="Times New Roman"/>
          <w:sz w:val="16"/>
          <w:szCs w:val="16"/>
          <w:color w:val="auto"/>
        </w:rPr>
      </w:pPr>
    </w:p>
    <w:p>
      <w:pPr>
        <w:ind w:left="153" w:right="60" w:hanging="153"/>
        <w:spacing w:after="0" w:line="252" w:lineRule="auto"/>
        <w:tabs>
          <w:tab w:leader="none" w:pos="153"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Under its amended and restated charter,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 You may review our charter on our website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 and a copy of which will be provided to you free of charge upon written request to our Secretary at our principal executive office. 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73" w:lineRule="exact"/>
        <w:rPr>
          <w:rFonts w:ascii="Times New Roman" w:cs="Times New Roman" w:eastAsia="Times New Roman" w:hAnsi="Times New Roman"/>
          <w:sz w:val="16"/>
          <w:szCs w:val="16"/>
          <w:color w:val="auto"/>
        </w:rPr>
      </w:pPr>
    </w:p>
    <w:p>
      <w:pPr>
        <w:ind w:left="153" w:right="220" w:hanging="153"/>
        <w:spacing w:after="0" w:line="266" w:lineRule="auto"/>
        <w:tabs>
          <w:tab w:leader="none" w:pos="153"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The Compensation Committee is authorized to hire outside advisers after considering all factors relevant to the adviser’s independence from management. For additional information regarding outside advisers engaged by the Compensation Committee, please see “Compensation Discussion and Analysis” below.</w:t>
      </w:r>
    </w:p>
    <w:p>
      <w:pPr>
        <w:spacing w:after="0" w:line="62" w:lineRule="exact"/>
        <w:rPr>
          <w:rFonts w:ascii="Times New Roman" w:cs="Times New Roman" w:eastAsia="Times New Roman" w:hAnsi="Times New Roman"/>
          <w:sz w:val="16"/>
          <w:szCs w:val="16"/>
          <w:color w:val="auto"/>
        </w:rPr>
      </w:pPr>
    </w:p>
    <w:p>
      <w:pPr>
        <w:ind w:left="153" w:hanging="153"/>
        <w:spacing w:after="0"/>
        <w:tabs>
          <w:tab w:leader="none" w:pos="153"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Certain key functions and responsibilities of our Compensation Committee are to:</w:t>
      </w:r>
    </w:p>
    <w:p>
      <w:pPr>
        <w:spacing w:after="0" w:line="29" w:lineRule="exact"/>
        <w:rPr>
          <w:rFonts w:ascii="Times New Roman" w:cs="Times New Roman" w:eastAsia="Times New Roman" w:hAnsi="Times New Roman"/>
          <w:sz w:val="16"/>
          <w:szCs w:val="16"/>
          <w:color w:val="auto"/>
        </w:rPr>
      </w:pPr>
    </w:p>
    <w:p>
      <w:pPr>
        <w:ind w:left="433" w:right="100" w:hanging="216"/>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periodically review and make recommendations to our Board as to our general compensation philosophy</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and structure, including reviewing the compensation programs for senior executives and all of our benefit plans to determine whether they are properly coordinated and achieve their intended purposes;</w:t>
      </w:r>
    </w:p>
    <w:p>
      <w:pPr>
        <w:spacing w:after="0" w:line="92" w:lineRule="exact"/>
        <w:rPr>
          <w:rFonts w:ascii="Times New Roman" w:cs="Times New Roman" w:eastAsia="Times New Roman" w:hAnsi="Times New Roman"/>
          <w:sz w:val="16"/>
          <w:szCs w:val="16"/>
          <w:color w:val="auto"/>
        </w:rPr>
      </w:pPr>
    </w:p>
    <w:p>
      <w:pPr>
        <w:ind w:left="433" w:right="60" w:hanging="216"/>
        <w:spacing w:after="0" w:line="24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annually review and approve corporate goals and objectives relevant to the compensation of our Chief</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Executive Officer, evaluate his or her performance as measured against such goals and objectives and to set salary and other cash and equity compensation for our Chief Executive Officer based on such evaluation;</w:t>
      </w:r>
    </w:p>
    <w:p>
      <w:pPr>
        <w:spacing w:after="0" w:line="92" w:lineRule="exact"/>
        <w:rPr>
          <w:rFonts w:ascii="Times New Roman" w:cs="Times New Roman" w:eastAsia="Times New Roman" w:hAnsi="Times New Roman"/>
          <w:sz w:val="16"/>
          <w:szCs w:val="16"/>
          <w:color w:val="auto"/>
        </w:rPr>
      </w:pPr>
    </w:p>
    <w:p>
      <w:pPr>
        <w:ind w:left="433" w:right="80" w:hanging="216"/>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review and, after the end of the fiscal year and in consultation with our Chief Executive Officer, approve</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the compensation of our senior executive officers who are required to make disclosures under Section 16 of the Exchange Act (“senior executive officers”);</w:t>
      </w:r>
    </w:p>
    <w:p>
      <w:pPr>
        <w:spacing w:after="0" w:line="82" w:lineRule="exact"/>
        <w:rPr>
          <w:rFonts w:ascii="Times New Roman" w:cs="Times New Roman" w:eastAsia="Times New Roman" w:hAnsi="Times New Roman"/>
          <w:sz w:val="16"/>
          <w:szCs w:val="16"/>
          <w:color w:val="auto"/>
        </w:rPr>
      </w:pPr>
    </w:p>
    <w:p>
      <w:pPr>
        <w:ind w:left="433" w:right="160" w:hanging="216"/>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administer the Company’s compensation plans for which it is named as plan administrator, including our</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2023 Incentive Plan;</w:t>
      </w:r>
    </w:p>
    <w:p>
      <w:pPr>
        <w:spacing w:after="0" w:line="92" w:lineRule="exact"/>
        <w:rPr>
          <w:rFonts w:ascii="Times New Roman" w:cs="Times New Roman" w:eastAsia="Times New Roman" w:hAnsi="Times New Roman"/>
          <w:sz w:val="16"/>
          <w:szCs w:val="16"/>
          <w:color w:val="auto"/>
        </w:rPr>
      </w:pPr>
    </w:p>
    <w:p>
      <w:pPr>
        <w:ind w:left="433" w:right="200" w:hanging="216"/>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report on compensation policies and practices with respect to our executive officers as required by SEC</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rules;</w:t>
      </w:r>
    </w:p>
    <w:p>
      <w:pPr>
        <w:spacing w:after="0" w:line="92"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review and recommend to the Board the compensation of non-employee directors;</w:t>
      </w:r>
    </w:p>
    <w:p>
      <w:pPr>
        <w:spacing w:after="0" w:line="103"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recommend stock ownership guidelines and monitor compliance therewith; and</w:t>
      </w:r>
    </w:p>
    <w:p>
      <w:pPr>
        <w:spacing w:after="0" w:line="103" w:lineRule="exact"/>
        <w:rPr>
          <w:rFonts w:ascii="Times New Roman" w:cs="Times New Roman" w:eastAsia="Times New Roman" w:hAnsi="Times New Roman"/>
          <w:sz w:val="16"/>
          <w:szCs w:val="16"/>
          <w:color w:val="auto"/>
        </w:rPr>
      </w:pPr>
    </w:p>
    <w:p>
      <w:pPr>
        <w:ind w:left="433" w:right="400" w:hanging="216"/>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review and assess the performance of the Compensation Committee and the adequacy of its charter</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annually and recommend any proposed changes to the Board.</w:t>
      </w:r>
    </w:p>
    <w:p>
      <w:pPr>
        <w:spacing w:after="0" w:line="191" w:lineRule="exact"/>
        <w:rPr>
          <w:sz w:val="20"/>
          <w:szCs w:val="20"/>
          <w:color w:val="auto"/>
        </w:rPr>
      </w:pPr>
    </w:p>
    <w:p>
      <w:pPr>
        <w:sectPr>
          <w:pgSz w:w="11900" w:h="16838" w:orient="portrait"/>
          <w:cols w:equalWidth="0" w:num="2">
            <w:col w:w="2900" w:space="307"/>
            <w:col w:w="8033"/>
          </w:cols>
          <w:pgMar w:left="320" w:top="850" w:right="339" w:bottom="1440" w:gutter="0" w:footer="0" w:header="0"/>
          <w:type w:val="continuous"/>
        </w:sectPr>
      </w:pPr>
    </w:p>
    <w:p>
      <w:pPr>
        <w:ind w:right="20"/>
        <w:spacing w:after="0" w:line="253" w:lineRule="auto"/>
        <w:rPr>
          <w:sz w:val="20"/>
          <w:szCs w:val="20"/>
          <w:color w:val="auto"/>
        </w:rPr>
      </w:pPr>
      <w:r>
        <w:rPr>
          <w:rFonts w:ascii="Arial" w:cs="Arial" w:eastAsia="Arial" w:hAnsi="Arial"/>
          <w:sz w:val="16"/>
          <w:szCs w:val="16"/>
          <w:color w:val="auto"/>
        </w:rPr>
        <w:t>In accordance with the terms of our 2023 Incentive Plan, the Compensation Committee has delegated to the Special Situation Equity Award Committee (whose sole member is our CEO) the authority to grant time-vesting stock options and stock awards (either restricted stock or RSUs) in certain circumstances. Under this authorization, the Special Situation Equity Award Committee may grant stock options and stock awards (either restricted stock or RSUs) to employees under terms set by the Compensation Committee. This authority for fiscal 2025 was limited to an aggregate of up to 60,000 stock options and up to 25,000 stock awards (either restricted stock or RSUs), no one individual may receive more than 15,000 options and 6,250 shares of restricted stock/RSUs, and senior executive officers may not receive awards pursuant to this authority. Awards granted in fiscal 2025 under this delegation of authority vest approximately 33% per year commencing on the first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26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31" w:name="page32"/>
    <w:bookmarkEnd w:id="31"/>
    <w:p>
      <w:pPr>
        <w:ind w:left="83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149"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anniversary of the grant date. During fiscal 2025, no stock options were granted to employees under this authority out of a maximum of 60,000, and 881 stock awards (RSUs) were granted out of a maximum of 25,000.</w:t>
      </w:r>
    </w:p>
    <w:p>
      <w:pPr>
        <w:spacing w:after="0" w:line="88" w:lineRule="exact"/>
        <w:rPr>
          <w:sz w:val="20"/>
          <w:szCs w:val="20"/>
          <w:color w:val="auto"/>
        </w:rPr>
      </w:pPr>
    </w:p>
    <w:p>
      <w:pPr>
        <w:ind w:right="160"/>
        <w:spacing w:after="0" w:line="462" w:lineRule="auto"/>
        <w:rPr>
          <w:sz w:val="20"/>
          <w:szCs w:val="20"/>
          <w:color w:val="auto"/>
        </w:rPr>
      </w:pPr>
      <w:r>
        <w:rPr>
          <w:rFonts w:ascii="Arial" w:cs="Arial" w:eastAsia="Arial" w:hAnsi="Arial"/>
          <w:sz w:val="16"/>
          <w:szCs w:val="16"/>
          <w:color w:val="auto"/>
        </w:rPr>
        <w:t>Our Compensation Committee’s report for the fiscal year ended March 31, 2025 is presented below under the heading “Compensation Committee Report." Our Compensation Committee meets as often as it deems appropriate, but no less than twice per year.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Compensation Committee Interlocks and Insider Participation</w:t>
      </w:r>
    </w:p>
    <w:p>
      <w:pPr>
        <w:spacing w:after="0" w:line="156" w:lineRule="exact"/>
        <w:rPr>
          <w:sz w:val="20"/>
          <w:szCs w:val="20"/>
          <w:color w:val="auto"/>
        </w:rPr>
      </w:pPr>
    </w:p>
    <w:p>
      <w:pPr>
        <w:jc w:val="both"/>
        <w:ind w:right="300"/>
        <w:spacing w:after="0" w:line="286" w:lineRule="auto"/>
        <w:rPr>
          <w:sz w:val="20"/>
          <w:szCs w:val="20"/>
          <w:color w:val="auto"/>
        </w:rPr>
      </w:pPr>
      <w:r>
        <w:rPr>
          <w:rFonts w:ascii="Arial" w:cs="Arial" w:eastAsia="Arial" w:hAnsi="Arial"/>
          <w:sz w:val="16"/>
          <w:szCs w:val="16"/>
          <w:color w:val="auto"/>
        </w:rPr>
        <w:t>No member of our Compensation Committee had a relationship during the fiscal year ended March 31, 2025 that requires disclosure as a Compensation Committee interlock. Messrs. Damiris and Nicolais and Ms. Carter served on our Compensation Committee during the fiscal year ended March 31, 2025.</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27</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2" w:name="page33"/>
    <w:bookmarkEnd w:id="32"/>
    <w:p>
      <w:pPr>
        <w:jc w:val="right"/>
        <w:ind w:right="3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CORPORATE GOVERNANCE, NOMINATING AND 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4577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Meetings in Fiscal 2025: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Members: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Rick Beckwitt (Chair)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Margot L. Carter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Mauro Gregorio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Mary P. Ricciardello</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Consists of four Independent Directors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53" w:right="220" w:hanging="153"/>
        <w:spacing w:after="0" w:line="254" w:lineRule="auto"/>
        <w:tabs>
          <w:tab w:leader="none" w:pos="153"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(3) to oversee the evaluation of our Board and management; and (4) to oversee the Company’s initiatives, opportunities, risks and reporting on material sustainability matters.</w:t>
      </w:r>
    </w:p>
    <w:p>
      <w:pPr>
        <w:spacing w:after="0" w:line="72" w:lineRule="exact"/>
        <w:rPr>
          <w:rFonts w:ascii="Times New Roman" w:cs="Times New Roman" w:eastAsia="Times New Roman" w:hAnsi="Times New Roman"/>
          <w:sz w:val="16"/>
          <w:szCs w:val="16"/>
          <w:color w:val="auto"/>
        </w:rPr>
      </w:pPr>
    </w:p>
    <w:p>
      <w:pPr>
        <w:ind w:left="153" w:right="100" w:hanging="153"/>
        <w:spacing w:after="0" w:line="254" w:lineRule="auto"/>
        <w:tabs>
          <w:tab w:leader="none" w:pos="153"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Our Governance Committee has adopted a written charter, and our Board has also adopted Corporate Governance Guidelines. Both the Governance Committee charter and the Corporate Governance Guidelines may be viewed on our website at www.eaglematerials.com and will be provided free of charge upon written request to our Secretary at our principal executive office. 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72" w:lineRule="exact"/>
        <w:rPr>
          <w:rFonts w:ascii="Times New Roman" w:cs="Times New Roman" w:eastAsia="Times New Roman" w:hAnsi="Times New Roman"/>
          <w:sz w:val="16"/>
          <w:szCs w:val="16"/>
          <w:color w:val="auto"/>
        </w:rPr>
      </w:pPr>
    </w:p>
    <w:p>
      <w:pPr>
        <w:ind w:left="153" w:hanging="153"/>
        <w:spacing w:after="0"/>
        <w:tabs>
          <w:tab w:leader="none" w:pos="153"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Certain key functions and responsibilities of our Governance Committee are to:</w:t>
      </w:r>
    </w:p>
    <w:p>
      <w:pPr>
        <w:spacing w:after="0" w:line="29" w:lineRule="exact"/>
        <w:rPr>
          <w:rFonts w:ascii="Times New Roman" w:cs="Times New Roman" w:eastAsia="Times New Roman" w:hAnsi="Times New Roman"/>
          <w:sz w:val="16"/>
          <w:szCs w:val="16"/>
          <w:color w:val="auto"/>
        </w:rPr>
      </w:pPr>
    </w:p>
    <w:p>
      <w:pPr>
        <w:ind w:left="433" w:right="280" w:hanging="216"/>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develop, periodically review and recommend to the Board a set of corporate governance guidelines for</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the Company;</w:t>
      </w:r>
    </w:p>
    <w:p>
      <w:pPr>
        <w:spacing w:after="0" w:line="93" w:lineRule="exact"/>
        <w:rPr>
          <w:rFonts w:ascii="Times New Roman" w:cs="Times New Roman" w:eastAsia="Times New Roman" w:hAnsi="Times New Roman"/>
          <w:sz w:val="16"/>
          <w:szCs w:val="16"/>
          <w:color w:val="auto"/>
        </w:rPr>
      </w:pPr>
    </w:p>
    <w:p>
      <w:pPr>
        <w:ind w:left="433" w:right="260" w:hanging="216"/>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periodically review corporate governance matters generally and recommend action to the Board where</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appropriate;</w:t>
      </w:r>
    </w:p>
    <w:p>
      <w:pPr>
        <w:spacing w:after="0" w:line="92" w:lineRule="exact"/>
        <w:rPr>
          <w:rFonts w:ascii="Times New Roman" w:cs="Times New Roman" w:eastAsia="Times New Roman" w:hAnsi="Times New Roman"/>
          <w:sz w:val="16"/>
          <w:szCs w:val="16"/>
          <w:color w:val="auto"/>
        </w:rPr>
      </w:pPr>
    </w:p>
    <w:p>
      <w:pPr>
        <w:ind w:left="433" w:right="300" w:hanging="216"/>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review and assess the adequacy of its charter annually and recommend any proposed changes to our</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Board for approval;</w:t>
      </w:r>
    </w:p>
    <w:p>
      <w:pPr>
        <w:spacing w:after="0" w:line="92"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monitor the quality and sufficiency of information furnished by management to our Board;</w:t>
      </w:r>
    </w:p>
    <w:p>
      <w:pPr>
        <w:spacing w:after="0" w:line="103" w:lineRule="exact"/>
        <w:rPr>
          <w:rFonts w:ascii="Times New Roman" w:cs="Times New Roman" w:eastAsia="Times New Roman" w:hAnsi="Times New Roman"/>
          <w:sz w:val="16"/>
          <w:szCs w:val="16"/>
          <w:color w:val="auto"/>
        </w:rPr>
      </w:pPr>
    </w:p>
    <w:p>
      <w:pPr>
        <w:ind w:left="433" w:right="260" w:hanging="216"/>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actively seek, recruit, screen, and interview individuals qualified to become members of the Board, and</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consider management’s recommendations for director candidates;</w:t>
      </w:r>
    </w:p>
    <w:p>
      <w:pPr>
        <w:spacing w:after="0" w:line="78" w:lineRule="exact"/>
        <w:rPr>
          <w:rFonts w:ascii="Times New Roman" w:cs="Times New Roman" w:eastAsia="Times New Roman" w:hAnsi="Times New Roman"/>
          <w:sz w:val="16"/>
          <w:szCs w:val="16"/>
          <w:color w:val="auto"/>
        </w:rPr>
      </w:pPr>
    </w:p>
    <w:p>
      <w:pPr>
        <w:ind w:left="433" w:right="40" w:hanging="216"/>
        <w:spacing w:after="0" w:line="24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evaluate the qualifications and performance of incumbent directors and determine whether to recommend</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them for re-election to the Board;</w:t>
      </w:r>
    </w:p>
    <w:p>
      <w:pPr>
        <w:spacing w:after="0" w:line="85"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establish and periodically re-evaluate criteria for Board membership;</w:t>
      </w:r>
    </w:p>
    <w:p>
      <w:pPr>
        <w:spacing w:after="0" w:line="103"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recommend to the Board the director nominees for each annual stockholders’ meeting;</w:t>
      </w:r>
    </w:p>
    <w:p>
      <w:pPr>
        <w:spacing w:after="0" w:line="103" w:lineRule="exact"/>
        <w:rPr>
          <w:rFonts w:ascii="Times New Roman" w:cs="Times New Roman" w:eastAsia="Times New Roman" w:hAnsi="Times New Roman"/>
          <w:sz w:val="16"/>
          <w:szCs w:val="16"/>
          <w:color w:val="auto"/>
        </w:rPr>
      </w:pPr>
    </w:p>
    <w:p>
      <w:pPr>
        <w:ind w:left="21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recommend to the Board nominees for each committee of the Board; and</w:t>
      </w:r>
    </w:p>
    <w:p>
      <w:pPr>
        <w:spacing w:after="0" w:line="103" w:lineRule="exact"/>
        <w:rPr>
          <w:rFonts w:ascii="Times New Roman" w:cs="Times New Roman" w:eastAsia="Times New Roman" w:hAnsi="Times New Roman"/>
          <w:sz w:val="16"/>
          <w:szCs w:val="16"/>
          <w:color w:val="auto"/>
        </w:rPr>
      </w:pPr>
    </w:p>
    <w:p>
      <w:pPr>
        <w:ind w:left="433" w:right="260" w:hanging="216"/>
        <w:spacing w:after="0" w:line="23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in coordination with management and other Board committees, as appropriate, review and oversee the</w:t>
      </w:r>
      <w:r>
        <w:rPr>
          <w:rFonts w:ascii="Times New Roman" w:cs="Times New Roman" w:eastAsia="Times New Roman" w:hAnsi="Times New Roman"/>
          <w:sz w:val="18"/>
          <w:szCs w:val="18"/>
          <w:color w:val="auto"/>
        </w:rPr>
        <w:t xml:space="preserve"> </w:t>
      </w:r>
      <w:r>
        <w:rPr>
          <w:rFonts w:ascii="Arial" w:cs="Arial" w:eastAsia="Arial" w:hAnsi="Arial"/>
          <w:sz w:val="16"/>
          <w:szCs w:val="16"/>
          <w:color w:val="auto"/>
        </w:rPr>
        <w:t>Company’s initiatives, opportunities, risks and reporting with respect to material sustainability matters (including those relating to climate risk and sustainability).</w:t>
      </w:r>
    </w:p>
    <w:p>
      <w:pPr>
        <w:spacing w:after="0" w:line="192" w:lineRule="exact"/>
        <w:rPr>
          <w:sz w:val="20"/>
          <w:szCs w:val="20"/>
          <w:color w:val="auto"/>
        </w:rPr>
      </w:pPr>
    </w:p>
    <w:p>
      <w:pPr>
        <w:sectPr>
          <w:pgSz w:w="11900" w:h="16838" w:orient="portrait"/>
          <w:cols w:equalWidth="0" w:num="2">
            <w:col w:w="2820" w:space="387"/>
            <w:col w:w="8033"/>
          </w:cols>
          <w:pgMar w:left="320" w:top="850" w:right="339" w:bottom="1440" w:gutter="0" w:footer="0" w:header="0"/>
          <w:type w:val="continuous"/>
        </w:sectPr>
      </w:pPr>
    </w:p>
    <w:p>
      <w:pPr>
        <w:jc w:val="both"/>
        <w:ind w:right="20"/>
        <w:spacing w:after="0" w:line="256" w:lineRule="auto"/>
        <w:rPr>
          <w:sz w:val="20"/>
          <w:szCs w:val="20"/>
          <w:color w:val="auto"/>
        </w:rPr>
      </w:pPr>
      <w:r>
        <w:rPr>
          <w:rFonts w:ascii="Arial" w:cs="Arial" w:eastAsia="Arial" w:hAnsi="Arial"/>
          <w:sz w:val="16"/>
          <w:szCs w:val="16"/>
          <w:color w:val="auto"/>
        </w:rPr>
        <w:t>The Governance Committee initiates and oversees an annual evaluation of the effectiveness of the Board and each committee, as well as the composition, organization (including committee structure, membership and leadership) and practices of the Board. The format of this evaluation varies from year-to-year, as determined by the Governance Committee each year. In the most-recent year, directors reacted to a series of questions with a score/ranking, which then informed further in-person discussion at a meeting. Part of the Governance Committee’s self-evaluation process involves an assessment of the effectiveness of the Company’s corporate governance policies.</w:t>
      </w:r>
    </w:p>
    <w:p>
      <w:pPr>
        <w:spacing w:after="0" w:line="12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28</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33" w:name="page34"/>
    <w:bookmarkEnd w:id="33"/>
    <w:p>
      <w:pPr>
        <w:ind w:left="83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14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time to Board duties and the likelihood that he or she will be able to serve on the Board for a sufficient period of time to make a meaningful contribution. The Governance Committee also gives consideration to whether the nominees and Board members reflect a diversity in perspectives, backgrounds, business experiences and professional expertise.</w:t>
      </w:r>
    </w:p>
    <w:p>
      <w:pPr>
        <w:spacing w:after="0" w:line="104"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9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5960 Berkshire Ln., Suite 900, Dallas, Texas 75225.</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Bylaws provide that only persons who are eligible for election as directors are candidates nominated (a) by our Board (or a committee thereof, such as the Governance Committee) or (b) by a stockholder in accordance with certain procedures set forth in our Bylaws. Any stockholder wishing to receive a copy of our Bylaws should direct a written request to our Secretary at the Company’s principal executive offices. No nominees for election to the Board at our 2025 annual meeting of stockholders were submitted by stockholders.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29</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4" w:name="page35"/>
    <w:bookmarkEnd w:id="34"/>
    <w:p>
      <w:pPr>
        <w:jc w:val="right"/>
        <w:ind w:right="3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5274310</wp:posOffset>
            </wp:positionH>
            <wp:positionV relativeFrom="page">
              <wp:posOffset>525780</wp:posOffset>
            </wp:positionV>
            <wp:extent cx="2065655"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65655" cy="171450"/>
                    </a:xfrm>
                    <a:prstGeom prst="rect">
                      <a:avLst/>
                    </a:prstGeom>
                    <a:noFill/>
                  </pic:spPr>
                </pic:pic>
              </a:graphicData>
            </a:graphic>
          </wp:anchor>
        </w:drawing>
        <w:t>CORPORATE GOVERNANCE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9690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96901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Meetings in Fiscal 2025: 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051972"/>
        </w:rPr>
        <w:t>Members: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Michael R. Nicolais (Chair)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Michael R. Haack</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Consists of two Directors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53" w:right="20" w:hanging="153"/>
        <w:spacing w:after="0" w:line="253" w:lineRule="auto"/>
        <w:tabs>
          <w:tab w:leader="none" w:pos="153" w:val="left"/>
        </w:tabs>
        <w:numPr>
          <w:ilvl w:val="0"/>
          <w:numId w:val="64"/>
        </w:numPr>
        <w:rPr>
          <w:rFonts w:ascii="Times New Roman" w:cs="Times New Roman" w:eastAsia="Times New Roman" w:hAnsi="Times New Roman"/>
          <w:sz w:val="16"/>
          <w:szCs w:val="16"/>
          <w:color w:val="051972"/>
        </w:rPr>
      </w:pPr>
      <w:r>
        <w:rPr>
          <w:rFonts w:ascii="Arial" w:cs="Arial" w:eastAsia="Arial" w:hAnsi="Arial"/>
          <w:sz w:val="16"/>
          <w:szCs w:val="16"/>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 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200" w:lineRule="exact"/>
        <w:rPr>
          <w:sz w:val="20"/>
          <w:szCs w:val="20"/>
          <w:color w:val="auto"/>
        </w:rPr>
      </w:pPr>
    </w:p>
    <w:p>
      <w:pPr>
        <w:sectPr>
          <w:pgSz w:w="11900" w:h="16838" w:orient="portrait"/>
          <w:cols w:equalWidth="0" w:num="2">
            <w:col w:w="2487" w:space="720"/>
            <w:col w:w="8033"/>
          </w:cols>
          <w:pgMar w:left="320" w:top="850" w:right="3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How to Contact Our Board</w:t>
      </w:r>
    </w:p>
    <w:p>
      <w:pPr>
        <w:spacing w:after="0" w:line="142"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Shareholders and other interested parties can communicate directly with our Board, a committee of our Board, our independent directors as a group, our Chairman of the Board or any other individual member of our Board by sending the communication to Eagle Materials Inc., 5960 Berkshire Ln., Suite 900, Dallas, Texas 75225,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30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35" w:name="page36"/>
    <w:bookmarkEnd w:id="35"/>
    <w:p>
      <w:pPr>
        <w:ind w:left="62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3774440</wp:posOffset>
            </wp:positionH>
            <wp:positionV relativeFrom="page">
              <wp:posOffset>525780</wp:posOffset>
            </wp:positionV>
            <wp:extent cx="356616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66160" cy="171450"/>
                    </a:xfrm>
                    <a:prstGeom prst="rect">
                      <a:avLst/>
                    </a:prstGeom>
                    <a:noFill/>
                  </pic:spPr>
                </pic:pic>
              </a:graphicData>
            </a:graphic>
          </wp:anchor>
        </w:drawing>
        <w:t>EXECUTIVE OFFICERS WHO ARE NOT DIRECTORS</w:t>
      </w:r>
    </w:p>
    <w:p>
      <w:pPr>
        <w:spacing w:after="0" w:line="94" w:lineRule="exact"/>
        <w:rPr>
          <w:sz w:val="20"/>
          <w:szCs w:val="20"/>
          <w:color w:val="auto"/>
        </w:rPr>
      </w:pPr>
    </w:p>
    <w:p>
      <w:pPr>
        <w:ind w:right="2280"/>
        <w:spacing w:after="0" w:line="275" w:lineRule="auto"/>
        <w:rPr>
          <w:sz w:val="20"/>
          <w:szCs w:val="20"/>
          <w:color w:val="auto"/>
        </w:rPr>
      </w:pPr>
      <w:r>
        <w:rPr>
          <w:rFonts w:ascii="Times New Roman" w:cs="Times New Roman" w:eastAsia="Times New Roman" w:hAnsi="Times New Roman"/>
          <w:sz w:val="65"/>
          <w:szCs w:val="65"/>
          <w:b w:val="1"/>
          <w:bCs w:val="1"/>
          <w:color w:val="051972"/>
        </w:rPr>
        <w:t>Executive Officers Who Are Not Directors</w:t>
      </w:r>
    </w:p>
    <w:p>
      <w:pPr>
        <w:spacing w:after="0" w:line="15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Following are the names, ages as of the date of this Proxy Statement and principal occupations of each person who was an executive officer of the Company during the fiscal year ended March 31, 2025 and who is not also a member of our Board. All of these persons were elected to serve until the next annual meeting of our Board or until their earlier resignation or removal.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 Craig Kesler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49</w:t>
      </w:r>
    </w:p>
    <w:p>
      <w:pPr>
        <w:spacing w:after="0" w:line="17"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b w:val="1"/>
          <w:bCs w:val="1"/>
          <w:color w:val="051972"/>
        </w:rPr>
        <w:t>Position</w:t>
      </w:r>
      <w:r>
        <w:rPr>
          <w:rFonts w:ascii="Times New Roman" w:cs="Times New Roman" w:eastAsia="Times New Roman" w:hAnsi="Times New Roman"/>
          <w:sz w:val="18"/>
          <w:szCs w:val="18"/>
          <w:color w:val="051972"/>
        </w:rPr>
        <w:t>:</w:t>
      </w:r>
      <w:r>
        <w:rPr>
          <w:rFonts w:ascii="Times New Roman" w:cs="Times New Roman" w:eastAsia="Times New Roman" w:hAnsi="Times New Roman"/>
          <w:sz w:val="18"/>
          <w:szCs w:val="18"/>
          <w:b w:val="1"/>
          <w:bCs w:val="1"/>
          <w:color w:val="051972"/>
        </w:rPr>
        <w:t xml:space="preserve"> </w:t>
      </w:r>
      <w:r>
        <w:rPr>
          <w:rFonts w:ascii="Arial" w:cs="Arial" w:eastAsia="Arial" w:hAnsi="Arial"/>
          <w:sz w:val="16"/>
          <w:szCs w:val="16"/>
          <w:color w:val="000000"/>
        </w:rPr>
        <w:t>Executive Vice President – Finance and Administration and Chief Financial Officer (has held current office since August 2009; Vice President –</w:t>
      </w:r>
      <w:r>
        <w:rPr>
          <w:rFonts w:ascii="Times New Roman" w:cs="Times New Roman" w:eastAsia="Times New Roman" w:hAnsi="Times New Roman"/>
          <w:sz w:val="18"/>
          <w:szCs w:val="18"/>
          <w:b w:val="1"/>
          <w:bCs w:val="1"/>
          <w:color w:val="051972"/>
        </w:rPr>
        <w:t xml:space="preserve"> </w:t>
      </w:r>
      <w:r>
        <w:rPr>
          <w:rFonts w:ascii="Arial" w:cs="Arial" w:eastAsia="Arial" w:hAnsi="Arial"/>
          <w:sz w:val="16"/>
          <w:szCs w:val="16"/>
          <w:color w:val="000000"/>
        </w:rPr>
        <w:t>Investor Relations and Corporate Development from March 2005 through August 2009; Audit Manager with Ernst &amp; Young LLP from April 2002 through September 2004).</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Matt Newby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48</w:t>
      </w:r>
    </w:p>
    <w:p>
      <w:pPr>
        <w:spacing w:after="0" w:line="17"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Arial" w:cs="Arial" w:eastAsia="Arial" w:hAnsi="Arial"/>
          <w:sz w:val="16"/>
          <w:szCs w:val="16"/>
          <w:color w:val="000000"/>
        </w:rPr>
        <w:t>Executive Vice President, General Counsel and Secretary (has held current office since June 2022; Associate General Counsel from June 2012</w:t>
      </w:r>
      <w:r>
        <w:rPr>
          <w:rFonts w:ascii="Times New Roman" w:cs="Times New Roman" w:eastAsia="Times New Roman" w:hAnsi="Times New Roman"/>
          <w:sz w:val="18"/>
          <w:szCs w:val="18"/>
          <w:b w:val="1"/>
          <w:bCs w:val="1"/>
          <w:color w:val="051972"/>
        </w:rPr>
        <w:t xml:space="preserve"> </w:t>
      </w:r>
      <w:r>
        <w:rPr>
          <w:rFonts w:ascii="Arial" w:cs="Arial" w:eastAsia="Arial" w:hAnsi="Arial"/>
          <w:sz w:val="16"/>
          <w:szCs w:val="16"/>
          <w:color w:val="000000"/>
        </w:rPr>
        <w:t>through May 2022; and an associate at the law firms of Weil, Gotshal &amp; Manges LLP and BakerBotts LLP from 2002 to 2012).</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Eric Cribbs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53</w:t>
      </w:r>
    </w:p>
    <w:p>
      <w:pPr>
        <w:spacing w:after="0" w:line="30"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Arial" w:cs="Arial" w:eastAsia="Arial" w:hAnsi="Arial"/>
          <w:sz w:val="16"/>
          <w:szCs w:val="16"/>
          <w:color w:val="000000"/>
        </w:rPr>
        <w:t>President – American Gypsum Company LLC (has held current office since June 2023; Executive Vice President of Concrete &amp; Aggregates,</w:t>
      </w:r>
      <w:r>
        <w:rPr>
          <w:rFonts w:ascii="Times New Roman" w:cs="Times New Roman" w:eastAsia="Times New Roman" w:hAnsi="Times New Roman"/>
          <w:sz w:val="18"/>
          <w:szCs w:val="18"/>
          <w:b w:val="1"/>
          <w:bCs w:val="1"/>
          <w:color w:val="051972"/>
        </w:rPr>
        <w:t xml:space="preserve"> </w:t>
      </w:r>
      <w:r>
        <w:rPr>
          <w:rFonts w:ascii="Arial" w:cs="Arial" w:eastAsia="Arial" w:hAnsi="Arial"/>
          <w:sz w:val="16"/>
          <w:szCs w:val="16"/>
          <w:color w:val="000000"/>
        </w:rPr>
        <w:t>Advanced Cementitious Materials, Logistics, and Procurement &amp; Materials from January 2021 until June 2023; Vice President of Concrete and Aggregates, Safety, Logistics, and Procurement &amp; Materials from January 2020 until January 2021; Vice President of Concrete and Aggregates from November 2018 until January 2020).</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Tony Thompson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52</w:t>
      </w:r>
    </w:p>
    <w:p>
      <w:pPr>
        <w:spacing w:after="0" w:line="1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Arial" w:cs="Arial" w:eastAsia="Arial" w:hAnsi="Arial"/>
          <w:sz w:val="16"/>
          <w:szCs w:val="16"/>
          <w:color w:val="000000"/>
        </w:rPr>
        <w:t>Senior Vice President, Cement East (has held current office since 2019; Vice President - Cement, Concrete &amp; Aggregates East Region from 2018</w:t>
      </w:r>
      <w:r>
        <w:rPr>
          <w:rFonts w:ascii="Times New Roman" w:cs="Times New Roman" w:eastAsia="Times New Roman" w:hAnsi="Times New Roman"/>
          <w:sz w:val="18"/>
          <w:szCs w:val="18"/>
          <w:b w:val="1"/>
          <w:bCs w:val="1"/>
          <w:color w:val="051972"/>
        </w:rPr>
        <w:t xml:space="preserve"> </w:t>
      </w:r>
      <w:r>
        <w:rPr>
          <w:rFonts w:ascii="Arial" w:cs="Arial" w:eastAsia="Arial" w:hAnsi="Arial"/>
          <w:sz w:val="16"/>
          <w:szCs w:val="16"/>
          <w:color w:val="000000"/>
        </w:rPr>
        <w:t>until 2019; President of Texas Lehigh Cement Company LP from 2010 until 2018).</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Alex Haddock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38</w:t>
      </w:r>
    </w:p>
    <w:p>
      <w:pPr>
        <w:spacing w:after="0" w:line="17"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Arial" w:cs="Arial" w:eastAsia="Arial" w:hAnsi="Arial"/>
          <w:sz w:val="16"/>
          <w:szCs w:val="16"/>
          <w:color w:val="000000"/>
        </w:rPr>
        <w:t>Senior Vice President - Investor Relations, Strategy and Corporate Development (has held current office since June 2024; Vice President -</w:t>
      </w:r>
      <w:r>
        <w:rPr>
          <w:rFonts w:ascii="Times New Roman" w:cs="Times New Roman" w:eastAsia="Times New Roman" w:hAnsi="Times New Roman"/>
          <w:sz w:val="18"/>
          <w:szCs w:val="18"/>
          <w:b w:val="1"/>
          <w:bCs w:val="1"/>
          <w:color w:val="051972"/>
        </w:rPr>
        <w:t xml:space="preserve"> </w:t>
      </w:r>
      <w:r>
        <w:rPr>
          <w:rFonts w:ascii="Arial" w:cs="Arial" w:eastAsia="Arial" w:hAnsi="Arial"/>
          <w:sz w:val="16"/>
          <w:szCs w:val="16"/>
          <w:color w:val="000000"/>
        </w:rPr>
        <w:t>Investor Relations, Strategy and Corporate Development (June 2022 through May 2024); Vice President of Finance and Strategy at ATW, a Bain Capital portfolio company (2022); and an Associate and Vice President at Goldman Sachs (2016 to 2022).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William R. Devlin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 xml:space="preserve">Age: </w:t>
      </w:r>
      <w:r>
        <w:rPr>
          <w:rFonts w:ascii="Arial" w:cs="Arial" w:eastAsia="Arial" w:hAnsi="Arial"/>
          <w:sz w:val="16"/>
          <w:szCs w:val="16"/>
          <w:b w:val="1"/>
          <w:bCs w:val="1"/>
          <w:color w:val="000000"/>
        </w:rPr>
        <w:t>59</w:t>
      </w:r>
    </w:p>
    <w:p>
      <w:pPr>
        <w:spacing w:after="0" w:line="17" w:lineRule="exact"/>
        <w:rPr>
          <w:sz w:val="20"/>
          <w:szCs w:val="20"/>
          <w:color w:val="auto"/>
        </w:rPr>
      </w:pPr>
    </w:p>
    <w:p>
      <w:pPr>
        <w:ind w:right="420"/>
        <w:spacing w:after="0" w:line="257" w:lineRule="auto"/>
        <w:rPr>
          <w:sz w:val="20"/>
          <w:szCs w:val="20"/>
          <w:color w:val="auto"/>
        </w:rPr>
      </w:pPr>
      <w:r>
        <w:rPr>
          <w:rFonts w:ascii="Times New Roman" w:cs="Times New Roman" w:eastAsia="Times New Roman" w:hAnsi="Times New Roman"/>
          <w:sz w:val="18"/>
          <w:szCs w:val="18"/>
          <w:b w:val="1"/>
          <w:bCs w:val="1"/>
          <w:color w:val="051972"/>
        </w:rPr>
        <w:t xml:space="preserve">Position: </w:t>
      </w:r>
      <w:r>
        <w:rPr>
          <w:rFonts w:ascii="Arial" w:cs="Arial" w:eastAsia="Arial" w:hAnsi="Arial"/>
          <w:sz w:val="16"/>
          <w:szCs w:val="16"/>
          <w:color w:val="000000"/>
        </w:rPr>
        <w:t>Senior Vice President, Controller and Chief Accounting Officer (has held current office since August 2009; Vice President and Controller from</w:t>
      </w:r>
      <w:r>
        <w:rPr>
          <w:rFonts w:ascii="Times New Roman" w:cs="Times New Roman" w:eastAsia="Times New Roman" w:hAnsi="Times New Roman"/>
          <w:sz w:val="18"/>
          <w:szCs w:val="18"/>
          <w:b w:val="1"/>
          <w:bCs w:val="1"/>
          <w:color w:val="051972"/>
        </w:rPr>
        <w:t xml:space="preserve"> </w:t>
      </w:r>
      <w:r>
        <w:rPr>
          <w:rFonts w:ascii="Arial" w:cs="Arial" w:eastAsia="Arial" w:hAnsi="Arial"/>
          <w:sz w:val="16"/>
          <w:szCs w:val="16"/>
          <w:color w:val="000000"/>
        </w:rPr>
        <w:t>October 2005 through August 2009; Director of Internal Audit from September 2004 through September 2005; Senior Manager with PricewaterhouseCoopers LLP from July 1999 through August 2004).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31</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6" w:name="page37"/>
    <w:bookmarkEnd w:id="36"/>
    <w:p>
      <w:pPr>
        <w:ind w:left="73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4563110</wp:posOffset>
            </wp:positionH>
            <wp:positionV relativeFrom="page">
              <wp:posOffset>525780</wp:posOffset>
            </wp:positionV>
            <wp:extent cx="277749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77490" cy="171450"/>
                    </a:xfrm>
                    <a:prstGeom prst="rect">
                      <a:avLst/>
                    </a:prstGeom>
                    <a:noFill/>
                  </pic:spPr>
                </pic:pic>
              </a:graphicData>
            </a:graphic>
          </wp:anchor>
        </w:drawing>
        <w:t>COMPENSATION COMMITTEE REPORT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Compensation Committee Report</w:t>
      </w:r>
    </w:p>
    <w:p>
      <w:pPr>
        <w:spacing w:after="0" w:line="37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 and incorporated by reference into the Fiscal 2025 Form 10-K.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Committee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George J. Damiris, </w:t>
      </w:r>
      <w:r>
        <w:rPr>
          <w:rFonts w:ascii="Arial" w:cs="Arial" w:eastAsia="Arial" w:hAnsi="Arial"/>
          <w:sz w:val="16"/>
          <w:szCs w:val="16"/>
          <w:i w:val="1"/>
          <w:iCs w:val="1"/>
          <w:color w:val="auto"/>
        </w:rPr>
        <w:t>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Margot L. Carter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Michael R. Nicolais</w:t>
      </w:r>
    </w:p>
    <w:p>
      <w:pPr>
        <w:spacing w:after="0" w:line="138"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b w:val="1"/>
          <w:bCs w:val="1"/>
          <w:color w:val="auto"/>
        </w:rPr>
        <w:t>This report of the Compensation Committee does not constitute soliciting material and should not be considered to be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32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7" w:name="page38"/>
    <w:bookmarkEnd w:id="37"/>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525780</wp:posOffset>
            </wp:positionV>
            <wp:extent cx="335153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Compensation Discussion and Analysis</w:t>
      </w:r>
    </w:p>
    <w:p>
      <w:pPr>
        <w:spacing w:after="0" w:line="37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This Compensation Discussion and Analysis is intended to provide investors with a better understanding of our compensation policies and decisions during fiscal 2025. The Compensation Committee strives to establish a strong link between pay and performance in order to better align our compensation program with the financial interests of our stockholders. The Compensation Committee’s decision-making was guided by long-standing principles, including aligning pay with performance; driving business results and long-term shareholder value; and paying competitively, while mitigating compensation-related risk and supporting effective succession planning.</w:t>
      </w:r>
    </w:p>
    <w:p>
      <w:pPr>
        <w:spacing w:after="0" w:line="112"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The Compensation Committee is firmly committed to providing our executives with compensation opportunities that are tied to Company performance and stockholder value creation. We encourage our stockholders to review the complete description of the Company’s executive compensation program prior to casting a vote on this year’s say-on-pay advisory vote proposal (Proposal No. 2).</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Our Year in Review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Focus on Strong Performance</w:t>
      </w:r>
    </w:p>
    <w:tbl>
      <w:tblPr>
        <w:tblLayout w:type="fixed"/>
        <w:tblInd w:w="1160" w:type="dxa"/>
        <w:tblCellMar>
          <w:top w:w="0" w:type="dxa"/>
          <w:left w:w="0" w:type="dxa"/>
          <w:bottom w:w="0" w:type="dxa"/>
          <w:right w:w="0" w:type="dxa"/>
        </w:tblCellMar>
      </w:tblPr>
      <w:tr>
        <w:trPr>
          <w:trHeight w:val="153"/>
        </w:trPr>
        <w:tc>
          <w:tcPr>
            <w:tcW w:w="2560" w:type="dxa"/>
            <w:vAlign w:val="bottom"/>
            <w:vMerge w:val="restart"/>
          </w:tcPr>
          <w:p>
            <w:pPr>
              <w:spacing w:after="0" w:line="875" w:lineRule="exact"/>
              <w:rPr>
                <w:sz w:val="20"/>
                <w:szCs w:val="20"/>
                <w:color w:val="auto"/>
              </w:rPr>
            </w:pPr>
            <w:r>
              <w:rPr>
                <w:rFonts w:ascii="Times New Roman" w:cs="Times New Roman" w:eastAsia="Times New Roman" w:hAnsi="Times New Roman"/>
                <w:sz w:val="77"/>
                <w:szCs w:val="77"/>
                <w:b w:val="1"/>
                <w:bCs w:val="1"/>
                <w:color w:val="051972"/>
                <w:vertAlign w:val="superscript"/>
              </w:rPr>
              <w:t>$</w:t>
            </w:r>
            <w:r>
              <w:rPr>
                <w:rFonts w:ascii="Times New Roman" w:cs="Times New Roman" w:eastAsia="Times New Roman" w:hAnsi="Times New Roman"/>
                <w:sz w:val="58"/>
                <w:szCs w:val="58"/>
                <w:b w:val="1"/>
                <w:bCs w:val="1"/>
                <w:color w:val="051972"/>
              </w:rPr>
              <w:t>2.3B</w:t>
            </w:r>
          </w:p>
        </w:tc>
        <w:tc>
          <w:tcPr>
            <w:tcW w:w="20" w:type="dxa"/>
            <w:vAlign w:val="bottom"/>
          </w:tcPr>
          <w:p>
            <w:pPr>
              <w:spacing w:after="0"/>
              <w:rPr>
                <w:sz w:val="13"/>
                <w:szCs w:val="13"/>
                <w:color w:val="auto"/>
              </w:rPr>
            </w:pPr>
          </w:p>
        </w:tc>
        <w:tc>
          <w:tcPr>
            <w:tcW w:w="3780" w:type="dxa"/>
            <w:vAlign w:val="bottom"/>
            <w:vMerge w:val="restart"/>
          </w:tcPr>
          <w:p>
            <w:pPr>
              <w:jc w:val="center"/>
              <w:spacing w:after="0" w:line="875" w:lineRule="exact"/>
              <w:rPr>
                <w:sz w:val="20"/>
                <w:szCs w:val="20"/>
                <w:color w:val="auto"/>
              </w:rPr>
            </w:pPr>
            <w:r>
              <w:rPr>
                <w:rFonts w:ascii="Times New Roman" w:cs="Times New Roman" w:eastAsia="Times New Roman" w:hAnsi="Times New Roman"/>
                <w:sz w:val="77"/>
                <w:szCs w:val="77"/>
                <w:b w:val="1"/>
                <w:bCs w:val="1"/>
                <w:color w:val="051972"/>
                <w:w w:val="94"/>
                <w:vertAlign w:val="superscript"/>
              </w:rPr>
              <w:t>$</w:t>
            </w:r>
            <w:r>
              <w:rPr>
                <w:rFonts w:ascii="Times New Roman" w:cs="Times New Roman" w:eastAsia="Times New Roman" w:hAnsi="Times New Roman"/>
                <w:sz w:val="58"/>
                <w:szCs w:val="58"/>
                <w:b w:val="1"/>
                <w:bCs w:val="1"/>
                <w:color w:val="051972"/>
                <w:w w:val="94"/>
              </w:rPr>
              <w:t>13.77</w:t>
            </w:r>
          </w:p>
        </w:tc>
        <w:tc>
          <w:tcPr>
            <w:tcW w:w="20" w:type="dxa"/>
            <w:vAlign w:val="bottom"/>
          </w:tcPr>
          <w:p>
            <w:pPr>
              <w:spacing w:after="0"/>
              <w:rPr>
                <w:sz w:val="13"/>
                <w:szCs w:val="13"/>
                <w:color w:val="auto"/>
              </w:rPr>
            </w:pPr>
          </w:p>
        </w:tc>
        <w:tc>
          <w:tcPr>
            <w:tcW w:w="2580" w:type="dxa"/>
            <w:vAlign w:val="bottom"/>
            <w:vMerge w:val="restart"/>
          </w:tcPr>
          <w:p>
            <w:pPr>
              <w:ind w:left="1200"/>
              <w:spacing w:after="0" w:line="875" w:lineRule="exact"/>
              <w:rPr>
                <w:sz w:val="20"/>
                <w:szCs w:val="20"/>
                <w:color w:val="auto"/>
              </w:rPr>
            </w:pPr>
            <w:r>
              <w:rPr>
                <w:rFonts w:ascii="Times New Roman" w:cs="Times New Roman" w:eastAsia="Times New Roman" w:hAnsi="Times New Roman"/>
                <w:sz w:val="58"/>
                <w:szCs w:val="58"/>
                <w:b w:val="1"/>
                <w:bCs w:val="1"/>
                <w:color w:val="051972"/>
                <w:w w:val="88"/>
              </w:rPr>
              <w:t>33.5</w:t>
            </w:r>
            <w:r>
              <w:rPr>
                <w:rFonts w:ascii="Times New Roman" w:cs="Times New Roman" w:eastAsia="Times New Roman" w:hAnsi="Times New Roman"/>
                <w:sz w:val="77"/>
                <w:szCs w:val="77"/>
                <w:b w:val="1"/>
                <w:bCs w:val="1"/>
                <w:color w:val="051972"/>
                <w:w w:val="88"/>
                <w:vertAlign w:val="superscript"/>
              </w:rPr>
              <w:t>%</w:t>
            </w:r>
          </w:p>
        </w:tc>
        <w:tc>
          <w:tcPr>
            <w:tcW w:w="0" w:type="dxa"/>
            <w:vAlign w:val="bottom"/>
          </w:tcPr>
          <w:p>
            <w:pPr>
              <w:spacing w:after="0"/>
              <w:rPr>
                <w:sz w:val="1"/>
                <w:szCs w:val="1"/>
                <w:color w:val="auto"/>
              </w:rPr>
            </w:pPr>
          </w:p>
        </w:tc>
      </w:tr>
      <w:tr>
        <w:trPr>
          <w:trHeight w:val="724"/>
        </w:trPr>
        <w:tc>
          <w:tcPr>
            <w:tcW w:w="2560" w:type="dxa"/>
            <w:vAlign w:val="bottom"/>
            <w:vMerge w:val="continue"/>
          </w:tcPr>
          <w:p>
            <w:pPr>
              <w:spacing w:after="0"/>
              <w:rPr>
                <w:sz w:val="24"/>
                <w:szCs w:val="24"/>
                <w:color w:val="auto"/>
              </w:rPr>
            </w:pPr>
          </w:p>
        </w:tc>
        <w:tc>
          <w:tcPr>
            <w:tcW w:w="20" w:type="dxa"/>
            <w:vAlign w:val="bottom"/>
            <w:shd w:val="clear" w:color="auto" w:fill="E7E7E8"/>
          </w:tcPr>
          <w:p>
            <w:pPr>
              <w:spacing w:after="0"/>
              <w:rPr>
                <w:sz w:val="24"/>
                <w:szCs w:val="24"/>
                <w:color w:val="auto"/>
              </w:rPr>
            </w:pPr>
          </w:p>
        </w:tc>
        <w:tc>
          <w:tcPr>
            <w:tcW w:w="3780" w:type="dxa"/>
            <w:vAlign w:val="bottom"/>
            <w:vMerge w:val="continue"/>
          </w:tcPr>
          <w:p>
            <w:pPr>
              <w:spacing w:after="0"/>
              <w:rPr>
                <w:sz w:val="24"/>
                <w:szCs w:val="24"/>
                <w:color w:val="auto"/>
              </w:rPr>
            </w:pPr>
          </w:p>
        </w:tc>
        <w:tc>
          <w:tcPr>
            <w:tcW w:w="20" w:type="dxa"/>
            <w:vAlign w:val="bottom"/>
            <w:shd w:val="clear" w:color="auto" w:fill="E7E7E8"/>
          </w:tcPr>
          <w:p>
            <w:pPr>
              <w:spacing w:after="0"/>
              <w:rPr>
                <w:sz w:val="24"/>
                <w:szCs w:val="24"/>
                <w:color w:val="auto"/>
              </w:rPr>
            </w:pPr>
          </w:p>
        </w:tc>
        <w:tc>
          <w:tcPr>
            <w:tcW w:w="2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line="202" w:lineRule="exact"/>
              <w:rPr>
                <w:sz w:val="20"/>
                <w:szCs w:val="20"/>
                <w:color w:val="auto"/>
              </w:rPr>
            </w:pPr>
            <w:r>
              <w:rPr>
                <w:rFonts w:ascii="Arial" w:cs="Arial" w:eastAsia="Arial" w:hAnsi="Arial"/>
                <w:sz w:val="18"/>
                <w:szCs w:val="18"/>
                <w:color w:val="auto"/>
              </w:rPr>
              <w:t>Record revenue</w:t>
            </w:r>
          </w:p>
        </w:tc>
        <w:tc>
          <w:tcPr>
            <w:tcW w:w="20" w:type="dxa"/>
            <w:vAlign w:val="bottom"/>
            <w:shd w:val="clear" w:color="auto" w:fill="E7E7E8"/>
          </w:tcPr>
          <w:p>
            <w:pPr>
              <w:spacing w:after="0"/>
              <w:rPr>
                <w:sz w:val="17"/>
                <w:szCs w:val="17"/>
                <w:color w:val="auto"/>
              </w:rPr>
            </w:pPr>
          </w:p>
        </w:tc>
        <w:tc>
          <w:tcPr>
            <w:tcW w:w="3780" w:type="dxa"/>
            <w:vAlign w:val="bottom"/>
          </w:tcPr>
          <w:p>
            <w:pPr>
              <w:jc w:val="center"/>
              <w:spacing w:after="0" w:line="202" w:lineRule="exact"/>
              <w:rPr>
                <w:sz w:val="20"/>
                <w:szCs w:val="20"/>
                <w:color w:val="auto"/>
              </w:rPr>
            </w:pPr>
            <w:r>
              <w:rPr>
                <w:rFonts w:ascii="Arial" w:cs="Arial" w:eastAsia="Arial" w:hAnsi="Arial"/>
                <w:sz w:val="18"/>
                <w:szCs w:val="18"/>
                <w:color w:val="auto"/>
                <w:w w:val="99"/>
              </w:rPr>
              <w:t>Record diluted</w:t>
            </w:r>
          </w:p>
        </w:tc>
        <w:tc>
          <w:tcPr>
            <w:tcW w:w="20" w:type="dxa"/>
            <w:vAlign w:val="bottom"/>
            <w:shd w:val="clear" w:color="auto" w:fill="E7E7E8"/>
          </w:tcPr>
          <w:p>
            <w:pPr>
              <w:spacing w:after="0"/>
              <w:rPr>
                <w:sz w:val="17"/>
                <w:szCs w:val="17"/>
                <w:color w:val="auto"/>
              </w:rPr>
            </w:pPr>
          </w:p>
        </w:tc>
        <w:tc>
          <w:tcPr>
            <w:tcW w:w="2580" w:type="dxa"/>
            <w:vAlign w:val="bottom"/>
          </w:tcPr>
          <w:p>
            <w:pPr>
              <w:ind w:left="1240"/>
              <w:spacing w:after="0" w:line="202" w:lineRule="exact"/>
              <w:rPr>
                <w:sz w:val="20"/>
                <w:szCs w:val="20"/>
                <w:color w:val="auto"/>
              </w:rPr>
            </w:pPr>
            <w:r>
              <w:rPr>
                <w:rFonts w:ascii="Arial" w:cs="Arial" w:eastAsia="Arial" w:hAnsi="Arial"/>
                <w:sz w:val="18"/>
                <w:szCs w:val="18"/>
                <w:color w:val="auto"/>
                <w:w w:val="99"/>
              </w:rPr>
              <w:t>Return on equity</w:t>
            </w:r>
          </w:p>
        </w:tc>
        <w:tc>
          <w:tcPr>
            <w:tcW w:w="0" w:type="dxa"/>
            <w:vAlign w:val="bottom"/>
          </w:tcPr>
          <w:p>
            <w:pPr>
              <w:spacing w:after="0"/>
              <w:rPr>
                <w:sz w:val="1"/>
                <w:szCs w:val="1"/>
                <w:color w:val="auto"/>
              </w:rPr>
            </w:pPr>
          </w:p>
        </w:tc>
      </w:tr>
      <w:tr>
        <w:trPr>
          <w:trHeight w:val="239"/>
        </w:trPr>
        <w:tc>
          <w:tcPr>
            <w:tcW w:w="2560" w:type="dxa"/>
            <w:vAlign w:val="bottom"/>
          </w:tcPr>
          <w:p>
            <w:pPr>
              <w:spacing w:after="0"/>
              <w:rPr>
                <w:sz w:val="20"/>
                <w:szCs w:val="20"/>
                <w:color w:val="auto"/>
              </w:rPr>
            </w:pPr>
          </w:p>
        </w:tc>
        <w:tc>
          <w:tcPr>
            <w:tcW w:w="20" w:type="dxa"/>
            <w:vAlign w:val="bottom"/>
            <w:shd w:val="clear" w:color="auto" w:fill="E7E7E8"/>
          </w:tcPr>
          <w:p>
            <w:pPr>
              <w:spacing w:after="0"/>
              <w:rPr>
                <w:sz w:val="20"/>
                <w:szCs w:val="20"/>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earning per share</w:t>
            </w:r>
          </w:p>
        </w:tc>
        <w:tc>
          <w:tcPr>
            <w:tcW w:w="20" w:type="dxa"/>
            <w:vAlign w:val="bottom"/>
            <w:shd w:val="clear" w:color="auto" w:fill="E7E7E8"/>
          </w:tcPr>
          <w:p>
            <w:pPr>
              <w:spacing w:after="0"/>
              <w:rPr>
                <w:sz w:val="20"/>
                <w:szCs w:val="20"/>
                <w:color w:val="auto"/>
              </w:rPr>
            </w:pP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2560" w:type="dxa"/>
            <w:vAlign w:val="bottom"/>
          </w:tcPr>
          <w:p>
            <w:pPr>
              <w:spacing w:after="0"/>
              <w:rPr>
                <w:sz w:val="5"/>
                <w:szCs w:val="5"/>
                <w:color w:val="auto"/>
              </w:rPr>
            </w:pPr>
          </w:p>
        </w:tc>
        <w:tc>
          <w:tcPr>
            <w:tcW w:w="20" w:type="dxa"/>
            <w:vAlign w:val="bottom"/>
            <w:shd w:val="clear" w:color="auto" w:fill="E7E7E8"/>
          </w:tcPr>
          <w:p>
            <w:pPr>
              <w:spacing w:after="0"/>
              <w:rPr>
                <w:sz w:val="5"/>
                <w:szCs w:val="5"/>
                <w:color w:val="auto"/>
              </w:rPr>
            </w:pPr>
          </w:p>
        </w:tc>
        <w:tc>
          <w:tcPr>
            <w:tcW w:w="3780" w:type="dxa"/>
            <w:vAlign w:val="bottom"/>
          </w:tcPr>
          <w:p>
            <w:pPr>
              <w:spacing w:after="0"/>
              <w:rPr>
                <w:sz w:val="5"/>
                <w:szCs w:val="5"/>
                <w:color w:val="auto"/>
              </w:rPr>
            </w:pPr>
          </w:p>
        </w:tc>
        <w:tc>
          <w:tcPr>
            <w:tcW w:w="20" w:type="dxa"/>
            <w:vAlign w:val="bottom"/>
            <w:shd w:val="clear" w:color="auto" w:fill="E7E7E8"/>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fiscal 2025, Eagle again generated solid financial performance, achieving record revenue of $2.3 billion and record diluted earnings per share of $13.77. A significant metric used in our compensation program—return on equity (ROE)—was 33.5% for fiscal 2025. The Company's accomplishments this year are a testament to the operating strength of our businesses and the focus of our talented people. Our safety performance also continued to outperform the industry average.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Named Executive Officers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persons were Named Executive Officers for fiscal year 2025:</w:t>
      </w:r>
    </w:p>
    <w:p>
      <w:pPr>
        <w:sectPr>
          <w:pgSz w:w="11900" w:h="16838" w:orient="portrait"/>
          <w:cols w:equalWidth="0" w:num="1">
            <w:col w:w="11240"/>
          </w:cols>
          <w:pgMar w:left="320" w:top="850" w:right="339" w:bottom="1440" w:gutter="0" w:footer="0" w:header="0"/>
        </w:sectPr>
      </w:pPr>
    </w:p>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Michael R. Haack</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ectPr>
          <w:pgSz w:w="11900" w:h="16838" w:orient="portrait"/>
          <w:cols w:equalWidth="0" w:num="2">
            <w:col w:w="2220" w:space="720"/>
            <w:col w:w="8300"/>
          </w:cols>
          <w:pgMar w:left="320" w:top="850" w:right="3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D. Craig Kesler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 Finance and Administration and Chief Financial Officer</w:t>
      </w:r>
    </w:p>
    <w:p>
      <w:pPr>
        <w:spacing w:after="0" w:line="32" w:lineRule="exact"/>
        <w:rPr>
          <w:sz w:val="20"/>
          <w:szCs w:val="20"/>
          <w:color w:val="auto"/>
        </w:rPr>
      </w:pPr>
    </w:p>
    <w:p>
      <w:pPr>
        <w:sectPr>
          <w:pgSz w:w="11900" w:h="16838" w:orient="portrait"/>
          <w:cols w:equalWidth="0" w:num="2">
            <w:col w:w="2220" w:space="720"/>
            <w:col w:w="8300"/>
          </w:cols>
          <w:pgMar w:left="320" w:top="850" w:right="3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Matt Newby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General Counsel and Secretary</w:t>
      </w:r>
    </w:p>
    <w:p>
      <w:pPr>
        <w:spacing w:after="0" w:line="32" w:lineRule="exact"/>
        <w:rPr>
          <w:sz w:val="20"/>
          <w:szCs w:val="20"/>
          <w:color w:val="auto"/>
        </w:rPr>
      </w:pPr>
    </w:p>
    <w:p>
      <w:pPr>
        <w:sectPr>
          <w:pgSz w:w="11900" w:h="16838" w:orient="portrait"/>
          <w:cols w:equalWidth="0" w:num="2">
            <w:col w:w="2220" w:space="720"/>
            <w:col w:w="8300"/>
          </w:cols>
          <w:pgMar w:left="320" w:top="850" w:right="339" w:bottom="1440" w:gutter="0" w:footer="0" w:header="0"/>
          <w:type w:val="continuous"/>
        </w:sectPr>
      </w:pPr>
    </w:p>
    <w:p>
      <w:pPr>
        <w:ind w:left="240"/>
        <w:spacing w:after="0"/>
        <w:rPr>
          <w:sz w:val="20"/>
          <w:szCs w:val="20"/>
          <w:color w:val="auto"/>
        </w:rPr>
      </w:pPr>
      <w:r>
        <w:rPr>
          <w:rFonts w:ascii="Arial" w:cs="Arial" w:eastAsia="Arial" w:hAnsi="Arial"/>
          <w:sz w:val="15"/>
          <w:szCs w:val="15"/>
          <w:color w:val="auto"/>
        </w:rPr>
        <w:t>Eric Cribbs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American Gypsum Company</w:t>
      </w:r>
    </w:p>
    <w:p>
      <w:pPr>
        <w:spacing w:after="0" w:line="32" w:lineRule="exact"/>
        <w:rPr>
          <w:sz w:val="20"/>
          <w:szCs w:val="20"/>
          <w:color w:val="auto"/>
        </w:rPr>
      </w:pPr>
    </w:p>
    <w:p>
      <w:pPr>
        <w:sectPr>
          <w:pgSz w:w="11900" w:h="16838" w:orient="portrait"/>
          <w:cols w:equalWidth="0" w:num="2">
            <w:col w:w="2220" w:space="720"/>
            <w:col w:w="8300"/>
          </w:cols>
          <w:pgMar w:left="320" w:top="850" w:right="339" w:bottom="1440" w:gutter="0" w:footer="0" w:header="0"/>
          <w:type w:val="continuous"/>
        </w:sectPr>
      </w:pPr>
    </w:p>
    <w:p>
      <w:pPr>
        <w:ind w:left="240"/>
        <w:spacing w:after="0"/>
        <w:rPr>
          <w:sz w:val="20"/>
          <w:szCs w:val="20"/>
          <w:color w:val="auto"/>
        </w:rPr>
      </w:pPr>
      <w:r>
        <w:rPr>
          <w:rFonts w:ascii="Arial" w:cs="Arial" w:eastAsia="Arial" w:hAnsi="Arial"/>
          <w:sz w:val="16"/>
          <w:szCs w:val="16"/>
          <w:color w:val="auto"/>
        </w:rPr>
        <w:t>Tony Thompson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Cement East</w:t>
      </w:r>
    </w:p>
    <w:p>
      <w:pPr>
        <w:spacing w:after="0" w:line="200" w:lineRule="exact"/>
        <w:rPr>
          <w:sz w:val="20"/>
          <w:szCs w:val="20"/>
          <w:color w:val="auto"/>
        </w:rPr>
      </w:pPr>
    </w:p>
    <w:p>
      <w:pPr>
        <w:sectPr>
          <w:pgSz w:w="11900" w:h="16838" w:orient="portrait"/>
          <w:cols w:equalWidth="0" w:num="2">
            <w:col w:w="2220" w:space="720"/>
            <w:col w:w="8300"/>
          </w:cols>
          <w:pgMar w:left="320" w:top="850" w:right="33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Compensation Philosophy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Our Core Tenet: Pay for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philosophy is based on the principles that executive compensation should:</w:t>
      </w:r>
    </w:p>
    <w:p>
      <w:pPr>
        <w:spacing w:after="0" w:line="154" w:lineRule="exact"/>
        <w:rPr>
          <w:sz w:val="20"/>
          <w:szCs w:val="20"/>
          <w:color w:val="auto"/>
        </w:rPr>
      </w:pPr>
    </w:p>
    <w:p>
      <w:pPr>
        <w:ind w:left="460" w:hanging="228"/>
        <w:spacing w:after="0"/>
        <w:tabs>
          <w:tab w:leader="none" w:pos="46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Align the interests of our executives with those of our stockholders,</w:t>
      </w:r>
    </w:p>
    <w:p>
      <w:pPr>
        <w:spacing w:after="0" w:line="29"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Reflect the Company’s performance as well as the executive’s individual performance,</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Motivate management to achieve the Company’s operational and strategic goals,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33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38" w:name="page39"/>
    <w:bookmarkEnd w:id="38"/>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149" w:lineRule="exact"/>
        <w:rPr>
          <w:sz w:val="20"/>
          <w:szCs w:val="20"/>
          <w:color w:val="auto"/>
        </w:rPr>
      </w:pPr>
    </w:p>
    <w:p>
      <w:pPr>
        <w:ind w:left="460" w:hanging="228"/>
        <w:spacing w:after="0"/>
        <w:tabs>
          <w:tab w:leader="none" w:pos="46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Reward performance by both our executives and the Company relative to our peers’ performance in light of business conditions, and</w:t>
      </w:r>
    </w:p>
    <w:p>
      <w:pPr>
        <w:spacing w:after="0" w:line="29"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Attract, retain and motivate highly qualified and talented executives over time.</w:t>
      </w:r>
    </w:p>
    <w:p>
      <w:pPr>
        <w:spacing w:after="0" w:line="154"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We believe that a significant portion of an executive’s compensation should be “at risk” – that is, contingent on the achievement of performance goals and other important company objectives, such as in the areas of sustainability or safety, and the individual’s performance and continued employment. Our performance-based compensation philosophy is evidenced by the charts below showing that 88% of our Chief Executive Officer’s target compensation opportunity for fiscal 2025 and 73% of our other Named Executive Officers’ target compensation opportunity for fiscal 2025 was performance-based or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320040</wp:posOffset>
            </wp:positionV>
            <wp:extent cx="5648960" cy="22371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4896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To achieve our compensation objectives for fiscal 2025, our executive compensation program used a combination of short-term and long-term elements: (1) annual salary, (2) annual cash incentive award, and (3) long-term incentive compensation in the form of restricted stock units, both with time and performance vesting conditions. Each element of long-term and short-term compensation is discussed more fully below under the heading “Primary Elements of Executive Compensation." The key features of our executive compensation program include the following:</w:t>
      </w:r>
    </w:p>
    <w:p>
      <w:pPr>
        <w:spacing w:after="0" w:line="97" w:lineRule="exact"/>
        <w:rPr>
          <w:sz w:val="20"/>
          <w:szCs w:val="20"/>
          <w:color w:val="auto"/>
        </w:rPr>
      </w:pPr>
    </w:p>
    <w:p>
      <w:pPr>
        <w:ind w:left="600" w:hanging="368"/>
        <w:spacing w:after="0"/>
        <w:tabs>
          <w:tab w:leader="none" w:pos="6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We seek to align the interests of executives with those of our stockholders by:</w:t>
      </w:r>
    </w:p>
    <w:p>
      <w:pPr>
        <w:spacing w:after="0" w:line="166" w:lineRule="exact"/>
        <w:rPr>
          <w:rFonts w:ascii="Times New Roman" w:cs="Times New Roman" w:eastAsia="Times New Roman" w:hAnsi="Times New Roman"/>
          <w:sz w:val="16"/>
          <w:szCs w:val="16"/>
          <w:color w:val="auto"/>
        </w:rPr>
      </w:pPr>
    </w:p>
    <w:p>
      <w:pPr>
        <w:ind w:left="840" w:hanging="233"/>
        <w:spacing w:after="0"/>
        <w:tabs>
          <w:tab w:leader="none" w:pos="840" w:val="left"/>
        </w:tabs>
        <w:numPr>
          <w:ilvl w:val="1"/>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Creating a direct and substantial link between the executive’s annual cash incentive award and our annual operating earnings,</w:t>
      </w:r>
    </w:p>
    <w:p>
      <w:pPr>
        <w:spacing w:after="0" w:line="29" w:lineRule="exact"/>
        <w:rPr>
          <w:rFonts w:ascii="Times New Roman" w:cs="Times New Roman" w:eastAsia="Times New Roman" w:hAnsi="Times New Roman"/>
          <w:sz w:val="16"/>
          <w:szCs w:val="16"/>
          <w:color w:val="auto"/>
        </w:rPr>
      </w:pPr>
    </w:p>
    <w:p>
      <w:pPr>
        <w:ind w:left="840" w:right="100" w:hanging="233"/>
        <w:spacing w:after="0" w:line="248" w:lineRule="auto"/>
        <w:tabs>
          <w:tab w:leader="none" w:pos="840" w:val="left"/>
        </w:tabs>
        <w:numPr>
          <w:ilvl w:val="1"/>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Structuring long-term compensation as equity awards, so that executives have an appropriate incentive to contribute to the creation of long-term stockholder value, and</w:t>
      </w:r>
    </w:p>
    <w:p>
      <w:pPr>
        <w:ind w:left="840" w:hanging="233"/>
        <w:spacing w:after="0"/>
        <w:tabs>
          <w:tab w:leader="none" w:pos="840" w:val="left"/>
        </w:tabs>
        <w:numPr>
          <w:ilvl w:val="1"/>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Requiring executives to meet stock ownership guidelines that will result in each executive holding a meaningful equity stake in the Company.</w:t>
      </w:r>
    </w:p>
    <w:p>
      <w:pPr>
        <w:spacing w:after="0" w:line="150" w:lineRule="exact"/>
        <w:rPr>
          <w:rFonts w:ascii="Times New Roman" w:cs="Times New Roman" w:eastAsia="Times New Roman" w:hAnsi="Times New Roman"/>
          <w:sz w:val="16"/>
          <w:szCs w:val="16"/>
          <w:color w:val="auto"/>
        </w:rPr>
      </w:pPr>
    </w:p>
    <w:p>
      <w:pPr>
        <w:ind w:left="600" w:hanging="368"/>
        <w:spacing w:after="0"/>
        <w:tabs>
          <w:tab w:leader="none" w:pos="60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We seek to encourage improved performance by:</w:t>
      </w:r>
    </w:p>
    <w:p>
      <w:pPr>
        <w:spacing w:after="0" w:line="152" w:lineRule="exact"/>
        <w:rPr>
          <w:rFonts w:ascii="Times New Roman" w:cs="Times New Roman" w:eastAsia="Times New Roman" w:hAnsi="Times New Roman"/>
          <w:sz w:val="16"/>
          <w:szCs w:val="16"/>
          <w:color w:val="auto"/>
        </w:rPr>
      </w:pPr>
    </w:p>
    <w:p>
      <w:pPr>
        <w:ind w:left="840" w:right="480" w:hanging="233"/>
        <w:spacing w:after="0" w:line="256" w:lineRule="auto"/>
        <w:tabs>
          <w:tab w:leader="none" w:pos="840" w:val="left"/>
        </w:tabs>
        <w:numPr>
          <w:ilvl w:val="1"/>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Establishing our annual cash incentive award potential based on our operating earnings and EBITDA, with the ability for the Compensation Committee to reduce the award based on individual performance goals, and</w:t>
      </w:r>
    </w:p>
    <w:p>
      <w:pPr>
        <w:ind w:left="840" w:hanging="233"/>
        <w:spacing w:after="0"/>
        <w:tabs>
          <w:tab w:leader="none" w:pos="840" w:val="left"/>
        </w:tabs>
        <w:numPr>
          <w:ilvl w:val="1"/>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Tying the ability to earn a substantial portion of our equity-based awards to the achievement of financial goals.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Our Compensation Practices</w:t>
      </w:r>
    </w:p>
    <w:p>
      <w:pPr>
        <w:spacing w:after="0" w:line="166"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Pay-for-performance is a longstanding core tenet of our compensation philosophy and one of the keys to Eagle’s long-term success. For years, our executive compensation programs have incorporated pay-for-performance and many other compensation best practices, including the following: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34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39" w:name="page40"/>
    <w:bookmarkEnd w:id="39"/>
    <w:p>
      <w:pPr>
        <w:jc w:val="right"/>
        <w:ind w:right="62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103505</wp:posOffset>
            </wp:positionV>
            <wp:extent cx="531495" cy="4629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1495" cy="4629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103505</wp:posOffset>
            </wp:positionV>
            <wp:extent cx="488950" cy="4629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8895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180"/>
        <w:spacing w:after="0"/>
        <w:tabs>
          <w:tab w:leader="none" w:pos="7780" w:val="left"/>
        </w:tabs>
        <w:rPr>
          <w:sz w:val="20"/>
          <w:szCs w:val="20"/>
          <w:color w:val="auto"/>
        </w:rPr>
      </w:pPr>
      <w:r>
        <w:rPr>
          <w:rFonts w:ascii="Arial" w:cs="Arial" w:eastAsia="Arial" w:hAnsi="Arial"/>
          <w:sz w:val="16"/>
          <w:szCs w:val="16"/>
          <w:b w:val="1"/>
          <w:bCs w:val="1"/>
          <w:color w:val="051972"/>
        </w:rPr>
        <w:t>Things We Do</w:t>
      </w:r>
      <w:r>
        <w:rPr>
          <w:sz w:val="20"/>
          <w:szCs w:val="20"/>
          <w:color w:val="auto"/>
        </w:rPr>
        <w:tab/>
      </w:r>
      <w:r>
        <w:rPr>
          <w:rFonts w:ascii="Arial" w:cs="Arial" w:eastAsia="Arial" w:hAnsi="Arial"/>
          <w:sz w:val="16"/>
          <w:szCs w:val="16"/>
          <w:b w:val="1"/>
          <w:bCs w:val="1"/>
          <w:color w:val="051972"/>
        </w:rPr>
        <w:t>Things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920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Align officer pay with performance.</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Provide limited perquisites.</w:t>
      </w:r>
    </w:p>
    <w:p>
      <w:pPr>
        <w:spacing w:after="0" w:line="194" w:lineRule="exact"/>
        <w:rPr>
          <w:sz w:val="20"/>
          <w:szCs w:val="20"/>
          <w:color w:val="auto"/>
        </w:rPr>
      </w:pPr>
    </w:p>
    <w:p>
      <w:pPr>
        <w:ind w:left="380" w:right="300"/>
        <w:spacing w:after="0" w:line="266" w:lineRule="auto"/>
        <w:rPr>
          <w:sz w:val="20"/>
          <w:szCs w:val="20"/>
          <w:color w:val="auto"/>
        </w:rPr>
      </w:pPr>
      <w:r>
        <w:rPr>
          <w:rFonts w:ascii="Arial" w:cs="Arial" w:eastAsia="Arial" w:hAnsi="Arial"/>
          <w:sz w:val="16"/>
          <w:szCs w:val="16"/>
          <w:color w:val="auto"/>
        </w:rPr>
        <w:t>Provide our executives a defined contribution Retirement Plan determined on the same basis as the benefits provided to all salaried employees.</w:t>
      </w:r>
    </w:p>
    <w:p>
      <w:pPr>
        <w:spacing w:after="0" w:line="158" w:lineRule="exact"/>
        <w:rPr>
          <w:sz w:val="20"/>
          <w:szCs w:val="20"/>
          <w:color w:val="auto"/>
        </w:rPr>
      </w:pPr>
    </w:p>
    <w:p>
      <w:pPr>
        <w:ind w:left="380" w:right="220"/>
        <w:spacing w:after="0" w:line="286" w:lineRule="auto"/>
        <w:rPr>
          <w:sz w:val="20"/>
          <w:szCs w:val="20"/>
          <w:color w:val="auto"/>
        </w:rPr>
      </w:pPr>
      <w:r>
        <w:rPr>
          <w:rFonts w:ascii="Arial" w:cs="Arial" w:eastAsia="Arial" w:hAnsi="Arial"/>
          <w:sz w:val="16"/>
          <w:szCs w:val="16"/>
          <w:color w:val="auto"/>
        </w:rPr>
        <w:t>Maintain stock ownership guidelines requiring executives to align their long-term interests with those of our stockholders.</w:t>
      </w:r>
    </w:p>
    <w:p>
      <w:pPr>
        <w:spacing w:after="0" w:line="304" w:lineRule="exact"/>
        <w:rPr>
          <w:sz w:val="20"/>
          <w:szCs w:val="20"/>
          <w:color w:val="auto"/>
        </w:rPr>
      </w:pPr>
    </w:p>
    <w:p>
      <w:pPr>
        <w:ind w:left="380" w:right="400"/>
        <w:spacing w:after="0" w:line="266" w:lineRule="auto"/>
        <w:rPr>
          <w:sz w:val="20"/>
          <w:szCs w:val="20"/>
          <w:color w:val="auto"/>
        </w:rPr>
      </w:pPr>
      <w:r>
        <w:rPr>
          <w:rFonts w:ascii="Arial" w:cs="Arial" w:eastAsia="Arial" w:hAnsi="Arial"/>
          <w:sz w:val="16"/>
          <w:szCs w:val="16"/>
          <w:color w:val="auto"/>
        </w:rPr>
        <w:t>Maintain recoupment (clawback) policies allowing the Company to pursue recovery of incentive-based compensation (whether cash or equity) in certain circumstances.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800"/>
        <w:spacing w:after="0" w:line="281" w:lineRule="auto"/>
        <w:rPr>
          <w:sz w:val="20"/>
          <w:szCs w:val="20"/>
          <w:color w:val="auto"/>
        </w:rPr>
      </w:pPr>
      <w:r>
        <w:rPr>
          <w:rFonts w:ascii="Arial" w:cs="Arial" w:eastAsia="Arial" w:hAnsi="Arial"/>
          <w:sz w:val="16"/>
          <w:szCs w:val="16"/>
          <w:color w:val="auto"/>
        </w:rPr>
        <w:t>Have employment agreements currently in effect with our executives.</w:t>
      </w:r>
    </w:p>
    <w:p>
      <w:pPr>
        <w:spacing w:after="0" w:line="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Provide tax gross-ups with respect to payments made in connection with a change in control.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Provide defined benefit plans for our executives.</w:t>
      </w:r>
    </w:p>
    <w:p>
      <w:pPr>
        <w:spacing w:after="0" w:line="100"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Allow re-pricing of options (prohibited under our 2023 Incentive Plan without stockholder approval).</w:t>
      </w:r>
    </w:p>
    <w:p>
      <w:pPr>
        <w:spacing w:after="0" w:line="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Allow employees or executives to speculate in our securities or engage in transactions designed to hedge their ownership interests (prohibited under our Insider Trading Policy).</w:t>
      </w:r>
    </w:p>
    <w:p>
      <w:pPr>
        <w:spacing w:after="0" w:line="77"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Allow employees or executives to pledge our securities as collateral for a loan or hold our securities in a margin account (prohibited under our Insider Trading Policy).</w:t>
      </w:r>
    </w:p>
    <w:p>
      <w:pPr>
        <w:spacing w:after="0" w:line="254" w:lineRule="exact"/>
        <w:rPr>
          <w:sz w:val="20"/>
          <w:szCs w:val="20"/>
          <w:color w:val="auto"/>
        </w:rPr>
      </w:pPr>
    </w:p>
    <w:p>
      <w:pPr>
        <w:sectPr>
          <w:pgSz w:w="11900" w:h="16838" w:orient="portrait"/>
          <w:cols w:equalWidth="0" w:num="2">
            <w:col w:w="5620" w:space="720"/>
            <w:col w:w="4900"/>
          </w:cols>
          <w:pgMar w:left="320" w:top="850" w:right="339" w:bottom="1440" w:gutter="0" w:footer="0" w:header="0"/>
          <w:type w:val="continuous"/>
        </w:sect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35</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40" w:name="page41"/>
    <w:bookmarkEnd w:id="40"/>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Determining Executive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Advisory Vote on Executive Compensation; Central Role of Stockholder Engagement</w:t>
      </w:r>
    </w:p>
    <w:p>
      <w:pPr>
        <w:spacing w:after="0" w:line="16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value feedback from our stockholders and regularly engage in a dialogue with a significant portion of our stockholders throughout the fiscal year to better understand their opinions on our business strategy and objectives and to obtain feedback regarding other matters of investor interest, such as executive compensation and sustainability matters.</w:t>
      </w:r>
    </w:p>
    <w:p>
      <w:pPr>
        <w:spacing w:after="0" w:line="10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At the 2024 Annual Meeting of Stockholders, the Company’s stockholders voted to approve a non-binding advisory resolution approving the compensation paid to our Named Executive Officers as disclosed in the proxy statement for the 2024 Annual Meeting of Stockholders. This “say-on-pay” proposal received the approval of approximately 97.7% of the votes cast.</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Stockholder support of the executive compensation program (reflected through the 2024 say-on-pay vote results) has remained strong. Although we did not make any changes to our compensation programs or practices that were specifically driven by the say-on-pay vote outcome, we did elect to revise certain aspects of our program. Following a comprehensive review of the Company’s compensation programs during the course of the previous fiscal year and taking into consideration stockholder feedback, the Compensation Committee made additional modifications to long-term incentive compensation as described below under "Long-Term Incentive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Authority of the Compensation Committee</w:t>
      </w:r>
    </w:p>
    <w:p>
      <w:pPr>
        <w:spacing w:after="0" w:line="166"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Our Compensation Committee meets regularly (five times in fiscal 2025) to oversee and administer the compensation program of the CEO and the other senior executive officers. See “Board Committees — Compensation Committee” above. The senior executive officers include all of the Named Executive Officers. In particular, the Compensation Committee is charged with the responsibility to:</w:t>
      </w:r>
    </w:p>
    <w:p>
      <w:pPr>
        <w:spacing w:after="0" w:line="104" w:lineRule="exact"/>
        <w:rPr>
          <w:sz w:val="20"/>
          <w:szCs w:val="20"/>
          <w:color w:val="auto"/>
        </w:rPr>
      </w:pPr>
    </w:p>
    <w:p>
      <w:pPr>
        <w:ind w:left="460" w:hanging="228"/>
        <w:spacing w:after="0"/>
        <w:tabs>
          <w:tab w:leader="none" w:pos="46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make recommendations regarding our general compensation philosophy and structure;</w:t>
      </w:r>
    </w:p>
    <w:p>
      <w:pPr>
        <w:spacing w:after="0" w:line="29"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Annually review and approve corporate goals and objectives relevant to the compensation of our CEO;</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Evaluate our CEO’s performance in light of such goals and objectives;</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Set the salary and other cash and equity compensation for our CEO based on such evaluation;</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approve the compensation of our other senior executive officers;</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Administer each of our plans for which our Compensation Committee has administrative responsibility;</w:t>
      </w:r>
    </w:p>
    <w:p>
      <w:pPr>
        <w:spacing w:after="0" w:line="17" w:lineRule="exact"/>
        <w:rPr>
          <w:rFonts w:ascii="Times New Roman" w:cs="Times New Roman" w:eastAsia="Times New Roman" w:hAnsi="Times New Roman"/>
          <w:sz w:val="16"/>
          <w:szCs w:val="16"/>
          <w:color w:val="auto"/>
        </w:rPr>
      </w:pPr>
    </w:p>
    <w:p>
      <w:pPr>
        <w:ind w:left="460" w:right="200" w:hanging="228"/>
        <w:spacing w:after="0" w:line="248" w:lineRule="auto"/>
        <w:tabs>
          <w:tab w:leader="none" w:pos="46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Grant cash awards (including annual cash incentive awards) under our annual cash incentive award programs and equity awards (including options, restricted stock and restricted stock units) under our equity incentive plans to our officers and other key employees;</w:t>
      </w:r>
    </w:p>
    <w:p>
      <w:pPr>
        <w:ind w:left="460" w:hanging="228"/>
        <w:spacing w:after="0"/>
        <w:tabs>
          <w:tab w:leader="none" w:pos="46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Review and recommend to the Board the compensation of our non-employee directors; and</w:t>
      </w:r>
    </w:p>
    <w:p>
      <w:pPr>
        <w:spacing w:after="0" w:line="13"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Recommend to the Board stock ownership guidelines for our executive officers and non-employee directors and monitor compliance therewith.</w:t>
      </w:r>
    </w:p>
    <w:p>
      <w:pPr>
        <w:spacing w:after="0" w:line="141"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 xml:space="preserve">The Compensation Committee consists solely of directors who are independent under the NYSE listing standards (including the enhanced independence requirements for compensation committee members). The Compensation Committee is authorized to hire such outside advisors as it deems appropriate. The Compensation Committee’s charter may be found in the “Investor Relations/Corporate Governance” section of our website </w:t>
      </w:r>
      <w:r>
        <w:rPr>
          <w:rFonts w:ascii="Arial" w:cs="Arial" w:eastAsia="Arial" w:hAnsi="Arial"/>
          <w:sz w:val="16"/>
          <w:szCs w:val="16"/>
          <w:i w:val="1"/>
          <w:iCs w:val="1"/>
          <w:color w:val="auto"/>
        </w:rPr>
        <w:t>www.eaglematerials.com</w:t>
      </w:r>
      <w:r>
        <w:rPr>
          <w:rFonts w:ascii="Arial" w:cs="Arial" w:eastAsia="Arial" w:hAnsi="Arial"/>
          <w:sz w:val="16"/>
          <w:szCs w:val="16"/>
          <w:color w:val="auto"/>
        </w:rPr>
        <w:t>.</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10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Compensation Committee sets compensation for the Named Executive Officers on an annual basis. In general, the process for setting compensation involves the following steps: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As early as practicable after the beginning of each fiscal year, the Compensation Committee determines:</w:t>
      </w:r>
    </w:p>
    <w:p>
      <w:pPr>
        <w:spacing w:after="0" w:line="140" w:lineRule="exact"/>
        <w:rPr>
          <w:sz w:val="20"/>
          <w:szCs w:val="20"/>
          <w:color w:val="auto"/>
        </w:rPr>
      </w:pPr>
    </w:p>
    <w:p>
      <w:pPr>
        <w:ind w:left="600" w:hanging="368"/>
        <w:spacing w:after="0"/>
        <w:tabs>
          <w:tab w:leader="none" w:pos="6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the salary of each Named Executive Officer for such fiscal year;</w:t>
      </w:r>
    </w:p>
    <w:p>
      <w:pPr>
        <w:spacing w:after="0" w:line="29" w:lineRule="exact"/>
        <w:rPr>
          <w:rFonts w:ascii="Times New Roman" w:cs="Times New Roman" w:eastAsia="Times New Roman" w:hAnsi="Times New Roman"/>
          <w:sz w:val="16"/>
          <w:szCs w:val="16"/>
          <w:color w:val="auto"/>
        </w:rPr>
      </w:pPr>
    </w:p>
    <w:p>
      <w:pPr>
        <w:ind w:left="600" w:right="280" w:hanging="368"/>
        <w:spacing w:after="0" w:line="248" w:lineRule="auto"/>
        <w:tabs>
          <w:tab w:leader="none" w:pos="6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the overall size of the annual cash incentive award pools based on a percentage of operating earnings or EBITDA in which the Named Executive Officers will have the opportunity to participate during such year and the percentage of the pool assigned to each Named Executive Officer;</w:t>
      </w:r>
    </w:p>
    <w:p>
      <w:pPr>
        <w:ind w:left="600" w:hanging="368"/>
        <w:spacing w:after="0"/>
        <w:tabs>
          <w:tab w:leader="none" w:pos="60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whether the Compensation Committee will make any long-term incentive compensation awards in such fiscal year;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36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1" w:name="page42"/>
    <w:bookmarkEnd w:id="41"/>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149" w:lineRule="exact"/>
        <w:rPr>
          <w:sz w:val="20"/>
          <w:szCs w:val="20"/>
          <w:color w:val="auto"/>
        </w:rPr>
      </w:pPr>
    </w:p>
    <w:p>
      <w:pPr>
        <w:ind w:left="600" w:right="20" w:hanging="368"/>
        <w:spacing w:after="0" w:line="251" w:lineRule="auto"/>
        <w:tabs>
          <w:tab w:leader="none" w:pos="6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if the Compensation Committee decides to make long-term compensation awards for such fiscal year, the amount, nature of and terms applicable to such awards, including the form any such awards will take (e.g., options, restricted stock, restricted stock units and/or cash), the performance- or time-vesting criteria (or both) that will apply to any such awards, and the exercisability or payment schedules that will apply to any such awards if the performance criteria are satisfied; and</w:t>
      </w:r>
    </w:p>
    <w:p>
      <w:pPr>
        <w:spacing w:after="0" w:line="1" w:lineRule="exact"/>
        <w:rPr>
          <w:rFonts w:ascii="Times New Roman" w:cs="Times New Roman" w:eastAsia="Times New Roman" w:hAnsi="Times New Roman"/>
          <w:sz w:val="16"/>
          <w:szCs w:val="16"/>
          <w:color w:val="auto"/>
        </w:rPr>
      </w:pPr>
    </w:p>
    <w:p>
      <w:pPr>
        <w:ind w:left="600" w:right="480" w:hanging="368"/>
        <w:spacing w:after="0" w:line="264" w:lineRule="auto"/>
        <w:tabs>
          <w:tab w:leader="none" w:pos="60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the Eagle Materials Special Situation Program (described below) for such fiscal year and the overall funding levels for such program based on operating earnings.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For fiscal 2025, the Compensation Committee made these determinations at two meetings held early in the fiscal year, in May 2024.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After the end of the fiscal year, the Compensation Committee then:</w:t>
      </w:r>
    </w:p>
    <w:p>
      <w:pPr>
        <w:spacing w:after="0" w:line="154" w:lineRule="exact"/>
        <w:rPr>
          <w:sz w:val="20"/>
          <w:szCs w:val="20"/>
          <w:color w:val="auto"/>
        </w:rPr>
      </w:pPr>
    </w:p>
    <w:p>
      <w:pPr>
        <w:ind w:left="600" w:hanging="368"/>
        <w:spacing w:after="0"/>
        <w:tabs>
          <w:tab w:leader="none" w:pos="60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approves the annual cash incentive award pools;</w:t>
      </w:r>
    </w:p>
    <w:p>
      <w:pPr>
        <w:spacing w:after="0" w:line="29" w:lineRule="exact"/>
        <w:rPr>
          <w:rFonts w:ascii="Times New Roman" w:cs="Times New Roman" w:eastAsia="Times New Roman" w:hAnsi="Times New Roman"/>
          <w:sz w:val="16"/>
          <w:szCs w:val="16"/>
          <w:color w:val="auto"/>
        </w:rPr>
      </w:pPr>
    </w:p>
    <w:p>
      <w:pPr>
        <w:ind w:left="600" w:hanging="368"/>
        <w:spacing w:after="0"/>
        <w:tabs>
          <w:tab w:leader="none" w:pos="60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determines the extent to which the performance criteria for the prior fiscal year applicable to any long-term incentive awards were satisfied;</w:t>
      </w:r>
    </w:p>
    <w:p>
      <w:pPr>
        <w:spacing w:after="0" w:line="17" w:lineRule="exact"/>
        <w:rPr>
          <w:rFonts w:ascii="Times New Roman" w:cs="Times New Roman" w:eastAsia="Times New Roman" w:hAnsi="Times New Roman"/>
          <w:sz w:val="16"/>
          <w:szCs w:val="16"/>
          <w:color w:val="auto"/>
        </w:rPr>
      </w:pPr>
    </w:p>
    <w:p>
      <w:pPr>
        <w:ind w:left="600" w:right="440" w:hanging="368"/>
        <w:spacing w:after="0" w:line="248" w:lineRule="auto"/>
        <w:tabs>
          <w:tab w:leader="none" w:pos="60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determines the amount of the downward adjustment, if any, to be made to the annual cash incentive award payment to each Named Executive Officer based on individual performance; and</w:t>
      </w:r>
    </w:p>
    <w:p>
      <w:pPr>
        <w:ind w:left="600" w:hanging="368"/>
        <w:spacing w:after="0"/>
        <w:tabs>
          <w:tab w:leader="none" w:pos="60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if applicable, makes awards under the Eagle Materials Special Situation Program.</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made these determinations for fiscal 2025 at two meetings held after the completion of the fiscal year, in May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Role of Management</w:t>
      </w:r>
    </w:p>
    <w:p>
      <w:pPr>
        <w:spacing w:after="0" w:line="15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CEO participates in the administration of our compensation program for Named Executive Officers, other than himself. The CEO is not present during discussions of his own compensation by the Compensation Committee. Following the end of each fiscal year, the CEO provides input to the Compensation Committee on the performance of each of the other Named Executive Officers during the fiscal year and recommends compensation adjustments (salary adjustments for the upcoming fiscal year, any downward adjustments to annual cash incentive award levels for the recently completed fiscal year, and annual cash incentive award levels for the upcoming fiscal year) and, if applicable, long-term incentive award levels for such Named Executive Officers. The CEO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the CEO’s input, along with other information presented by its independent compensation consultants or otherwise available to it, in making its final compensation decisions with respect to the Named Executive Officers.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Engagement of an Independent Compensation Consultant</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In February 2024, the Compensation Committee engaged Meridian Compensation Partners (“Meridian”) to review levels and incentive components of our executives’ compensation in an effort to align the compensation of our officers competitively with the market for fiscal 2025. The primary role of Meridian was to provide the Compensation Committee with market data and information regarding compensation trends in our industry and to make recommendations regarding base salaries, the design of our incentive programs and executive compensation levels. The Compensation Committee has assessed the independence of Meridian pursuant to SEC and NYSE rules and concluded that no conflict of interest exists that would prevent Meridian from independently advising the Compensation Committee.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Peers</w:t>
      </w:r>
    </w:p>
    <w:p>
      <w:pPr>
        <w:spacing w:after="0" w:line="1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data used by Meridian in its survey of compensation (the “compensation study”) was from compensation disclosures included in the proxy statements of members of our peer group, as well as Equilar survey data where available for particular positions. At the beginning of fiscal 2025 (spring 2024), Meridian reviewed the Company’s current peer group for appropriateness and provided the Compensation Committee with recommendations for adjustments. Meridian analyzed the Company’s peer group and potential modifications based on industry relevance, revenue (approximate range from 33% to 3 times the Company's revenue), EBITDA margin and overlap with other peer groups. Based on Meridian’s analysis and with consideration to management’s input, the Compensation Committee approved utilizing the same peer group that had been used in fiscal 2024 to analyze fiscal 2025 compensation (“compensation peer group”):</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37</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2" w:name="page43"/>
    <w:bookmarkEnd w:id="42"/>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103505</wp:posOffset>
            </wp:positionV>
            <wp:extent cx="2665730" cy="25374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6573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Primary Elements of Executive Compensation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primary elements of our executive compensation program are: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051972"/>
              </w:rPr>
              <w:t>Element</w:t>
            </w:r>
          </w:p>
        </w:tc>
        <w:tc>
          <w:tcPr>
            <w:tcW w:w="452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051972"/>
              </w:rPr>
              <w:t>Key Characteristics</w:t>
            </w:r>
          </w:p>
        </w:tc>
        <w:tc>
          <w:tcPr>
            <w:tcW w:w="5000" w:type="dxa"/>
            <w:vAlign w:val="bottom"/>
            <w:tcBorders>
              <w:bottom w:val="single" w:sz="8" w:color="auto"/>
            </w:tcBorders>
          </w:tcPr>
          <w:p>
            <w:pPr>
              <w:ind w:left="2340"/>
              <w:spacing w:after="0"/>
              <w:rPr>
                <w:sz w:val="20"/>
                <w:szCs w:val="20"/>
                <w:color w:val="auto"/>
              </w:rPr>
            </w:pPr>
            <w:r>
              <w:rPr>
                <w:rFonts w:ascii="Arial" w:cs="Arial" w:eastAsia="Arial" w:hAnsi="Arial"/>
                <w:sz w:val="14"/>
                <w:szCs w:val="14"/>
                <w:b w:val="1"/>
                <w:bCs w:val="1"/>
                <w:color w:val="051972"/>
              </w:rPr>
              <w:t>Primary Purpose</w:t>
            </w:r>
          </w:p>
        </w:tc>
      </w:tr>
      <w:tr>
        <w:trPr>
          <w:trHeight w:val="202"/>
        </w:trPr>
        <w:tc>
          <w:tcPr>
            <w:tcW w:w="1720" w:type="dxa"/>
            <w:vAlign w:val="bottom"/>
            <w:shd w:val="clear" w:color="auto" w:fill="E7E7E8"/>
          </w:tcPr>
          <w:p>
            <w:pPr>
              <w:ind w:left="20"/>
              <w:spacing w:after="0"/>
              <w:rPr>
                <w:sz w:val="20"/>
                <w:szCs w:val="20"/>
                <w:color w:val="auto"/>
              </w:rPr>
            </w:pPr>
            <w:r>
              <w:rPr>
                <w:rFonts w:ascii="Arial" w:cs="Arial" w:eastAsia="Arial" w:hAnsi="Arial"/>
                <w:sz w:val="16"/>
                <w:szCs w:val="16"/>
                <w:color w:val="auto"/>
              </w:rPr>
              <w:t>Base salary</w:t>
            </w:r>
          </w:p>
        </w:tc>
        <w:tc>
          <w:tcPr>
            <w:tcW w:w="4520" w:type="dxa"/>
            <w:vAlign w:val="bottom"/>
            <w:shd w:val="clear" w:color="auto" w:fill="E7E7E8"/>
          </w:tcPr>
          <w:p>
            <w:pPr>
              <w:ind w:left="420"/>
              <w:spacing w:after="0"/>
              <w:rPr>
                <w:sz w:val="20"/>
                <w:szCs w:val="20"/>
                <w:color w:val="auto"/>
              </w:rPr>
            </w:pPr>
            <w:r>
              <w:rPr>
                <w:rFonts w:ascii="Arial" w:cs="Arial" w:eastAsia="Arial" w:hAnsi="Arial"/>
                <w:sz w:val="16"/>
                <w:szCs w:val="16"/>
                <w:color w:val="auto"/>
              </w:rPr>
              <w:t>Fixed compensation that is reviewed annually</w:t>
            </w:r>
          </w:p>
        </w:tc>
        <w:tc>
          <w:tcPr>
            <w:tcW w:w="5000" w:type="dxa"/>
            <w:vAlign w:val="bottom"/>
            <w:shd w:val="clear" w:color="auto" w:fill="E7E7E8"/>
          </w:tcPr>
          <w:p>
            <w:pPr>
              <w:ind w:left="820"/>
              <w:spacing w:after="0"/>
              <w:rPr>
                <w:sz w:val="20"/>
                <w:szCs w:val="20"/>
                <w:color w:val="auto"/>
              </w:rPr>
            </w:pPr>
            <w:r>
              <w:rPr>
                <w:rFonts w:ascii="Arial" w:cs="Arial" w:eastAsia="Arial" w:hAnsi="Arial"/>
                <w:sz w:val="16"/>
                <w:szCs w:val="16"/>
                <w:color w:val="auto"/>
              </w:rPr>
              <w:t>To attract and retain executives by providing a market-</w:t>
            </w:r>
          </w:p>
        </w:tc>
      </w:tr>
      <w:tr>
        <w:trPr>
          <w:trHeight w:val="215"/>
        </w:trPr>
        <w:tc>
          <w:tcPr>
            <w:tcW w:w="1720" w:type="dxa"/>
            <w:vAlign w:val="bottom"/>
            <w:shd w:val="clear" w:color="auto" w:fill="E7E7E8"/>
          </w:tcPr>
          <w:p>
            <w:pPr>
              <w:spacing w:after="0"/>
              <w:rPr>
                <w:sz w:val="18"/>
                <w:szCs w:val="18"/>
                <w:color w:val="auto"/>
              </w:rPr>
            </w:pPr>
          </w:p>
        </w:tc>
        <w:tc>
          <w:tcPr>
            <w:tcW w:w="4520" w:type="dxa"/>
            <w:vAlign w:val="bottom"/>
            <w:shd w:val="clear" w:color="auto" w:fill="E7E7E8"/>
          </w:tcPr>
          <w:p>
            <w:pPr>
              <w:spacing w:after="0"/>
              <w:rPr>
                <w:sz w:val="18"/>
                <w:szCs w:val="18"/>
                <w:color w:val="auto"/>
              </w:rPr>
            </w:pPr>
          </w:p>
        </w:tc>
        <w:tc>
          <w:tcPr>
            <w:tcW w:w="5000" w:type="dxa"/>
            <w:vAlign w:val="bottom"/>
            <w:shd w:val="clear" w:color="auto" w:fill="E7E7E8"/>
          </w:tcPr>
          <w:p>
            <w:pPr>
              <w:ind w:left="820"/>
              <w:spacing w:after="0"/>
              <w:rPr>
                <w:sz w:val="20"/>
                <w:szCs w:val="20"/>
                <w:color w:val="auto"/>
              </w:rPr>
            </w:pPr>
            <w:r>
              <w:rPr>
                <w:rFonts w:ascii="Arial" w:cs="Arial" w:eastAsia="Arial" w:hAnsi="Arial"/>
                <w:sz w:val="16"/>
                <w:szCs w:val="16"/>
                <w:color w:val="auto"/>
              </w:rPr>
              <w:t>competitive level of fixed compensation</w:t>
            </w:r>
          </w:p>
        </w:tc>
      </w:tr>
      <w:tr>
        <w:trPr>
          <w:trHeight w:val="29"/>
        </w:trPr>
        <w:tc>
          <w:tcPr>
            <w:tcW w:w="1720" w:type="dxa"/>
            <w:vAlign w:val="bottom"/>
            <w:shd w:val="clear" w:color="auto" w:fill="E7E7E8"/>
          </w:tcPr>
          <w:p>
            <w:pPr>
              <w:spacing w:after="0"/>
              <w:rPr>
                <w:sz w:val="2"/>
                <w:szCs w:val="2"/>
                <w:color w:val="auto"/>
              </w:rPr>
            </w:pPr>
          </w:p>
        </w:tc>
        <w:tc>
          <w:tcPr>
            <w:tcW w:w="4520" w:type="dxa"/>
            <w:vAlign w:val="bottom"/>
            <w:shd w:val="clear" w:color="auto" w:fill="E7E7E8"/>
          </w:tcPr>
          <w:p>
            <w:pPr>
              <w:spacing w:after="0"/>
              <w:rPr>
                <w:sz w:val="2"/>
                <w:szCs w:val="2"/>
                <w:color w:val="auto"/>
              </w:rPr>
            </w:pPr>
          </w:p>
        </w:tc>
        <w:tc>
          <w:tcPr>
            <w:tcW w:w="5000" w:type="dxa"/>
            <w:vAlign w:val="bottom"/>
            <w:shd w:val="clear" w:color="auto" w:fill="E7E7E8"/>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320" w:top="850" w:right="339" w:bottom="1440" w:gutter="0" w:footer="0" w:header="0"/>
        </w:sectPr>
      </w:pPr>
    </w:p>
    <w:p>
      <w:pPr>
        <w:ind w:left="20"/>
        <w:spacing w:after="0"/>
        <w:tabs>
          <w:tab w:leader="none" w:pos="2120" w:val="left"/>
        </w:tabs>
        <w:rPr>
          <w:sz w:val="20"/>
          <w:szCs w:val="20"/>
          <w:color w:val="auto"/>
        </w:rPr>
      </w:pPr>
      <w:r>
        <w:rPr>
          <w:rFonts w:ascii="Arial" w:cs="Arial" w:eastAsia="Arial" w:hAnsi="Arial"/>
          <w:sz w:val="16"/>
          <w:szCs w:val="16"/>
          <w:color w:val="auto"/>
        </w:rPr>
        <w:t>Annual cash incentive</w:t>
      </w:r>
      <w:r>
        <w:rPr>
          <w:sz w:val="20"/>
          <w:szCs w:val="20"/>
          <w:color w:val="auto"/>
        </w:rPr>
        <w:tab/>
      </w:r>
      <w:r>
        <w:rPr>
          <w:rFonts w:ascii="Arial" w:cs="Arial" w:eastAsia="Arial" w:hAnsi="Arial"/>
          <w:sz w:val="16"/>
          <w:szCs w:val="16"/>
          <w:color w:val="auto"/>
        </w:rPr>
        <w:t>Variable compensation component payable from pool funded by</w:t>
      </w:r>
    </w:p>
    <w:p>
      <w:pPr>
        <w:spacing w:after="0" w:line="21" w:lineRule="exact"/>
        <w:rPr>
          <w:sz w:val="20"/>
          <w:szCs w:val="20"/>
          <w:color w:val="auto"/>
        </w:rPr>
      </w:pPr>
    </w:p>
    <w:p>
      <w:pPr>
        <w:ind w:left="20"/>
        <w:spacing w:after="0"/>
        <w:tabs>
          <w:tab w:leader="none" w:pos="2120" w:val="left"/>
        </w:tabs>
        <w:rPr>
          <w:sz w:val="20"/>
          <w:szCs w:val="20"/>
          <w:color w:val="auto"/>
        </w:rPr>
      </w:pPr>
      <w:r>
        <w:rPr>
          <w:rFonts w:ascii="Arial" w:cs="Arial" w:eastAsia="Arial" w:hAnsi="Arial"/>
          <w:sz w:val="16"/>
          <w:szCs w:val="16"/>
          <w:color w:val="auto"/>
        </w:rPr>
        <w:t>award</w:t>
      </w:r>
      <w:r>
        <w:rPr>
          <w:sz w:val="20"/>
          <w:szCs w:val="20"/>
          <w:color w:val="auto"/>
        </w:rPr>
        <w:tab/>
      </w:r>
      <w:r>
        <w:rPr>
          <w:rFonts w:ascii="Arial" w:cs="Arial" w:eastAsia="Arial" w:hAnsi="Arial"/>
          <w:sz w:val="16"/>
          <w:szCs w:val="16"/>
          <w:color w:val="auto"/>
        </w:rPr>
        <w:t>operating earnings or EBITDA and further subject to the</w:t>
      </w:r>
    </w:p>
    <w:p>
      <w:pPr>
        <w:spacing w:after="0" w:line="5" w:lineRule="exact"/>
        <w:rPr>
          <w:sz w:val="20"/>
          <w:szCs w:val="20"/>
          <w:color w:val="auto"/>
        </w:rPr>
      </w:pPr>
    </w:p>
    <w:p>
      <w:pPr>
        <w:ind w:left="2140"/>
        <w:spacing w:after="0"/>
        <w:rPr>
          <w:sz w:val="20"/>
          <w:szCs w:val="20"/>
          <w:color w:val="auto"/>
        </w:rPr>
      </w:pPr>
      <w:r>
        <w:rPr>
          <w:rFonts w:ascii="Arial" w:cs="Arial" w:eastAsia="Arial" w:hAnsi="Arial"/>
          <w:sz w:val="16"/>
          <w:szCs w:val="16"/>
          <w:color w:val="auto"/>
        </w:rPr>
        <w:t>achievement of personal performance goals</w:t>
      </w:r>
    </w:p>
    <w:p>
      <w:pPr>
        <w:spacing w:after="0" w:line="20" w:lineRule="exact"/>
        <w:rPr>
          <w:sz w:val="20"/>
          <w:szCs w:val="20"/>
          <w:color w:val="auto"/>
        </w:rPr>
      </w:pPr>
      <w:r>
        <w:rPr>
          <w:sz w:val="20"/>
          <w:szCs w:val="20"/>
          <w:color w:val="auto"/>
        </w:rPr>
        <w:br w:type="column"/>
      </w:r>
    </w:p>
    <w:p>
      <w:pPr>
        <w:ind w:right="380"/>
        <w:spacing w:after="0" w:line="286" w:lineRule="auto"/>
        <w:rPr>
          <w:sz w:val="20"/>
          <w:szCs w:val="20"/>
          <w:color w:val="auto"/>
        </w:rPr>
      </w:pPr>
      <w:r>
        <w:rPr>
          <w:rFonts w:ascii="Arial" w:cs="Arial" w:eastAsia="Arial" w:hAnsi="Arial"/>
          <w:sz w:val="16"/>
          <w:szCs w:val="16"/>
          <w:color w:val="auto"/>
        </w:rPr>
        <w:t>To motivate and reward organizational and individual achievement of objectives</w:t>
      </w:r>
    </w:p>
    <w:p>
      <w:pPr>
        <w:spacing w:after="0" w:line="183" w:lineRule="exact"/>
        <w:rPr>
          <w:sz w:val="20"/>
          <w:szCs w:val="20"/>
          <w:color w:val="auto"/>
        </w:rPr>
      </w:pPr>
    </w:p>
    <w:p>
      <w:pPr>
        <w:sectPr>
          <w:pgSz w:w="11900" w:h="16838" w:orient="portrait"/>
          <w:cols w:equalWidth="0" w:num="2">
            <w:col w:w="6720" w:space="340"/>
            <w:col w:w="4180"/>
          </w:cols>
          <w:pgMar w:left="320" w:top="850"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1800" w:type="dxa"/>
            <w:vAlign w:val="bottom"/>
            <w:shd w:val="clear" w:color="auto" w:fill="E7E7E8"/>
          </w:tcPr>
          <w:p>
            <w:pPr>
              <w:ind w:left="20"/>
              <w:spacing w:after="0"/>
              <w:rPr>
                <w:sz w:val="20"/>
                <w:szCs w:val="20"/>
                <w:color w:val="auto"/>
              </w:rPr>
            </w:pPr>
            <w:r>
              <w:rPr>
                <w:rFonts w:ascii="Arial" w:cs="Arial" w:eastAsia="Arial" w:hAnsi="Arial"/>
                <w:sz w:val="16"/>
                <w:szCs w:val="16"/>
                <w:color w:val="auto"/>
              </w:rPr>
              <w:t>Long-term incentive</w:t>
            </w:r>
          </w:p>
        </w:tc>
        <w:tc>
          <w:tcPr>
            <w:tcW w:w="5160" w:type="dxa"/>
            <w:vAlign w:val="bottom"/>
            <w:shd w:val="clear" w:color="auto" w:fill="E7E7E8"/>
          </w:tcPr>
          <w:p>
            <w:pPr>
              <w:ind w:left="340"/>
              <w:spacing w:after="0"/>
              <w:rPr>
                <w:sz w:val="20"/>
                <w:szCs w:val="20"/>
                <w:color w:val="auto"/>
              </w:rPr>
            </w:pPr>
            <w:r>
              <w:rPr>
                <w:rFonts w:ascii="Arial" w:cs="Arial" w:eastAsia="Arial" w:hAnsi="Arial"/>
                <w:sz w:val="16"/>
                <w:szCs w:val="16"/>
                <w:color w:val="auto"/>
              </w:rPr>
              <w:t>Variable compensation component, with half of grant value</w:t>
            </w:r>
          </w:p>
        </w:tc>
        <w:tc>
          <w:tcPr>
            <w:tcW w:w="4280" w:type="dxa"/>
            <w:vAlign w:val="bottom"/>
            <w:shd w:val="clear" w:color="auto" w:fill="E7E7E8"/>
          </w:tcPr>
          <w:p>
            <w:pPr>
              <w:ind w:left="100"/>
              <w:spacing w:after="0"/>
              <w:rPr>
                <w:sz w:val="20"/>
                <w:szCs w:val="20"/>
                <w:color w:val="auto"/>
              </w:rPr>
            </w:pPr>
            <w:r>
              <w:rPr>
                <w:rFonts w:ascii="Arial" w:cs="Arial" w:eastAsia="Arial" w:hAnsi="Arial"/>
                <w:sz w:val="16"/>
                <w:szCs w:val="16"/>
                <w:color w:val="auto"/>
              </w:rPr>
              <w:t>To align executives with stockholder interests, to</w:t>
            </w:r>
          </w:p>
        </w:tc>
      </w:tr>
      <w:tr>
        <w:trPr>
          <w:trHeight w:val="189"/>
        </w:trPr>
        <w:tc>
          <w:tcPr>
            <w:tcW w:w="1800" w:type="dxa"/>
            <w:vAlign w:val="bottom"/>
            <w:shd w:val="clear" w:color="auto" w:fill="E7E7E8"/>
          </w:tcPr>
          <w:p>
            <w:pPr>
              <w:ind w:left="20"/>
              <w:spacing w:after="0"/>
              <w:rPr>
                <w:sz w:val="20"/>
                <w:szCs w:val="20"/>
                <w:color w:val="auto"/>
              </w:rPr>
            </w:pPr>
            <w:r>
              <w:rPr>
                <w:rFonts w:ascii="Arial" w:cs="Arial" w:eastAsia="Arial" w:hAnsi="Arial"/>
                <w:sz w:val="16"/>
                <w:szCs w:val="16"/>
                <w:color w:val="auto"/>
              </w:rPr>
              <w:t>compensation</w:t>
            </w:r>
          </w:p>
        </w:tc>
        <w:tc>
          <w:tcPr>
            <w:tcW w:w="5160" w:type="dxa"/>
            <w:vAlign w:val="bottom"/>
            <w:shd w:val="clear" w:color="auto" w:fill="E7E7E8"/>
          </w:tcPr>
          <w:p>
            <w:pPr>
              <w:ind w:left="340"/>
              <w:spacing w:after="0"/>
              <w:rPr>
                <w:sz w:val="20"/>
                <w:szCs w:val="20"/>
                <w:color w:val="auto"/>
              </w:rPr>
            </w:pPr>
            <w:r>
              <w:rPr>
                <w:rFonts w:ascii="Arial" w:cs="Arial" w:eastAsia="Arial" w:hAnsi="Arial"/>
                <w:sz w:val="16"/>
                <w:szCs w:val="16"/>
                <w:color w:val="auto"/>
              </w:rPr>
              <w:t>subject to the Company's achievement of a financial goal (with an</w:t>
            </w:r>
          </w:p>
        </w:tc>
        <w:tc>
          <w:tcPr>
            <w:tcW w:w="4280" w:type="dxa"/>
            <w:vAlign w:val="bottom"/>
            <w:shd w:val="clear" w:color="auto" w:fill="E7E7E8"/>
          </w:tcPr>
          <w:p>
            <w:pPr>
              <w:ind w:left="100"/>
              <w:spacing w:after="0"/>
              <w:rPr>
                <w:sz w:val="20"/>
                <w:szCs w:val="20"/>
                <w:color w:val="auto"/>
              </w:rPr>
            </w:pPr>
            <w:r>
              <w:rPr>
                <w:rFonts w:ascii="Arial" w:cs="Arial" w:eastAsia="Arial" w:hAnsi="Arial"/>
                <w:sz w:val="16"/>
                <w:szCs w:val="16"/>
                <w:color w:val="auto"/>
              </w:rPr>
              <w:t>reinforce long-term value creation and to provide a</w:t>
            </w:r>
          </w:p>
        </w:tc>
      </w:tr>
      <w:tr>
        <w:trPr>
          <w:trHeight w:val="237"/>
        </w:trPr>
        <w:tc>
          <w:tcPr>
            <w:tcW w:w="1800" w:type="dxa"/>
            <w:vAlign w:val="bottom"/>
            <w:tcBorders>
              <w:bottom w:val="single" w:sz="8" w:color="E7E7E8"/>
            </w:tcBorders>
            <w:shd w:val="clear" w:color="auto" w:fill="E7E7E8"/>
          </w:tcPr>
          <w:p>
            <w:pPr>
              <w:spacing w:after="0"/>
              <w:rPr>
                <w:sz w:val="20"/>
                <w:szCs w:val="20"/>
                <w:color w:val="auto"/>
              </w:rPr>
            </w:pPr>
          </w:p>
        </w:tc>
        <w:tc>
          <w:tcPr>
            <w:tcW w:w="5160" w:type="dxa"/>
            <w:vAlign w:val="bottom"/>
            <w:tcBorders>
              <w:bottom w:val="single" w:sz="8" w:color="E7E7E8"/>
            </w:tcBorders>
            <w:shd w:val="clear" w:color="auto" w:fill="E7E7E8"/>
          </w:tcPr>
          <w:p>
            <w:pPr>
              <w:ind w:left="340"/>
              <w:spacing w:after="0"/>
              <w:rPr>
                <w:sz w:val="20"/>
                <w:szCs w:val="20"/>
                <w:color w:val="auto"/>
              </w:rPr>
            </w:pPr>
            <w:r>
              <w:rPr>
                <w:rFonts w:ascii="Arial" w:cs="Arial" w:eastAsia="Arial" w:hAnsi="Arial"/>
                <w:sz w:val="16"/>
                <w:szCs w:val="16"/>
                <w:color w:val="auto"/>
              </w:rPr>
              <w:t>absolute TSR modifier) and half subject to time-vesting</w:t>
            </w:r>
          </w:p>
        </w:tc>
        <w:tc>
          <w:tcPr>
            <w:tcW w:w="4280" w:type="dxa"/>
            <w:vAlign w:val="bottom"/>
            <w:tcBorders>
              <w:bottom w:val="single" w:sz="8" w:color="E7E7E8"/>
            </w:tcBorders>
            <w:shd w:val="clear" w:color="auto" w:fill="E7E7E8"/>
          </w:tcPr>
          <w:p>
            <w:pPr>
              <w:ind w:left="100"/>
              <w:spacing w:after="0"/>
              <w:rPr>
                <w:sz w:val="20"/>
                <w:szCs w:val="20"/>
                <w:color w:val="auto"/>
              </w:rPr>
            </w:pPr>
            <w:r>
              <w:rPr>
                <w:rFonts w:ascii="Arial" w:cs="Arial" w:eastAsia="Arial" w:hAnsi="Arial"/>
                <w:sz w:val="16"/>
                <w:szCs w:val="16"/>
                <w:color w:val="auto"/>
              </w:rPr>
              <w:t>balanced portfolio of long-term incentive opportunities</w:t>
            </w:r>
          </w:p>
        </w:tc>
      </w:tr>
      <w:tr>
        <w:trPr>
          <w:trHeight w:val="20"/>
        </w:trPr>
        <w:tc>
          <w:tcPr>
            <w:tcW w:w="1800" w:type="dxa"/>
            <w:vAlign w:val="bottom"/>
            <w:shd w:val="clear" w:color="auto" w:fill="051972"/>
          </w:tcPr>
          <w:p>
            <w:pPr>
              <w:spacing w:after="0" w:line="20" w:lineRule="exact"/>
              <w:rPr>
                <w:sz w:val="1"/>
                <w:szCs w:val="1"/>
                <w:color w:val="auto"/>
              </w:rPr>
            </w:pPr>
          </w:p>
        </w:tc>
        <w:tc>
          <w:tcPr>
            <w:tcW w:w="5160" w:type="dxa"/>
            <w:vAlign w:val="bottom"/>
            <w:shd w:val="clear" w:color="auto" w:fill="051972"/>
          </w:tcPr>
          <w:p>
            <w:pPr>
              <w:spacing w:after="0" w:line="20" w:lineRule="exact"/>
              <w:rPr>
                <w:sz w:val="1"/>
                <w:szCs w:val="1"/>
                <w:color w:val="auto"/>
              </w:rPr>
            </w:pPr>
          </w:p>
        </w:tc>
        <w:tc>
          <w:tcPr>
            <w:tcW w:w="4280" w:type="dxa"/>
            <w:vAlign w:val="bottom"/>
            <w:shd w:val="clear" w:color="auto" w:fill="051972"/>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Base Salary</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Salaries of the Named Executive Officers are reviewed annually as well as at the time of a promotion or significant change in responsibilities. Considerations that may influence the salary level for a Named Executive Officer include individual performance, the Named Executive Officer’s skills or experience, the Meridian compensation study, our operating performance and the nature and responsibilities of the position. The fiscal 2025 base salary rates for the Named Executive Officers were effective April 1, 2024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051972"/>
              </w:rPr>
              <w:t>Percent</w:t>
            </w:r>
          </w:p>
        </w:tc>
      </w:tr>
      <w:tr>
        <w:trPr>
          <w:trHeight w:val="162"/>
        </w:trPr>
        <w:tc>
          <w:tcPr>
            <w:tcW w:w="7360" w:type="dxa"/>
            <w:vAlign w:val="bottom"/>
          </w:tcPr>
          <w:p>
            <w:pPr>
              <w:spacing w:after="0"/>
              <w:rPr>
                <w:sz w:val="14"/>
                <w:szCs w:val="14"/>
                <w:color w:val="auto"/>
              </w:rPr>
            </w:pPr>
          </w:p>
        </w:tc>
        <w:tc>
          <w:tcPr>
            <w:tcW w:w="2020" w:type="dxa"/>
            <w:vAlign w:val="bottom"/>
          </w:tcPr>
          <w:p>
            <w:pPr>
              <w:jc w:val="center"/>
              <w:ind w:left="17"/>
              <w:spacing w:after="0"/>
              <w:rPr>
                <w:sz w:val="20"/>
                <w:szCs w:val="20"/>
                <w:color w:val="auto"/>
              </w:rPr>
            </w:pPr>
            <w:r>
              <w:rPr>
                <w:rFonts w:ascii="Arial" w:cs="Arial" w:eastAsia="Arial" w:hAnsi="Arial"/>
                <w:sz w:val="14"/>
                <w:szCs w:val="14"/>
                <w:b w:val="1"/>
                <w:bCs w:val="1"/>
                <w:color w:val="051972"/>
              </w:rPr>
              <w:t>Base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051972"/>
              </w:rPr>
              <w:t>Increase</w:t>
            </w:r>
          </w:p>
        </w:tc>
      </w:tr>
      <w:tr>
        <w:trPr>
          <w:trHeight w:val="162"/>
        </w:trPr>
        <w:tc>
          <w:tcPr>
            <w:tcW w:w="7360" w:type="dxa"/>
            <w:vAlign w:val="bottom"/>
          </w:tcPr>
          <w:p>
            <w:pPr>
              <w:spacing w:after="0"/>
              <w:rPr>
                <w:sz w:val="14"/>
                <w:szCs w:val="14"/>
                <w:color w:val="auto"/>
              </w:rPr>
            </w:pPr>
          </w:p>
        </w:tc>
        <w:tc>
          <w:tcPr>
            <w:tcW w:w="2020" w:type="dxa"/>
            <w:vAlign w:val="bottom"/>
          </w:tcPr>
          <w:p>
            <w:pPr>
              <w:jc w:val="center"/>
              <w:ind w:left="17"/>
              <w:spacing w:after="0"/>
              <w:rPr>
                <w:sz w:val="20"/>
                <w:szCs w:val="20"/>
                <w:color w:val="auto"/>
              </w:rPr>
            </w:pPr>
            <w:r>
              <w:rPr>
                <w:rFonts w:ascii="Arial" w:cs="Arial" w:eastAsia="Arial" w:hAnsi="Arial"/>
                <w:sz w:val="14"/>
                <w:szCs w:val="14"/>
                <w:b w:val="1"/>
                <w:bCs w:val="1"/>
                <w:color w:val="051972"/>
              </w:rPr>
              <w:t>Salary</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051972"/>
              </w:rPr>
              <w:t>from Prior</w:t>
            </w:r>
          </w:p>
        </w:tc>
      </w:tr>
      <w:tr>
        <w:trPr>
          <w:trHeight w:val="185"/>
        </w:trPr>
        <w:tc>
          <w:tcPr>
            <w:tcW w:w="7360" w:type="dxa"/>
            <w:vAlign w:val="bottom"/>
            <w:tcBorders>
              <w:bottom w:val="single" w:sz="8" w:color="051972"/>
            </w:tcBorders>
          </w:tcPr>
          <w:p>
            <w:pPr>
              <w:ind w:left="80"/>
              <w:spacing w:after="0"/>
              <w:rPr>
                <w:sz w:val="20"/>
                <w:szCs w:val="20"/>
                <w:color w:val="auto"/>
              </w:rPr>
            </w:pPr>
            <w:r>
              <w:rPr>
                <w:rFonts w:ascii="Arial" w:cs="Arial" w:eastAsia="Arial" w:hAnsi="Arial"/>
                <w:sz w:val="14"/>
                <w:szCs w:val="14"/>
                <w:b w:val="1"/>
                <w:bCs w:val="1"/>
                <w:color w:val="051972"/>
              </w:rPr>
              <w:t>Name</w:t>
            </w:r>
          </w:p>
        </w:tc>
        <w:tc>
          <w:tcPr>
            <w:tcW w:w="2020" w:type="dxa"/>
            <w:vAlign w:val="bottom"/>
            <w:tcBorders>
              <w:bottom w:val="single" w:sz="8" w:color="051972"/>
            </w:tcBorders>
          </w:tcPr>
          <w:p>
            <w:pPr>
              <w:jc w:val="center"/>
              <w:ind w:left="17"/>
              <w:spacing w:after="0"/>
              <w:rPr>
                <w:sz w:val="20"/>
                <w:szCs w:val="20"/>
                <w:color w:val="auto"/>
              </w:rPr>
            </w:pPr>
            <w:r>
              <w:rPr>
                <w:rFonts w:ascii="Arial" w:cs="Arial" w:eastAsia="Arial" w:hAnsi="Arial"/>
                <w:sz w:val="14"/>
                <w:szCs w:val="14"/>
                <w:b w:val="1"/>
                <w:bCs w:val="1"/>
                <w:color w:val="051972"/>
                <w:w w:val="93"/>
              </w:rPr>
              <w:t>($)</w:t>
            </w:r>
          </w:p>
        </w:tc>
        <w:tc>
          <w:tcPr>
            <w:tcW w:w="1860" w:type="dxa"/>
            <w:vAlign w:val="bottom"/>
            <w:tcBorders>
              <w:bottom w:val="single" w:sz="8" w:color="051972"/>
            </w:tcBorders>
          </w:tcPr>
          <w:p>
            <w:pPr>
              <w:jc w:val="center"/>
              <w:ind w:left="17"/>
              <w:spacing w:after="0"/>
              <w:rPr>
                <w:sz w:val="20"/>
                <w:szCs w:val="20"/>
                <w:color w:val="auto"/>
              </w:rPr>
            </w:pPr>
            <w:r>
              <w:rPr>
                <w:rFonts w:ascii="Arial" w:cs="Arial" w:eastAsia="Arial" w:hAnsi="Arial"/>
                <w:sz w:val="14"/>
                <w:szCs w:val="14"/>
                <w:b w:val="1"/>
                <w:bCs w:val="1"/>
                <w:color w:val="051972"/>
              </w:rPr>
              <w:t>Year</w:t>
            </w:r>
          </w:p>
        </w:tc>
      </w:tr>
      <w:tr>
        <w:trPr>
          <w:trHeight w:val="210"/>
        </w:trPr>
        <w:tc>
          <w:tcPr>
            <w:tcW w:w="7360" w:type="dxa"/>
            <w:vAlign w:val="bottom"/>
            <w:shd w:val="clear" w:color="auto" w:fill="E7E7E8"/>
          </w:tcPr>
          <w:p>
            <w:pPr>
              <w:ind w:left="100"/>
              <w:spacing w:after="0"/>
              <w:rPr>
                <w:sz w:val="20"/>
                <w:szCs w:val="20"/>
                <w:color w:val="auto"/>
              </w:rPr>
            </w:pPr>
            <w:r>
              <w:rPr>
                <w:rFonts w:ascii="Arial" w:cs="Arial" w:eastAsia="Arial" w:hAnsi="Arial"/>
                <w:sz w:val="18"/>
                <w:szCs w:val="18"/>
                <w:color w:val="auto"/>
              </w:rPr>
              <w:t>Michael R. Haack</w:t>
            </w:r>
          </w:p>
        </w:tc>
        <w:tc>
          <w:tcPr>
            <w:tcW w:w="2020" w:type="dxa"/>
            <w:vAlign w:val="bottom"/>
            <w:shd w:val="clear" w:color="auto" w:fill="E7E7E8"/>
          </w:tcPr>
          <w:p>
            <w:pPr>
              <w:jc w:val="right"/>
              <w:ind w:right="557"/>
              <w:spacing w:after="0"/>
              <w:rPr>
                <w:sz w:val="20"/>
                <w:szCs w:val="20"/>
                <w:color w:val="auto"/>
              </w:rPr>
            </w:pPr>
            <w:r>
              <w:rPr>
                <w:rFonts w:ascii="Arial" w:cs="Arial" w:eastAsia="Arial" w:hAnsi="Arial"/>
                <w:sz w:val="18"/>
                <w:szCs w:val="18"/>
                <w:color w:val="auto"/>
              </w:rPr>
              <w:t>1,081,600</w:t>
            </w:r>
          </w:p>
        </w:tc>
        <w:tc>
          <w:tcPr>
            <w:tcW w:w="1860" w:type="dxa"/>
            <w:vAlign w:val="bottom"/>
            <w:shd w:val="clear" w:color="auto" w:fill="E7E7E8"/>
          </w:tcPr>
          <w:p>
            <w:pPr>
              <w:jc w:val="right"/>
              <w:ind w:right="477"/>
              <w:spacing w:after="0"/>
              <w:rPr>
                <w:sz w:val="20"/>
                <w:szCs w:val="20"/>
                <w:color w:val="auto"/>
              </w:rPr>
            </w:pPr>
            <w:r>
              <w:rPr>
                <w:rFonts w:ascii="Arial" w:cs="Arial" w:eastAsia="Arial" w:hAnsi="Arial"/>
                <w:sz w:val="18"/>
                <w:szCs w:val="18"/>
                <w:color w:val="auto"/>
              </w:rPr>
              <w:t>4.0</w:t>
            </w:r>
          </w:p>
        </w:tc>
      </w:tr>
      <w:tr>
        <w:trPr>
          <w:trHeight w:val="203"/>
        </w:trPr>
        <w:tc>
          <w:tcPr>
            <w:tcW w:w="7360" w:type="dxa"/>
            <w:vAlign w:val="bottom"/>
          </w:tcPr>
          <w:p>
            <w:pPr>
              <w:ind w:left="100"/>
              <w:spacing w:after="0" w:line="202" w:lineRule="exact"/>
              <w:rPr>
                <w:sz w:val="20"/>
                <w:szCs w:val="20"/>
                <w:color w:val="auto"/>
              </w:rPr>
            </w:pPr>
            <w:r>
              <w:rPr>
                <w:rFonts w:ascii="Arial" w:cs="Arial" w:eastAsia="Arial" w:hAnsi="Arial"/>
                <w:sz w:val="18"/>
                <w:szCs w:val="18"/>
                <w:color w:val="auto"/>
              </w:rPr>
              <w:t>D. Craig Kesler</w:t>
            </w:r>
          </w:p>
        </w:tc>
        <w:tc>
          <w:tcPr>
            <w:tcW w:w="2020" w:type="dxa"/>
            <w:vAlign w:val="bottom"/>
          </w:tcPr>
          <w:p>
            <w:pPr>
              <w:jc w:val="right"/>
              <w:ind w:right="557"/>
              <w:spacing w:after="0" w:line="202" w:lineRule="exact"/>
              <w:rPr>
                <w:sz w:val="20"/>
                <w:szCs w:val="20"/>
                <w:color w:val="auto"/>
              </w:rPr>
            </w:pPr>
            <w:r>
              <w:rPr>
                <w:rFonts w:ascii="Arial" w:cs="Arial" w:eastAsia="Arial" w:hAnsi="Arial"/>
                <w:sz w:val="18"/>
                <w:szCs w:val="18"/>
                <w:color w:val="auto"/>
              </w:rPr>
              <w:t>613,600</w:t>
            </w:r>
          </w:p>
        </w:tc>
        <w:tc>
          <w:tcPr>
            <w:tcW w:w="1860" w:type="dxa"/>
            <w:vAlign w:val="bottom"/>
          </w:tcPr>
          <w:p>
            <w:pPr>
              <w:jc w:val="right"/>
              <w:ind w:right="477"/>
              <w:spacing w:after="0" w:line="202" w:lineRule="exact"/>
              <w:rPr>
                <w:sz w:val="20"/>
                <w:szCs w:val="20"/>
                <w:color w:val="auto"/>
              </w:rPr>
            </w:pPr>
            <w:r>
              <w:rPr>
                <w:rFonts w:ascii="Arial" w:cs="Arial" w:eastAsia="Arial" w:hAnsi="Arial"/>
                <w:sz w:val="18"/>
                <w:szCs w:val="18"/>
                <w:color w:val="auto"/>
              </w:rPr>
              <w:t>4.0</w:t>
            </w:r>
          </w:p>
        </w:tc>
      </w:tr>
      <w:tr>
        <w:trPr>
          <w:trHeight w:val="203"/>
        </w:trPr>
        <w:tc>
          <w:tcPr>
            <w:tcW w:w="7360" w:type="dxa"/>
            <w:vAlign w:val="bottom"/>
            <w:shd w:val="clear" w:color="auto" w:fill="E7E7E8"/>
          </w:tcPr>
          <w:p>
            <w:pPr>
              <w:ind w:left="100"/>
              <w:spacing w:after="0" w:line="202" w:lineRule="exact"/>
              <w:rPr>
                <w:sz w:val="20"/>
                <w:szCs w:val="20"/>
                <w:color w:val="auto"/>
              </w:rPr>
            </w:pPr>
            <w:r>
              <w:rPr>
                <w:rFonts w:ascii="Arial" w:cs="Arial" w:eastAsia="Arial" w:hAnsi="Arial"/>
                <w:sz w:val="18"/>
                <w:szCs w:val="18"/>
                <w:color w:val="auto"/>
              </w:rPr>
              <w:t>Matt Newby</w:t>
            </w:r>
          </w:p>
        </w:tc>
        <w:tc>
          <w:tcPr>
            <w:tcW w:w="2020" w:type="dxa"/>
            <w:vAlign w:val="bottom"/>
            <w:shd w:val="clear" w:color="auto" w:fill="E7E7E8"/>
          </w:tcPr>
          <w:p>
            <w:pPr>
              <w:jc w:val="right"/>
              <w:ind w:right="557"/>
              <w:spacing w:after="0" w:line="202" w:lineRule="exact"/>
              <w:rPr>
                <w:sz w:val="20"/>
                <w:szCs w:val="20"/>
                <w:color w:val="auto"/>
              </w:rPr>
            </w:pPr>
            <w:r>
              <w:rPr>
                <w:rFonts w:ascii="Arial" w:cs="Arial" w:eastAsia="Arial" w:hAnsi="Arial"/>
                <w:sz w:val="18"/>
                <w:szCs w:val="18"/>
                <w:color w:val="auto"/>
              </w:rPr>
              <w:t>522,500</w:t>
            </w:r>
          </w:p>
        </w:tc>
        <w:tc>
          <w:tcPr>
            <w:tcW w:w="1860" w:type="dxa"/>
            <w:vAlign w:val="bottom"/>
            <w:shd w:val="clear" w:color="auto" w:fill="E7E7E8"/>
          </w:tcPr>
          <w:p>
            <w:pPr>
              <w:jc w:val="right"/>
              <w:ind w:right="477"/>
              <w:spacing w:after="0" w:line="202" w:lineRule="exact"/>
              <w:rPr>
                <w:sz w:val="20"/>
                <w:szCs w:val="20"/>
                <w:color w:val="auto"/>
              </w:rPr>
            </w:pPr>
            <w:r>
              <w:rPr>
                <w:rFonts w:ascii="Arial" w:cs="Arial" w:eastAsia="Arial" w:hAnsi="Arial"/>
                <w:sz w:val="18"/>
                <w:szCs w:val="18"/>
                <w:color w:val="auto"/>
              </w:rPr>
              <w:t>10.0</w:t>
            </w:r>
          </w:p>
        </w:tc>
      </w:tr>
      <w:tr>
        <w:trPr>
          <w:trHeight w:val="203"/>
        </w:trPr>
        <w:tc>
          <w:tcPr>
            <w:tcW w:w="7360" w:type="dxa"/>
            <w:vAlign w:val="bottom"/>
          </w:tcPr>
          <w:p>
            <w:pPr>
              <w:ind w:left="100"/>
              <w:spacing w:after="0" w:line="202" w:lineRule="exact"/>
              <w:rPr>
                <w:sz w:val="20"/>
                <w:szCs w:val="20"/>
                <w:color w:val="auto"/>
              </w:rPr>
            </w:pPr>
            <w:r>
              <w:rPr>
                <w:rFonts w:ascii="Arial" w:cs="Arial" w:eastAsia="Arial" w:hAnsi="Arial"/>
                <w:sz w:val="18"/>
                <w:szCs w:val="18"/>
                <w:color w:val="auto"/>
              </w:rPr>
              <w:t>Eric Cribbs</w:t>
            </w:r>
          </w:p>
        </w:tc>
        <w:tc>
          <w:tcPr>
            <w:tcW w:w="2020" w:type="dxa"/>
            <w:vAlign w:val="bottom"/>
          </w:tcPr>
          <w:p>
            <w:pPr>
              <w:jc w:val="right"/>
              <w:ind w:right="557"/>
              <w:spacing w:after="0" w:line="202" w:lineRule="exact"/>
              <w:rPr>
                <w:sz w:val="20"/>
                <w:szCs w:val="20"/>
                <w:color w:val="auto"/>
              </w:rPr>
            </w:pPr>
            <w:r>
              <w:rPr>
                <w:rFonts w:ascii="Arial" w:cs="Arial" w:eastAsia="Arial" w:hAnsi="Arial"/>
                <w:sz w:val="18"/>
                <w:szCs w:val="18"/>
                <w:color w:val="auto"/>
              </w:rPr>
              <w:t>401,692</w:t>
            </w:r>
          </w:p>
        </w:tc>
        <w:tc>
          <w:tcPr>
            <w:tcW w:w="1860" w:type="dxa"/>
            <w:vAlign w:val="bottom"/>
          </w:tcPr>
          <w:p>
            <w:pPr>
              <w:jc w:val="right"/>
              <w:ind w:right="477"/>
              <w:spacing w:after="0" w:line="202" w:lineRule="exact"/>
              <w:rPr>
                <w:sz w:val="20"/>
                <w:szCs w:val="20"/>
                <w:color w:val="auto"/>
              </w:rPr>
            </w:pPr>
            <w:r>
              <w:rPr>
                <w:rFonts w:ascii="Arial" w:cs="Arial" w:eastAsia="Arial" w:hAnsi="Arial"/>
                <w:sz w:val="18"/>
                <w:szCs w:val="18"/>
                <w:color w:val="auto"/>
              </w:rPr>
              <w:t>16.0</w:t>
            </w:r>
          </w:p>
        </w:tc>
      </w:tr>
      <w:tr>
        <w:trPr>
          <w:trHeight w:val="236"/>
        </w:trPr>
        <w:tc>
          <w:tcPr>
            <w:tcW w:w="7360" w:type="dxa"/>
            <w:vAlign w:val="bottom"/>
            <w:tcBorders>
              <w:bottom w:val="single" w:sz="8" w:color="051972"/>
            </w:tcBorders>
            <w:shd w:val="clear" w:color="auto" w:fill="E7E7E8"/>
          </w:tcPr>
          <w:p>
            <w:pPr>
              <w:ind w:left="100"/>
              <w:spacing w:after="0" w:line="202" w:lineRule="exact"/>
              <w:rPr>
                <w:sz w:val="20"/>
                <w:szCs w:val="20"/>
                <w:color w:val="auto"/>
              </w:rPr>
            </w:pPr>
            <w:r>
              <w:rPr>
                <w:rFonts w:ascii="Arial" w:cs="Arial" w:eastAsia="Arial" w:hAnsi="Arial"/>
                <w:sz w:val="18"/>
                <w:szCs w:val="18"/>
                <w:color w:val="auto"/>
              </w:rPr>
              <w:t>Tony Thompson</w:t>
            </w:r>
          </w:p>
        </w:tc>
        <w:tc>
          <w:tcPr>
            <w:tcW w:w="2020" w:type="dxa"/>
            <w:vAlign w:val="bottom"/>
            <w:tcBorders>
              <w:bottom w:val="single" w:sz="8" w:color="051972"/>
            </w:tcBorders>
            <w:shd w:val="clear" w:color="auto" w:fill="E7E7E8"/>
          </w:tcPr>
          <w:p>
            <w:pPr>
              <w:jc w:val="right"/>
              <w:ind w:right="557"/>
              <w:spacing w:after="0" w:line="202" w:lineRule="exact"/>
              <w:rPr>
                <w:sz w:val="20"/>
                <w:szCs w:val="20"/>
                <w:color w:val="auto"/>
              </w:rPr>
            </w:pPr>
            <w:r>
              <w:rPr>
                <w:rFonts w:ascii="Arial" w:cs="Arial" w:eastAsia="Arial" w:hAnsi="Arial"/>
                <w:sz w:val="18"/>
                <w:szCs w:val="18"/>
                <w:color w:val="auto"/>
              </w:rPr>
              <w:t>336,868</w:t>
            </w:r>
          </w:p>
        </w:tc>
        <w:tc>
          <w:tcPr>
            <w:tcW w:w="1860" w:type="dxa"/>
            <w:vAlign w:val="bottom"/>
            <w:tcBorders>
              <w:bottom w:val="single" w:sz="8" w:color="051972"/>
            </w:tcBorders>
            <w:shd w:val="clear" w:color="auto" w:fill="E7E7E8"/>
          </w:tcPr>
          <w:p>
            <w:pPr>
              <w:jc w:val="right"/>
              <w:ind w:right="477"/>
              <w:spacing w:after="0" w:line="202" w:lineRule="exact"/>
              <w:rPr>
                <w:sz w:val="20"/>
                <w:szCs w:val="20"/>
                <w:color w:val="auto"/>
              </w:rPr>
            </w:pPr>
            <w:r>
              <w:rPr>
                <w:rFonts w:ascii="Arial" w:cs="Arial" w:eastAsia="Arial" w:hAnsi="Arial"/>
                <w:sz w:val="18"/>
                <w:szCs w:val="18"/>
                <w:color w:val="auto"/>
              </w:rPr>
              <w:t>4.0</w:t>
            </w:r>
          </w:p>
        </w:tc>
      </w:tr>
      <w:tr>
        <w:trPr>
          <w:trHeight w:val="432"/>
        </w:trPr>
        <w:tc>
          <w:tcPr>
            <w:tcW w:w="7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0"/>
        </w:trPr>
        <w:tc>
          <w:tcPr>
            <w:tcW w:w="73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2020" w:type="dxa"/>
            <w:vAlign w:val="bottom"/>
            <w:shd w:val="clear" w:color="auto" w:fill="EEEEEF"/>
          </w:tcPr>
          <w:p>
            <w:pPr>
              <w:spacing w:after="0"/>
              <w:rPr>
                <w:sz w:val="23"/>
                <w:szCs w:val="23"/>
                <w:color w:val="auto"/>
              </w:rPr>
            </w:pPr>
          </w:p>
        </w:tc>
        <w:tc>
          <w:tcPr>
            <w:tcW w:w="186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38</w:t>
            </w:r>
          </w:p>
        </w:tc>
      </w:tr>
      <w:tr>
        <w:trPr>
          <w:trHeight w:val="844"/>
        </w:trPr>
        <w:tc>
          <w:tcPr>
            <w:tcW w:w="73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43" w:name="page44"/>
    <w:bookmarkEnd w:id="43"/>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Annual Cash Incentive Award</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Compensation Committee is responsible for approving the annual cash incentive award for our CEO and the other Named Executive Officers. Annual cash incentive awards opportunities for Messrs. Haack, Kesler and Newby were provided under the Eagle Materials Inc. Salaried Incentive Compensation Program for Fiscal Year 2025 (the “Eagle Annual Incentive Program”). The Eagle Annual Incentive Program and the Company’s other incentive programs for fiscal 2025 were structured to create financial incentives and rewards that are directly related to corporate performance and the participating Named Executive Officer’s individual performance during the fiscal year.</w:t>
      </w:r>
    </w:p>
    <w:p>
      <w:pPr>
        <w:spacing w:after="0" w:line="9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Compensation Committee believes these programs are consistent with our pay-for-performance compensation philosophy in that they place a significant portion of the executive’s compensation “at risk.” Generally, under these programs, a significant portion of the executive’s total compensation is dependent upon the performance of the Company as well as the individual’s performance. The Company’s annual cash incentive award programs also reflect the Compensation Committee’s philosophy of aligning the interests of our executives with those of the stockholders. These programs create this alignment by providing that an officer’s annual cash incentive award potential varies directly with operating earnings (Eagle Annual Incentive Program) or EBITDA (divisional programs). In addition, individual performance and achievement of goals (as discussed in more detail below under “Approving the Annual Cash Incentive Award”) may affect the actual cash incentive award payout through the exercise of “negative discretion.” The Compensation Committee believes that operating earnings or EBITDA is an appropriate metric for annual cash incentive awards because it is tied closely to operations, can be directly impacted by the efforts of the pool participants, and is a measure that our stockholders have indicated they track and value.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Eagle Annual Incentive Program</w:t>
      </w:r>
    </w:p>
    <w:p>
      <w:pPr>
        <w:spacing w:after="0" w:line="166"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For fiscal 2025, Messrs. Haack, Kesler and Newby (whose duties extend across all of the Company's business units) were participants in the Eagle Annual Incentive Program. Under this program, during the first quarter of the fiscal year, a percentage of our operating earnings is designated by the Compensation Committee as a pool for annual cash incentive awards, and each participating Named Executive Officer is assigned a share of such pool, representing the executive’s maximum award opportunity. At the end of the fiscal year, the size of the pool is determined, based on the amount of operating earnings generated during such fiscal year, and annual cash incentive awards are paid to each participating executive in the form of a lump sum cash payment reflecting each executive’s share of the pool, subject to the exercise of “negative discretion” by the Compensation Committee to reduce (but not increase) the amount of the cash payment based on the executive’s individual performance during the fiscal year. The amount of the annual cash incentive award paid to an executive is based on the level of our operating earnings, the share of the pool designated for such executive, and an assessment of such executive’s individual performance.</w:t>
      </w:r>
    </w:p>
    <w:p>
      <w:pPr>
        <w:spacing w:after="0" w:line="11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Eagle Annual Incentive Program for Fiscal 2025 was adopted by the Compensation Committee in May 2024 and it mirrored the structure of the fiscal 2024 program, including (i) requiring threshold financial performance against budget in order for any payout to be made and (ii) containing an individual cap on award payments. If the Company’s operating earnings for fiscal 2025 were less than 50% of budget, no funds would be available for the annual cash incentive award pool. None of the participants in the program (including Messrs. Haack, Kesler and Newby) would be able to receive a payout under the program in excess of three times (3X) such participant’s annual base salary. Similar to the fiscal 2024 Eagle Annual Incentive Program, the fiscal 2025 program was to be funded with 1.2% of the Company’s operating earnings. In setting the percentage of operating earnings which would fund the pool for the Eagle Annual Incentive Program, the Compensation Committee considered several factors, including our compensation philosophy that a significant portion of the executive’s compensation should be “at risk” and subject to the Company’s success (level of operating earnings), as well as the anticipated operating earnings for fiscal 2025.</w:t>
      </w:r>
    </w:p>
    <w:p>
      <w:pPr>
        <w:spacing w:after="0" w:line="104"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In allocating each Named Executive Officer’s opportunity under the pool, the Compensation Committee considered the amount of annual cash incentive award compensation opportunities of executives in other companies who fulfill similar roles as illustrated in the compensation study prepared by Meridian, the share of the pool historically allocated to officers in such roles by the Company, the recommendation of Mr. Haack for each participant (other than himself), as well as the Compensation Committee’s assessment of the executive’s importance and contribution to the organization, the executive’s importance in driving the achievement of Company goals and profitability, the executive’s level of responsibility, and the anticipated operating earnings for fiscal 2025. The percentage of the fiscal 2025 award pool available for payment of the annual cash incentive award to the Named Executive Officers participating in the pool was set as follows: Mr. Haack, 28.0%; Mr. Kesler, 12.0%; and Mr. Newby, 7.0% (in each case subject to the limitations in the program related to threshold financial performance and individual caps).</w:t>
      </w:r>
    </w:p>
    <w:p>
      <w:pPr>
        <w:spacing w:after="0" w:line="115"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At the beginning of fiscal 2025, the Compensation Committee developed annual incentive goals and objectives for Mr. Haack. Fifty percent of such goals were objective, 10% related to attaining budgeted operating earnings and 40% were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39</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4" w:name="page45"/>
    <w:bookmarkEnd w:id="44"/>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9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based on the Compensation Committee's assessment of his overall performance for fiscal 2025. Mr. Haack then developed goals and objectives for the other officers participating in the Eagle Annual Incentive Program, with a similar distribution among goals and objectives. The participants’ individual performance against these goals would be evaluated by the Compensation Committee, which could then reduce (but not increase) the amount that would be paid to the participant at the end of the fiscal year.</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At the end of fiscal 2025, the Compensation Committee determined that due to the Company's fiscal 2025 operating earnings of $634,545,002 (as adjusted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 certain non-recurring items that the Compensation Committee believes are not reflective of operating performance, including inventory step-ups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acquired businesses), the aggregate amount available for the Eagle Annual Incentive Program pool for fiscal 2025 was $7,614,540 (a maximum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$3,578,834 of which could be paid out to participating Named Executive Officers). For comparison purposes, the equivalent pool amount in fiscal 2024 was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$7,922,333 (a maximum of $3,881,943 of which could have been paid out to that year's Named Executive Officers).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Divisional Annual Incentive Program</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For certain employees who do not participate in the Eagle Annual Incentive Program, the Company maintains divisional annual incentive plans, which the Compensation Committee believes better tie such employees’ annual incentive compensation to metrics that they can directly influence than a Company-wide program. Under these programs, a percentage of a division’s EBITDA is allocated to the award pool and each participating employee is assigned a share of the pool, representing the employee’s maximum award opportunity. At the end of the fiscal year, the size of the pool is determined and annual cash incentive awards are paid to participating employees in the form of a lump sum cash payment in accordance with their shares of the pool, subject to the exercise of negative discretion by our CEO (or, in the case of awards paid to Named Executive Officers, the Compensation Committee) based on the employee’s individual performance during the fiscal year.</w:t>
      </w:r>
    </w:p>
    <w:p>
      <w:pPr>
        <w:spacing w:after="0" w:line="11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For fiscal 2025, each of Messrs. Cribbs and Thompson (whose duties relate to a particular business unit) participated in a divisional annual cash incentive award program. Mr. Cribbs participated in the Eagle Materials Inc. American Gypsum Company Salaried Incentive Compensation Program for Fiscal Year 2025 (the "American Gypsum Annual Incentive Program"), and Mr. Thompson participated in the Eagle Materials Inc. Cement Companies Salaried Incentive Compensation Program for Fiscal Year 2025 (the "Cement Annual Incentive Program"). The fiscal 2025 plans were adopted by the Compensation Committee in May 2024, and they mirrored the structure of the fiscal 2024 programs, including (i) requiring threshold financial performance against budget in order for any payout to be made and (ii) containing an individual cap on award payments. If a division's EBITDA for fiscal 2025 was less than 50% of budget, no funds would be available for that divisional award pool. None of the participants in the programs (including Messrs. Cribbs and Thompson) would be able to receive a payout under the program in excess of the lesser of (i) two times (2X) such participant’s annual base salary and (ii) a maximum dollar amount established by the Compensation Committee.</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Under these programs, the annual cash incentive award pools were to be funded with 2.0% of the EBITDA of American Gypsum (with respect to the American Gypsum Annual Incentive Program) and 1.9% of the consolidated EBITDA for all of the Company's cement companies, as adjusted with respect to our 50% owned cement joint venture (with respect to the Cement Annual Incentive Program), which are the same percentages the Compensation Committee has set for the past several years. In deciding to keep the percentage of EBITDA used to fund these award pools the same as the prior year, the Compensation Committee considered several factors, including our compensation philosophy that a significant portion of each executive’s compensation should be “at risk” and subject to the Company’s success (level of EBITDA).</w:t>
      </w:r>
    </w:p>
    <w:p>
      <w:pPr>
        <w:spacing w:after="0" w:line="114"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At the beginning of fiscal 2025, Mr. Haack developed goals and objectives for the officers participating in the divisional annual incentive programs. Fifty percent of such goals were objective, 10% related to attaining budgeted earnings and 40% were based on the Compensation Committee's assessment of the participants' overall performance for fiscal 2025. The participants’ individual performance against these goals would be evaluated by the Compensation Committee, which could then reduce (but not increase) the amount that would be paid to the participant at the end of the fiscal year. The Compensation Committee also set the annual cash incentive award potential for Messrs. Cribbs and Thompson under these programs. In determining their respective allocation of the pool, the Compensation Committee considered the recommendation of Mr. Haack, the amount of annual cash incentive award compensation payable to executives in other companies who fulfill similar roles as illustrated in the compensation study prepared by Meridian, the portion of the pool historically allocated to their respective positions and the Compensation Committee’s assessment of their importance and contribution to their respective divisions' performance, their importance as an officer within the respective divisions in driving the achievement of divisional goals and profitability and their respective levels of responsibility. The Compensation Committee set Mr. Cribbs’s annual cash incentive award potential at 6.5% of his divisional pool (subject to a cap of $450,000 established by the Compensation Committee), and the Compensation Committee set Mr. Thompson's annual cash incentive award potential at 5.0% of his divisional pool (subject to a cap of $400,000 established by the Compensation Committee)—in each case subject to the limitation in their respective Programs related to threshold financial performance.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40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5" w:name="page46"/>
    <w:bookmarkEnd w:id="45"/>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9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At the end of fiscal 2025, the Compensation Committee determined that the aggregate amounts available for these programs for fiscal 2025 were as follows: $7,598,806 (American Gypsum) as a result of fiscal 2025 EBITDA of $379,940,278 for American Gypsum; and $7,052,327 (Cement) as a result of fiscal 2025 EBITDA of $392,292,182 on a consolidated basis for all of the Company's cement companies, as adjusted with respect to our 50% owned cement joint venture; which in each case includes amounts available for payment to officers and employees other than the participating Named Executive Officers. For comparison purposes, the equivalent amounts in fiscal 2024 were $7,259,885 (American Gypsum) and $7,155,859 (Cement).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Special Situation Program</w:t>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In the first quarter of fiscal 2025 (May 2024), the Compensation Committee approved the Eagle Materials Inc. Special Situation Program for Fiscal Year 2025 (the “SSP”), which is a special annual cash incentive program intended to recognize outstanding individual performance during the fiscal year. The SSP also provides flexibility to reward performance when special circumstances arise in which our CEO determines that an individual has performed well but not been adequately compensated pursuant to other components of compensation, including instances where an individual’s compensation has been adversely affected by unexpected changes in market conditions such as a cyclical downturn or in recognition of transactions and events not contemplated at the time the Compensation Committee set compensation for the applicable year.</w:t>
      </w:r>
    </w:p>
    <w:p>
      <w:pPr>
        <w:spacing w:after="0" w:line="11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SSP awards are made by our CEO, except that awards to senior executive officers require Compensation Committee approval (and our CEO does not have a role in the determination of any SSP award to himself). Awards under the SSP are not predetermined for any individuals at the beginning of the fiscal year. All full-time employees of the Company or any of our subsidiaries are eligible to receive cash awards under this program. At the beginning of fiscal 2025, the Compensation Committee determined that 0.20% of the Company’s EBITDA for the ensuing fiscal year would fund the SSP, along with the portions of the Eagle and divisional incentive compensation plans and divisional long-term cash compensation plans not paid out. In setting the percentage of EBITDA which would fund the SSP, the Compensation Committee considered several factors, including the anticipated EBITDA for fiscal 2025. All of our Named Executive Officers are eligible to participate in the SSP; however, no SSP awards were paid to Named Executive Officers in fiscal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Approving the Annual Cash Incentive Award</w:t>
      </w:r>
    </w:p>
    <w:p>
      <w:pPr>
        <w:spacing w:after="0" w:line="16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May 2025, the Compensation Committee approved the annual cash incentive award pools for fiscal 2025 as described above. In addition, at the end of fiscal 2025, Mr. Haack provided performance evaluations of each Named Executive Officer (other than himself) to the Compensation Committee, which evaluations included an assessment of the achievement of their individual goals and objectives, along with his recommendation for the annual cash incentive award for each such Named Executive Officer. With respect to Mr. Haack, the Compensation Committee performed its own evaluation of his performance and the extent to which the goals and objectives established for him for fiscal 2025 had been achieved.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Haack</w:t>
      </w:r>
    </w:p>
    <w:p>
      <w:pPr>
        <w:spacing w:after="0" w:line="15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At the end of fiscal 2025, the Compensation Committee conducted its performance evaluation of Mr. Haack after receiving input from the entire Board. Mr. Haack also provided information used by the Compensation Committee to evaluate the achievement of his objective, budget and discretionary goals and objectives for fiscal 2025 under the Eagle Annual Incentive Program. Based on this evaluation, the Compensation Committee believes Mr. Haack performed at a high level during fiscal 2025 and his goals and objectives were substantially met. The Compensation Committee’s evaluation resulted in Mr. Haack receiving 91.25% of his annual cash incentive award potential for fiscal 2025. The Compensation Committee approved an annual cash incentive award payout for Mr. Haack under the Eagle Annual Incentive Program of $1,945,515. In making this determination, the Compensation Committee used its judgment to determine the appropriate award level after consideration of several factors, including his achievement of his goals related to the following areas (among others) over the past fiscal year; a portion of Mr. Haack’s award related to factors advancing the Company’s sustainability priorities.</w:t>
      </w:r>
    </w:p>
    <w:p>
      <w:pPr>
        <w:spacing w:after="0" w:line="1" w:lineRule="exact"/>
        <w:rPr>
          <w:sz w:val="20"/>
          <w:szCs w:val="20"/>
          <w:color w:val="auto"/>
        </w:rPr>
      </w:pPr>
    </w:p>
    <w:p>
      <w:pPr>
        <w:ind w:left="460" w:hanging="228"/>
        <w:spacing w:after="0"/>
        <w:tabs>
          <w:tab w:leader="none" w:pos="46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promotion of a safety performance culture;</w:t>
      </w:r>
    </w:p>
    <w:p>
      <w:pPr>
        <w:spacing w:after="0" w:line="13"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leadership on sustainability initiatives, including the ongoing development and implementation of strategies to reduce greenhouse gas emissions;</w:t>
      </w:r>
    </w:p>
    <w:p>
      <w:pPr>
        <w:spacing w:after="0" w:line="17" w:lineRule="exact"/>
        <w:rPr>
          <w:rFonts w:ascii="Times New Roman" w:cs="Times New Roman" w:eastAsia="Times New Roman" w:hAnsi="Times New Roman"/>
          <w:sz w:val="16"/>
          <w:szCs w:val="16"/>
          <w:color w:val="auto"/>
        </w:rPr>
      </w:pPr>
    </w:p>
    <w:p>
      <w:pPr>
        <w:ind w:left="460" w:right="900" w:hanging="228"/>
        <w:spacing w:after="0" w:line="248" w:lineRule="auto"/>
        <w:tabs>
          <w:tab w:leader="none" w:pos="46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initiation and development of a strategic review of the Company’s existing asset portfolio and identification of improvement and investment opportunities;</w:t>
      </w:r>
    </w:p>
    <w:p>
      <w:pPr>
        <w:ind w:left="460" w:right="640" w:hanging="228"/>
        <w:spacing w:after="0" w:line="246" w:lineRule="auto"/>
        <w:tabs>
          <w:tab w:leader="none" w:pos="46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development and implementation of M&amp;A strategies to identify, evaluate and capture opportunities to leverage and grow the Company’s asset portfolio; and</w:t>
      </w:r>
    </w:p>
    <w:p>
      <w:pPr>
        <w:ind w:left="460" w:hanging="228"/>
        <w:spacing w:after="0"/>
        <w:tabs>
          <w:tab w:leader="none" w:pos="46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integration of acquired businesses.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41</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6" w:name="page47"/>
    <w:bookmarkEnd w:id="46"/>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Kesler</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At the end of fiscal 2025, Mr. Haack reviewed Mr. Kesler’s performance against his objective, budget and discretionary goals and objectives for fiscal 2025 under the Eagle Annual Incentive Program. Based in part on this review, the Compensation Committee determined that Mr. Kesler had substantially met his goals and awarded Mr. Kesler 91.25% of his annual cash incentive award potential, approving an annual cash incentive award payout for Mr. Kesler under the Eagle Annual Incentive Program of $833,792. In making this determination, the Compensation Committee used its judgment to determine the appropriate award level after consideration of several factors, including the input of Mr. Haack regarding Mr. Kesler’s performance and his achievement of his goals related to his areas of responsibility, including: Mr. Kesler’s work ERP implementation, cyber security enhancements and capital management.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Newby</w:t>
      </w:r>
    </w:p>
    <w:p>
      <w:pPr>
        <w:spacing w:after="0" w:line="15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At the end of fiscal 2025, Mr. Haack reviewed Mr. Newby's performance against his objective, budget and discretionary goals and objectives for fiscal 2025 under the Eagle Annual Incentive Program. Based in part on this review, the Compensation Committee determined that Mr. Newby had substantially met his goals and awarded Mr. Newby 91.25% of his annual cash incentive award potential, approving an annual cash incentive award payout for Mr. Newby under the Eagle Annual Incentive Program of $486,379. In making this determination, the Compensation Committee used its judgment to determine the appropriate award level after consideration of several factors, including his achievement of his goals related to his areas of responsibility, the input of Mr. Haack regarding the performance of Mr. Newby, and the following areas (among others) over the past fiscal year: Mr. Newby’s work on acquisitions, commercial contracts and human resources matters.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Cribbs</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At the end of fiscal 2025, Mr. Haack reviewed the performance of Mr. Cribbs against his objective, budget and discretionary goals and objectives for fiscal 2025 under the American Gypsum Annual Incentive Program. Based in part on this review, the Compensation Committee determined that Mr. Cribbs had met his goals and awarded Mr. Cribbs 95% of his annual cash incentive award potential (as capped by the Compensation Committee), approving an annual cash incentive award payout for Mr. Cribbs under the American Gypsum Annual Incentive Program of $427,500. In making this determination, the Compensation Committee used its judgment to determine the appropriate award level after consideration of several factors, including his achievement of his goals related to his areas of responsibility, the input of Mr. Haack regarding the performance of Mr. Cribbs, and the following areas (among others) over the past fiscal year: Mr. Cribbs’s promotion of a safety performance culture, work securing reserves and a capacity expansion project.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51972"/>
        </w:rPr>
        <w:t>Mr. Thompson</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At the end of fiscal 2025, Mr. Haack reviewed the performance of Mr. Thompson against his objective, budget and discretionary goals and objectives for fiscal 2025 under the Cement Annual Incentive Program. Based in part on this review, the Compensation Committee determined that Mr. Thompson had met his goals and awarded Mr. Thompson 86% of his annual cash incentive award potential (as capped by the Compensation Committee), approving an annual cash incentive award payout for Mr. Thompson under the Cement Annual Incentive Program of $303,250. In making this determination, the Compensation Committee used its judgment to determine the appropriate award level after consideration of several factors, including his achievement of his goals related to his areas of responsibility, the input of Mr. Haack regarding the performance of Mr. Thompson, and the following areas (among others) over the past fiscal year: Mr. Thompson’s promotion of a safety performance culture and capital improvement project execution.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Long-Term Incentive Compensation</w:t>
      </w:r>
    </w:p>
    <w:p>
      <w:pPr>
        <w:spacing w:after="0" w:line="15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Consistent with the Compensation Committee’s philosophy of linking compensation to performance, 50% of our long-term incentive compensation program for fiscal 2025 has been structured to tie executives’ ability to earn equity awards to the achievement of specific Company performance levels. The remaining 50% of our long-term compensation program has been structured as purely time-vesting, which the Compensation Committee believes, based on the input of Meridian, is in-line with the practice of our peers and enhances the retention of key employees. A more detailed description of the fiscal 2025 awards is found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42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7" w:name="page48"/>
    <w:bookmarkEnd w:id="47"/>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Value-Adjusted Burn Rate</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Compensation Committee strives to be a good steward of the equity available for award under our equity incentive plans. Our three-year average value-adjusted burn rate (a measure of historical dilution as calculated by ISS) is well below our industry norms. The Company’s three-year average value-adjusted burn rate (which is based on the number of options granted in each fiscal year times a Black-Scholes value plus the number of shares granted in such fiscal year times the stock price, divided by the weighted-average common shares outstanding for such fiscal year times the stock price) is 0.29%. The 2025 benchmark of this measure for our industry published by ISS is 1.54%.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Grant Practice</w:t>
      </w:r>
    </w:p>
    <w:p>
      <w:pPr>
        <w:spacing w:after="0" w:line="15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All of the Named Executive Officers participate in our long-term incentive compensation program. The Company's long-standing practice has been to grant long-term incentive equity awards on a predetermined schedule. In general, at the first quarterly meeting of any new fiscal year, the Compensation Committee reviews and approves the value of the equity compensation to be awarded to executive officers. The first quarterly meeting typically occurs before the Company's release of the financial results for the prior fiscal year and the filing of the Company's Annual Report on Form 10-K for that fiscal year. The grant date of approved equity awards occurs two business days after the Company's release of the financial results for the prior fiscal year.</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fiscal 2025, the Compensation Committee approved equity grants as described below. The date on which an equity award is granted is the date specified in the resolutions of the Compensation Committee authorizing the grant. The grant date must fall on or after the date on which the resolutions are adopted by the Compensation Committee. As provided in the 2023 Incentive Plan, for stock options, the exercise price is the closing price of our Common Stock on the grant date, as reported by the NYSE.</w:t>
      </w:r>
    </w:p>
    <w:p>
      <w:pPr>
        <w:spacing w:after="0" w:line="110"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Compensation Committee does not take material nonpublic information into account when determining the timing and terms of long-term incentive equity awards. Instead, grants are made in accordance with the yearly compensation cycle described above, with awards granted at the start of the new fiscal year to incentivize the executives to deliver on the Company's strategic objectives for the new fiscal year. The Company has not timed the disclosure of material nonpublic information to affect the value of executive compensation.</w:t>
      </w:r>
    </w:p>
    <w:p>
      <w:pPr>
        <w:spacing w:after="0" w:line="97"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During fiscal 2025, the Company did not award stock options to Named Executive Officers within four business days before or one business day after the release of a Form 10-Q, 10-K, or 8-K that discloses material nonpublic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Fiscal 2025 Grants</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light of a review of the Company’s long-term compensation program during the previous fiscal year and taking into consideration stockholder feedback, in May 2024, the Compensation Committee modified several aspects of the Company’s long-term compensation program for purposes of fiscal 2025 awards, including (i) the awards are comprised of performance-vesting restricted stock units ("PSUs") and time-vesting restricted stock units ("RSUs"); (ii) the entire PSU award is subject to a three-year performance period; (iii) the PSU award is subject to more than one performance metric; and (iv) the equity awards are subject to the 2023 Incentive Plan's "double-trigger" change in control provisions.</w:t>
      </w:r>
    </w:p>
    <w:p>
      <w:pPr>
        <w:spacing w:after="0" w:line="11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Consistent with prior years, the primary performance metric selected was return on equity (“ROE”), which represents our earnings as a percentage of our stockholders’ equity, a performance metric that our stockholders have told us they find meaningful and that the Compensation Committee views as a measure of the Company’s prudent deployment of capital. ROE for a given fiscal year is defined as the net earnings of the Company for such fiscal year; divided by the Company’s average stockholders’ equity for such fiscal year (which is defined for any period to mean the Company’s total stockholders’ equity as of the beginning of such period plus the Company’s total stockholders’ equity at the end of such period; divided by 2). In calculating ROE, the impact of certain extraordinary items not related to operating performance, including downward adjustment for the gain from the sale of non-core businesses, are excluded. For fiscal 2025, a second performance measure was included as a modifier—average absolute total stockholder return for the performance period (the "TSR Modifier"). Average absolute total stockholder return is calculated according to the following formula:</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Avg. A-TSR = [((Ending Price + Reinvested Dividends)/Beginning Price)</w:t>
      </w:r>
      <w:r>
        <w:rPr>
          <w:rFonts w:ascii="Arial" w:cs="Arial" w:eastAsia="Arial" w:hAnsi="Arial"/>
          <w:sz w:val="21"/>
          <w:szCs w:val="21"/>
          <w:color w:val="auto"/>
          <w:vertAlign w:val="superscript"/>
        </w:rPr>
        <w:t>^(1/3)</w:t>
      </w:r>
      <w:r>
        <w:rPr>
          <w:rFonts w:ascii="Arial" w:cs="Arial" w:eastAsia="Arial" w:hAnsi="Arial"/>
          <w:sz w:val="16"/>
          <w:szCs w:val="16"/>
          <w:color w:val="auto"/>
        </w:rPr>
        <w:t>] – 1</w:t>
      </w:r>
    </w:p>
    <w:p>
      <w:pPr>
        <w:spacing w:after="0" w:line="10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beginning price is the average closing price of our common stock for the twenty trading days immediately preceding the beginning of the performance period, and the ending price is the average closing price of our common stock for the twenty trading days immediately preceding and including the last day of the performance period.</w:t>
      </w:r>
    </w:p>
    <w:p>
      <w:pPr>
        <w:spacing w:after="0" w:line="10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For the PSUs to be earned, the Company must achieve performance vesting criteria based on the Company’s average ROE measured at the end of fiscal 2027 (three-year performance period), as modified based on the TSR Modifier. Threshold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43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8" w:name="page49"/>
    <w:bookmarkEnd w:id="48"/>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97"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performance will result in a vesting percentage of 50% of target and maximum performance will result in a vesting percentage of 200% of target. Earned PSUs will be paid in shares of Common Stock promptly following the performance certification date, and any unearned PSUs from such performance period will be forfeited. During the performance period, the PSUs will accrue dividend-equivalent restricted stock units, which will be paid in shares of Common Stock to the extent the related PSUs are earned. The performance levels and potential payouts are set forth in the table below:</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TSR Modifier to</w:t>
            </w:r>
          </w:p>
        </w:tc>
        <w:tc>
          <w:tcPr>
            <w:tcW w:w="1940" w:type="dxa"/>
            <w:vAlign w:val="bottom"/>
          </w:tcPr>
          <w:p>
            <w:pPr>
              <w:spacing w:after="0"/>
              <w:rPr>
                <w:sz w:val="14"/>
                <w:szCs w:val="14"/>
                <w:color w:val="auto"/>
              </w:rPr>
            </w:pPr>
          </w:p>
        </w:tc>
      </w:tr>
      <w:tr>
        <w:trPr>
          <w:trHeight w:val="162"/>
        </w:trPr>
        <w:tc>
          <w:tcPr>
            <w:tcW w:w="2100" w:type="dxa"/>
            <w:vAlign w:val="bottom"/>
          </w:tcPr>
          <w:p>
            <w:pPr>
              <w:spacing w:after="0"/>
              <w:rPr>
                <w:sz w:val="14"/>
                <w:szCs w:val="14"/>
                <w:color w:val="auto"/>
              </w:rPr>
            </w:pPr>
          </w:p>
        </w:tc>
        <w:tc>
          <w:tcPr>
            <w:tcW w:w="16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Average Return on</w:t>
            </w:r>
          </w:p>
        </w:tc>
        <w:tc>
          <w:tcPr>
            <w:tcW w:w="1760" w:type="dxa"/>
            <w:vAlign w:val="bottom"/>
          </w:tcPr>
          <w:p>
            <w:pPr>
              <w:jc w:val="right"/>
              <w:ind w:right="77"/>
              <w:spacing w:after="0"/>
              <w:rPr>
                <w:sz w:val="20"/>
                <w:szCs w:val="20"/>
                <w:color w:val="auto"/>
              </w:rPr>
            </w:pPr>
            <w:r>
              <w:rPr>
                <w:rFonts w:ascii="Arial" w:cs="Arial" w:eastAsia="Arial" w:hAnsi="Arial"/>
                <w:sz w:val="14"/>
                <w:szCs w:val="14"/>
                <w:b w:val="1"/>
                <w:bCs w:val="1"/>
                <w:color w:val="auto"/>
              </w:rPr>
              <w:t>Percentage of Target</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Percentage of Target</w:t>
            </w:r>
          </w:p>
        </w:tc>
        <w:tc>
          <w:tcPr>
            <w:tcW w:w="1940" w:type="dxa"/>
            <w:vAlign w:val="bottom"/>
          </w:tcPr>
          <w:p>
            <w:pPr>
              <w:jc w:val="right"/>
              <w:ind w:right="117"/>
              <w:spacing w:after="0"/>
              <w:rPr>
                <w:sz w:val="20"/>
                <w:szCs w:val="20"/>
                <w:color w:val="auto"/>
              </w:rPr>
            </w:pPr>
            <w:r>
              <w:rPr>
                <w:rFonts w:ascii="Arial" w:cs="Arial" w:eastAsia="Arial" w:hAnsi="Arial"/>
                <w:sz w:val="14"/>
                <w:szCs w:val="14"/>
                <w:b w:val="1"/>
                <w:bCs w:val="1"/>
                <w:color w:val="auto"/>
              </w:rPr>
              <w:t>Vesting Percentage of</w:t>
            </w:r>
          </w:p>
        </w:tc>
      </w:tr>
      <w:tr>
        <w:trPr>
          <w:trHeight w:val="185"/>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Performance Level</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Equity</w:t>
            </w:r>
          </w:p>
        </w:tc>
        <w:tc>
          <w:tcPr>
            <w:tcW w:w="17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PSUs Earned</w:t>
            </w:r>
          </w:p>
        </w:tc>
        <w:tc>
          <w:tcPr>
            <w:tcW w:w="19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Average Absolute TSR</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PSUs Earned</w:t>
            </w:r>
          </w:p>
        </w:tc>
        <w:tc>
          <w:tcPr>
            <w:tcW w:w="19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Target PSUs</w:t>
            </w:r>
          </w:p>
        </w:tc>
      </w:tr>
      <w:tr>
        <w:trPr>
          <w:trHeight w:val="189"/>
        </w:trPr>
        <w:tc>
          <w:tcPr>
            <w:tcW w:w="2100" w:type="dxa"/>
            <w:vAlign w:val="bottom"/>
            <w:shd w:val="clear" w:color="auto" w:fill="E7E7E8"/>
          </w:tcPr>
          <w:p>
            <w:pPr>
              <w:ind w:left="20"/>
              <w:spacing w:after="0" w:line="182" w:lineRule="exact"/>
              <w:rPr>
                <w:sz w:val="20"/>
                <w:szCs w:val="20"/>
                <w:color w:val="auto"/>
              </w:rPr>
            </w:pPr>
            <w:r>
              <w:rPr>
                <w:rFonts w:ascii="Arial" w:cs="Arial" w:eastAsia="Arial" w:hAnsi="Arial"/>
                <w:sz w:val="18"/>
                <w:szCs w:val="18"/>
                <w:color w:val="auto"/>
              </w:rPr>
              <w:t>Maximum</w:t>
            </w:r>
          </w:p>
        </w:tc>
        <w:tc>
          <w:tcPr>
            <w:tcW w:w="1680" w:type="dxa"/>
            <w:vAlign w:val="bottom"/>
            <w:gridSpan w:val="3"/>
            <w:shd w:val="clear" w:color="auto" w:fill="E7E7E8"/>
          </w:tcPr>
          <w:p>
            <w:pPr>
              <w:jc w:val="right"/>
              <w:ind w:right="439"/>
              <w:spacing w:after="0" w:line="182" w:lineRule="exact"/>
              <w:rPr>
                <w:sz w:val="20"/>
                <w:szCs w:val="20"/>
                <w:color w:val="auto"/>
              </w:rPr>
            </w:pPr>
            <w:r>
              <w:rPr>
                <w:rFonts w:ascii="Arial" w:cs="Arial" w:eastAsia="Arial" w:hAnsi="Arial"/>
                <w:sz w:val="18"/>
                <w:szCs w:val="18"/>
                <w:color w:val="auto"/>
              </w:rPr>
              <w:t>&gt; 20.0%</w:t>
            </w:r>
          </w:p>
        </w:tc>
        <w:tc>
          <w:tcPr>
            <w:tcW w:w="1760" w:type="dxa"/>
            <w:vAlign w:val="bottom"/>
            <w:shd w:val="clear" w:color="auto" w:fill="E7E7E8"/>
          </w:tcPr>
          <w:p>
            <w:pPr>
              <w:jc w:val="right"/>
              <w:ind w:right="337"/>
              <w:spacing w:after="0" w:line="182" w:lineRule="exact"/>
              <w:rPr>
                <w:sz w:val="20"/>
                <w:szCs w:val="20"/>
                <w:color w:val="auto"/>
              </w:rPr>
            </w:pPr>
            <w:r>
              <w:rPr>
                <w:rFonts w:ascii="Arial" w:cs="Arial" w:eastAsia="Arial" w:hAnsi="Arial"/>
                <w:sz w:val="18"/>
                <w:szCs w:val="18"/>
                <w:color w:val="auto"/>
              </w:rPr>
              <w:t>150.00%</w:t>
            </w:r>
          </w:p>
        </w:tc>
        <w:tc>
          <w:tcPr>
            <w:tcW w:w="1900" w:type="dxa"/>
            <w:vAlign w:val="bottom"/>
            <w:gridSpan w:val="3"/>
            <w:shd w:val="clear" w:color="auto" w:fill="E7E7E8"/>
          </w:tcPr>
          <w:p>
            <w:pPr>
              <w:jc w:val="right"/>
              <w:ind w:right="430"/>
              <w:spacing w:after="0" w:line="182" w:lineRule="exact"/>
              <w:rPr>
                <w:sz w:val="20"/>
                <w:szCs w:val="20"/>
                <w:color w:val="auto"/>
              </w:rPr>
            </w:pPr>
            <w:r>
              <w:rPr>
                <w:rFonts w:ascii="Arial" w:cs="Arial" w:eastAsia="Arial" w:hAnsi="Arial"/>
                <w:sz w:val="18"/>
                <w:szCs w:val="18"/>
                <w:color w:val="auto"/>
              </w:rPr>
              <w:t>&gt; 12.0%</w:t>
            </w:r>
          </w:p>
        </w:tc>
        <w:tc>
          <w:tcPr>
            <w:tcW w:w="1860" w:type="dxa"/>
            <w:vAlign w:val="bottom"/>
            <w:shd w:val="clear" w:color="auto" w:fill="E7E7E8"/>
          </w:tcPr>
          <w:p>
            <w:pPr>
              <w:ind w:left="1040"/>
              <w:spacing w:after="0" w:line="182" w:lineRule="exact"/>
              <w:rPr>
                <w:sz w:val="20"/>
                <w:szCs w:val="20"/>
                <w:color w:val="auto"/>
              </w:rPr>
            </w:pPr>
            <w:r>
              <w:rPr>
                <w:rFonts w:ascii="Arial" w:cs="Arial" w:eastAsia="Arial" w:hAnsi="Arial"/>
                <w:sz w:val="18"/>
                <w:szCs w:val="18"/>
                <w:color w:val="auto"/>
              </w:rPr>
              <w:t>1.33x</w:t>
            </w:r>
          </w:p>
        </w:tc>
        <w:tc>
          <w:tcPr>
            <w:tcW w:w="1940" w:type="dxa"/>
            <w:vAlign w:val="bottom"/>
            <w:shd w:val="clear" w:color="auto" w:fill="E7E7E8"/>
          </w:tcPr>
          <w:p>
            <w:pPr>
              <w:jc w:val="right"/>
              <w:ind w:right="277"/>
              <w:spacing w:after="0" w:line="182" w:lineRule="exact"/>
              <w:rPr>
                <w:sz w:val="20"/>
                <w:szCs w:val="20"/>
                <w:color w:val="auto"/>
              </w:rPr>
            </w:pPr>
            <w:r>
              <w:rPr>
                <w:rFonts w:ascii="Arial" w:cs="Arial" w:eastAsia="Arial" w:hAnsi="Arial"/>
                <w:sz w:val="18"/>
                <w:szCs w:val="18"/>
                <w:color w:val="auto"/>
              </w:rPr>
              <w:t>200.00%</w:t>
            </w:r>
          </w:p>
        </w:tc>
      </w:tr>
      <w:tr>
        <w:trPr>
          <w:trHeight w:val="261"/>
        </w:trPr>
        <w:tc>
          <w:tcPr>
            <w:tcW w:w="2100" w:type="dxa"/>
            <w:vAlign w:val="bottom"/>
            <w:tcBorders>
              <w:top w:val="single" w:sz="8" w:color="E7E7E8"/>
            </w:tcBorders>
          </w:tcPr>
          <w:p>
            <w:pPr>
              <w:ind w:left="20"/>
              <w:spacing w:after="0"/>
              <w:rPr>
                <w:sz w:val="20"/>
                <w:szCs w:val="20"/>
                <w:color w:val="auto"/>
              </w:rPr>
            </w:pPr>
            <w:r>
              <w:rPr>
                <w:rFonts w:ascii="Arial" w:cs="Arial" w:eastAsia="Arial" w:hAnsi="Arial"/>
                <w:sz w:val="18"/>
                <w:szCs w:val="18"/>
                <w:color w:val="auto"/>
              </w:rPr>
              <w:t>Target</w:t>
            </w:r>
          </w:p>
        </w:tc>
        <w:tc>
          <w:tcPr>
            <w:tcW w:w="500" w:type="dxa"/>
            <w:vAlign w:val="bottom"/>
            <w:tcBorders>
              <w:top w:val="single" w:sz="8" w:color="E7E7E8"/>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80" w:type="dxa"/>
            <w:vAlign w:val="bottom"/>
            <w:tcBorders>
              <w:top w:val="single" w:sz="8" w:color="E7E7E8"/>
            </w:tcBorders>
          </w:tcPr>
          <w:p>
            <w:pPr>
              <w:jc w:val="right"/>
              <w:ind w:right="259"/>
              <w:spacing w:after="0"/>
              <w:rPr>
                <w:sz w:val="20"/>
                <w:szCs w:val="20"/>
                <w:color w:val="auto"/>
              </w:rPr>
            </w:pPr>
            <w:r>
              <w:rPr>
                <w:rFonts w:ascii="Arial" w:cs="Arial" w:eastAsia="Arial" w:hAnsi="Arial"/>
                <w:sz w:val="18"/>
                <w:szCs w:val="18"/>
                <w:color w:val="auto"/>
              </w:rPr>
              <w:t>15.0%</w:t>
            </w:r>
          </w:p>
        </w:tc>
        <w:tc>
          <w:tcPr>
            <w:tcW w:w="1760" w:type="dxa"/>
            <w:vAlign w:val="bottom"/>
            <w:tcBorders>
              <w:top w:val="single" w:sz="8" w:color="E7E7E8"/>
            </w:tcBorders>
          </w:tcPr>
          <w:p>
            <w:pPr>
              <w:jc w:val="right"/>
              <w:ind w:right="337"/>
              <w:spacing w:after="0"/>
              <w:rPr>
                <w:sz w:val="20"/>
                <w:szCs w:val="20"/>
                <w:color w:val="auto"/>
              </w:rPr>
            </w:pPr>
            <w:r>
              <w:rPr>
                <w:rFonts w:ascii="Arial" w:cs="Arial" w:eastAsia="Arial" w:hAnsi="Arial"/>
                <w:sz w:val="18"/>
                <w:szCs w:val="18"/>
                <w:color w:val="auto"/>
              </w:rPr>
              <w:t>100.00%</w:t>
            </w:r>
          </w:p>
        </w:tc>
        <w:tc>
          <w:tcPr>
            <w:tcW w:w="720" w:type="dxa"/>
            <w:vAlign w:val="bottom"/>
            <w:tcBorders>
              <w:top w:val="single" w:sz="8" w:color="E7E7E8"/>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80" w:type="dxa"/>
            <w:vAlign w:val="bottom"/>
            <w:tcBorders>
              <w:top w:val="single" w:sz="8" w:color="E7E7E8"/>
            </w:tcBorders>
          </w:tcPr>
          <w:p>
            <w:pPr>
              <w:jc w:val="right"/>
              <w:ind w:right="250"/>
              <w:spacing w:after="0"/>
              <w:rPr>
                <w:sz w:val="20"/>
                <w:szCs w:val="20"/>
                <w:color w:val="auto"/>
              </w:rPr>
            </w:pPr>
            <w:r>
              <w:rPr>
                <w:rFonts w:ascii="Arial" w:cs="Arial" w:eastAsia="Arial" w:hAnsi="Arial"/>
                <w:sz w:val="18"/>
                <w:szCs w:val="18"/>
                <w:color w:val="auto"/>
              </w:rPr>
              <w:t>8.00%</w:t>
            </w:r>
          </w:p>
        </w:tc>
        <w:tc>
          <w:tcPr>
            <w:tcW w:w="1860" w:type="dxa"/>
            <w:vAlign w:val="bottom"/>
            <w:tcBorders>
              <w:top w:val="single" w:sz="8" w:color="E7E7E8"/>
            </w:tcBorders>
          </w:tcPr>
          <w:p>
            <w:pPr>
              <w:ind w:left="1040"/>
              <w:spacing w:after="0"/>
              <w:rPr>
                <w:sz w:val="20"/>
                <w:szCs w:val="20"/>
                <w:color w:val="auto"/>
              </w:rPr>
            </w:pPr>
            <w:r>
              <w:rPr>
                <w:rFonts w:ascii="Arial" w:cs="Arial" w:eastAsia="Arial" w:hAnsi="Arial"/>
                <w:sz w:val="18"/>
                <w:szCs w:val="18"/>
                <w:color w:val="auto"/>
              </w:rPr>
              <w:t>1.00x</w:t>
            </w:r>
          </w:p>
        </w:tc>
        <w:tc>
          <w:tcPr>
            <w:tcW w:w="1940" w:type="dxa"/>
            <w:vAlign w:val="bottom"/>
            <w:tcBorders>
              <w:top w:val="single" w:sz="8" w:color="E7E7E8"/>
            </w:tcBorders>
          </w:tcPr>
          <w:p>
            <w:pPr>
              <w:jc w:val="right"/>
              <w:ind w:right="277"/>
              <w:spacing w:after="0"/>
              <w:rPr>
                <w:sz w:val="20"/>
                <w:szCs w:val="20"/>
                <w:color w:val="auto"/>
              </w:rPr>
            </w:pPr>
            <w:r>
              <w:rPr>
                <w:rFonts w:ascii="Arial" w:cs="Arial" w:eastAsia="Arial" w:hAnsi="Arial"/>
                <w:sz w:val="18"/>
                <w:szCs w:val="18"/>
                <w:color w:val="auto"/>
              </w:rPr>
              <w:t>100.00%</w:t>
            </w:r>
          </w:p>
        </w:tc>
      </w:tr>
      <w:tr>
        <w:trPr>
          <w:trHeight w:val="23"/>
        </w:trPr>
        <w:tc>
          <w:tcPr>
            <w:tcW w:w="2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63"/>
        </w:trPr>
        <w:tc>
          <w:tcPr>
            <w:tcW w:w="21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8"/>
                <w:szCs w:val="18"/>
                <w:color w:val="auto"/>
              </w:rPr>
              <w:t>Threshold</w:t>
            </w:r>
          </w:p>
        </w:tc>
        <w:tc>
          <w:tcPr>
            <w:tcW w:w="1680" w:type="dxa"/>
            <w:vAlign w:val="bottom"/>
            <w:tcBorders>
              <w:bottom w:val="single" w:sz="8" w:color="E7E7E8"/>
            </w:tcBorders>
            <w:gridSpan w:val="3"/>
            <w:shd w:val="clear" w:color="auto" w:fill="E7E7E8"/>
          </w:tcPr>
          <w:p>
            <w:pPr>
              <w:jc w:val="right"/>
              <w:ind w:right="259"/>
              <w:spacing w:after="0"/>
              <w:rPr>
                <w:sz w:val="20"/>
                <w:szCs w:val="20"/>
                <w:color w:val="auto"/>
              </w:rPr>
            </w:pPr>
            <w:r>
              <w:rPr>
                <w:rFonts w:ascii="Arial" w:cs="Arial" w:eastAsia="Arial" w:hAnsi="Arial"/>
                <w:sz w:val="18"/>
                <w:szCs w:val="18"/>
                <w:color w:val="auto"/>
              </w:rPr>
              <w:t>10.0%</w:t>
            </w:r>
          </w:p>
        </w:tc>
        <w:tc>
          <w:tcPr>
            <w:tcW w:w="1760" w:type="dxa"/>
            <w:vAlign w:val="bottom"/>
            <w:tcBorders>
              <w:bottom w:val="single" w:sz="8" w:color="E7E7E8"/>
            </w:tcBorders>
            <w:shd w:val="clear" w:color="auto" w:fill="E7E7E8"/>
          </w:tcPr>
          <w:p>
            <w:pPr>
              <w:jc w:val="right"/>
              <w:ind w:right="337"/>
              <w:spacing w:after="0"/>
              <w:rPr>
                <w:sz w:val="20"/>
                <w:szCs w:val="20"/>
                <w:color w:val="auto"/>
              </w:rPr>
            </w:pPr>
            <w:r>
              <w:rPr>
                <w:rFonts w:ascii="Arial" w:cs="Arial" w:eastAsia="Arial" w:hAnsi="Arial"/>
                <w:sz w:val="18"/>
                <w:szCs w:val="18"/>
                <w:color w:val="auto"/>
              </w:rPr>
              <w:t>50.00%</w:t>
            </w:r>
          </w:p>
        </w:tc>
        <w:tc>
          <w:tcPr>
            <w:tcW w:w="1900" w:type="dxa"/>
            <w:vAlign w:val="bottom"/>
            <w:tcBorders>
              <w:bottom w:val="single" w:sz="8" w:color="E7E7E8"/>
            </w:tcBorders>
            <w:gridSpan w:val="3"/>
            <w:shd w:val="clear" w:color="auto" w:fill="E7E7E8"/>
          </w:tcPr>
          <w:p>
            <w:pPr>
              <w:jc w:val="right"/>
              <w:ind w:right="250"/>
              <w:spacing w:after="0"/>
              <w:rPr>
                <w:sz w:val="20"/>
                <w:szCs w:val="20"/>
                <w:color w:val="auto"/>
              </w:rPr>
            </w:pPr>
            <w:r>
              <w:rPr>
                <w:rFonts w:ascii="Arial" w:cs="Arial" w:eastAsia="Arial" w:hAnsi="Arial"/>
                <w:sz w:val="18"/>
                <w:szCs w:val="18"/>
                <w:color w:val="auto"/>
              </w:rPr>
              <w:t>0.00%</w:t>
            </w:r>
          </w:p>
        </w:tc>
        <w:tc>
          <w:tcPr>
            <w:tcW w:w="1860" w:type="dxa"/>
            <w:vAlign w:val="bottom"/>
            <w:tcBorders>
              <w:bottom w:val="single" w:sz="8" w:color="E7E7E8"/>
            </w:tcBorders>
            <w:shd w:val="clear" w:color="auto" w:fill="E7E7E8"/>
          </w:tcPr>
          <w:p>
            <w:pPr>
              <w:ind w:left="1040"/>
              <w:spacing w:after="0"/>
              <w:rPr>
                <w:sz w:val="20"/>
                <w:szCs w:val="20"/>
                <w:color w:val="auto"/>
              </w:rPr>
            </w:pPr>
            <w:r>
              <w:rPr>
                <w:rFonts w:ascii="Arial" w:cs="Arial" w:eastAsia="Arial" w:hAnsi="Arial"/>
                <w:sz w:val="18"/>
                <w:szCs w:val="18"/>
                <w:color w:val="auto"/>
              </w:rPr>
              <w:t>1.00x</w:t>
            </w:r>
          </w:p>
        </w:tc>
        <w:tc>
          <w:tcPr>
            <w:tcW w:w="1940" w:type="dxa"/>
            <w:vAlign w:val="bottom"/>
            <w:tcBorders>
              <w:bottom w:val="single" w:sz="8" w:color="E7E7E8"/>
            </w:tcBorders>
            <w:shd w:val="clear" w:color="auto" w:fill="E7E7E8"/>
          </w:tcPr>
          <w:p>
            <w:pPr>
              <w:jc w:val="right"/>
              <w:ind w:right="277"/>
              <w:spacing w:after="0"/>
              <w:rPr>
                <w:sz w:val="20"/>
                <w:szCs w:val="20"/>
                <w:color w:val="auto"/>
              </w:rPr>
            </w:pPr>
            <w:r>
              <w:rPr>
                <w:rFonts w:ascii="Arial" w:cs="Arial" w:eastAsia="Arial" w:hAnsi="Arial"/>
                <w:sz w:val="18"/>
                <w:szCs w:val="18"/>
                <w:color w:val="auto"/>
              </w:rPr>
              <w:t>50.00%</w:t>
            </w:r>
          </w:p>
        </w:tc>
      </w:tr>
      <w:tr>
        <w:trPr>
          <w:trHeight w:val="40"/>
        </w:trPr>
        <w:tc>
          <w:tcPr>
            <w:tcW w:w="2100" w:type="dxa"/>
            <w:vAlign w:val="bottom"/>
            <w:shd w:val="clear" w:color="auto" w:fill="051972"/>
          </w:tcPr>
          <w:p>
            <w:pPr>
              <w:spacing w:after="0"/>
              <w:rPr>
                <w:sz w:val="3"/>
                <w:szCs w:val="3"/>
                <w:color w:val="auto"/>
              </w:rPr>
            </w:pPr>
          </w:p>
        </w:tc>
        <w:tc>
          <w:tcPr>
            <w:tcW w:w="500" w:type="dxa"/>
            <w:vAlign w:val="bottom"/>
            <w:shd w:val="clear" w:color="auto" w:fill="051972"/>
          </w:tcPr>
          <w:p>
            <w:pPr>
              <w:spacing w:after="0"/>
              <w:rPr>
                <w:sz w:val="3"/>
                <w:szCs w:val="3"/>
                <w:color w:val="auto"/>
              </w:rPr>
            </w:pPr>
          </w:p>
        </w:tc>
        <w:tc>
          <w:tcPr>
            <w:tcW w:w="100" w:type="dxa"/>
            <w:vAlign w:val="bottom"/>
            <w:shd w:val="clear" w:color="auto" w:fill="051972"/>
          </w:tcPr>
          <w:p>
            <w:pPr>
              <w:spacing w:after="0"/>
              <w:rPr>
                <w:sz w:val="3"/>
                <w:szCs w:val="3"/>
                <w:color w:val="auto"/>
              </w:rPr>
            </w:pPr>
          </w:p>
        </w:tc>
        <w:tc>
          <w:tcPr>
            <w:tcW w:w="1080" w:type="dxa"/>
            <w:vAlign w:val="bottom"/>
            <w:shd w:val="clear" w:color="auto" w:fill="051972"/>
          </w:tcPr>
          <w:p>
            <w:pPr>
              <w:spacing w:after="0"/>
              <w:rPr>
                <w:sz w:val="3"/>
                <w:szCs w:val="3"/>
                <w:color w:val="auto"/>
              </w:rPr>
            </w:pPr>
          </w:p>
        </w:tc>
        <w:tc>
          <w:tcPr>
            <w:tcW w:w="1760" w:type="dxa"/>
            <w:vAlign w:val="bottom"/>
            <w:shd w:val="clear" w:color="auto" w:fill="051972"/>
          </w:tcPr>
          <w:p>
            <w:pPr>
              <w:spacing w:after="0"/>
              <w:rPr>
                <w:sz w:val="3"/>
                <w:szCs w:val="3"/>
                <w:color w:val="auto"/>
              </w:rPr>
            </w:pPr>
          </w:p>
        </w:tc>
        <w:tc>
          <w:tcPr>
            <w:tcW w:w="720" w:type="dxa"/>
            <w:vAlign w:val="bottom"/>
            <w:shd w:val="clear" w:color="auto" w:fill="051972"/>
          </w:tcPr>
          <w:p>
            <w:pPr>
              <w:spacing w:after="0"/>
              <w:rPr>
                <w:sz w:val="3"/>
                <w:szCs w:val="3"/>
                <w:color w:val="auto"/>
              </w:rPr>
            </w:pPr>
          </w:p>
        </w:tc>
        <w:tc>
          <w:tcPr>
            <w:tcW w:w="100" w:type="dxa"/>
            <w:vAlign w:val="bottom"/>
            <w:shd w:val="clear" w:color="auto" w:fill="051972"/>
          </w:tcPr>
          <w:p>
            <w:pPr>
              <w:spacing w:after="0"/>
              <w:rPr>
                <w:sz w:val="3"/>
                <w:szCs w:val="3"/>
                <w:color w:val="auto"/>
              </w:rPr>
            </w:pPr>
          </w:p>
        </w:tc>
        <w:tc>
          <w:tcPr>
            <w:tcW w:w="1080" w:type="dxa"/>
            <w:vAlign w:val="bottom"/>
            <w:shd w:val="clear" w:color="auto" w:fill="051972"/>
          </w:tcPr>
          <w:p>
            <w:pPr>
              <w:spacing w:after="0"/>
              <w:rPr>
                <w:sz w:val="3"/>
                <w:szCs w:val="3"/>
                <w:color w:val="auto"/>
              </w:rPr>
            </w:pPr>
          </w:p>
        </w:tc>
        <w:tc>
          <w:tcPr>
            <w:tcW w:w="1860" w:type="dxa"/>
            <w:vAlign w:val="bottom"/>
            <w:shd w:val="clear" w:color="auto" w:fill="051972"/>
          </w:tcPr>
          <w:p>
            <w:pPr>
              <w:spacing w:after="0"/>
              <w:rPr>
                <w:sz w:val="3"/>
                <w:szCs w:val="3"/>
                <w:color w:val="auto"/>
              </w:rPr>
            </w:pPr>
          </w:p>
        </w:tc>
        <w:tc>
          <w:tcPr>
            <w:tcW w:w="1940" w:type="dxa"/>
            <w:vAlign w:val="bottom"/>
            <w:shd w:val="clear" w:color="auto" w:fill="051972"/>
          </w:tcPr>
          <w:p>
            <w:pPr>
              <w:spacing w:after="0"/>
              <w:rPr>
                <w:sz w:val="3"/>
                <w:szCs w:val="3"/>
                <w:color w:val="auto"/>
              </w:rPr>
            </w:pPr>
          </w:p>
        </w:tc>
      </w:tr>
    </w:tbl>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exact percentage of the target PSUs earned and the TSR Modifier, respectively, shall be calculated based on straight-line interpolation between the points shown above with fractional points rounded up to the nearest hundredth of a percent. If average absolute TSR is less than threshold, then the vesting percentage is capped at 100.0%, even if average ROE is greater than target. If average absolute TSR is greater than 20.0%, then the vesting percentage shall be no less than 100.0%, even if average ROE is less than target or threshold.</w:t>
      </w:r>
    </w:p>
    <w:p>
      <w:pPr>
        <w:spacing w:after="0" w:line="110"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time-vesting long-term equity incentive awards comprise RSUs which vest ratably over three years on May 24, 2025; March 31, 2026; and March 31, 2027 (in each case assuming continued service through such dates). The Compensation Committee believes that including time-vesting equity as part of long-term compensation is consistent with competitive pay practices, supports the Company’s philosophy that a significant portion of an executive’s pay should be at risk, and enhances the retention of key employees, while at the same time creating a strong incentive for management to operate the business in a manner that creates additional value for stockholders. RSUs will be paid in shares of Common Stock promptly following a vesting date. During the vesting period, the RSUs will accrue dividend-equivalent restricted stock units, which will be paid in shares of Common Stock to the extent the related RSUs vest.</w:t>
      </w:r>
    </w:p>
    <w:p>
      <w:pPr>
        <w:spacing w:after="0" w:line="2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fiscal 2025 long-term equity awards are subject to the "double-trigger" change in control provisions of the 2023 Incentive Plan, as described in "Change in Control Benefits" below.</w:t>
      </w:r>
    </w:p>
    <w:p>
      <w:pPr>
        <w:spacing w:after="0" w:line="8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Effective May 24, 2024, the Compensation Committee approved equity awards under the 2023 Incentive Plan to a group of key employees, including the Named Executive Officers, in alignment with the above structure. As part of the compensation study delivered to the Compensation Committee in May 2024, Meridian had provided information regarding long-term compensation as well as total direct compensation paid to the compensation peer group. In determining the value of the equity to be granted, the Compensation Committee took into consideration the Meridian compensation study, the input of Mr. Haack, the Compensation Committee’s assessment of the executive’s importance and contribution to the organization, and the executive’s level of responsibility. The target grant date fair value was allocated 50% to performance-based equity (with the ROE financial metric and TSR Modifier as outlined above) and 50% to time-vesting equity.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PSUs and RSUs granted to each of the Company’s Named Executive Officers effective May 24,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160" w:type="dxa"/>
            <w:vAlign w:val="bottom"/>
          </w:tcPr>
          <w:p>
            <w:pPr>
              <w:jc w:val="center"/>
              <w:ind w:right="60"/>
              <w:spacing w:after="0"/>
              <w:rPr>
                <w:sz w:val="20"/>
                <w:szCs w:val="20"/>
                <w:color w:val="auto"/>
              </w:rPr>
            </w:pPr>
            <w:r>
              <w:rPr>
                <w:rFonts w:ascii="Arial" w:cs="Arial" w:eastAsia="Arial" w:hAnsi="Arial"/>
                <w:sz w:val="14"/>
                <w:szCs w:val="14"/>
                <w:b w:val="1"/>
                <w:bCs w:val="1"/>
                <w:color w:val="051972"/>
              </w:rPr>
              <w:t>Target Shares of</w:t>
            </w:r>
          </w:p>
        </w:tc>
        <w:tc>
          <w:tcPr>
            <w:tcW w:w="2060" w:type="dxa"/>
            <w:vAlign w:val="bottom"/>
          </w:tcPr>
          <w:p>
            <w:pPr>
              <w:spacing w:after="0"/>
              <w:rPr>
                <w:sz w:val="14"/>
                <w:szCs w:val="14"/>
                <w:color w:val="auto"/>
              </w:rPr>
            </w:pPr>
          </w:p>
        </w:tc>
      </w:tr>
      <w:tr>
        <w:trPr>
          <w:trHeight w:val="162"/>
        </w:trPr>
        <w:tc>
          <w:tcPr>
            <w:tcW w:w="4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160" w:type="dxa"/>
            <w:vAlign w:val="bottom"/>
          </w:tcPr>
          <w:p>
            <w:pPr>
              <w:jc w:val="center"/>
              <w:ind w:right="80"/>
              <w:spacing w:after="0"/>
              <w:rPr>
                <w:sz w:val="20"/>
                <w:szCs w:val="20"/>
                <w:color w:val="auto"/>
              </w:rPr>
            </w:pPr>
            <w:r>
              <w:rPr>
                <w:rFonts w:ascii="Arial" w:cs="Arial" w:eastAsia="Arial" w:hAnsi="Arial"/>
                <w:sz w:val="14"/>
                <w:szCs w:val="14"/>
                <w:b w:val="1"/>
                <w:bCs w:val="1"/>
                <w:color w:val="051972"/>
              </w:rPr>
              <w:t>Performance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051972"/>
              </w:rPr>
              <w:t>Shares of</w:t>
            </w:r>
          </w:p>
        </w:tc>
      </w:tr>
      <w:tr>
        <w:trPr>
          <w:trHeight w:val="162"/>
        </w:trPr>
        <w:tc>
          <w:tcPr>
            <w:tcW w:w="46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160" w:type="dxa"/>
            <w:vAlign w:val="bottom"/>
          </w:tcPr>
          <w:p>
            <w:pPr>
              <w:jc w:val="center"/>
              <w:ind w:right="80"/>
              <w:spacing w:after="0"/>
              <w:rPr>
                <w:sz w:val="20"/>
                <w:szCs w:val="20"/>
                <w:color w:val="auto"/>
              </w:rPr>
            </w:pPr>
            <w:r>
              <w:rPr>
                <w:rFonts w:ascii="Arial" w:cs="Arial" w:eastAsia="Arial" w:hAnsi="Arial"/>
                <w:sz w:val="14"/>
                <w:szCs w:val="14"/>
                <w:b w:val="1"/>
                <w:bCs w:val="1"/>
                <w:color w:val="051972"/>
              </w:rPr>
              <w:t>Vesting</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051972"/>
              </w:rPr>
              <w:t>Time Vesting</w:t>
            </w:r>
          </w:p>
        </w:tc>
      </w:tr>
      <w:tr>
        <w:trPr>
          <w:trHeight w:val="144"/>
        </w:trPr>
        <w:tc>
          <w:tcPr>
            <w:tcW w:w="4660" w:type="dxa"/>
            <w:vAlign w:val="bottom"/>
          </w:tcPr>
          <w:p>
            <w:pPr>
              <w:spacing w:after="0"/>
              <w:rPr>
                <w:sz w:val="12"/>
                <w:szCs w:val="12"/>
                <w:color w:val="auto"/>
              </w:rPr>
            </w:pPr>
          </w:p>
        </w:tc>
        <w:tc>
          <w:tcPr>
            <w:tcW w:w="236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Target Value of Equity</w:t>
            </w:r>
          </w:p>
        </w:tc>
        <w:tc>
          <w:tcPr>
            <w:tcW w:w="216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051972"/>
              </w:rPr>
              <w:t>Restricted</w:t>
            </w:r>
          </w:p>
        </w:tc>
        <w:tc>
          <w:tcPr>
            <w:tcW w:w="206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Restricted</w:t>
            </w:r>
          </w:p>
        </w:tc>
      </w:tr>
      <w:tr>
        <w:trPr>
          <w:trHeight w:val="180"/>
        </w:trPr>
        <w:tc>
          <w:tcPr>
            <w:tcW w:w="4660" w:type="dxa"/>
            <w:vAlign w:val="bottom"/>
          </w:tcPr>
          <w:p>
            <w:pPr>
              <w:spacing w:after="0"/>
              <w:rPr>
                <w:sz w:val="15"/>
                <w:szCs w:val="15"/>
                <w:color w:val="auto"/>
              </w:rPr>
            </w:pPr>
          </w:p>
        </w:tc>
        <w:tc>
          <w:tcPr>
            <w:tcW w:w="2360" w:type="dxa"/>
            <w:vAlign w:val="bottom"/>
          </w:tcPr>
          <w:p>
            <w:pPr>
              <w:jc w:val="center"/>
              <w:spacing w:after="0" w:line="180" w:lineRule="exact"/>
              <w:rPr>
                <w:sz w:val="20"/>
                <w:szCs w:val="20"/>
                <w:color w:val="auto"/>
              </w:rPr>
            </w:pPr>
            <w:r>
              <w:rPr>
                <w:rFonts w:ascii="Arial" w:cs="Arial" w:eastAsia="Arial" w:hAnsi="Arial"/>
                <w:sz w:val="14"/>
                <w:szCs w:val="14"/>
                <w:b w:val="1"/>
                <w:bCs w:val="1"/>
                <w:color w:val="051972"/>
                <w:w w:val="96"/>
              </w:rPr>
              <w:t>Awards</w:t>
            </w:r>
            <w:r>
              <w:rPr>
                <w:rFonts w:ascii="Arial" w:cs="Arial" w:eastAsia="Arial" w:hAnsi="Arial"/>
                <w:sz w:val="19"/>
                <w:szCs w:val="19"/>
                <w:b w:val="1"/>
                <w:bCs w:val="1"/>
                <w:color w:val="051972"/>
                <w:w w:val="96"/>
                <w:vertAlign w:val="superscript"/>
              </w:rPr>
              <w:t>(1)</w:t>
            </w:r>
          </w:p>
        </w:tc>
        <w:tc>
          <w:tcPr>
            <w:tcW w:w="2160" w:type="dxa"/>
            <w:vAlign w:val="bottom"/>
          </w:tcPr>
          <w:p>
            <w:pPr>
              <w:jc w:val="center"/>
              <w:ind w:right="60"/>
              <w:spacing w:after="0" w:line="180" w:lineRule="exact"/>
              <w:rPr>
                <w:sz w:val="20"/>
                <w:szCs w:val="20"/>
                <w:color w:val="auto"/>
              </w:rPr>
            </w:pPr>
            <w:r>
              <w:rPr>
                <w:rFonts w:ascii="Arial" w:cs="Arial" w:eastAsia="Arial" w:hAnsi="Arial"/>
                <w:sz w:val="14"/>
                <w:szCs w:val="14"/>
                <w:b w:val="1"/>
                <w:bCs w:val="1"/>
                <w:color w:val="051972"/>
                <w:w w:val="93"/>
              </w:rPr>
              <w:t>Stock</w:t>
            </w:r>
            <w:r>
              <w:rPr>
                <w:rFonts w:ascii="Arial" w:cs="Arial" w:eastAsia="Arial" w:hAnsi="Arial"/>
                <w:sz w:val="19"/>
                <w:szCs w:val="19"/>
                <w:b w:val="1"/>
                <w:bCs w:val="1"/>
                <w:color w:val="051972"/>
                <w:w w:val="93"/>
                <w:vertAlign w:val="superscript"/>
              </w:rPr>
              <w:t>(2)</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051972"/>
                <w:w w:val="99"/>
              </w:rPr>
              <w:t>Stock</w:t>
            </w:r>
          </w:p>
        </w:tc>
      </w:tr>
      <w:tr>
        <w:trPr>
          <w:trHeight w:val="185"/>
        </w:trPr>
        <w:tc>
          <w:tcPr>
            <w:tcW w:w="4660" w:type="dxa"/>
            <w:vAlign w:val="bottom"/>
            <w:tcBorders>
              <w:bottom w:val="single" w:sz="8" w:color="051972"/>
            </w:tcBorders>
          </w:tcPr>
          <w:p>
            <w:pPr>
              <w:ind w:left="60"/>
              <w:spacing w:after="0"/>
              <w:rPr>
                <w:sz w:val="20"/>
                <w:szCs w:val="20"/>
                <w:color w:val="auto"/>
              </w:rPr>
            </w:pPr>
            <w:r>
              <w:rPr>
                <w:rFonts w:ascii="Arial" w:cs="Arial" w:eastAsia="Arial" w:hAnsi="Arial"/>
                <w:sz w:val="14"/>
                <w:szCs w:val="14"/>
                <w:b w:val="1"/>
                <w:bCs w:val="1"/>
                <w:color w:val="051972"/>
              </w:rPr>
              <w:t>Name</w:t>
            </w:r>
          </w:p>
        </w:tc>
        <w:tc>
          <w:tcPr>
            <w:tcW w:w="236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w w:val="93"/>
              </w:rPr>
              <w:t>($)</w:t>
            </w:r>
          </w:p>
        </w:tc>
        <w:tc>
          <w:tcPr>
            <w:tcW w:w="2160" w:type="dxa"/>
            <w:vAlign w:val="bottom"/>
            <w:tcBorders>
              <w:bottom w:val="single" w:sz="8" w:color="051972"/>
            </w:tcBorders>
          </w:tcPr>
          <w:p>
            <w:pPr>
              <w:jc w:val="center"/>
              <w:ind w:right="60"/>
              <w:spacing w:after="0"/>
              <w:rPr>
                <w:sz w:val="20"/>
                <w:szCs w:val="20"/>
                <w:color w:val="auto"/>
              </w:rPr>
            </w:pPr>
            <w:r>
              <w:rPr>
                <w:rFonts w:ascii="Arial" w:cs="Arial" w:eastAsia="Arial" w:hAnsi="Arial"/>
                <w:sz w:val="14"/>
                <w:szCs w:val="14"/>
                <w:b w:val="1"/>
                <w:bCs w:val="1"/>
                <w:color w:val="051972"/>
              </w:rPr>
              <w:t>(#)</w:t>
            </w:r>
          </w:p>
        </w:tc>
        <w:tc>
          <w:tcPr>
            <w:tcW w:w="206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r>
      <w:tr>
        <w:trPr>
          <w:trHeight w:val="209"/>
        </w:trPr>
        <w:tc>
          <w:tcPr>
            <w:tcW w:w="4660" w:type="dxa"/>
            <w:vAlign w:val="bottom"/>
            <w:shd w:val="clear" w:color="auto" w:fill="E7E7E8"/>
          </w:tcPr>
          <w:p>
            <w:pPr>
              <w:ind w:left="60"/>
              <w:spacing w:after="0"/>
              <w:rPr>
                <w:sz w:val="20"/>
                <w:szCs w:val="20"/>
                <w:color w:val="auto"/>
              </w:rPr>
            </w:pPr>
            <w:r>
              <w:rPr>
                <w:rFonts w:ascii="Arial" w:cs="Arial" w:eastAsia="Arial" w:hAnsi="Arial"/>
                <w:sz w:val="18"/>
                <w:szCs w:val="18"/>
                <w:color w:val="auto"/>
              </w:rPr>
              <w:t>Michael R. Haack</w:t>
            </w:r>
          </w:p>
        </w:tc>
        <w:tc>
          <w:tcPr>
            <w:tcW w:w="2360" w:type="dxa"/>
            <w:vAlign w:val="bottom"/>
            <w:shd w:val="clear" w:color="auto" w:fill="E7E7E8"/>
          </w:tcPr>
          <w:p>
            <w:pPr>
              <w:jc w:val="right"/>
              <w:ind w:right="697"/>
              <w:spacing w:after="0"/>
              <w:rPr>
                <w:sz w:val="20"/>
                <w:szCs w:val="20"/>
                <w:color w:val="auto"/>
              </w:rPr>
            </w:pPr>
            <w:r>
              <w:rPr>
                <w:rFonts w:ascii="Arial" w:cs="Arial" w:eastAsia="Arial" w:hAnsi="Arial"/>
                <w:sz w:val="18"/>
                <w:szCs w:val="18"/>
                <w:color w:val="auto"/>
              </w:rPr>
              <w:t>5,650,000</w:t>
            </w:r>
          </w:p>
        </w:tc>
        <w:tc>
          <w:tcPr>
            <w:tcW w:w="2160" w:type="dxa"/>
            <w:vAlign w:val="bottom"/>
            <w:shd w:val="clear" w:color="auto" w:fill="E7E7E8"/>
          </w:tcPr>
          <w:p>
            <w:pPr>
              <w:jc w:val="right"/>
              <w:ind w:right="680"/>
              <w:spacing w:after="0"/>
              <w:rPr>
                <w:sz w:val="20"/>
                <w:szCs w:val="20"/>
                <w:color w:val="auto"/>
              </w:rPr>
            </w:pPr>
            <w:r>
              <w:rPr>
                <w:rFonts w:ascii="Arial" w:cs="Arial" w:eastAsia="Arial" w:hAnsi="Arial"/>
                <w:sz w:val="18"/>
                <w:szCs w:val="18"/>
                <w:color w:val="auto"/>
              </w:rPr>
              <w:t>11,857</w:t>
            </w:r>
          </w:p>
        </w:tc>
        <w:tc>
          <w:tcPr>
            <w:tcW w:w="2060" w:type="dxa"/>
            <w:vAlign w:val="bottom"/>
            <w:shd w:val="clear" w:color="auto" w:fill="E7E7E8"/>
          </w:tcPr>
          <w:p>
            <w:pPr>
              <w:jc w:val="right"/>
              <w:ind w:right="539"/>
              <w:spacing w:after="0"/>
              <w:rPr>
                <w:sz w:val="20"/>
                <w:szCs w:val="20"/>
                <w:color w:val="auto"/>
              </w:rPr>
            </w:pPr>
            <w:r>
              <w:rPr>
                <w:rFonts w:ascii="Arial" w:cs="Arial" w:eastAsia="Arial" w:hAnsi="Arial"/>
                <w:sz w:val="18"/>
                <w:szCs w:val="18"/>
                <w:color w:val="auto"/>
              </w:rPr>
              <w:t>11,857</w:t>
            </w:r>
          </w:p>
        </w:tc>
      </w:tr>
      <w:tr>
        <w:trPr>
          <w:trHeight w:val="203"/>
        </w:trPr>
        <w:tc>
          <w:tcPr>
            <w:tcW w:w="4660" w:type="dxa"/>
            <w:vAlign w:val="bottom"/>
          </w:tcPr>
          <w:p>
            <w:pPr>
              <w:ind w:left="60"/>
              <w:spacing w:after="0" w:line="202" w:lineRule="exact"/>
              <w:rPr>
                <w:sz w:val="20"/>
                <w:szCs w:val="20"/>
                <w:color w:val="auto"/>
              </w:rPr>
            </w:pPr>
            <w:r>
              <w:rPr>
                <w:rFonts w:ascii="Arial" w:cs="Arial" w:eastAsia="Arial" w:hAnsi="Arial"/>
                <w:sz w:val="18"/>
                <w:szCs w:val="18"/>
                <w:color w:val="auto"/>
              </w:rPr>
              <w:t>D. Craig Kesler</w:t>
            </w:r>
          </w:p>
        </w:tc>
        <w:tc>
          <w:tcPr>
            <w:tcW w:w="2360" w:type="dxa"/>
            <w:vAlign w:val="bottom"/>
          </w:tcPr>
          <w:p>
            <w:pPr>
              <w:jc w:val="right"/>
              <w:ind w:right="697"/>
              <w:spacing w:after="0" w:line="202" w:lineRule="exact"/>
              <w:rPr>
                <w:sz w:val="20"/>
                <w:szCs w:val="20"/>
                <w:color w:val="auto"/>
              </w:rPr>
            </w:pPr>
            <w:r>
              <w:rPr>
                <w:rFonts w:ascii="Arial" w:cs="Arial" w:eastAsia="Arial" w:hAnsi="Arial"/>
                <w:sz w:val="18"/>
                <w:szCs w:val="18"/>
                <w:color w:val="auto"/>
              </w:rPr>
              <w:t>1,350,000</w:t>
            </w:r>
          </w:p>
        </w:tc>
        <w:tc>
          <w:tcPr>
            <w:tcW w:w="2160" w:type="dxa"/>
            <w:vAlign w:val="bottom"/>
          </w:tcPr>
          <w:p>
            <w:pPr>
              <w:jc w:val="right"/>
              <w:ind w:right="680"/>
              <w:spacing w:after="0" w:line="202" w:lineRule="exact"/>
              <w:rPr>
                <w:sz w:val="20"/>
                <w:szCs w:val="20"/>
                <w:color w:val="auto"/>
              </w:rPr>
            </w:pPr>
            <w:r>
              <w:rPr>
                <w:rFonts w:ascii="Arial" w:cs="Arial" w:eastAsia="Arial" w:hAnsi="Arial"/>
                <w:sz w:val="18"/>
                <w:szCs w:val="18"/>
                <w:color w:val="auto"/>
              </w:rPr>
              <w:t>2,833</w:t>
            </w:r>
          </w:p>
        </w:tc>
        <w:tc>
          <w:tcPr>
            <w:tcW w:w="2060" w:type="dxa"/>
            <w:vAlign w:val="bottom"/>
          </w:tcPr>
          <w:p>
            <w:pPr>
              <w:jc w:val="right"/>
              <w:ind w:right="539"/>
              <w:spacing w:after="0" w:line="202" w:lineRule="exact"/>
              <w:rPr>
                <w:sz w:val="20"/>
                <w:szCs w:val="20"/>
                <w:color w:val="auto"/>
              </w:rPr>
            </w:pPr>
            <w:r>
              <w:rPr>
                <w:rFonts w:ascii="Arial" w:cs="Arial" w:eastAsia="Arial" w:hAnsi="Arial"/>
                <w:sz w:val="18"/>
                <w:szCs w:val="18"/>
                <w:color w:val="auto"/>
              </w:rPr>
              <w:t>2,833</w:t>
            </w:r>
          </w:p>
        </w:tc>
      </w:tr>
      <w:tr>
        <w:trPr>
          <w:trHeight w:val="203"/>
        </w:trPr>
        <w:tc>
          <w:tcPr>
            <w:tcW w:w="4660" w:type="dxa"/>
            <w:vAlign w:val="bottom"/>
            <w:shd w:val="clear" w:color="auto" w:fill="E7E7E8"/>
          </w:tcPr>
          <w:p>
            <w:pPr>
              <w:ind w:left="60"/>
              <w:spacing w:after="0" w:line="202" w:lineRule="exact"/>
              <w:rPr>
                <w:sz w:val="20"/>
                <w:szCs w:val="20"/>
                <w:color w:val="auto"/>
              </w:rPr>
            </w:pPr>
            <w:r>
              <w:rPr>
                <w:rFonts w:ascii="Arial" w:cs="Arial" w:eastAsia="Arial" w:hAnsi="Arial"/>
                <w:sz w:val="18"/>
                <w:szCs w:val="18"/>
                <w:color w:val="auto"/>
              </w:rPr>
              <w:t>Matt Newby</w:t>
            </w:r>
          </w:p>
        </w:tc>
        <w:tc>
          <w:tcPr>
            <w:tcW w:w="2360" w:type="dxa"/>
            <w:vAlign w:val="bottom"/>
            <w:shd w:val="clear" w:color="auto" w:fill="E7E7E8"/>
          </w:tcPr>
          <w:p>
            <w:pPr>
              <w:jc w:val="right"/>
              <w:ind w:right="697"/>
              <w:spacing w:after="0" w:line="202" w:lineRule="exact"/>
              <w:rPr>
                <w:sz w:val="20"/>
                <w:szCs w:val="20"/>
                <w:color w:val="auto"/>
              </w:rPr>
            </w:pPr>
            <w:r>
              <w:rPr>
                <w:rFonts w:ascii="Arial" w:cs="Arial" w:eastAsia="Arial" w:hAnsi="Arial"/>
                <w:sz w:val="18"/>
                <w:szCs w:val="18"/>
                <w:color w:val="auto"/>
              </w:rPr>
              <w:t>850,000</w:t>
            </w:r>
          </w:p>
        </w:tc>
        <w:tc>
          <w:tcPr>
            <w:tcW w:w="2160" w:type="dxa"/>
            <w:vAlign w:val="bottom"/>
            <w:shd w:val="clear" w:color="auto" w:fill="E7E7E8"/>
          </w:tcPr>
          <w:p>
            <w:pPr>
              <w:jc w:val="right"/>
              <w:ind w:right="680"/>
              <w:spacing w:after="0" w:line="202" w:lineRule="exact"/>
              <w:rPr>
                <w:sz w:val="20"/>
                <w:szCs w:val="20"/>
                <w:color w:val="auto"/>
              </w:rPr>
            </w:pPr>
            <w:r>
              <w:rPr>
                <w:rFonts w:ascii="Arial" w:cs="Arial" w:eastAsia="Arial" w:hAnsi="Arial"/>
                <w:sz w:val="18"/>
                <w:szCs w:val="18"/>
                <w:color w:val="auto"/>
              </w:rPr>
              <w:t>1,784</w:t>
            </w:r>
          </w:p>
        </w:tc>
        <w:tc>
          <w:tcPr>
            <w:tcW w:w="2060" w:type="dxa"/>
            <w:vAlign w:val="bottom"/>
            <w:shd w:val="clear" w:color="auto" w:fill="E7E7E8"/>
          </w:tcPr>
          <w:p>
            <w:pPr>
              <w:jc w:val="right"/>
              <w:ind w:right="539"/>
              <w:spacing w:after="0" w:line="202" w:lineRule="exact"/>
              <w:rPr>
                <w:sz w:val="20"/>
                <w:szCs w:val="20"/>
                <w:color w:val="auto"/>
              </w:rPr>
            </w:pPr>
            <w:r>
              <w:rPr>
                <w:rFonts w:ascii="Arial" w:cs="Arial" w:eastAsia="Arial" w:hAnsi="Arial"/>
                <w:sz w:val="18"/>
                <w:szCs w:val="18"/>
                <w:color w:val="auto"/>
              </w:rPr>
              <w:t>1,784</w:t>
            </w:r>
          </w:p>
        </w:tc>
      </w:tr>
      <w:tr>
        <w:trPr>
          <w:trHeight w:val="203"/>
        </w:trPr>
        <w:tc>
          <w:tcPr>
            <w:tcW w:w="4660" w:type="dxa"/>
            <w:vAlign w:val="bottom"/>
          </w:tcPr>
          <w:p>
            <w:pPr>
              <w:ind w:left="60"/>
              <w:spacing w:after="0" w:line="202" w:lineRule="exact"/>
              <w:rPr>
                <w:sz w:val="20"/>
                <w:szCs w:val="20"/>
                <w:color w:val="auto"/>
              </w:rPr>
            </w:pPr>
            <w:r>
              <w:rPr>
                <w:rFonts w:ascii="Arial" w:cs="Arial" w:eastAsia="Arial" w:hAnsi="Arial"/>
                <w:sz w:val="18"/>
                <w:szCs w:val="18"/>
                <w:color w:val="auto"/>
              </w:rPr>
              <w:t>Eric Cribbs</w:t>
            </w:r>
          </w:p>
        </w:tc>
        <w:tc>
          <w:tcPr>
            <w:tcW w:w="2360" w:type="dxa"/>
            <w:vAlign w:val="bottom"/>
          </w:tcPr>
          <w:p>
            <w:pPr>
              <w:jc w:val="right"/>
              <w:ind w:right="697"/>
              <w:spacing w:after="0" w:line="202" w:lineRule="exact"/>
              <w:rPr>
                <w:sz w:val="20"/>
                <w:szCs w:val="20"/>
                <w:color w:val="auto"/>
              </w:rPr>
            </w:pPr>
            <w:r>
              <w:rPr>
                <w:rFonts w:ascii="Arial" w:cs="Arial" w:eastAsia="Arial" w:hAnsi="Arial"/>
                <w:sz w:val="18"/>
                <w:szCs w:val="18"/>
                <w:color w:val="auto"/>
              </w:rPr>
              <w:t>650,000</w:t>
            </w:r>
          </w:p>
        </w:tc>
        <w:tc>
          <w:tcPr>
            <w:tcW w:w="2160" w:type="dxa"/>
            <w:vAlign w:val="bottom"/>
          </w:tcPr>
          <w:p>
            <w:pPr>
              <w:jc w:val="right"/>
              <w:ind w:right="680"/>
              <w:spacing w:after="0" w:line="202" w:lineRule="exact"/>
              <w:rPr>
                <w:sz w:val="20"/>
                <w:szCs w:val="20"/>
                <w:color w:val="auto"/>
              </w:rPr>
            </w:pPr>
            <w:r>
              <w:rPr>
                <w:rFonts w:ascii="Arial" w:cs="Arial" w:eastAsia="Arial" w:hAnsi="Arial"/>
                <w:sz w:val="18"/>
                <w:szCs w:val="18"/>
                <w:color w:val="auto"/>
              </w:rPr>
              <w:t>1,364</w:t>
            </w:r>
          </w:p>
        </w:tc>
        <w:tc>
          <w:tcPr>
            <w:tcW w:w="2060" w:type="dxa"/>
            <w:vAlign w:val="bottom"/>
          </w:tcPr>
          <w:p>
            <w:pPr>
              <w:jc w:val="right"/>
              <w:ind w:right="539"/>
              <w:spacing w:after="0" w:line="202" w:lineRule="exact"/>
              <w:rPr>
                <w:sz w:val="20"/>
                <w:szCs w:val="20"/>
                <w:color w:val="auto"/>
              </w:rPr>
            </w:pPr>
            <w:r>
              <w:rPr>
                <w:rFonts w:ascii="Arial" w:cs="Arial" w:eastAsia="Arial" w:hAnsi="Arial"/>
                <w:sz w:val="18"/>
                <w:szCs w:val="18"/>
                <w:color w:val="auto"/>
              </w:rPr>
              <w:t>1,364</w:t>
            </w:r>
          </w:p>
        </w:tc>
      </w:tr>
      <w:tr>
        <w:trPr>
          <w:trHeight w:val="237"/>
        </w:trPr>
        <w:tc>
          <w:tcPr>
            <w:tcW w:w="4660" w:type="dxa"/>
            <w:vAlign w:val="bottom"/>
            <w:tcBorders>
              <w:bottom w:val="single" w:sz="8" w:color="051972"/>
            </w:tcBorders>
            <w:shd w:val="clear" w:color="auto" w:fill="E7E7E8"/>
          </w:tcPr>
          <w:p>
            <w:pPr>
              <w:ind w:left="60"/>
              <w:spacing w:after="0" w:line="202" w:lineRule="exact"/>
              <w:rPr>
                <w:sz w:val="20"/>
                <w:szCs w:val="20"/>
                <w:color w:val="auto"/>
              </w:rPr>
            </w:pPr>
            <w:r>
              <w:rPr>
                <w:rFonts w:ascii="Arial" w:cs="Arial" w:eastAsia="Arial" w:hAnsi="Arial"/>
                <w:sz w:val="18"/>
                <w:szCs w:val="18"/>
                <w:color w:val="auto"/>
              </w:rPr>
              <w:t>Tony Thompson</w:t>
            </w:r>
          </w:p>
        </w:tc>
        <w:tc>
          <w:tcPr>
            <w:tcW w:w="2360" w:type="dxa"/>
            <w:vAlign w:val="bottom"/>
            <w:tcBorders>
              <w:bottom w:val="single" w:sz="8" w:color="051972"/>
            </w:tcBorders>
            <w:shd w:val="clear" w:color="auto" w:fill="E7E7E8"/>
          </w:tcPr>
          <w:p>
            <w:pPr>
              <w:jc w:val="right"/>
              <w:ind w:right="697"/>
              <w:spacing w:after="0" w:line="202" w:lineRule="exact"/>
              <w:rPr>
                <w:sz w:val="20"/>
                <w:szCs w:val="20"/>
                <w:color w:val="auto"/>
              </w:rPr>
            </w:pPr>
            <w:r>
              <w:rPr>
                <w:rFonts w:ascii="Arial" w:cs="Arial" w:eastAsia="Arial" w:hAnsi="Arial"/>
                <w:sz w:val="18"/>
                <w:szCs w:val="18"/>
                <w:color w:val="auto"/>
              </w:rPr>
              <w:t>450,000</w:t>
            </w:r>
          </w:p>
        </w:tc>
        <w:tc>
          <w:tcPr>
            <w:tcW w:w="2160" w:type="dxa"/>
            <w:vAlign w:val="bottom"/>
            <w:tcBorders>
              <w:bottom w:val="single" w:sz="8" w:color="051972"/>
            </w:tcBorders>
            <w:shd w:val="clear" w:color="auto" w:fill="E7E7E8"/>
          </w:tcPr>
          <w:p>
            <w:pPr>
              <w:jc w:val="right"/>
              <w:ind w:right="680"/>
              <w:spacing w:after="0" w:line="202" w:lineRule="exact"/>
              <w:rPr>
                <w:sz w:val="20"/>
                <w:szCs w:val="20"/>
                <w:color w:val="auto"/>
              </w:rPr>
            </w:pPr>
            <w:r>
              <w:rPr>
                <w:rFonts w:ascii="Arial" w:cs="Arial" w:eastAsia="Arial" w:hAnsi="Arial"/>
                <w:sz w:val="18"/>
                <w:szCs w:val="18"/>
                <w:color w:val="auto"/>
              </w:rPr>
              <w:t>945</w:t>
            </w:r>
          </w:p>
        </w:tc>
        <w:tc>
          <w:tcPr>
            <w:tcW w:w="2060" w:type="dxa"/>
            <w:vAlign w:val="bottom"/>
            <w:tcBorders>
              <w:bottom w:val="single" w:sz="8" w:color="051972"/>
            </w:tcBorders>
            <w:shd w:val="clear" w:color="auto" w:fill="E7E7E8"/>
          </w:tcPr>
          <w:p>
            <w:pPr>
              <w:jc w:val="right"/>
              <w:ind w:right="539"/>
              <w:spacing w:after="0" w:line="202" w:lineRule="exact"/>
              <w:rPr>
                <w:sz w:val="20"/>
                <w:szCs w:val="20"/>
                <w:color w:val="auto"/>
              </w:rPr>
            </w:pPr>
            <w:r>
              <w:rPr>
                <w:rFonts w:ascii="Arial" w:cs="Arial" w:eastAsia="Arial" w:hAnsi="Arial"/>
                <w:sz w:val="18"/>
                <w:szCs w:val="18"/>
                <w:color w:val="auto"/>
              </w:rPr>
              <w:t>945</w:t>
            </w:r>
          </w:p>
        </w:tc>
      </w:tr>
    </w:tbl>
    <w:p>
      <w:pPr>
        <w:spacing w:after="0" w:line="112" w:lineRule="exact"/>
        <w:rPr>
          <w:sz w:val="20"/>
          <w:szCs w:val="20"/>
          <w:color w:val="auto"/>
        </w:rPr>
      </w:pPr>
    </w:p>
    <w:p>
      <w:pPr>
        <w:ind w:left="380" w:right="60" w:hanging="372"/>
        <w:spacing w:after="0" w:line="284" w:lineRule="auto"/>
        <w:tabs>
          <w:tab w:leader="none" w:pos="380" w:val="left"/>
        </w:tabs>
        <w:numPr>
          <w:ilvl w:val="0"/>
          <w:numId w:val="73"/>
        </w:numPr>
        <w:rPr>
          <w:rFonts w:ascii="Times New Roman" w:cs="Times New Roman" w:eastAsia="Times New Roman" w:hAnsi="Times New Roman"/>
          <w:sz w:val="14"/>
          <w:szCs w:val="14"/>
          <w:color w:val="auto"/>
        </w:rPr>
      </w:pPr>
      <w:r>
        <w:rPr>
          <w:rFonts w:ascii="Arial" w:cs="Arial" w:eastAsia="Arial" w:hAnsi="Arial"/>
          <w:sz w:val="14"/>
          <w:szCs w:val="14"/>
          <w:color w:val="auto"/>
        </w:rPr>
        <w:t>Half of the target value is allocated to performance-based awards and half of the target value is allocated to time-vesting awards, rounded up to the next whole share. The closing price of our common stock on the date of grant was $238.27 per share.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44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9" w:name="page50"/>
    <w:bookmarkEnd w:id="49"/>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154" w:lineRule="exact"/>
        <w:rPr>
          <w:sz w:val="20"/>
          <w:szCs w:val="20"/>
          <w:color w:val="auto"/>
        </w:rPr>
      </w:pPr>
    </w:p>
    <w:p>
      <w:pPr>
        <w:ind w:left="380" w:right="260" w:hanging="372"/>
        <w:spacing w:after="0" w:line="262" w:lineRule="auto"/>
        <w:tabs>
          <w:tab w:leader="none" w:pos="380" w:val="left"/>
        </w:tabs>
        <w:numPr>
          <w:ilvl w:val="0"/>
          <w:numId w:val="74"/>
        </w:numPr>
        <w:rPr>
          <w:rFonts w:ascii="Times New Roman" w:cs="Times New Roman" w:eastAsia="Times New Roman" w:hAnsi="Times New Roman"/>
          <w:sz w:val="14"/>
          <w:szCs w:val="14"/>
          <w:color w:val="auto"/>
        </w:rPr>
      </w:pPr>
      <w:r>
        <w:rPr>
          <w:rFonts w:ascii="Arial" w:cs="Arial" w:eastAsia="Arial" w:hAnsi="Arial"/>
          <w:sz w:val="14"/>
          <w:szCs w:val="14"/>
          <w:color w:val="auto"/>
        </w:rPr>
        <w:t>Subject to a three-year performance period. The shares in this column assume achievement of the target level of performance conditions, and the following reflects the shares assuming the highest level of performance conditions (i.e., the maximum shares payable): Mr. Haack - 23,714 shares; Mr. Kesler - 5,666 shares; Mr. Newby - 3,568 shares; Mr. Cribbs - 2,728 shares; and Mr. Thompson - 1,890 shares.</w:t>
      </w:r>
    </w:p>
    <w:p>
      <w:pPr>
        <w:spacing w:after="0" w:line="102"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auto"/>
        </w:rPr>
        <w:t>The Compensation Committee believes that the structure of the fiscal 2025 long-term compensation program is consistent with the Compensation Committee’s philosophy of linking compensation to our performance.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Prior Year Performance-Based Equity Awards</w:t>
      </w:r>
    </w:p>
    <w:p>
      <w:pPr>
        <w:spacing w:after="0" w:line="15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 portion of the performance-vesting equity awards granted in fiscal 2024 was comprised of shares of restricted stock which were to be earned based upon the achievement by the Company of a certain level of average ROE for a two-year performance period ending March 31, 2025, as detailed below:</w:t>
      </w:r>
    </w:p>
    <w:p>
      <w:pPr>
        <w:spacing w:after="0" w:line="147"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3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051972"/>
              </w:rPr>
              <w:t>Average Return on Equity for Relevant</w:t>
            </w:r>
          </w:p>
        </w:tc>
        <w:tc>
          <w:tcPr>
            <w:tcW w:w="3600" w:type="dxa"/>
            <w:vAlign w:val="bottom"/>
          </w:tcPr>
          <w:p>
            <w:pPr>
              <w:spacing w:after="0"/>
              <w:rPr>
                <w:sz w:val="14"/>
                <w:szCs w:val="14"/>
                <w:color w:val="auto"/>
              </w:rPr>
            </w:pPr>
          </w:p>
        </w:tc>
      </w:tr>
      <w:tr>
        <w:trPr>
          <w:trHeight w:val="185"/>
        </w:trPr>
        <w:tc>
          <w:tcPr>
            <w:tcW w:w="3140" w:type="dxa"/>
            <w:vAlign w:val="bottom"/>
            <w:tcBorders>
              <w:bottom w:val="single" w:sz="8" w:color="051972"/>
            </w:tcBorders>
            <w:gridSpan w:val="3"/>
          </w:tcPr>
          <w:p>
            <w:pPr>
              <w:jc w:val="center"/>
              <w:ind w:right="20"/>
              <w:spacing w:after="0"/>
              <w:rPr>
                <w:sz w:val="20"/>
                <w:szCs w:val="20"/>
                <w:color w:val="auto"/>
              </w:rPr>
            </w:pPr>
            <w:r>
              <w:rPr>
                <w:rFonts w:ascii="Arial" w:cs="Arial" w:eastAsia="Arial" w:hAnsi="Arial"/>
                <w:sz w:val="14"/>
                <w:szCs w:val="14"/>
                <w:b w:val="1"/>
                <w:bCs w:val="1"/>
                <w:color w:val="051972"/>
              </w:rPr>
              <w:t>Performance Period</w:t>
            </w:r>
          </w:p>
        </w:tc>
        <w:tc>
          <w:tcPr>
            <w:tcW w:w="3600" w:type="dxa"/>
            <w:vAlign w:val="bottom"/>
            <w:tcBorders>
              <w:bottom w:val="single" w:sz="8" w:color="051972"/>
            </w:tcBorders>
          </w:tcPr>
          <w:p>
            <w:pPr>
              <w:jc w:val="right"/>
              <w:ind w:right="734"/>
              <w:spacing w:after="0"/>
              <w:rPr>
                <w:sz w:val="20"/>
                <w:szCs w:val="20"/>
                <w:color w:val="auto"/>
              </w:rPr>
            </w:pPr>
            <w:r>
              <w:rPr>
                <w:rFonts w:ascii="Arial" w:cs="Arial" w:eastAsia="Arial" w:hAnsi="Arial"/>
                <w:sz w:val="14"/>
                <w:szCs w:val="14"/>
                <w:b w:val="1"/>
                <w:bCs w:val="1"/>
                <w:color w:val="051972"/>
              </w:rPr>
              <w:t>Percent of Target Earned</w:t>
            </w:r>
          </w:p>
        </w:tc>
      </w:tr>
      <w:tr>
        <w:trPr>
          <w:trHeight w:val="183"/>
        </w:trPr>
        <w:tc>
          <w:tcPr>
            <w:tcW w:w="1220" w:type="dxa"/>
            <w:vAlign w:val="bottom"/>
            <w:shd w:val="clear" w:color="auto" w:fill="E7E7E8"/>
          </w:tcPr>
          <w:p>
            <w:pPr>
              <w:spacing w:after="0"/>
              <w:rPr>
                <w:sz w:val="15"/>
                <w:szCs w:val="15"/>
                <w:color w:val="auto"/>
              </w:rPr>
            </w:pPr>
          </w:p>
        </w:tc>
        <w:tc>
          <w:tcPr>
            <w:tcW w:w="1920" w:type="dxa"/>
            <w:vAlign w:val="bottom"/>
            <w:gridSpan w:val="2"/>
            <w:shd w:val="clear" w:color="auto" w:fill="E7E7E8"/>
          </w:tcPr>
          <w:p>
            <w:pPr>
              <w:jc w:val="center"/>
              <w:ind w:right="1240"/>
              <w:spacing w:after="0" w:line="182" w:lineRule="exact"/>
              <w:rPr>
                <w:sz w:val="20"/>
                <w:szCs w:val="20"/>
                <w:color w:val="auto"/>
              </w:rPr>
            </w:pPr>
            <w:r>
              <w:rPr>
                <w:rFonts w:ascii="Arial" w:cs="Arial" w:eastAsia="Arial" w:hAnsi="Arial"/>
                <w:sz w:val="18"/>
                <w:szCs w:val="18"/>
                <w:color w:val="auto"/>
              </w:rPr>
              <w:t>&gt; 20.0%</w:t>
            </w:r>
          </w:p>
        </w:tc>
        <w:tc>
          <w:tcPr>
            <w:tcW w:w="3600" w:type="dxa"/>
            <w:vAlign w:val="bottom"/>
            <w:shd w:val="clear" w:color="auto" w:fill="E7E7E8"/>
          </w:tcPr>
          <w:p>
            <w:pPr>
              <w:jc w:val="right"/>
              <w:ind w:right="1174"/>
              <w:spacing w:after="0" w:line="182" w:lineRule="exact"/>
              <w:rPr>
                <w:sz w:val="20"/>
                <w:szCs w:val="20"/>
                <w:color w:val="auto"/>
              </w:rPr>
            </w:pPr>
            <w:r>
              <w:rPr>
                <w:rFonts w:ascii="Arial" w:cs="Arial" w:eastAsia="Arial" w:hAnsi="Arial"/>
                <w:sz w:val="18"/>
                <w:szCs w:val="18"/>
                <w:color w:val="auto"/>
              </w:rPr>
              <w:t>120%</w:t>
            </w:r>
          </w:p>
        </w:tc>
      </w:tr>
      <w:tr>
        <w:trPr>
          <w:trHeight w:val="27"/>
        </w:trPr>
        <w:tc>
          <w:tcPr>
            <w:tcW w:w="1220" w:type="dxa"/>
            <w:vAlign w:val="bottom"/>
            <w:shd w:val="clear" w:color="auto" w:fill="E7E7E8"/>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0" w:type="dxa"/>
            <w:vAlign w:val="bottom"/>
            <w:shd w:val="clear" w:color="auto" w:fill="E7E7E8"/>
          </w:tcPr>
          <w:p>
            <w:pPr>
              <w:spacing w:after="0"/>
              <w:rPr>
                <w:sz w:val="2"/>
                <w:szCs w:val="2"/>
                <w:color w:val="auto"/>
              </w:rPr>
            </w:pPr>
          </w:p>
        </w:tc>
        <w:tc>
          <w:tcPr>
            <w:tcW w:w="3600" w:type="dxa"/>
            <w:vAlign w:val="bottom"/>
            <w:shd w:val="clear" w:color="auto" w:fill="E7E7E8"/>
          </w:tcPr>
          <w:p>
            <w:pPr>
              <w:spacing w:after="0"/>
              <w:rPr>
                <w:sz w:val="2"/>
                <w:szCs w:val="2"/>
                <w:color w:val="auto"/>
              </w:rPr>
            </w:pPr>
          </w:p>
        </w:tc>
      </w:tr>
      <w:tr>
        <w:trPr>
          <w:trHeight w:val="203"/>
        </w:trPr>
        <w:tc>
          <w:tcPr>
            <w:tcW w:w="1220" w:type="dxa"/>
            <w:vAlign w:val="bottom"/>
          </w:tcPr>
          <w:p>
            <w:pPr>
              <w:spacing w:after="0"/>
              <w:rPr>
                <w:sz w:val="17"/>
                <w:szCs w:val="17"/>
                <w:color w:val="auto"/>
              </w:rPr>
            </w:pPr>
          </w:p>
        </w:tc>
        <w:tc>
          <w:tcPr>
            <w:tcW w:w="1920" w:type="dxa"/>
            <w:vAlign w:val="bottom"/>
            <w:gridSpan w:val="2"/>
          </w:tcPr>
          <w:p>
            <w:pPr>
              <w:jc w:val="center"/>
              <w:ind w:right="1240"/>
              <w:spacing w:after="0" w:line="202" w:lineRule="exact"/>
              <w:rPr>
                <w:sz w:val="20"/>
                <w:szCs w:val="20"/>
                <w:color w:val="auto"/>
              </w:rPr>
            </w:pPr>
            <w:r>
              <w:rPr>
                <w:rFonts w:ascii="Arial" w:cs="Arial" w:eastAsia="Arial" w:hAnsi="Arial"/>
                <w:sz w:val="18"/>
                <w:szCs w:val="18"/>
                <w:color w:val="auto"/>
              </w:rPr>
              <w:t>15.0%</w:t>
            </w:r>
          </w:p>
        </w:tc>
        <w:tc>
          <w:tcPr>
            <w:tcW w:w="3600" w:type="dxa"/>
            <w:vAlign w:val="bottom"/>
          </w:tcPr>
          <w:p>
            <w:pPr>
              <w:jc w:val="right"/>
              <w:ind w:right="1174"/>
              <w:spacing w:after="0" w:line="202" w:lineRule="exact"/>
              <w:rPr>
                <w:sz w:val="20"/>
                <w:szCs w:val="20"/>
                <w:color w:val="auto"/>
              </w:rPr>
            </w:pPr>
            <w:r>
              <w:rPr>
                <w:rFonts w:ascii="Arial" w:cs="Arial" w:eastAsia="Arial" w:hAnsi="Arial"/>
                <w:sz w:val="18"/>
                <w:szCs w:val="18"/>
                <w:color w:val="auto"/>
              </w:rPr>
              <w:t>100%</w:t>
            </w:r>
          </w:p>
        </w:tc>
      </w:tr>
      <w:tr>
        <w:trPr>
          <w:trHeight w:val="202"/>
        </w:trPr>
        <w:tc>
          <w:tcPr>
            <w:tcW w:w="3140" w:type="dxa"/>
            <w:vAlign w:val="bottom"/>
            <w:gridSpan w:val="3"/>
            <w:shd w:val="clear" w:color="auto" w:fill="E7E7E8"/>
          </w:tcPr>
          <w:p>
            <w:pPr>
              <w:jc w:val="center"/>
              <w:ind w:right="20"/>
              <w:spacing w:after="0" w:line="202" w:lineRule="exact"/>
              <w:rPr>
                <w:sz w:val="20"/>
                <w:szCs w:val="20"/>
                <w:color w:val="auto"/>
              </w:rPr>
            </w:pPr>
            <w:r>
              <w:rPr>
                <w:rFonts w:ascii="Arial" w:cs="Arial" w:eastAsia="Arial" w:hAnsi="Arial"/>
                <w:sz w:val="18"/>
                <w:szCs w:val="18"/>
                <w:color w:val="auto"/>
              </w:rPr>
              <w:t>10.0%</w:t>
            </w:r>
          </w:p>
        </w:tc>
        <w:tc>
          <w:tcPr>
            <w:tcW w:w="3600" w:type="dxa"/>
            <w:vAlign w:val="bottom"/>
            <w:shd w:val="clear" w:color="auto" w:fill="E7E7E8"/>
          </w:tcPr>
          <w:p>
            <w:pPr>
              <w:jc w:val="right"/>
              <w:ind w:right="1174"/>
              <w:spacing w:after="0" w:line="202" w:lineRule="exact"/>
              <w:rPr>
                <w:sz w:val="20"/>
                <w:szCs w:val="20"/>
                <w:color w:val="auto"/>
              </w:rPr>
            </w:pPr>
            <w:r>
              <w:rPr>
                <w:rFonts w:ascii="Arial" w:cs="Arial" w:eastAsia="Arial" w:hAnsi="Arial"/>
                <w:sz w:val="18"/>
                <w:szCs w:val="18"/>
                <w:color w:val="auto"/>
              </w:rPr>
              <w:t>80%</w:t>
            </w:r>
          </w:p>
        </w:tc>
      </w:tr>
      <w:tr>
        <w:trPr>
          <w:trHeight w:val="237"/>
        </w:trPr>
        <w:tc>
          <w:tcPr>
            <w:tcW w:w="3140" w:type="dxa"/>
            <w:vAlign w:val="bottom"/>
            <w:tcBorders>
              <w:bottom w:val="single" w:sz="8" w:color="051972"/>
            </w:tcBorders>
            <w:gridSpan w:val="3"/>
          </w:tcPr>
          <w:p>
            <w:pPr>
              <w:jc w:val="center"/>
              <w:ind w:right="20"/>
              <w:spacing w:after="0"/>
              <w:rPr>
                <w:sz w:val="20"/>
                <w:szCs w:val="20"/>
                <w:color w:val="auto"/>
              </w:rPr>
            </w:pPr>
            <w:r>
              <w:rPr>
                <w:rFonts w:ascii="Arial" w:cs="Arial" w:eastAsia="Arial" w:hAnsi="Arial"/>
                <w:sz w:val="18"/>
                <w:szCs w:val="18"/>
                <w:color w:val="auto"/>
              </w:rPr>
              <w:t>&lt; 10.0%</w:t>
            </w:r>
          </w:p>
        </w:tc>
        <w:tc>
          <w:tcPr>
            <w:tcW w:w="3600" w:type="dxa"/>
            <w:vAlign w:val="bottom"/>
            <w:tcBorders>
              <w:bottom w:val="single" w:sz="8" w:color="051972"/>
            </w:tcBorders>
          </w:tcPr>
          <w:p>
            <w:pPr>
              <w:jc w:val="right"/>
              <w:ind w:right="1174"/>
              <w:spacing w:after="0"/>
              <w:rPr>
                <w:sz w:val="20"/>
                <w:szCs w:val="20"/>
                <w:color w:val="auto"/>
              </w:rPr>
            </w:pPr>
            <w:r>
              <w:rPr>
                <w:rFonts w:ascii="Arial" w:cs="Arial" w:eastAsia="Arial" w:hAnsi="Arial"/>
                <w:sz w:val="18"/>
                <w:szCs w:val="18"/>
                <w:color w:val="auto"/>
              </w:rPr>
              <w:t>0%</w:t>
            </w:r>
          </w:p>
        </w:tc>
      </w:tr>
    </w:tbl>
    <w:p>
      <w:pPr>
        <w:spacing w:after="0" w:line="13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exact percentage of shares earned is calculated based on straight-line interpolation between the points specified above with fractional points rounded to the nearest tenth of a percent. The earned performance-based equity was to become fully vested promptly after the certification date for the relevant performance period. Any performance-based equity that was not earned at the end of the relevant performance period was to be forfeited.</w:t>
      </w:r>
    </w:p>
    <w:p>
      <w:pPr>
        <w:spacing w:after="0" w:line="104" w:lineRule="exact"/>
        <w:rPr>
          <w:sz w:val="20"/>
          <w:szCs w:val="20"/>
          <w:color w:val="auto"/>
        </w:rPr>
      </w:pPr>
    </w:p>
    <w:p>
      <w:pPr>
        <w:jc w:val="both"/>
        <w:ind w:right="300"/>
        <w:spacing w:after="0" w:line="266" w:lineRule="auto"/>
        <w:rPr>
          <w:sz w:val="20"/>
          <w:szCs w:val="20"/>
          <w:color w:val="auto"/>
        </w:rPr>
      </w:pPr>
      <w:r>
        <w:rPr>
          <w:rFonts w:ascii="Arial" w:cs="Arial" w:eastAsia="Arial" w:hAnsi="Arial"/>
          <w:sz w:val="16"/>
          <w:szCs w:val="16"/>
          <w:color w:val="auto"/>
        </w:rPr>
        <w:t>In May 2025, the Compensation Committee certified that the Company's 35.8% average ROE for the two fiscal years ended March 31, 2025 satisfied the Company's performance goals such that 120% of the target number of shares subject to the two-year performance period was earned, and such earned shares vested promptly following such certification.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Other Elements of Executive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Retirement Plan</w:t>
      </w:r>
    </w:p>
    <w:p>
      <w:pPr>
        <w:spacing w:after="0" w:line="166"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Our Named Executive Officers, along with substantially all salaried and hourly employees of the Company and our subsidiaries are covered under our Retirement Plan, a qualified defined contribution plan under sections 401(a) and 401(k) of the Internal Revenue Code of 1986 (the “Code”).</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Salaried participants, including our Named Executive Officers, covered under our Retirement Plan may elect to make pre-tax contributions and/or after-tax Roth 401(k) contributions of up to 70% of their base salary subject to the limit under Code Section 402(g) ($23,000 for calendar year 2024 and $23,500 for calendar year 2025), employee after-tax contributions of up to 10% of base salary and, if the participant is at least age 50, pre-tax “catch-up contributions” up to the applicable statutory limit under Code Section 414(v). In addition, our Retirement Plan provides for a discretionary employer profit sharing contribution for our salaried employees, including our Named Executive Officers, that is a percentage of base salary for the year. In calendar year 2024, the employer contribution was 10% of base salary.</w:t>
      </w:r>
    </w:p>
    <w:p>
      <w:pPr>
        <w:spacing w:after="0" w:line="10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Participants are fully vested to the extent of their pre-tax, after-tax Roth 401(k), and after-tax contributions. Our salaried participants become vested in the employer profit sharing contribution over a four-year period (i.e., 25% per year beginning with the first year of service). All Named Executive Officers have been employed by the Company or our affiliates long enough to be fully vested. Participants are entitled to direct the investment of contributions made to the Retirement Plan on their behalf in various investment funds, including up to 15% in an Eagle Common Stock fund. Upon a participant’s termination of employment, disability or death, such amounts may remain in the Company plan or they are payable in the form of a lump sum, installments or direct rollover to an eligible retirement plan, as elected by the participant. At the participant’s election, amounts invested in the Common Stock fund are distributable in shares of our Common Stock.</w:t>
      </w:r>
    </w:p>
    <w:p>
      <w:pPr>
        <w:spacing w:after="0" w:line="11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Employer profit sharing contributions made to the Retirement Plan on behalf of our Named Executive Officers in fiscal 2025 are reflected under the “All Other Compensation” column in the Summary Compensation Table of this Proxy Statement. A list of the investment funds provided under the Retirement Plan is provided in the footnotes to the Nonqualified Deferred Compensation Table of this Proxy Statement.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45</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0" w:name="page51"/>
    <w:bookmarkEnd w:id="50"/>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SERP</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fiscal 1995, the Board approved our Supplemental Executive Retirement Program, which we will refer to as our “SERP,” for certain employees participating in the Retirement Plan. Internal Revenue Code Section 401(a)(17) limits the amount of annual compensation ($345,000 for calendar year 2024 and $350,000 for calendar year 2025) that may be considered in determining our contribution to the Retirement Plan for the account of an eligible participant.</w:t>
      </w:r>
    </w:p>
    <w:p>
      <w:pPr>
        <w:spacing w:after="0" w:line="90"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Retirement Plan had 100% of his or her base salary been eligible for a profit-sharing contribution. As in the case of the Retirement Plan, annual cash incentive awards paid to participants are not included when determining the amount of contributions to the SERP. The Compensation Committee believes that the SERP therefore allows us to confer the full intended benefit of the employer profit sharing contribution under the Retirement Plan without the arbitrary limitation of the Internal Revenue Code rules noted above.</w:t>
      </w:r>
    </w:p>
    <w:p>
      <w:pPr>
        <w:spacing w:after="0" w:line="11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Contributions accrued under the SERP for the benefit of the higher-salaried employees vest under the same terms and conditions as under the Retirement Plan and may be invested by the participant in several of the same investment options as offered under the Retirement Plan. Benefits under the SERP are payable upon the participant’s termination of employment in a lump sum or installments as elected by the participant in accordance with the terms of the SERP. As with the Retirement Plan, all Named Executive Officers have been employed by the Company or our affiliates long enough to be fully vested.</w:t>
      </w:r>
    </w:p>
    <w:p>
      <w:pPr>
        <w:spacing w:after="0" w:line="11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Employer contributions under the SERP to our Named Executive Officers in fiscal 2025 are reflected under the “All Other Compensation” column in the Summary Compensation Table of this Proxy Statement. A list of the investment funds provided under the Retirement Plan is provided in the footnotes to the Nonqualified Deferred Compensation Table of this Proxy Statement.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Executive Life Insurance Plan</w:t>
      </w:r>
    </w:p>
    <w:p>
      <w:pPr>
        <w:spacing w:after="0" w:line="152"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Named Executive Officers, along with other officers and key employees, are participants in our Executive Life Insurance Plan. The Executive Life Insurance Plan provides for basic life insurance coverage up to a maximum of $2,000,000. Premiums paid by the Company on policies covering our Named Executive Officers in fiscal 2025 (and related tax gross-up payments) are included in the taxable compensation of our Named Executive Officers, as reflected under the “All Other Compensation” column in the Summary Compensation Table of this Proxy Statement. Amounts potentially payable to the beneficiaries of our Named Executive Officers pursuant to this insurance are described in “Potential Payments Upon Termination or Change in Control” section of this Proxy Statement.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Change in Control Benefits</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To better ensure the retention of our employees in the event of a potentially disruptive corporate transaction, we have provided our employees, including our Named Executive Officers, with certain change in control protections. We believe that such protections, which are consistent with the practices of our peer companies, are in the best interest of our stockholders because they enable our executive leadership team to fully focus on the benefits of a corporate transaction for stockholders, rather than the potential adverse consequences of the transaction on their careers and compensation.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Change in Control Continuity Agreements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To better ensure the retention of our executive leadership team in the event of a potentially disruptive corporate transaction, the Board has approved change in control continuity agreements with Messrs. Haack, Kesler and Newby. The change in control continuity agreements provide that, in the event of a change in control during the term, a two-year protection period will commence during which the relevant executive will be entitled to compensation and benefits on terms that are generally no less favorable than those that applied prior to the change in control.</w:t>
      </w:r>
    </w:p>
    <w:p>
      <w:pPr>
        <w:spacing w:after="0" w:line="9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the event of an executive’s involuntary termination of employment without cause or resignation for good reason during the two-year protection period, subject to the execution of a release of claims, he would be entitled to (a) cash severance equal to the product of (i) a severance multiple of 3 (for Mr. Haack), 2.5 (for Mr. Kesler) or 2 (for Mr. Newby), multiplied by (ii) the sum of his annual base salary and target annual bonus; (b) a prorated target annual bonus for the year of termination; (c) a payment in lieu of employer retirement savings plan contributions that he would have received had his employment continued for 18 months (for Mr. Haack), 15 months (for Mr. Kesler) or 12 months (for Mr. Newby) post-termination; (d) a payment equal to the premium for continued participation in health insurance plans for 18 months (for Mr. Haack), 15 months (for Mr. Kesler) or 12 months (for Mr. Newby) post-termination; and (e) outplacement benefits of up to $30,000.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46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1" w:name="page52"/>
    <w:bookmarkEnd w:id="51"/>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97"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change in control continuity agreements subject the executives to a perpetual confidentiality covenant and noncompetition covenants for 18 months (for Mr. Haack), 15 months (for Mr. Kesler) or 12 months (for Mr. Newby) post-termination. If any payments or benefits under the change in control continuity agreements would be subject to Sections 280G and 4999 of the Internal Revenue Code, such payments or benefits would be reduced to the extent that such reduction would place the executive in a better after-tax position. The initial term of the change in control continuity agreements is three years from the effective date of June 20, 2019 (for Messrs. Haack and Kesler) and May 31, 2022 (for Mr. Newby), subject in each case to automatic renewal for an additional year on each anniversary of the effective date.</w:t>
      </w:r>
    </w:p>
    <w:p>
      <w:pPr>
        <w:spacing w:after="0" w:line="10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All of our change in control continuity agreements have a “double-trigger” termination right (requiring both a change in control and a qualifying termination of employment in order to receive the change in control severance payments), and they do not apply the severance multiple to long-term incentive award values or have tax gross-ups.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our change in control continuity agreements a “change in control” is defined generally as (i) the acquisition by any person or entity of 35% or more of our outstanding Common Stock or the voting power of outstanding securities entitled to vote in the election of directors; (ii) a change in the composition of our Board such that the current members of the Board cease to constitute a majority of the Board; (iii) the consummation of a merger, asset disposition, share exchange or similar transaction, unless (1) more than 50% of the stock following such transaction is owned by persons or entities who were stockholders of the Company prior to such transaction, (2) following such transaction, no person or entity owns 35% or more of the common stock of the entity resulting from such transaction, and (3) at least a majority of the members of the resulting corporation’s board of directors were members of our Board; or (iv) our stockholders approve a complete liquidation or dissolution of the Company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See “Potential Payments Upon Termination or Change in Control”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Equity Awards Under 2023 Incentive Plan</w:t>
      </w:r>
    </w:p>
    <w:p>
      <w:pPr>
        <w:spacing w:after="0" w:line="152"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Beginning in fiscal 2025, equity awards are governed by the "double-trigger" change in control provisions of our 2023 Incentive Plan. Unless otherwise provided in an award agreement, and without regard to the 2023 Plan’s minimum vesting conditions, in the event of a change in control of the Company, and to the extent the acquiring corporation does not assume the outstanding awards under the 2023 Incentive Plan or substitute new awards therefor having an equivalent value for such outstanding awards, the Board (as constituted prior to such change in control) shall require that (i) some or all outstanding options and SARs will become exercisable in full or in part; (ii) the restriction period applicable to some or all outstanding restricted stock, restricted stock units and other stock-based awards (“other stock awards” and collectively with restricted stock awards and restricted stock unit awards, “Stock Awards”) will lapse in full or in part; (iii) the performance period applicable to some or all outstanding awards will lapse in full or in part; and (iv) the performance measures applicable to some or all outstanding awards will be deemed to be satisfied at the greater of target level performance or actual performance (measured as of the date that immediately precedes the date of such change in control).</w:t>
      </w:r>
    </w:p>
    <w:p>
      <w:pPr>
        <w:spacing w:after="0" w:line="11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Unless otherwise provided in an award agreement, and without regard to the 2023 Incentive Plan’s minimum vesting conditions described below, in the event of a change in control of the Company, and to the extent the acquiring corporation assumes the outstanding awards under the 2023 Incentive Plan or substitutes new awards therefor having an equivalent value for such outstanding awards, such assumed awards or substitute new awards shall not become exercisable, the restriction period or performance period for such awards shall not lapse, and the performance measures shall be not deemed satisfied, in each case solely as a result of the occurrence of a change in control; provided that the Board (as constituted prior to such change in control) shall require that if the acquiring corporation terminates a participant’s employment or service without cause upon or within two (2) years after such change in control, (i) the participant’s outstanding options and SARs shall become exercisable in full or in part, (ii) the restriction period applicable to the participant’s outstanding Stock Awards shall lapse in full or in part, (iii) the performance period applicable to the participant’s outstanding awards shall lapse in full or in part, and (iv) the performance measures applicable to some or all outstanding awards shall be deemed to be satisfied at the greater of target level performance or actual performance (measured as of the date that immediately precedes the date of such change in control).</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2023 Incentive Plan, a change in control is generally defined as:</w:t>
      </w:r>
    </w:p>
    <w:p>
      <w:pPr>
        <w:spacing w:after="0" w:line="140" w:lineRule="exact"/>
        <w:rPr>
          <w:sz w:val="20"/>
          <w:szCs w:val="20"/>
          <w:color w:val="auto"/>
        </w:rPr>
      </w:pPr>
    </w:p>
    <w:p>
      <w:pPr>
        <w:ind w:left="460" w:right="160" w:hanging="228"/>
        <w:spacing w:after="0" w:line="256" w:lineRule="auto"/>
        <w:tabs>
          <w:tab w:leader="none" w:pos="46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certain acquisitions of 35% or more of either (x) the Company’s outstanding Common Stock or (y) the Company’s then outstanding securities eligible to vote for the election of our Board;</w:t>
      </w:r>
    </w:p>
    <w:p>
      <w:pPr>
        <w:ind w:left="460" w:hanging="228"/>
        <w:spacing w:after="0"/>
        <w:tabs>
          <w:tab w:leader="none" w:pos="46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a change in our Board in certain instances resulting in the incumbent directors ceasing to constitute at least a majority of our Board;</w:t>
      </w:r>
    </w:p>
    <w:p>
      <w:pPr>
        <w:spacing w:after="0" w:line="14" w:lineRule="exact"/>
        <w:rPr>
          <w:sz w:val="20"/>
          <w:szCs w:val="20"/>
          <w:color w:val="auto"/>
        </w:rPr>
      </w:pPr>
    </w:p>
    <w:p>
      <w:pPr>
        <w:ind w:left="460" w:right="460" w:hanging="223"/>
        <w:spacing w:after="0" w:line="268" w:lineRule="auto"/>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the consummation of certain reorganizations, mergers, statutory share exchanges, consolidations, or similar corporate transactions involving the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Company or any of its subsidiaries or sale or other disposition of all or substantially all of the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47</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2" w:name="page53"/>
    <w:bookmarkEnd w:id="52"/>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149" w:lineRule="exact"/>
        <w:rPr>
          <w:sz w:val="20"/>
          <w:szCs w:val="20"/>
          <w:color w:val="auto"/>
        </w:rPr>
      </w:pPr>
    </w:p>
    <w:p>
      <w:pPr>
        <w:ind w:left="240" w:right="1760" w:firstLine="224"/>
        <w:spacing w:after="0" w:line="285" w:lineRule="auto"/>
        <w:rPr>
          <w:sz w:val="20"/>
          <w:szCs w:val="20"/>
          <w:color w:val="auto"/>
        </w:rPr>
      </w:pPr>
      <w:r>
        <w:rPr>
          <w:rFonts w:ascii="Arial" w:cs="Arial" w:eastAsia="Arial" w:hAnsi="Arial"/>
          <w:sz w:val="16"/>
          <w:szCs w:val="16"/>
          <w:color w:val="auto"/>
        </w:rPr>
        <w:t xml:space="preserve">assets of the Company, or the acquisition of assets or securities of another entity by the Company or any of its subsidiaries; or </w:t>
      </w:r>
      <w:r>
        <w:rPr>
          <w:rFonts w:ascii="Times New Roman" w:cs="Times New Roman" w:eastAsia="Times New Roman" w:hAnsi="Times New Roman"/>
          <w:sz w:val="16"/>
          <w:szCs w:val="16"/>
          <w:color w:val="auto"/>
        </w:rPr>
        <w:t>(iv)</w:t>
      </w:r>
      <w:r>
        <w:rPr>
          <w:rFonts w:ascii="Arial" w:cs="Arial" w:eastAsia="Arial" w:hAnsi="Arial"/>
          <w:sz w:val="16"/>
          <w:szCs w:val="16"/>
          <w:color w:val="auto"/>
        </w:rPr>
        <w:t>stockholder approval of a complete liquidation or dissolution of the Company.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51972"/>
        </w:rPr>
        <w:t>Equity Awards Under 2013 Incentive Plan</w:t>
      </w:r>
    </w:p>
    <w:p>
      <w:pPr>
        <w:spacing w:after="0" w:line="15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Awards granted in prior fiscal years under our 2013 Incentive Plan are subject to accelerated vesting upon the occurrence of a “change in control” as defined in the applicable award agreement if they are not assumed or replaced with equivalent awards in connection with such change in control. Under the award agreements or incentive program documents, a “change in control” is defined generally as:</w:t>
      </w:r>
    </w:p>
    <w:p>
      <w:pPr>
        <w:spacing w:after="0" w:line="104" w:lineRule="exact"/>
        <w:rPr>
          <w:sz w:val="20"/>
          <w:szCs w:val="20"/>
          <w:color w:val="auto"/>
        </w:rPr>
      </w:pPr>
    </w:p>
    <w:p>
      <w:pPr>
        <w:ind w:left="460" w:right="720" w:hanging="228"/>
        <w:spacing w:after="0" w:line="256" w:lineRule="auto"/>
        <w:tabs>
          <w:tab w:leader="none" w:pos="4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the acquisition by any person or entity of 50% or more of the outstanding shares of any single class of our Common Stock or 40% or more of outstanding shares of all classes of our Common Stock;</w:t>
      </w:r>
    </w:p>
    <w:p>
      <w:pPr>
        <w:ind w:left="460" w:hanging="228"/>
        <w:spacing w:after="0"/>
        <w:tabs>
          <w:tab w:leader="none" w:pos="4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a change in the composition of our Board such that the current members of the Board cease to constitute a majority of the Board; or</w:t>
      </w:r>
    </w:p>
    <w:p>
      <w:pPr>
        <w:spacing w:after="0" w:line="14" w:lineRule="exact"/>
        <w:rPr>
          <w:sz w:val="20"/>
          <w:szCs w:val="20"/>
          <w:color w:val="auto"/>
        </w:rPr>
      </w:pPr>
    </w:p>
    <w:p>
      <w:pPr>
        <w:ind w:left="460" w:right="60" w:hanging="223"/>
        <w:spacing w:after="0" w:line="253" w:lineRule="auto"/>
        <w:rPr>
          <w:sz w:val="20"/>
          <w:szCs w:val="20"/>
          <w:color w:val="auto"/>
        </w:rPr>
      </w:pPr>
      <w:r>
        <w:rPr>
          <w:rFonts w:ascii="Times New Roman" w:cs="Times New Roman" w:eastAsia="Times New Roman" w:hAnsi="Times New Roman"/>
          <w:sz w:val="16"/>
          <w:szCs w:val="16"/>
          <w:color w:val="auto"/>
        </w:rPr>
        <w:t>(iii)</w:t>
      </w:r>
      <w:r>
        <w:rPr>
          <w:rFonts w:ascii="Arial" w:cs="Arial" w:eastAsia="Arial" w:hAnsi="Arial"/>
          <w:sz w:val="16"/>
          <w:szCs w:val="16"/>
          <w:color w:val="auto"/>
        </w:rPr>
        <w:t>the consummation of a merger, dissolution, asset disposition, consolidation or share exchange, unless (a) more than 50% of the stock following such</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transaction is owned by persons or entities who were stockholders of the Company prior to such transaction, (b) following such transaction, no person or entity owns 40% or more of the common stock of the corporation resulting from such transaction, and (c) at least a majority of the members of the resulting corporation’s board of directors were members of our Board.</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If a change in control occurs, any unvested outstanding stock options, restricted stock, or restricted stock units would generally become immediately fully vested (with respect to performance awards, vesting would be either at target, maximum or other amount determined by the Compensation Committee), and, in the case of stock options, exercisable or, in the case of restricted stock or RSUs, payable, unless the transaction resulting in the change in control provides that the award is to be assumed or replaced with an award of equivalent shares of the surviving parent corporation.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See “Potential Payments Upon Termination or Change in Control” below.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No Post-retirement Welfare Or Tax Gross-Ups</w:t>
      </w:r>
    </w:p>
    <w:p>
      <w:pPr>
        <w:spacing w:after="0" w:line="16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The Company does not provide post-retirement welfare benefits to the Named Executive Officers. During employment, the Named Executive Officers participate in the broad-based employee health insurance plans available to employees of the Company generally. Further, the Company does not provide for gross-ups of excise taxes under Section 4999 of the Code to any of the Named Executive Officers.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Other Compensation Policies and Practices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Stock Ownership Guidelines</w:t>
      </w:r>
    </w:p>
    <w:p>
      <w:pPr>
        <w:spacing w:after="0" w:line="152"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In order to align the interests of the Named Executive Officers with our stockholders, and to promote a long-term focus for the officers, the Board of Directors has adopted executive stock ownership guidelines for the Company’s executive officers. The ownership goal for each Named Executive Officer is expressed as a dollar amount equal to a multiple of base salary on the date such Named Executive Officer became subject to the policy. The CEO’s goal is higher than the other executive officers (as detailed below).</w:t>
      </w:r>
    </w:p>
    <w:p>
      <w:pPr>
        <w:spacing w:after="0" w:line="156"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2440" w:type="dxa"/>
            <w:vAlign w:val="bottom"/>
          </w:tcPr>
          <w:p>
            <w:pPr>
              <w:jc w:val="center"/>
              <w:ind w:left="158"/>
              <w:spacing w:after="0"/>
              <w:rPr>
                <w:sz w:val="20"/>
                <w:szCs w:val="20"/>
                <w:color w:val="auto"/>
              </w:rPr>
            </w:pPr>
            <w:r>
              <w:rPr>
                <w:rFonts w:ascii="Arial" w:cs="Arial" w:eastAsia="Arial" w:hAnsi="Arial"/>
                <w:sz w:val="14"/>
                <w:szCs w:val="14"/>
                <w:b w:val="1"/>
                <w:bCs w:val="1"/>
                <w:color w:val="051972"/>
              </w:rPr>
              <w:t>Multiple of</w:t>
            </w:r>
          </w:p>
        </w:tc>
      </w:tr>
      <w:tr>
        <w:trPr>
          <w:trHeight w:val="162"/>
        </w:trPr>
        <w:tc>
          <w:tcPr>
            <w:tcW w:w="4300" w:type="dxa"/>
            <w:vAlign w:val="bottom"/>
          </w:tcPr>
          <w:p>
            <w:pPr>
              <w:spacing w:after="0"/>
              <w:rPr>
                <w:sz w:val="14"/>
                <w:szCs w:val="14"/>
                <w:color w:val="auto"/>
              </w:rPr>
            </w:pPr>
          </w:p>
        </w:tc>
        <w:tc>
          <w:tcPr>
            <w:tcW w:w="2440" w:type="dxa"/>
            <w:vAlign w:val="bottom"/>
          </w:tcPr>
          <w:p>
            <w:pPr>
              <w:jc w:val="center"/>
              <w:ind w:left="158"/>
              <w:spacing w:after="0"/>
              <w:rPr>
                <w:sz w:val="20"/>
                <w:szCs w:val="20"/>
                <w:color w:val="auto"/>
              </w:rPr>
            </w:pPr>
            <w:r>
              <w:rPr>
                <w:rFonts w:ascii="Arial" w:cs="Arial" w:eastAsia="Arial" w:hAnsi="Arial"/>
                <w:sz w:val="14"/>
                <w:szCs w:val="14"/>
                <w:b w:val="1"/>
                <w:bCs w:val="1"/>
                <w:color w:val="051972"/>
              </w:rPr>
              <w:t>Salary</w:t>
            </w:r>
          </w:p>
        </w:tc>
      </w:tr>
      <w:tr>
        <w:trPr>
          <w:trHeight w:val="162"/>
        </w:trPr>
        <w:tc>
          <w:tcPr>
            <w:tcW w:w="4300" w:type="dxa"/>
            <w:vAlign w:val="bottom"/>
          </w:tcPr>
          <w:p>
            <w:pPr>
              <w:spacing w:after="0"/>
              <w:rPr>
                <w:sz w:val="14"/>
                <w:szCs w:val="14"/>
                <w:color w:val="auto"/>
              </w:rPr>
            </w:pPr>
          </w:p>
        </w:tc>
        <w:tc>
          <w:tcPr>
            <w:tcW w:w="2440" w:type="dxa"/>
            <w:vAlign w:val="bottom"/>
          </w:tcPr>
          <w:p>
            <w:pPr>
              <w:jc w:val="center"/>
              <w:ind w:left="158"/>
              <w:spacing w:after="0"/>
              <w:rPr>
                <w:sz w:val="20"/>
                <w:szCs w:val="20"/>
                <w:color w:val="auto"/>
              </w:rPr>
            </w:pPr>
            <w:r>
              <w:rPr>
                <w:rFonts w:ascii="Arial" w:cs="Arial" w:eastAsia="Arial" w:hAnsi="Arial"/>
                <w:sz w:val="14"/>
                <w:szCs w:val="14"/>
                <w:b w:val="1"/>
                <w:bCs w:val="1"/>
                <w:color w:val="051972"/>
              </w:rPr>
              <w:t>Ownership</w:t>
            </w:r>
          </w:p>
        </w:tc>
      </w:tr>
      <w:tr>
        <w:trPr>
          <w:trHeight w:val="185"/>
        </w:trPr>
        <w:tc>
          <w:tcPr>
            <w:tcW w:w="4300" w:type="dxa"/>
            <w:vAlign w:val="bottom"/>
            <w:tcBorders>
              <w:bottom w:val="single" w:sz="8" w:color="051972"/>
            </w:tcBorders>
          </w:tcPr>
          <w:p>
            <w:pPr>
              <w:ind w:left="40"/>
              <w:spacing w:after="0"/>
              <w:rPr>
                <w:sz w:val="20"/>
                <w:szCs w:val="20"/>
                <w:color w:val="auto"/>
              </w:rPr>
            </w:pPr>
            <w:r>
              <w:rPr>
                <w:rFonts w:ascii="Arial" w:cs="Arial" w:eastAsia="Arial" w:hAnsi="Arial"/>
                <w:sz w:val="14"/>
                <w:szCs w:val="14"/>
                <w:b w:val="1"/>
                <w:bCs w:val="1"/>
                <w:color w:val="051972"/>
              </w:rPr>
              <w:t>Name</w:t>
            </w:r>
          </w:p>
        </w:tc>
        <w:tc>
          <w:tcPr>
            <w:tcW w:w="2440" w:type="dxa"/>
            <w:vAlign w:val="bottom"/>
            <w:tcBorders>
              <w:bottom w:val="single" w:sz="8" w:color="051972"/>
            </w:tcBorders>
          </w:tcPr>
          <w:p>
            <w:pPr>
              <w:jc w:val="center"/>
              <w:ind w:left="158"/>
              <w:spacing w:after="0"/>
              <w:rPr>
                <w:sz w:val="20"/>
                <w:szCs w:val="20"/>
                <w:color w:val="auto"/>
              </w:rPr>
            </w:pPr>
            <w:r>
              <w:rPr>
                <w:rFonts w:ascii="Arial" w:cs="Arial" w:eastAsia="Arial" w:hAnsi="Arial"/>
                <w:sz w:val="14"/>
                <w:szCs w:val="14"/>
                <w:b w:val="1"/>
                <w:bCs w:val="1"/>
                <w:color w:val="051972"/>
              </w:rPr>
              <w:t>Guidelines</w:t>
            </w:r>
          </w:p>
        </w:tc>
      </w:tr>
      <w:tr>
        <w:trPr>
          <w:trHeight w:val="210"/>
        </w:trPr>
        <w:tc>
          <w:tcPr>
            <w:tcW w:w="4300" w:type="dxa"/>
            <w:vAlign w:val="bottom"/>
            <w:shd w:val="clear" w:color="auto" w:fill="E7E7E8"/>
          </w:tcPr>
          <w:p>
            <w:pPr>
              <w:ind w:left="60"/>
              <w:spacing w:after="0"/>
              <w:rPr>
                <w:sz w:val="20"/>
                <w:szCs w:val="20"/>
                <w:color w:val="auto"/>
              </w:rPr>
            </w:pPr>
            <w:r>
              <w:rPr>
                <w:rFonts w:ascii="Arial" w:cs="Arial" w:eastAsia="Arial" w:hAnsi="Arial"/>
                <w:sz w:val="18"/>
                <w:szCs w:val="18"/>
                <w:color w:val="auto"/>
              </w:rPr>
              <w:t>Michael R. Haack</w:t>
            </w:r>
          </w:p>
        </w:tc>
        <w:tc>
          <w:tcPr>
            <w:tcW w:w="2440" w:type="dxa"/>
            <w:vAlign w:val="bottom"/>
            <w:shd w:val="clear" w:color="auto" w:fill="E7E7E8"/>
          </w:tcPr>
          <w:p>
            <w:pPr>
              <w:jc w:val="center"/>
              <w:ind w:left="138"/>
              <w:spacing w:after="0"/>
              <w:rPr>
                <w:sz w:val="20"/>
                <w:szCs w:val="20"/>
                <w:color w:val="auto"/>
              </w:rPr>
            </w:pPr>
            <w:r>
              <w:rPr>
                <w:rFonts w:ascii="Arial" w:cs="Arial" w:eastAsia="Arial" w:hAnsi="Arial"/>
                <w:sz w:val="18"/>
                <w:szCs w:val="18"/>
                <w:color w:val="auto"/>
                <w:w w:val="99"/>
              </w:rPr>
              <w:t>5X</w:t>
            </w:r>
          </w:p>
        </w:tc>
      </w:tr>
      <w:tr>
        <w:trPr>
          <w:trHeight w:val="203"/>
        </w:trPr>
        <w:tc>
          <w:tcPr>
            <w:tcW w:w="4300" w:type="dxa"/>
            <w:vAlign w:val="bottom"/>
          </w:tcPr>
          <w:p>
            <w:pPr>
              <w:ind w:left="60"/>
              <w:spacing w:after="0" w:line="202" w:lineRule="exact"/>
              <w:rPr>
                <w:sz w:val="20"/>
                <w:szCs w:val="20"/>
                <w:color w:val="auto"/>
              </w:rPr>
            </w:pPr>
            <w:r>
              <w:rPr>
                <w:rFonts w:ascii="Arial" w:cs="Arial" w:eastAsia="Arial" w:hAnsi="Arial"/>
                <w:sz w:val="18"/>
                <w:szCs w:val="18"/>
                <w:color w:val="auto"/>
              </w:rPr>
              <w:t>D. Craig Kesler</w:t>
            </w:r>
          </w:p>
        </w:tc>
        <w:tc>
          <w:tcPr>
            <w:tcW w:w="2440" w:type="dxa"/>
            <w:vAlign w:val="bottom"/>
          </w:tcPr>
          <w:p>
            <w:pPr>
              <w:jc w:val="center"/>
              <w:ind w:left="138"/>
              <w:spacing w:after="0" w:line="202" w:lineRule="exact"/>
              <w:rPr>
                <w:sz w:val="20"/>
                <w:szCs w:val="20"/>
                <w:color w:val="auto"/>
              </w:rPr>
            </w:pPr>
            <w:r>
              <w:rPr>
                <w:rFonts w:ascii="Arial" w:cs="Arial" w:eastAsia="Arial" w:hAnsi="Arial"/>
                <w:sz w:val="18"/>
                <w:szCs w:val="18"/>
                <w:color w:val="auto"/>
                <w:w w:val="99"/>
              </w:rPr>
              <w:t>3X</w:t>
            </w:r>
          </w:p>
        </w:tc>
      </w:tr>
      <w:tr>
        <w:trPr>
          <w:trHeight w:val="203"/>
        </w:trPr>
        <w:tc>
          <w:tcPr>
            <w:tcW w:w="4300" w:type="dxa"/>
            <w:vAlign w:val="bottom"/>
            <w:shd w:val="clear" w:color="auto" w:fill="E7E7E8"/>
          </w:tcPr>
          <w:p>
            <w:pPr>
              <w:ind w:left="60"/>
              <w:spacing w:after="0" w:line="202" w:lineRule="exact"/>
              <w:rPr>
                <w:sz w:val="20"/>
                <w:szCs w:val="20"/>
                <w:color w:val="auto"/>
              </w:rPr>
            </w:pPr>
            <w:r>
              <w:rPr>
                <w:rFonts w:ascii="Arial" w:cs="Arial" w:eastAsia="Arial" w:hAnsi="Arial"/>
                <w:sz w:val="18"/>
                <w:szCs w:val="18"/>
                <w:color w:val="auto"/>
              </w:rPr>
              <w:t>Matt Newby</w:t>
            </w:r>
          </w:p>
        </w:tc>
        <w:tc>
          <w:tcPr>
            <w:tcW w:w="2440" w:type="dxa"/>
            <w:vAlign w:val="bottom"/>
            <w:shd w:val="clear" w:color="auto" w:fill="E7E7E8"/>
          </w:tcPr>
          <w:p>
            <w:pPr>
              <w:jc w:val="center"/>
              <w:ind w:left="138"/>
              <w:spacing w:after="0" w:line="202" w:lineRule="exact"/>
              <w:rPr>
                <w:sz w:val="20"/>
                <w:szCs w:val="20"/>
                <w:color w:val="auto"/>
              </w:rPr>
            </w:pPr>
            <w:r>
              <w:rPr>
                <w:rFonts w:ascii="Arial" w:cs="Arial" w:eastAsia="Arial" w:hAnsi="Arial"/>
                <w:sz w:val="18"/>
                <w:szCs w:val="18"/>
                <w:color w:val="auto"/>
                <w:w w:val="99"/>
              </w:rPr>
              <w:t>3X</w:t>
            </w:r>
          </w:p>
        </w:tc>
      </w:tr>
      <w:tr>
        <w:trPr>
          <w:trHeight w:val="203"/>
        </w:trPr>
        <w:tc>
          <w:tcPr>
            <w:tcW w:w="4300" w:type="dxa"/>
            <w:vAlign w:val="bottom"/>
          </w:tcPr>
          <w:p>
            <w:pPr>
              <w:ind w:left="60"/>
              <w:spacing w:after="0" w:line="202" w:lineRule="exact"/>
              <w:rPr>
                <w:sz w:val="20"/>
                <w:szCs w:val="20"/>
                <w:color w:val="auto"/>
              </w:rPr>
            </w:pPr>
            <w:r>
              <w:rPr>
                <w:rFonts w:ascii="Arial" w:cs="Arial" w:eastAsia="Arial" w:hAnsi="Arial"/>
                <w:sz w:val="18"/>
                <w:szCs w:val="18"/>
                <w:color w:val="auto"/>
              </w:rPr>
              <w:t>Eric Cribbs</w:t>
            </w:r>
          </w:p>
        </w:tc>
        <w:tc>
          <w:tcPr>
            <w:tcW w:w="2440" w:type="dxa"/>
            <w:vAlign w:val="bottom"/>
          </w:tcPr>
          <w:p>
            <w:pPr>
              <w:jc w:val="center"/>
              <w:ind w:left="138"/>
              <w:spacing w:after="0" w:line="202" w:lineRule="exact"/>
              <w:rPr>
                <w:sz w:val="20"/>
                <w:szCs w:val="20"/>
                <w:color w:val="auto"/>
              </w:rPr>
            </w:pPr>
            <w:r>
              <w:rPr>
                <w:rFonts w:ascii="Arial" w:cs="Arial" w:eastAsia="Arial" w:hAnsi="Arial"/>
                <w:sz w:val="18"/>
                <w:szCs w:val="18"/>
                <w:color w:val="auto"/>
                <w:w w:val="99"/>
              </w:rPr>
              <w:t>3X</w:t>
            </w:r>
          </w:p>
        </w:tc>
      </w:tr>
      <w:tr>
        <w:trPr>
          <w:trHeight w:val="236"/>
        </w:trPr>
        <w:tc>
          <w:tcPr>
            <w:tcW w:w="4300" w:type="dxa"/>
            <w:vAlign w:val="bottom"/>
            <w:tcBorders>
              <w:bottom w:val="single" w:sz="8" w:color="051972"/>
            </w:tcBorders>
            <w:shd w:val="clear" w:color="auto" w:fill="E7E7E8"/>
          </w:tcPr>
          <w:p>
            <w:pPr>
              <w:ind w:left="60"/>
              <w:spacing w:after="0" w:line="202" w:lineRule="exact"/>
              <w:rPr>
                <w:sz w:val="20"/>
                <w:szCs w:val="20"/>
                <w:color w:val="auto"/>
              </w:rPr>
            </w:pPr>
            <w:r>
              <w:rPr>
                <w:rFonts w:ascii="Arial" w:cs="Arial" w:eastAsia="Arial" w:hAnsi="Arial"/>
                <w:sz w:val="18"/>
                <w:szCs w:val="18"/>
                <w:color w:val="auto"/>
              </w:rPr>
              <w:t>Tony Thompson</w:t>
            </w:r>
          </w:p>
        </w:tc>
        <w:tc>
          <w:tcPr>
            <w:tcW w:w="2440" w:type="dxa"/>
            <w:vAlign w:val="bottom"/>
            <w:tcBorders>
              <w:bottom w:val="single" w:sz="8" w:color="051972"/>
            </w:tcBorders>
            <w:shd w:val="clear" w:color="auto" w:fill="E7E7E8"/>
          </w:tcPr>
          <w:p>
            <w:pPr>
              <w:jc w:val="center"/>
              <w:ind w:left="138"/>
              <w:spacing w:after="0" w:line="202" w:lineRule="exact"/>
              <w:rPr>
                <w:sz w:val="20"/>
                <w:szCs w:val="20"/>
                <w:color w:val="auto"/>
              </w:rPr>
            </w:pPr>
            <w:r>
              <w:rPr>
                <w:rFonts w:ascii="Arial" w:cs="Arial" w:eastAsia="Arial" w:hAnsi="Arial"/>
                <w:sz w:val="18"/>
                <w:szCs w:val="18"/>
                <w:color w:val="auto"/>
                <w:w w:val="99"/>
              </w:rPr>
              <w:t>3X</w:t>
            </w:r>
          </w:p>
        </w:tc>
      </w:tr>
    </w:tbl>
    <w:p>
      <w:pPr>
        <w:spacing w:after="0" w:line="13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goal is met when the officer’s current share value meets or exceeds the goal. The current share value for determining whether the goal is initially met is calculated by using the greatest of the following calculation methods: (i) the sum of the grant date fair value of current shares held by the officer; (ii) the current shares valued at the current market price; or (iii) the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48</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3" w:name="page54"/>
    <w:bookmarkEnd w:id="53"/>
    <w:p>
      <w:pPr>
        <w:ind w:left="6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3988435</wp:posOffset>
            </wp:positionH>
            <wp:positionV relativeFrom="page">
              <wp:posOffset>526415</wp:posOffset>
            </wp:positionV>
            <wp:extent cx="335153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51530" cy="171450"/>
                    </a:xfrm>
                    <a:prstGeom prst="rect">
                      <a:avLst/>
                    </a:prstGeom>
                    <a:noFill/>
                  </pic:spPr>
                </pic:pic>
              </a:graphicData>
            </a:graphic>
          </wp:anchor>
        </w:drawing>
        <w:t>COMPENSATION DISCUSSION AND ANALYSIS</w:t>
      </w:r>
    </w:p>
    <w:p>
      <w:pPr>
        <w:spacing w:after="0" w:line="29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current shares valued at an average stock price (the average of the prior three management equity incentive grant prices—management equity awards are typically granted each May).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Until an officer has achieved the goal, he or she is required to retain all net shares received from the Company.</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Once an officer has achieved the goal, he or she may sell shares of Common Stock to the extent the value of post-sale share holdings (valued at the greater of current market price and average price) exceeds the goal.</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Types of ownership counted toward the goal include the following:</w:t>
      </w:r>
    </w:p>
    <w:p>
      <w:pPr>
        <w:spacing w:after="0" w:line="140" w:lineRule="exact"/>
        <w:rPr>
          <w:sz w:val="20"/>
          <w:szCs w:val="20"/>
          <w:color w:val="auto"/>
        </w:rPr>
      </w:pPr>
    </w:p>
    <w:p>
      <w:pPr>
        <w:ind w:left="460" w:hanging="228"/>
        <w:spacing w:after="0"/>
        <w:tabs>
          <w:tab w:leader="none" w:pos="46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6"/>
          <w:szCs w:val="16"/>
          <w:color w:val="auto"/>
        </w:rPr>
        <w:t>Direct holdings;</w:t>
      </w:r>
    </w:p>
    <w:p>
      <w:pPr>
        <w:spacing w:after="0" w:line="29" w:lineRule="exact"/>
        <w:rPr>
          <w:rFonts w:ascii="Times New Roman" w:cs="Times New Roman" w:eastAsia="Times New Roman" w:hAnsi="Times New Roman"/>
          <w:sz w:val="16"/>
          <w:szCs w:val="16"/>
          <w:color w:val="auto"/>
        </w:rPr>
      </w:pPr>
    </w:p>
    <w:p>
      <w:pPr>
        <w:ind w:left="460" w:right="200" w:hanging="228"/>
        <w:spacing w:after="0" w:line="248" w:lineRule="auto"/>
        <w:tabs>
          <w:tab w:leader="none" w:pos="46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6"/>
          <w:szCs w:val="16"/>
          <w:color w:val="auto"/>
        </w:rPr>
        <w:t>Shares represented by time-vesting restricted stock or RSUs and performance-vesting restricted stock or RSUs for which the performance condition has been satisfied;</w:t>
      </w:r>
    </w:p>
    <w:p>
      <w:pPr>
        <w:ind w:left="460" w:hanging="228"/>
        <w:spacing w:after="0"/>
        <w:tabs>
          <w:tab w:leader="none" w:pos="46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6"/>
          <w:szCs w:val="16"/>
          <w:color w:val="auto"/>
        </w:rPr>
        <w:t>Stock holdings in our Retirement Plan; and</w:t>
      </w:r>
    </w:p>
    <w:p>
      <w:pPr>
        <w:spacing w:after="0" w:line="13"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77"/>
        </w:numPr>
        <w:rPr>
          <w:rFonts w:ascii="Times New Roman" w:cs="Times New Roman" w:eastAsia="Times New Roman" w:hAnsi="Times New Roman"/>
          <w:sz w:val="16"/>
          <w:szCs w:val="16"/>
          <w:color w:val="auto"/>
        </w:rPr>
      </w:pPr>
      <w:r>
        <w:rPr>
          <w:rFonts w:ascii="Arial" w:cs="Arial" w:eastAsia="Arial" w:hAnsi="Arial"/>
          <w:sz w:val="16"/>
          <w:szCs w:val="16"/>
          <w:color w:val="auto"/>
        </w:rPr>
        <w:t>Indirect holdings, such as shares owned by a family member residing in the same household.</w:t>
      </w:r>
    </w:p>
    <w:p>
      <w:pPr>
        <w:spacing w:after="0" w:line="15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Compensation Committee reviews compliance with the ownership guidelines on an annual basis. Newly elected officers have five years to meet the applicable ownership requirement. As of the record date for the 2025 annual meeting, all Named Executive Officers are in compliance with the guidelines.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Recoupment (Clawback) Policies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maintain two recoupment (clawback) policies. Our executive officer clawback policy (COR-05 - Recoupment Policy) complies with the requirements of the SEC and NYSE Listing Standards and provides for recovery of certain incentive-based compensation erroneously received by current or former executive officers, including our Named Executive Officers, on or after October 2, 2023 and during the three completed fiscal years immediately preceding the year in which we are required to prepare an accounting restatement due to material noncompliance with financial reporting requirements. With narrow and limited exceptions, erroneous payments must be recovered even if there was no misconduct or failure of oversight on the part of the individual executive officer.</w:t>
      </w:r>
    </w:p>
    <w:p>
      <w:pPr>
        <w:spacing w:after="0" w:line="29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second clawback policy (COR-06 - Supplemental Recoupment Policy) applies to current and former officers of the Company or its subsidiaries, including our Named Executive Officers, and functions independently of our executive officer clawback policy. This clawback policy gives the Board discretion to pursue recovery of incentive-based compensation erroneously received by such officers during the three-year period immediately preceding the date the Company is required to prepare an accounting restatement. To the extent recovery is made against an individual under the Recoupment Policy, then there shall be no duplication of recovery under the Supplemental Recoupment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No Hedging, Pledging or Margin Accounts</w:t>
      </w:r>
    </w:p>
    <w:p>
      <w:pPr>
        <w:spacing w:after="0" w:line="166" w:lineRule="exact"/>
        <w:rPr>
          <w:sz w:val="20"/>
          <w:szCs w:val="20"/>
          <w:color w:val="auto"/>
        </w:rPr>
      </w:pPr>
    </w:p>
    <w:p>
      <w:pPr>
        <w:jc w:val="both"/>
        <w:ind w:right="500"/>
        <w:spacing w:after="0" w:line="266" w:lineRule="auto"/>
        <w:rPr>
          <w:sz w:val="20"/>
          <w:szCs w:val="20"/>
          <w:color w:val="auto"/>
        </w:rPr>
      </w:pPr>
      <w:r>
        <w:rPr>
          <w:rFonts w:ascii="Arial" w:cs="Arial" w:eastAsia="Arial" w:hAnsi="Arial"/>
          <w:sz w:val="16"/>
          <w:szCs w:val="16"/>
          <w:color w:val="auto"/>
        </w:rPr>
        <w:t>Under our insider trading policy, all of our directors and employees (including our Named Executive Officers) are prohibited from (i) speculating in our securities or engaging in transactions designed to hedge their ownership interests; (ii) pledging their Company securities as collateral for a loan; or (iii) holding any Company securities in a margin account.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Consideration of the Tax Deductibility of Compensation</w:t>
      </w:r>
    </w:p>
    <w:p>
      <w:pPr>
        <w:spacing w:after="0" w:line="16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Section 162(m) of the Internal Revenue Code generally disallows a tax deduction for public corporations for compensation over $1,000,000 paid in any fiscal year to the corporation’s chief executive officer and certain other executive officers. Despite this fact, the Compensation Committee intends to continue to implement compensation programs that it believes are competitive and in the best interests of the Company and its stockholders. Accordingly, the Compensation Committee may approve compensatory arrangements that provide for non-deductible payments or benefits when it determines that such arrangements are consistent with the Company's business needs and in the best interest of the Company and its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Risk</w:t>
      </w:r>
    </w:p>
    <w:p>
      <w:pPr>
        <w:spacing w:after="0" w:line="152"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Although a significant portion of potential compensation to our executive officers is performance-based, we do not believe that our compensation policies, principles, objectives and practices are structured to promote inappropriate risk taking by our executives. We believe that the focus of our overall compensation program encourages management to take a balanced approach that focuses on increasing and sustaining our profitability. See “Board Leadership Structure and Role in Risk Oversight — Risk Assessment in Compensation Programs” above.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49</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4" w:name="page55"/>
    <w:bookmarkEnd w:id="54"/>
    <w:p>
      <w:pPr>
        <w:ind w:left="82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34235" cy="171450"/>
                    </a:xfrm>
                    <a:prstGeom prst="rect">
                      <a:avLst/>
                    </a:prstGeom>
                    <a:noFill/>
                  </pic:spPr>
                </pic:pic>
              </a:graphicData>
            </a:graphic>
          </wp:anchor>
        </w:drawing>
        <w:t>EXECUTIVE COMPENSATION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Executive Compensation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Fiscal 2025 Summary Compensation Table</w:t>
      </w:r>
    </w:p>
    <w:p>
      <w:pPr>
        <w:spacing w:after="0" w:line="156"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The following table summarizes all fiscal 2023, 2024 and 2025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r>
        <w:rPr>
          <w:rFonts w:ascii="Arial" w:cs="Arial" w:eastAsia="Arial" w:hAnsi="Arial"/>
          <w:sz w:val="16"/>
          <w:szCs w:val="16"/>
          <w:b w:val="1"/>
          <w:bCs w:val="1"/>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051972"/>
                <w:w w:val="97"/>
              </w:rPr>
              <w:t>Fiscal</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051972"/>
                <w:w w:val="98"/>
              </w:rPr>
              <w:t>Non-Equity</w:t>
            </w: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051972"/>
                <w:w w:val="94"/>
              </w:rPr>
              <w:t>All Other</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vMerge w:val="restart"/>
          </w:tcPr>
          <w:p>
            <w:pPr>
              <w:jc w:val="center"/>
              <w:ind w:left="193"/>
              <w:spacing w:after="0"/>
              <w:rPr>
                <w:sz w:val="20"/>
                <w:szCs w:val="20"/>
                <w:color w:val="auto"/>
              </w:rPr>
            </w:pPr>
            <w:r>
              <w:rPr>
                <w:rFonts w:ascii="Arial" w:cs="Arial" w:eastAsia="Arial" w:hAnsi="Arial"/>
                <w:sz w:val="13"/>
                <w:szCs w:val="13"/>
                <w:b w:val="1"/>
                <w:bCs w:val="1"/>
                <w:color w:val="051972"/>
                <w:w w:val="95"/>
              </w:rPr>
              <w:t>Stock</w:t>
            </w: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051972"/>
                <w:w w:val="95"/>
              </w:rPr>
              <w:t>Option</w:t>
            </w:r>
          </w:p>
        </w:tc>
        <w:tc>
          <w:tcPr>
            <w:tcW w:w="1420" w:type="dxa"/>
            <w:vAlign w:val="bottom"/>
          </w:tcPr>
          <w:p>
            <w:pPr>
              <w:jc w:val="center"/>
              <w:spacing w:after="0" w:line="135" w:lineRule="exact"/>
              <w:rPr>
                <w:sz w:val="20"/>
                <w:szCs w:val="20"/>
                <w:color w:val="auto"/>
              </w:rPr>
            </w:pPr>
            <w:r>
              <w:rPr>
                <w:rFonts w:ascii="Arial" w:cs="Arial" w:eastAsia="Arial" w:hAnsi="Arial"/>
                <w:sz w:val="13"/>
                <w:szCs w:val="13"/>
                <w:b w:val="1"/>
                <w:bCs w:val="1"/>
                <w:color w:val="051972"/>
                <w:w w:val="95"/>
              </w:rPr>
              <w:t>Incentive</w:t>
            </w:r>
          </w:p>
        </w:tc>
        <w:tc>
          <w:tcPr>
            <w:tcW w:w="11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940" w:type="dxa"/>
            <w:vAlign w:val="bottom"/>
            <w:vMerge w:val="restart"/>
          </w:tcPr>
          <w:p>
            <w:pPr>
              <w:ind w:left="20"/>
              <w:spacing w:after="0"/>
              <w:rPr>
                <w:sz w:val="20"/>
                <w:szCs w:val="20"/>
                <w:color w:val="auto"/>
              </w:rPr>
            </w:pPr>
            <w:r>
              <w:rPr>
                <w:rFonts w:ascii="Arial" w:cs="Arial" w:eastAsia="Arial" w:hAnsi="Arial"/>
                <w:sz w:val="13"/>
                <w:szCs w:val="13"/>
                <w:b w:val="1"/>
                <w:bCs w:val="1"/>
                <w:color w:val="051972"/>
              </w:rPr>
              <w:t>Name and Principal</w:t>
            </w:r>
          </w:p>
        </w:tc>
        <w:tc>
          <w:tcPr>
            <w:tcW w:w="100" w:type="dxa"/>
            <w:vAlign w:val="bottom"/>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Arial" w:cs="Arial" w:eastAsia="Arial" w:hAnsi="Arial"/>
                <w:sz w:val="13"/>
                <w:szCs w:val="13"/>
                <w:b w:val="1"/>
                <w:bCs w:val="1"/>
                <w:color w:val="051972"/>
                <w:w w:val="99"/>
              </w:rPr>
              <w:t>Year</w:t>
            </w:r>
          </w:p>
        </w:tc>
        <w:tc>
          <w:tcPr>
            <w:tcW w:w="120" w:type="dxa"/>
            <w:vAlign w:val="bottom"/>
          </w:tcPr>
          <w:p>
            <w:pPr>
              <w:spacing w:after="0"/>
              <w:rPr>
                <w:sz w:val="10"/>
                <w:szCs w:val="10"/>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3"/>
                <w:szCs w:val="13"/>
                <w:b w:val="1"/>
                <w:bCs w:val="1"/>
                <w:color w:val="051972"/>
              </w:rPr>
              <w:t>Salary</w:t>
            </w:r>
            <w:r>
              <w:rPr>
                <w:rFonts w:ascii="Arial" w:cs="Arial" w:eastAsia="Arial" w:hAnsi="Arial"/>
                <w:sz w:val="16"/>
                <w:szCs w:val="16"/>
                <w:b w:val="1"/>
                <w:bCs w:val="1"/>
                <w:color w:val="051972"/>
                <w:vertAlign w:val="superscript"/>
              </w:rPr>
              <w:t>(1)</w:t>
            </w:r>
          </w:p>
        </w:tc>
        <w:tc>
          <w:tcPr>
            <w:tcW w:w="15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20" w:type="dxa"/>
            <w:vAlign w:val="bottom"/>
          </w:tcPr>
          <w:p>
            <w:pPr>
              <w:jc w:val="center"/>
              <w:spacing w:after="0" w:line="126" w:lineRule="exact"/>
              <w:rPr>
                <w:sz w:val="20"/>
                <w:szCs w:val="20"/>
                <w:color w:val="auto"/>
              </w:rPr>
            </w:pPr>
            <w:r>
              <w:rPr>
                <w:rFonts w:ascii="Arial" w:cs="Arial" w:eastAsia="Arial" w:hAnsi="Arial"/>
                <w:sz w:val="13"/>
                <w:szCs w:val="13"/>
                <w:b w:val="1"/>
                <w:bCs w:val="1"/>
                <w:color w:val="051972"/>
                <w:w w:val="94"/>
              </w:rPr>
              <w:t>Plan</w:t>
            </w:r>
          </w:p>
        </w:tc>
        <w:tc>
          <w:tcPr>
            <w:tcW w:w="1100" w:type="dxa"/>
            <w:vAlign w:val="bottom"/>
          </w:tcPr>
          <w:p>
            <w:pPr>
              <w:jc w:val="center"/>
              <w:ind w:right="34"/>
              <w:spacing w:after="0" w:line="126" w:lineRule="exact"/>
              <w:rPr>
                <w:sz w:val="20"/>
                <w:szCs w:val="20"/>
                <w:color w:val="auto"/>
              </w:rPr>
            </w:pPr>
            <w:r>
              <w:rPr>
                <w:rFonts w:ascii="Arial" w:cs="Arial" w:eastAsia="Arial" w:hAnsi="Arial"/>
                <w:sz w:val="13"/>
                <w:szCs w:val="13"/>
                <w:b w:val="1"/>
                <w:bCs w:val="1"/>
                <w:color w:val="051972"/>
                <w:w w:val="99"/>
              </w:rPr>
              <w:t>Compen-</w:t>
            </w:r>
          </w:p>
        </w:tc>
        <w:tc>
          <w:tcPr>
            <w:tcW w:w="1120" w:type="dxa"/>
            <w:vAlign w:val="bottom"/>
            <w:vMerge w:val="restart"/>
          </w:tcPr>
          <w:p>
            <w:pPr>
              <w:jc w:val="right"/>
              <w:ind w:right="393"/>
              <w:spacing w:after="0"/>
              <w:rPr>
                <w:sz w:val="20"/>
                <w:szCs w:val="20"/>
                <w:color w:val="auto"/>
              </w:rPr>
            </w:pPr>
            <w:r>
              <w:rPr>
                <w:rFonts w:ascii="Arial" w:cs="Arial" w:eastAsia="Arial" w:hAnsi="Arial"/>
                <w:sz w:val="13"/>
                <w:szCs w:val="13"/>
                <w:b w:val="1"/>
                <w:bCs w:val="1"/>
                <w:color w:val="051972"/>
              </w:rPr>
              <w:t>Total</w:t>
            </w:r>
          </w:p>
        </w:tc>
        <w:tc>
          <w:tcPr>
            <w:tcW w:w="0" w:type="dxa"/>
            <w:vAlign w:val="bottom"/>
          </w:tcPr>
          <w:p>
            <w:pPr>
              <w:spacing w:after="0"/>
              <w:rPr>
                <w:sz w:val="1"/>
                <w:szCs w:val="1"/>
                <w:color w:val="auto"/>
              </w:rPr>
            </w:pPr>
          </w:p>
        </w:tc>
      </w:tr>
      <w:tr>
        <w:trPr>
          <w:trHeight w:val="144"/>
        </w:trPr>
        <w:tc>
          <w:tcPr>
            <w:tcW w:w="2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051972"/>
              </w:rPr>
              <w:t>Ended</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560" w:type="dxa"/>
            <w:vAlign w:val="bottom"/>
          </w:tcPr>
          <w:p>
            <w:pPr>
              <w:jc w:val="center"/>
              <w:ind w:left="173"/>
              <w:spacing w:after="0" w:line="144" w:lineRule="exact"/>
              <w:rPr>
                <w:sz w:val="20"/>
                <w:szCs w:val="20"/>
                <w:color w:val="auto"/>
              </w:rPr>
            </w:pPr>
            <w:r>
              <w:rPr>
                <w:rFonts w:ascii="Arial" w:cs="Arial" w:eastAsia="Arial" w:hAnsi="Arial"/>
                <w:sz w:val="13"/>
                <w:szCs w:val="13"/>
                <w:b w:val="1"/>
                <w:bCs w:val="1"/>
                <w:color w:val="051972"/>
                <w:w w:val="93"/>
              </w:rPr>
              <w:t>Awards</w:t>
            </w:r>
            <w:r>
              <w:rPr>
                <w:rFonts w:ascii="Arial" w:cs="Arial" w:eastAsia="Arial" w:hAnsi="Arial"/>
                <w:sz w:val="16"/>
                <w:szCs w:val="16"/>
                <w:b w:val="1"/>
                <w:bCs w:val="1"/>
                <w:color w:val="051972"/>
                <w:w w:val="93"/>
                <w:vertAlign w:val="superscript"/>
              </w:rPr>
              <w:t>(2)</w:t>
            </w: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051972"/>
                <w:w w:val="93"/>
              </w:rPr>
              <w:t>Awards</w:t>
            </w:r>
            <w:r>
              <w:rPr>
                <w:rFonts w:ascii="Arial" w:cs="Arial" w:eastAsia="Arial" w:hAnsi="Arial"/>
                <w:sz w:val="16"/>
                <w:szCs w:val="16"/>
                <w:b w:val="1"/>
                <w:bCs w:val="1"/>
                <w:color w:val="051972"/>
                <w:w w:val="93"/>
                <w:vertAlign w:val="superscript"/>
              </w:rPr>
              <w:t>(3)</w:t>
            </w:r>
          </w:p>
        </w:tc>
        <w:tc>
          <w:tcPr>
            <w:tcW w:w="1420" w:type="dxa"/>
            <w:vAlign w:val="bottom"/>
          </w:tcPr>
          <w:p>
            <w:pPr>
              <w:jc w:val="center"/>
              <w:spacing w:after="0" w:line="144" w:lineRule="exact"/>
              <w:rPr>
                <w:sz w:val="20"/>
                <w:szCs w:val="20"/>
                <w:color w:val="auto"/>
              </w:rPr>
            </w:pPr>
            <w:r>
              <w:rPr>
                <w:rFonts w:ascii="Arial" w:cs="Arial" w:eastAsia="Arial" w:hAnsi="Arial"/>
                <w:sz w:val="13"/>
                <w:szCs w:val="13"/>
                <w:b w:val="1"/>
                <w:bCs w:val="1"/>
                <w:color w:val="051972"/>
                <w:w w:val="94"/>
              </w:rPr>
              <w:t>Compensation</w:t>
            </w:r>
            <w:r>
              <w:rPr>
                <w:rFonts w:ascii="Arial" w:cs="Arial" w:eastAsia="Arial" w:hAnsi="Arial"/>
                <w:sz w:val="16"/>
                <w:szCs w:val="16"/>
                <w:b w:val="1"/>
                <w:bCs w:val="1"/>
                <w:color w:val="051972"/>
                <w:w w:val="94"/>
                <w:vertAlign w:val="superscript"/>
              </w:rPr>
              <w:t>(4)</w:t>
            </w:r>
          </w:p>
        </w:tc>
        <w:tc>
          <w:tcPr>
            <w:tcW w:w="1100" w:type="dxa"/>
            <w:vAlign w:val="bottom"/>
          </w:tcPr>
          <w:p>
            <w:pPr>
              <w:jc w:val="center"/>
              <w:spacing w:after="0" w:line="144" w:lineRule="exact"/>
              <w:rPr>
                <w:sz w:val="20"/>
                <w:szCs w:val="20"/>
                <w:color w:val="auto"/>
              </w:rPr>
            </w:pPr>
            <w:r>
              <w:rPr>
                <w:rFonts w:ascii="Arial" w:cs="Arial" w:eastAsia="Arial" w:hAnsi="Arial"/>
                <w:sz w:val="13"/>
                <w:szCs w:val="13"/>
                <w:b w:val="1"/>
                <w:bCs w:val="1"/>
                <w:color w:val="051972"/>
                <w:w w:val="93"/>
              </w:rPr>
              <w:t>sation</w:t>
            </w:r>
            <w:r>
              <w:rPr>
                <w:rFonts w:ascii="Arial" w:cs="Arial" w:eastAsia="Arial" w:hAnsi="Arial"/>
                <w:sz w:val="16"/>
                <w:szCs w:val="16"/>
                <w:b w:val="1"/>
                <w:bCs w:val="1"/>
                <w:color w:val="051972"/>
                <w:w w:val="93"/>
                <w:vertAlign w:val="superscript"/>
              </w:rPr>
              <w:t>(5)</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940" w:type="dxa"/>
            <w:vAlign w:val="bottom"/>
          </w:tcPr>
          <w:p>
            <w:pPr>
              <w:ind w:left="20"/>
              <w:spacing w:after="0"/>
              <w:rPr>
                <w:sz w:val="20"/>
                <w:szCs w:val="20"/>
                <w:color w:val="auto"/>
              </w:rPr>
            </w:pPr>
            <w:r>
              <w:rPr>
                <w:rFonts w:ascii="Arial" w:cs="Arial" w:eastAsia="Arial" w:hAnsi="Arial"/>
                <w:sz w:val="13"/>
                <w:szCs w:val="13"/>
                <w:b w:val="1"/>
                <w:bCs w:val="1"/>
                <w:color w:val="051972"/>
              </w:rPr>
              <w:t>Position</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051972"/>
                <w:w w:val="96"/>
              </w:rPr>
              <w:t>March 31,</w:t>
            </w:r>
          </w:p>
        </w:tc>
        <w:tc>
          <w:tcPr>
            <w:tcW w:w="960" w:type="dxa"/>
            <w:vAlign w:val="bottom"/>
            <w:gridSpan w:val="2"/>
          </w:tcPr>
          <w:p>
            <w:pPr>
              <w:jc w:val="right"/>
              <w:ind w:right="174"/>
              <w:spacing w:after="0"/>
              <w:rPr>
                <w:sz w:val="20"/>
                <w:szCs w:val="20"/>
                <w:color w:val="auto"/>
              </w:rPr>
            </w:pPr>
            <w:r>
              <w:rPr>
                <w:rFonts w:ascii="Arial" w:cs="Arial" w:eastAsia="Arial" w:hAnsi="Arial"/>
                <w:sz w:val="13"/>
                <w:szCs w:val="13"/>
                <w:b w:val="1"/>
                <w:bCs w:val="1"/>
                <w:color w:val="051972"/>
              </w:rPr>
              <w:t>($)</w:t>
            </w:r>
          </w:p>
        </w:tc>
        <w:tc>
          <w:tcPr>
            <w:tcW w:w="1560" w:type="dxa"/>
            <w:vAlign w:val="bottom"/>
          </w:tcPr>
          <w:p>
            <w:pPr>
              <w:jc w:val="center"/>
              <w:ind w:left="173"/>
              <w:spacing w:after="0"/>
              <w:rPr>
                <w:sz w:val="20"/>
                <w:szCs w:val="20"/>
                <w:color w:val="auto"/>
              </w:rPr>
            </w:pPr>
            <w:r>
              <w:rPr>
                <w:rFonts w:ascii="Arial" w:cs="Arial" w:eastAsia="Arial" w:hAnsi="Arial"/>
                <w:sz w:val="13"/>
                <w:szCs w:val="13"/>
                <w:b w:val="1"/>
                <w:bCs w:val="1"/>
                <w:color w:val="051972"/>
              </w:rPr>
              <w:t>($)</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051972"/>
              </w:rPr>
              <w:t>($)</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051972"/>
              </w:rPr>
              <w:t>($)</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051972"/>
              </w:rPr>
              <w:t>($)</w:t>
            </w:r>
          </w:p>
        </w:tc>
        <w:tc>
          <w:tcPr>
            <w:tcW w:w="1120" w:type="dxa"/>
            <w:vAlign w:val="bottom"/>
          </w:tcPr>
          <w:p>
            <w:pPr>
              <w:jc w:val="right"/>
              <w:ind w:right="473"/>
              <w:spacing w:after="0"/>
              <w:rPr>
                <w:sz w:val="20"/>
                <w:szCs w:val="20"/>
                <w:color w:val="auto"/>
              </w:rPr>
            </w:pPr>
            <w:r>
              <w:rPr>
                <w:rFonts w:ascii="Arial" w:cs="Arial" w:eastAsia="Arial" w:hAnsi="Arial"/>
                <w:sz w:val="13"/>
                <w:szCs w:val="13"/>
                <w:b w:val="1"/>
                <w:bCs w:val="1"/>
                <w:color w:val="051972"/>
              </w:rPr>
              <w:t>($)</w:t>
            </w:r>
          </w:p>
        </w:tc>
        <w:tc>
          <w:tcPr>
            <w:tcW w:w="0" w:type="dxa"/>
            <w:vAlign w:val="bottom"/>
          </w:tcPr>
          <w:p>
            <w:pPr>
              <w:spacing w:after="0"/>
              <w:rPr>
                <w:sz w:val="1"/>
                <w:szCs w:val="1"/>
                <w:color w:val="auto"/>
              </w:rPr>
            </w:pPr>
          </w:p>
        </w:tc>
      </w:tr>
      <w:tr>
        <w:trPr>
          <w:trHeight w:val="22"/>
        </w:trPr>
        <w:tc>
          <w:tcPr>
            <w:tcW w:w="2940" w:type="dxa"/>
            <w:vAlign w:val="bottom"/>
            <w:tcBorders>
              <w:bottom w:val="single" w:sz="8" w:color="051972"/>
            </w:tcBorders>
          </w:tcPr>
          <w:p>
            <w:pPr>
              <w:spacing w:after="0" w:line="20" w:lineRule="exact"/>
              <w:rPr>
                <w:sz w:val="1"/>
                <w:szCs w:val="1"/>
                <w:color w:val="auto"/>
              </w:rPr>
            </w:pPr>
          </w:p>
        </w:tc>
        <w:tc>
          <w:tcPr>
            <w:tcW w:w="100" w:type="dxa"/>
            <w:vAlign w:val="bottom"/>
            <w:tcBorders>
              <w:bottom w:val="single" w:sz="8" w:color="051972"/>
            </w:tcBorders>
          </w:tcPr>
          <w:p>
            <w:pPr>
              <w:spacing w:after="0" w:line="20" w:lineRule="exact"/>
              <w:rPr>
                <w:sz w:val="1"/>
                <w:szCs w:val="1"/>
                <w:color w:val="auto"/>
              </w:rPr>
            </w:pPr>
          </w:p>
        </w:tc>
        <w:tc>
          <w:tcPr>
            <w:tcW w:w="880" w:type="dxa"/>
            <w:vAlign w:val="bottom"/>
            <w:tcBorders>
              <w:bottom w:val="single" w:sz="8" w:color="051972"/>
            </w:tcBorders>
          </w:tcPr>
          <w:p>
            <w:pPr>
              <w:spacing w:after="0" w:line="20" w:lineRule="exact"/>
              <w:rPr>
                <w:sz w:val="1"/>
                <w:szCs w:val="1"/>
                <w:color w:val="auto"/>
              </w:rPr>
            </w:pPr>
          </w:p>
        </w:tc>
        <w:tc>
          <w:tcPr>
            <w:tcW w:w="120" w:type="dxa"/>
            <w:vAlign w:val="bottom"/>
            <w:tcBorders>
              <w:bottom w:val="single" w:sz="8" w:color="051972"/>
            </w:tcBorders>
          </w:tcPr>
          <w:p>
            <w:pPr>
              <w:spacing w:after="0" w:line="20" w:lineRule="exact"/>
              <w:rPr>
                <w:sz w:val="1"/>
                <w:szCs w:val="1"/>
                <w:color w:val="auto"/>
              </w:rPr>
            </w:pPr>
          </w:p>
        </w:tc>
        <w:tc>
          <w:tcPr>
            <w:tcW w:w="840" w:type="dxa"/>
            <w:vAlign w:val="bottom"/>
            <w:tcBorders>
              <w:bottom w:val="single" w:sz="8" w:color="051972"/>
            </w:tcBorders>
          </w:tcPr>
          <w:p>
            <w:pPr>
              <w:spacing w:after="0" w:line="20" w:lineRule="exact"/>
              <w:rPr>
                <w:sz w:val="1"/>
                <w:szCs w:val="1"/>
                <w:color w:val="auto"/>
              </w:rPr>
            </w:pPr>
          </w:p>
        </w:tc>
        <w:tc>
          <w:tcPr>
            <w:tcW w:w="1560" w:type="dxa"/>
            <w:vAlign w:val="bottom"/>
            <w:tcBorders>
              <w:bottom w:val="single" w:sz="8" w:color="051972"/>
            </w:tcBorders>
          </w:tcPr>
          <w:p>
            <w:pPr>
              <w:spacing w:after="0" w:line="20" w:lineRule="exact"/>
              <w:rPr>
                <w:sz w:val="1"/>
                <w:szCs w:val="1"/>
                <w:color w:val="auto"/>
              </w:rPr>
            </w:pPr>
          </w:p>
        </w:tc>
        <w:tc>
          <w:tcPr>
            <w:tcW w:w="1160" w:type="dxa"/>
            <w:vAlign w:val="bottom"/>
            <w:tcBorders>
              <w:bottom w:val="single" w:sz="8" w:color="051972"/>
            </w:tcBorders>
          </w:tcPr>
          <w:p>
            <w:pPr>
              <w:spacing w:after="0" w:line="20" w:lineRule="exact"/>
              <w:rPr>
                <w:sz w:val="1"/>
                <w:szCs w:val="1"/>
                <w:color w:val="auto"/>
              </w:rPr>
            </w:pPr>
          </w:p>
        </w:tc>
        <w:tc>
          <w:tcPr>
            <w:tcW w:w="1420" w:type="dxa"/>
            <w:vAlign w:val="bottom"/>
            <w:tcBorders>
              <w:bottom w:val="single" w:sz="8" w:color="051972"/>
            </w:tcBorders>
          </w:tcPr>
          <w:p>
            <w:pPr>
              <w:spacing w:after="0" w:line="20" w:lineRule="exact"/>
              <w:rPr>
                <w:sz w:val="1"/>
                <w:szCs w:val="1"/>
                <w:color w:val="auto"/>
              </w:rPr>
            </w:pPr>
          </w:p>
        </w:tc>
        <w:tc>
          <w:tcPr>
            <w:tcW w:w="1100" w:type="dxa"/>
            <w:vAlign w:val="bottom"/>
            <w:tcBorders>
              <w:bottom w:val="single" w:sz="8" w:color="051972"/>
            </w:tcBorders>
          </w:tcPr>
          <w:p>
            <w:pPr>
              <w:spacing w:after="0" w:line="20" w:lineRule="exact"/>
              <w:rPr>
                <w:sz w:val="1"/>
                <w:szCs w:val="1"/>
                <w:color w:val="auto"/>
              </w:rPr>
            </w:pPr>
          </w:p>
        </w:tc>
        <w:tc>
          <w:tcPr>
            <w:tcW w:w="1120" w:type="dxa"/>
            <w:vAlign w:val="bottom"/>
            <w:tcBorders>
              <w:bottom w:val="single" w:sz="8" w:color="0519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2940" w:type="dxa"/>
            <w:vAlign w:val="bottom"/>
            <w:shd w:val="clear" w:color="auto" w:fill="E7E7E8"/>
          </w:tcPr>
          <w:p>
            <w:pPr>
              <w:ind w:left="40"/>
              <w:spacing w:after="0"/>
              <w:rPr>
                <w:sz w:val="20"/>
                <w:szCs w:val="20"/>
                <w:color w:val="auto"/>
              </w:rPr>
            </w:pPr>
            <w:r>
              <w:rPr>
                <w:rFonts w:ascii="Arial" w:cs="Arial" w:eastAsia="Arial" w:hAnsi="Arial"/>
                <w:sz w:val="13"/>
                <w:szCs w:val="13"/>
                <w:color w:val="auto"/>
              </w:rPr>
              <w:t>Michael R. Haack</w:t>
            </w:r>
          </w:p>
        </w:tc>
        <w:tc>
          <w:tcPr>
            <w:tcW w:w="100" w:type="dxa"/>
            <w:vAlign w:val="bottom"/>
            <w:shd w:val="clear" w:color="auto" w:fill="E7E7E8"/>
          </w:tcPr>
          <w:p>
            <w:pPr>
              <w:spacing w:after="0"/>
              <w:rPr>
                <w:sz w:val="14"/>
                <w:szCs w:val="14"/>
                <w:color w:val="auto"/>
              </w:rPr>
            </w:pPr>
          </w:p>
        </w:tc>
        <w:tc>
          <w:tcPr>
            <w:tcW w:w="88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2025</w:t>
            </w:r>
          </w:p>
        </w:tc>
        <w:tc>
          <w:tcPr>
            <w:tcW w:w="960" w:type="dxa"/>
            <w:vAlign w:val="bottom"/>
            <w:gridSpan w:val="2"/>
            <w:shd w:val="clear" w:color="auto" w:fill="E7E7E8"/>
          </w:tcPr>
          <w:p>
            <w:pPr>
              <w:jc w:val="right"/>
              <w:spacing w:after="0"/>
              <w:rPr>
                <w:sz w:val="20"/>
                <w:szCs w:val="20"/>
                <w:color w:val="auto"/>
              </w:rPr>
            </w:pPr>
            <w:r>
              <w:rPr>
                <w:rFonts w:ascii="Arial" w:cs="Arial" w:eastAsia="Arial" w:hAnsi="Arial"/>
                <w:sz w:val="13"/>
                <w:szCs w:val="13"/>
                <w:color w:val="auto"/>
              </w:rPr>
              <w:t>1,081,600</w:t>
            </w:r>
          </w:p>
        </w:tc>
        <w:tc>
          <w:tcPr>
            <w:tcW w:w="156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6,888,323</w:t>
            </w:r>
          </w:p>
        </w:tc>
        <w:tc>
          <w:tcPr>
            <w:tcW w:w="116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shd w:val="clear" w:color="auto" w:fill="E7E7E8"/>
          </w:tcPr>
          <w:p>
            <w:pPr>
              <w:jc w:val="right"/>
              <w:ind w:right="254"/>
              <w:spacing w:after="0"/>
              <w:rPr>
                <w:sz w:val="20"/>
                <w:szCs w:val="20"/>
                <w:color w:val="auto"/>
              </w:rPr>
            </w:pPr>
            <w:r>
              <w:rPr>
                <w:rFonts w:ascii="Arial" w:cs="Arial" w:eastAsia="Arial" w:hAnsi="Arial"/>
                <w:sz w:val="13"/>
                <w:szCs w:val="13"/>
                <w:color w:val="auto"/>
              </w:rPr>
              <w:t>1,945,515</w:t>
            </w:r>
          </w:p>
        </w:tc>
        <w:tc>
          <w:tcPr>
            <w:tcW w:w="1100" w:type="dxa"/>
            <w:vAlign w:val="bottom"/>
            <w:shd w:val="clear" w:color="auto" w:fill="E7E7E8"/>
          </w:tcPr>
          <w:p>
            <w:pPr>
              <w:jc w:val="right"/>
              <w:ind w:right="334"/>
              <w:spacing w:after="0"/>
              <w:rPr>
                <w:sz w:val="20"/>
                <w:szCs w:val="20"/>
                <w:color w:val="auto"/>
              </w:rPr>
            </w:pPr>
            <w:r>
              <w:rPr>
                <w:rFonts w:ascii="Arial" w:cs="Arial" w:eastAsia="Arial" w:hAnsi="Arial"/>
                <w:sz w:val="13"/>
                <w:szCs w:val="13"/>
                <w:color w:val="auto"/>
              </w:rPr>
              <w:t>115,597</w:t>
            </w:r>
          </w:p>
        </w:tc>
        <w:tc>
          <w:tcPr>
            <w:tcW w:w="112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10,031,035</w:t>
            </w:r>
          </w:p>
        </w:tc>
        <w:tc>
          <w:tcPr>
            <w:tcW w:w="0" w:type="dxa"/>
            <w:vAlign w:val="bottom"/>
          </w:tcPr>
          <w:p>
            <w:pPr>
              <w:spacing w:after="0"/>
              <w:rPr>
                <w:sz w:val="1"/>
                <w:szCs w:val="1"/>
                <w:color w:val="auto"/>
              </w:rPr>
            </w:pPr>
          </w:p>
        </w:tc>
      </w:tr>
      <w:tr>
        <w:trPr>
          <w:trHeight w:val="149"/>
        </w:trPr>
        <w:tc>
          <w:tcPr>
            <w:tcW w:w="2940" w:type="dxa"/>
            <w:vAlign w:val="bottom"/>
            <w:shd w:val="clear" w:color="auto" w:fill="E7E7E8"/>
          </w:tcPr>
          <w:p>
            <w:pPr>
              <w:ind w:left="80"/>
              <w:spacing w:after="0"/>
              <w:rPr>
                <w:sz w:val="20"/>
                <w:szCs w:val="20"/>
                <w:color w:val="auto"/>
              </w:rPr>
            </w:pPr>
            <w:r>
              <w:rPr>
                <w:rFonts w:ascii="Arial" w:cs="Arial" w:eastAsia="Arial" w:hAnsi="Arial"/>
                <w:sz w:val="13"/>
                <w:szCs w:val="13"/>
                <w:i w:val="1"/>
                <w:iCs w:val="1"/>
                <w:color w:val="auto"/>
              </w:rPr>
              <w:t>President and Chief</w:t>
            </w:r>
          </w:p>
        </w:tc>
        <w:tc>
          <w:tcPr>
            <w:tcW w:w="100" w:type="dxa"/>
            <w:vAlign w:val="bottom"/>
            <w:shd w:val="clear" w:color="auto" w:fill="E7E7E8"/>
          </w:tcPr>
          <w:p>
            <w:pPr>
              <w:spacing w:after="0"/>
              <w:rPr>
                <w:sz w:val="12"/>
                <w:szCs w:val="12"/>
                <w:color w:val="auto"/>
              </w:rPr>
            </w:pPr>
          </w:p>
        </w:tc>
        <w:tc>
          <w:tcPr>
            <w:tcW w:w="88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2024</w:t>
            </w:r>
          </w:p>
        </w:tc>
        <w:tc>
          <w:tcPr>
            <w:tcW w:w="960" w:type="dxa"/>
            <w:vAlign w:val="bottom"/>
            <w:gridSpan w:val="2"/>
            <w:shd w:val="clear" w:color="auto" w:fill="E7E7E8"/>
          </w:tcPr>
          <w:p>
            <w:pPr>
              <w:jc w:val="right"/>
              <w:spacing w:after="0"/>
              <w:rPr>
                <w:sz w:val="20"/>
                <w:szCs w:val="20"/>
                <w:color w:val="auto"/>
              </w:rPr>
            </w:pPr>
            <w:r>
              <w:rPr>
                <w:rFonts w:ascii="Arial" w:cs="Arial" w:eastAsia="Arial" w:hAnsi="Arial"/>
                <w:sz w:val="13"/>
                <w:szCs w:val="13"/>
                <w:color w:val="auto"/>
              </w:rPr>
              <w:t>1,040,000</w:t>
            </w:r>
          </w:p>
        </w:tc>
        <w:tc>
          <w:tcPr>
            <w:tcW w:w="156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5,208,137</w:t>
            </w:r>
          </w:p>
        </w:tc>
        <w:tc>
          <w:tcPr>
            <w:tcW w:w="116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shd w:val="clear" w:color="auto" w:fill="E7E7E8"/>
          </w:tcPr>
          <w:p>
            <w:pPr>
              <w:jc w:val="right"/>
              <w:ind w:right="254"/>
              <w:spacing w:after="0"/>
              <w:rPr>
                <w:sz w:val="20"/>
                <w:szCs w:val="20"/>
                <w:color w:val="auto"/>
              </w:rPr>
            </w:pPr>
            <w:r>
              <w:rPr>
                <w:rFonts w:ascii="Arial" w:cs="Arial" w:eastAsia="Arial" w:hAnsi="Arial"/>
                <w:sz w:val="13"/>
                <w:szCs w:val="13"/>
                <w:color w:val="auto"/>
              </w:rPr>
              <w:t>2,107,341</w:t>
            </w:r>
          </w:p>
        </w:tc>
        <w:tc>
          <w:tcPr>
            <w:tcW w:w="1100" w:type="dxa"/>
            <w:vAlign w:val="bottom"/>
            <w:shd w:val="clear" w:color="auto" w:fill="E7E7E8"/>
          </w:tcPr>
          <w:p>
            <w:pPr>
              <w:jc w:val="right"/>
              <w:ind w:right="334"/>
              <w:spacing w:after="0"/>
              <w:rPr>
                <w:sz w:val="20"/>
                <w:szCs w:val="20"/>
                <w:color w:val="auto"/>
              </w:rPr>
            </w:pPr>
            <w:r>
              <w:rPr>
                <w:rFonts w:ascii="Arial" w:cs="Arial" w:eastAsia="Arial" w:hAnsi="Arial"/>
                <w:sz w:val="13"/>
                <w:szCs w:val="13"/>
                <w:color w:val="auto"/>
              </w:rPr>
              <w:t>108,736</w:t>
            </w:r>
          </w:p>
        </w:tc>
        <w:tc>
          <w:tcPr>
            <w:tcW w:w="112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8,464,214</w:t>
            </w:r>
          </w:p>
        </w:tc>
        <w:tc>
          <w:tcPr>
            <w:tcW w:w="0" w:type="dxa"/>
            <w:vAlign w:val="bottom"/>
          </w:tcPr>
          <w:p>
            <w:pPr>
              <w:spacing w:after="0"/>
              <w:rPr>
                <w:sz w:val="1"/>
                <w:szCs w:val="1"/>
                <w:color w:val="auto"/>
              </w:rPr>
            </w:pPr>
          </w:p>
        </w:tc>
      </w:tr>
      <w:tr>
        <w:trPr>
          <w:trHeight w:val="182"/>
        </w:trPr>
        <w:tc>
          <w:tcPr>
            <w:tcW w:w="294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3"/>
                <w:szCs w:val="13"/>
                <w:i w:val="1"/>
                <w:iCs w:val="1"/>
                <w:color w:val="auto"/>
              </w:rPr>
              <w:t>Executive Officer</w:t>
            </w:r>
          </w:p>
        </w:tc>
        <w:tc>
          <w:tcPr>
            <w:tcW w:w="100" w:type="dxa"/>
            <w:vAlign w:val="bottom"/>
            <w:tcBorders>
              <w:bottom w:val="single" w:sz="8" w:color="E7E7E8"/>
            </w:tcBorders>
            <w:shd w:val="clear" w:color="auto" w:fill="E7E7E8"/>
          </w:tcPr>
          <w:p>
            <w:pPr>
              <w:spacing w:after="0"/>
              <w:rPr>
                <w:sz w:val="15"/>
                <w:szCs w:val="15"/>
                <w:color w:val="auto"/>
              </w:rPr>
            </w:pPr>
          </w:p>
        </w:tc>
        <w:tc>
          <w:tcPr>
            <w:tcW w:w="88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3"/>
                <w:szCs w:val="13"/>
                <w:color w:val="auto"/>
              </w:rPr>
              <w:t>2023</w:t>
            </w:r>
          </w:p>
        </w:tc>
        <w:tc>
          <w:tcPr>
            <w:tcW w:w="120" w:type="dxa"/>
            <w:vAlign w:val="bottom"/>
            <w:tcBorders>
              <w:bottom w:val="single" w:sz="8" w:color="E7E7E8"/>
            </w:tcBorders>
            <w:shd w:val="clear" w:color="auto" w:fill="E7E7E8"/>
          </w:tcPr>
          <w:p>
            <w:pPr>
              <w:spacing w:after="0"/>
              <w:rPr>
                <w:sz w:val="15"/>
                <w:szCs w:val="15"/>
                <w:color w:val="auto"/>
              </w:rPr>
            </w:pPr>
          </w:p>
        </w:tc>
        <w:tc>
          <w:tcPr>
            <w:tcW w:w="840" w:type="dxa"/>
            <w:vAlign w:val="bottom"/>
            <w:tcBorders>
              <w:bottom w:val="single" w:sz="8" w:color="E7E7E8"/>
            </w:tcBorders>
            <w:shd w:val="clear" w:color="auto" w:fill="E7E7E8"/>
          </w:tcPr>
          <w:p>
            <w:pPr>
              <w:jc w:val="right"/>
              <w:spacing w:after="0"/>
              <w:rPr>
                <w:sz w:val="20"/>
                <w:szCs w:val="20"/>
                <w:color w:val="auto"/>
              </w:rPr>
            </w:pPr>
            <w:r>
              <w:rPr>
                <w:rFonts w:ascii="Arial" w:cs="Arial" w:eastAsia="Arial" w:hAnsi="Arial"/>
                <w:sz w:val="13"/>
                <w:szCs w:val="13"/>
                <w:color w:val="auto"/>
              </w:rPr>
              <w:t>1,000,000</w:t>
            </w:r>
          </w:p>
        </w:tc>
        <w:tc>
          <w:tcPr>
            <w:tcW w:w="1560" w:type="dxa"/>
            <w:vAlign w:val="bottom"/>
            <w:tcBorders>
              <w:bottom w:val="single" w:sz="8" w:color="E7E7E8"/>
            </w:tcBorders>
            <w:shd w:val="clear" w:color="auto" w:fill="E7E7E8"/>
          </w:tcPr>
          <w:p>
            <w:pPr>
              <w:jc w:val="right"/>
              <w:ind w:right="253"/>
              <w:spacing w:after="0"/>
              <w:rPr>
                <w:sz w:val="20"/>
                <w:szCs w:val="20"/>
                <w:color w:val="auto"/>
              </w:rPr>
            </w:pPr>
            <w:r>
              <w:rPr>
                <w:rFonts w:ascii="Arial" w:cs="Arial" w:eastAsia="Arial" w:hAnsi="Arial"/>
                <w:sz w:val="13"/>
                <w:szCs w:val="13"/>
                <w:color w:val="auto"/>
              </w:rPr>
              <w:t>3,662,008</w:t>
            </w:r>
          </w:p>
        </w:tc>
        <w:tc>
          <w:tcPr>
            <w:tcW w:w="1160" w:type="dxa"/>
            <w:vAlign w:val="bottom"/>
            <w:tcBorders>
              <w:bottom w:val="single" w:sz="8" w:color="E7E7E8"/>
            </w:tcBorders>
            <w:shd w:val="clear" w:color="auto" w:fill="E7E7E8"/>
          </w:tcPr>
          <w:p>
            <w:pPr>
              <w:jc w:val="right"/>
              <w:ind w:right="153"/>
              <w:spacing w:after="0"/>
              <w:rPr>
                <w:sz w:val="20"/>
                <w:szCs w:val="20"/>
                <w:color w:val="auto"/>
              </w:rPr>
            </w:pPr>
            <w:r>
              <w:rPr>
                <w:rFonts w:ascii="Arial" w:cs="Arial" w:eastAsia="Arial" w:hAnsi="Arial"/>
                <w:sz w:val="13"/>
                <w:szCs w:val="13"/>
                <w:color w:val="auto"/>
              </w:rPr>
              <w:t>1,220,697</w:t>
            </w:r>
          </w:p>
        </w:tc>
        <w:tc>
          <w:tcPr>
            <w:tcW w:w="1420" w:type="dxa"/>
            <w:vAlign w:val="bottom"/>
            <w:tcBorders>
              <w:bottom w:val="single" w:sz="8" w:color="E7E7E8"/>
            </w:tcBorders>
            <w:shd w:val="clear" w:color="auto" w:fill="E7E7E8"/>
          </w:tcPr>
          <w:p>
            <w:pPr>
              <w:jc w:val="right"/>
              <w:ind w:right="254"/>
              <w:spacing w:after="0"/>
              <w:rPr>
                <w:sz w:val="20"/>
                <w:szCs w:val="20"/>
                <w:color w:val="auto"/>
              </w:rPr>
            </w:pPr>
            <w:r>
              <w:rPr>
                <w:rFonts w:ascii="Arial" w:cs="Arial" w:eastAsia="Arial" w:hAnsi="Arial"/>
                <w:sz w:val="13"/>
                <w:szCs w:val="13"/>
                <w:color w:val="auto"/>
              </w:rPr>
              <w:t>2,012,014</w:t>
            </w:r>
          </w:p>
        </w:tc>
        <w:tc>
          <w:tcPr>
            <w:tcW w:w="1100" w:type="dxa"/>
            <w:vAlign w:val="bottom"/>
            <w:tcBorders>
              <w:bottom w:val="single" w:sz="8" w:color="E7E7E8"/>
            </w:tcBorders>
            <w:shd w:val="clear" w:color="auto" w:fill="E7E7E8"/>
          </w:tcPr>
          <w:p>
            <w:pPr>
              <w:jc w:val="right"/>
              <w:ind w:right="334"/>
              <w:spacing w:after="0"/>
              <w:rPr>
                <w:sz w:val="20"/>
                <w:szCs w:val="20"/>
                <w:color w:val="auto"/>
              </w:rPr>
            </w:pPr>
            <w:r>
              <w:rPr>
                <w:rFonts w:ascii="Arial" w:cs="Arial" w:eastAsia="Arial" w:hAnsi="Arial"/>
                <w:sz w:val="13"/>
                <w:szCs w:val="13"/>
                <w:color w:val="auto"/>
              </w:rPr>
              <w:t>102,774</w:t>
            </w:r>
          </w:p>
        </w:tc>
        <w:tc>
          <w:tcPr>
            <w:tcW w:w="1120" w:type="dxa"/>
            <w:vAlign w:val="bottom"/>
            <w:tcBorders>
              <w:bottom w:val="single" w:sz="8" w:color="E7E7E8"/>
            </w:tcBorders>
            <w:shd w:val="clear" w:color="auto" w:fill="E7E7E8"/>
          </w:tcPr>
          <w:p>
            <w:pPr>
              <w:jc w:val="right"/>
              <w:ind w:right="73"/>
              <w:spacing w:after="0"/>
              <w:rPr>
                <w:sz w:val="20"/>
                <w:szCs w:val="20"/>
                <w:color w:val="auto"/>
              </w:rPr>
            </w:pPr>
            <w:r>
              <w:rPr>
                <w:rFonts w:ascii="Arial" w:cs="Arial" w:eastAsia="Arial" w:hAnsi="Arial"/>
                <w:sz w:val="13"/>
                <w:szCs w:val="13"/>
                <w:color w:val="auto"/>
              </w:rPr>
              <w:t>7,997,493</w:t>
            </w:r>
          </w:p>
        </w:tc>
        <w:tc>
          <w:tcPr>
            <w:tcW w:w="0" w:type="dxa"/>
            <w:vAlign w:val="bottom"/>
          </w:tcPr>
          <w:p>
            <w:pPr>
              <w:spacing w:after="0"/>
              <w:rPr>
                <w:sz w:val="1"/>
                <w:szCs w:val="1"/>
                <w:color w:val="auto"/>
              </w:rPr>
            </w:pPr>
          </w:p>
        </w:tc>
      </w:tr>
      <w:tr>
        <w:trPr>
          <w:trHeight w:val="176"/>
        </w:trPr>
        <w:tc>
          <w:tcPr>
            <w:tcW w:w="2940" w:type="dxa"/>
            <w:vAlign w:val="bottom"/>
          </w:tcPr>
          <w:p>
            <w:pPr>
              <w:ind w:left="40"/>
              <w:spacing w:after="0"/>
              <w:rPr>
                <w:sz w:val="20"/>
                <w:szCs w:val="20"/>
                <w:color w:val="auto"/>
              </w:rPr>
            </w:pPr>
            <w:r>
              <w:rPr>
                <w:rFonts w:ascii="Arial" w:cs="Arial" w:eastAsia="Arial" w:hAnsi="Arial"/>
                <w:sz w:val="13"/>
                <w:szCs w:val="13"/>
                <w:color w:val="auto"/>
              </w:rPr>
              <w:t>D. Craig Kesler</w:t>
            </w:r>
          </w:p>
        </w:tc>
        <w:tc>
          <w:tcPr>
            <w:tcW w:w="980" w:type="dxa"/>
            <w:vAlign w:val="bottom"/>
            <w:gridSpan w:val="2"/>
          </w:tcPr>
          <w:p>
            <w:pPr>
              <w:jc w:val="center"/>
              <w:ind w:left="13"/>
              <w:spacing w:after="0"/>
              <w:rPr>
                <w:sz w:val="20"/>
                <w:szCs w:val="20"/>
                <w:color w:val="auto"/>
              </w:rPr>
            </w:pPr>
            <w:r>
              <w:rPr>
                <w:rFonts w:ascii="Arial" w:cs="Arial" w:eastAsia="Arial" w:hAnsi="Arial"/>
                <w:sz w:val="13"/>
                <w:szCs w:val="13"/>
                <w:color w:val="auto"/>
              </w:rPr>
              <w:t>2025</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613,600</w:t>
            </w:r>
          </w:p>
        </w:tc>
        <w:tc>
          <w:tcPr>
            <w:tcW w:w="1560" w:type="dxa"/>
            <w:vAlign w:val="bottom"/>
          </w:tcPr>
          <w:p>
            <w:pPr>
              <w:jc w:val="right"/>
              <w:ind w:right="253"/>
              <w:spacing w:after="0"/>
              <w:rPr>
                <w:sz w:val="20"/>
                <w:szCs w:val="20"/>
                <w:color w:val="auto"/>
              </w:rPr>
            </w:pPr>
            <w:r>
              <w:rPr>
                <w:rFonts w:ascii="Arial" w:cs="Arial" w:eastAsia="Arial" w:hAnsi="Arial"/>
                <w:sz w:val="13"/>
                <w:szCs w:val="13"/>
                <w:color w:val="auto"/>
              </w:rPr>
              <w:t>1,645,988</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254"/>
              <w:spacing w:after="0"/>
              <w:rPr>
                <w:sz w:val="20"/>
                <w:szCs w:val="20"/>
                <w:color w:val="auto"/>
              </w:rPr>
            </w:pPr>
            <w:r>
              <w:rPr>
                <w:rFonts w:ascii="Arial" w:cs="Arial" w:eastAsia="Arial" w:hAnsi="Arial"/>
                <w:sz w:val="13"/>
                <w:szCs w:val="13"/>
                <w:color w:val="auto"/>
              </w:rPr>
              <w:t>833,792</w:t>
            </w:r>
          </w:p>
        </w:tc>
        <w:tc>
          <w:tcPr>
            <w:tcW w:w="1100" w:type="dxa"/>
            <w:vAlign w:val="bottom"/>
          </w:tcPr>
          <w:p>
            <w:pPr>
              <w:jc w:val="right"/>
              <w:ind w:right="334"/>
              <w:spacing w:after="0"/>
              <w:rPr>
                <w:sz w:val="20"/>
                <w:szCs w:val="20"/>
                <w:color w:val="auto"/>
              </w:rPr>
            </w:pPr>
            <w:r>
              <w:rPr>
                <w:rFonts w:ascii="Arial" w:cs="Arial" w:eastAsia="Arial" w:hAnsi="Arial"/>
                <w:sz w:val="13"/>
                <w:szCs w:val="13"/>
                <w:color w:val="auto"/>
              </w:rPr>
              <w:t>67,466</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3,160,846</w:t>
            </w:r>
          </w:p>
        </w:tc>
        <w:tc>
          <w:tcPr>
            <w:tcW w:w="0" w:type="dxa"/>
            <w:vAlign w:val="bottom"/>
          </w:tcPr>
          <w:p>
            <w:pPr>
              <w:spacing w:after="0"/>
              <w:rPr>
                <w:sz w:val="1"/>
                <w:szCs w:val="1"/>
                <w:color w:val="auto"/>
              </w:rPr>
            </w:pPr>
          </w:p>
        </w:tc>
      </w:tr>
      <w:tr>
        <w:trPr>
          <w:trHeight w:val="148"/>
        </w:trPr>
        <w:tc>
          <w:tcPr>
            <w:tcW w:w="2940" w:type="dxa"/>
            <w:vAlign w:val="bottom"/>
          </w:tcPr>
          <w:p>
            <w:pPr>
              <w:ind w:left="80"/>
              <w:spacing w:after="0"/>
              <w:rPr>
                <w:sz w:val="20"/>
                <w:szCs w:val="20"/>
                <w:color w:val="auto"/>
              </w:rPr>
            </w:pPr>
            <w:r>
              <w:rPr>
                <w:rFonts w:ascii="Arial" w:cs="Arial" w:eastAsia="Arial" w:hAnsi="Arial"/>
                <w:sz w:val="13"/>
                <w:szCs w:val="13"/>
                <w:i w:val="1"/>
                <w:iCs w:val="1"/>
                <w:color w:val="auto"/>
              </w:rPr>
              <w:t>Executive Vice President -</w:t>
            </w:r>
          </w:p>
        </w:tc>
        <w:tc>
          <w:tcPr>
            <w:tcW w:w="980" w:type="dxa"/>
            <w:vAlign w:val="bottom"/>
            <w:gridSpan w:val="2"/>
          </w:tcPr>
          <w:p>
            <w:pPr>
              <w:jc w:val="center"/>
              <w:ind w:left="13"/>
              <w:spacing w:after="0"/>
              <w:rPr>
                <w:sz w:val="20"/>
                <w:szCs w:val="20"/>
                <w:color w:val="auto"/>
              </w:rPr>
            </w:pPr>
            <w:r>
              <w:rPr>
                <w:rFonts w:ascii="Arial" w:cs="Arial" w:eastAsia="Arial" w:hAnsi="Arial"/>
                <w:sz w:val="13"/>
                <w:szCs w:val="13"/>
                <w:color w:val="auto"/>
              </w:rPr>
              <w:t>2024</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590,000</w:t>
            </w:r>
          </w:p>
        </w:tc>
        <w:tc>
          <w:tcPr>
            <w:tcW w:w="1560" w:type="dxa"/>
            <w:vAlign w:val="bottom"/>
          </w:tcPr>
          <w:p>
            <w:pPr>
              <w:jc w:val="right"/>
              <w:ind w:right="253"/>
              <w:spacing w:after="0"/>
              <w:rPr>
                <w:sz w:val="20"/>
                <w:szCs w:val="20"/>
                <w:color w:val="auto"/>
              </w:rPr>
            </w:pPr>
            <w:r>
              <w:rPr>
                <w:rFonts w:ascii="Arial" w:cs="Arial" w:eastAsia="Arial" w:hAnsi="Arial"/>
                <w:sz w:val="13"/>
                <w:szCs w:val="13"/>
                <w:color w:val="auto"/>
              </w:rPr>
              <w:t>1,410,876</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254"/>
              <w:spacing w:after="0"/>
              <w:rPr>
                <w:sz w:val="20"/>
                <w:szCs w:val="20"/>
                <w:color w:val="auto"/>
              </w:rPr>
            </w:pPr>
            <w:r>
              <w:rPr>
                <w:rFonts w:ascii="Arial" w:cs="Arial" w:eastAsia="Arial" w:hAnsi="Arial"/>
                <w:sz w:val="13"/>
                <w:szCs w:val="13"/>
                <w:color w:val="auto"/>
              </w:rPr>
              <w:t>1,016,039</w:t>
            </w:r>
          </w:p>
        </w:tc>
        <w:tc>
          <w:tcPr>
            <w:tcW w:w="1100" w:type="dxa"/>
            <w:vAlign w:val="bottom"/>
          </w:tcPr>
          <w:p>
            <w:pPr>
              <w:jc w:val="right"/>
              <w:ind w:right="334"/>
              <w:spacing w:after="0"/>
              <w:rPr>
                <w:sz w:val="20"/>
                <w:szCs w:val="20"/>
                <w:color w:val="auto"/>
              </w:rPr>
            </w:pPr>
            <w:r>
              <w:rPr>
                <w:rFonts w:ascii="Arial" w:cs="Arial" w:eastAsia="Arial" w:hAnsi="Arial"/>
                <w:sz w:val="13"/>
                <w:szCs w:val="13"/>
                <w:color w:val="auto"/>
              </w:rPr>
              <w:t>62,703</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3,079,618</w:t>
            </w:r>
          </w:p>
        </w:tc>
        <w:tc>
          <w:tcPr>
            <w:tcW w:w="0" w:type="dxa"/>
            <w:vAlign w:val="bottom"/>
          </w:tcPr>
          <w:p>
            <w:pPr>
              <w:spacing w:after="0"/>
              <w:rPr>
                <w:sz w:val="1"/>
                <w:szCs w:val="1"/>
                <w:color w:val="auto"/>
              </w:rPr>
            </w:pPr>
          </w:p>
        </w:tc>
      </w:tr>
      <w:tr>
        <w:trPr>
          <w:trHeight w:val="149"/>
        </w:trPr>
        <w:tc>
          <w:tcPr>
            <w:tcW w:w="2940" w:type="dxa"/>
            <w:vAlign w:val="bottom"/>
          </w:tcPr>
          <w:p>
            <w:pPr>
              <w:ind w:left="80"/>
              <w:spacing w:after="0"/>
              <w:rPr>
                <w:sz w:val="20"/>
                <w:szCs w:val="20"/>
                <w:color w:val="auto"/>
              </w:rPr>
            </w:pPr>
            <w:r>
              <w:rPr>
                <w:rFonts w:ascii="Arial" w:cs="Arial" w:eastAsia="Arial" w:hAnsi="Arial"/>
                <w:sz w:val="13"/>
                <w:szCs w:val="13"/>
                <w:i w:val="1"/>
                <w:iCs w:val="1"/>
                <w:color w:val="auto"/>
              </w:rPr>
              <w:t>Finance and Administration</w:t>
            </w:r>
          </w:p>
        </w:tc>
        <w:tc>
          <w:tcPr>
            <w:tcW w:w="980" w:type="dxa"/>
            <w:vAlign w:val="bottom"/>
            <w:gridSpan w:val="2"/>
          </w:tcPr>
          <w:p>
            <w:pPr>
              <w:jc w:val="center"/>
              <w:ind w:left="13"/>
              <w:spacing w:after="0"/>
              <w:rPr>
                <w:sz w:val="20"/>
                <w:szCs w:val="20"/>
                <w:color w:val="auto"/>
              </w:rPr>
            </w:pPr>
            <w:r>
              <w:rPr>
                <w:rFonts w:ascii="Arial" w:cs="Arial" w:eastAsia="Arial" w:hAnsi="Arial"/>
                <w:sz w:val="13"/>
                <w:szCs w:val="13"/>
                <w:color w:val="auto"/>
              </w:rPr>
              <w:t>2023</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515,036</w:t>
            </w:r>
          </w:p>
        </w:tc>
        <w:tc>
          <w:tcPr>
            <w:tcW w:w="1560" w:type="dxa"/>
            <w:vAlign w:val="bottom"/>
          </w:tcPr>
          <w:p>
            <w:pPr>
              <w:jc w:val="right"/>
              <w:ind w:right="253"/>
              <w:spacing w:after="0"/>
              <w:rPr>
                <w:sz w:val="20"/>
                <w:szCs w:val="20"/>
                <w:color w:val="auto"/>
              </w:rPr>
            </w:pPr>
            <w:r>
              <w:rPr>
                <w:rFonts w:ascii="Arial" w:cs="Arial" w:eastAsia="Arial" w:hAnsi="Arial"/>
                <w:sz w:val="13"/>
                <w:szCs w:val="13"/>
                <w:color w:val="auto"/>
              </w:rPr>
              <w:t>813,974</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271,325</w:t>
            </w:r>
          </w:p>
        </w:tc>
        <w:tc>
          <w:tcPr>
            <w:tcW w:w="1420" w:type="dxa"/>
            <w:vAlign w:val="bottom"/>
          </w:tcPr>
          <w:p>
            <w:pPr>
              <w:jc w:val="right"/>
              <w:ind w:right="254"/>
              <w:spacing w:after="0"/>
              <w:rPr>
                <w:sz w:val="20"/>
                <w:szCs w:val="20"/>
                <w:color w:val="auto"/>
              </w:rPr>
            </w:pPr>
            <w:r>
              <w:rPr>
                <w:rFonts w:ascii="Arial" w:cs="Arial" w:eastAsia="Arial" w:hAnsi="Arial"/>
                <w:sz w:val="13"/>
                <w:szCs w:val="13"/>
                <w:color w:val="auto"/>
              </w:rPr>
              <w:t>1,257,509</w:t>
            </w:r>
          </w:p>
        </w:tc>
        <w:tc>
          <w:tcPr>
            <w:tcW w:w="1100" w:type="dxa"/>
            <w:vAlign w:val="bottom"/>
          </w:tcPr>
          <w:p>
            <w:pPr>
              <w:jc w:val="right"/>
              <w:ind w:right="334"/>
              <w:spacing w:after="0"/>
              <w:rPr>
                <w:sz w:val="20"/>
                <w:szCs w:val="20"/>
                <w:color w:val="auto"/>
              </w:rPr>
            </w:pPr>
            <w:r>
              <w:rPr>
                <w:rFonts w:ascii="Arial" w:cs="Arial" w:eastAsia="Arial" w:hAnsi="Arial"/>
                <w:sz w:val="13"/>
                <w:szCs w:val="13"/>
                <w:color w:val="auto"/>
              </w:rPr>
              <w:t>57,063</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2,914,907</w:t>
            </w:r>
          </w:p>
        </w:tc>
        <w:tc>
          <w:tcPr>
            <w:tcW w:w="0" w:type="dxa"/>
            <w:vAlign w:val="bottom"/>
          </w:tcPr>
          <w:p>
            <w:pPr>
              <w:spacing w:after="0"/>
              <w:rPr>
                <w:sz w:val="1"/>
                <w:szCs w:val="1"/>
                <w:color w:val="auto"/>
              </w:rPr>
            </w:pPr>
          </w:p>
        </w:tc>
      </w:tr>
      <w:tr>
        <w:trPr>
          <w:trHeight w:val="176"/>
        </w:trPr>
        <w:tc>
          <w:tcPr>
            <w:tcW w:w="2940" w:type="dxa"/>
            <w:vAlign w:val="bottom"/>
          </w:tcPr>
          <w:p>
            <w:pPr>
              <w:ind w:left="80"/>
              <w:spacing w:after="0"/>
              <w:rPr>
                <w:sz w:val="20"/>
                <w:szCs w:val="20"/>
                <w:color w:val="auto"/>
              </w:rPr>
            </w:pPr>
            <w:r>
              <w:rPr>
                <w:rFonts w:ascii="Arial" w:cs="Arial" w:eastAsia="Arial" w:hAnsi="Arial"/>
                <w:sz w:val="13"/>
                <w:szCs w:val="13"/>
                <w:i w:val="1"/>
                <w:iCs w:val="1"/>
                <w:color w:val="auto"/>
              </w:rPr>
              <w:t>&amp; Chief Financial Officer</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9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940" w:type="dxa"/>
            <w:vAlign w:val="bottom"/>
            <w:shd w:val="clear" w:color="auto" w:fill="E7E7E8"/>
          </w:tcPr>
          <w:p>
            <w:pPr>
              <w:ind w:left="40"/>
              <w:spacing w:after="0"/>
              <w:rPr>
                <w:sz w:val="20"/>
                <w:szCs w:val="20"/>
                <w:color w:val="auto"/>
              </w:rPr>
            </w:pPr>
            <w:r>
              <w:rPr>
                <w:rFonts w:ascii="Arial" w:cs="Arial" w:eastAsia="Arial" w:hAnsi="Arial"/>
                <w:sz w:val="13"/>
                <w:szCs w:val="13"/>
                <w:color w:val="auto"/>
              </w:rPr>
              <w:t>Matt Newby</w:t>
            </w:r>
          </w:p>
        </w:tc>
        <w:tc>
          <w:tcPr>
            <w:tcW w:w="100" w:type="dxa"/>
            <w:vAlign w:val="bottom"/>
            <w:shd w:val="clear" w:color="auto" w:fill="E7E7E8"/>
          </w:tcPr>
          <w:p>
            <w:pPr>
              <w:spacing w:after="0"/>
              <w:rPr>
                <w:sz w:val="15"/>
                <w:szCs w:val="15"/>
                <w:color w:val="auto"/>
              </w:rPr>
            </w:pPr>
          </w:p>
        </w:tc>
        <w:tc>
          <w:tcPr>
            <w:tcW w:w="88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2025</w:t>
            </w:r>
          </w:p>
        </w:tc>
        <w:tc>
          <w:tcPr>
            <w:tcW w:w="960" w:type="dxa"/>
            <w:vAlign w:val="bottom"/>
            <w:gridSpan w:val="2"/>
            <w:shd w:val="clear" w:color="auto" w:fill="E7E7E8"/>
          </w:tcPr>
          <w:p>
            <w:pPr>
              <w:jc w:val="right"/>
              <w:spacing w:after="0"/>
              <w:rPr>
                <w:sz w:val="20"/>
                <w:szCs w:val="20"/>
                <w:color w:val="auto"/>
              </w:rPr>
            </w:pPr>
            <w:r>
              <w:rPr>
                <w:rFonts w:ascii="Arial" w:cs="Arial" w:eastAsia="Arial" w:hAnsi="Arial"/>
                <w:sz w:val="13"/>
                <w:szCs w:val="13"/>
                <w:color w:val="auto"/>
              </w:rPr>
              <w:t>522,500</w:t>
            </w:r>
          </w:p>
        </w:tc>
        <w:tc>
          <w:tcPr>
            <w:tcW w:w="156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1,036,384</w:t>
            </w:r>
          </w:p>
        </w:tc>
        <w:tc>
          <w:tcPr>
            <w:tcW w:w="116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shd w:val="clear" w:color="auto" w:fill="E7E7E8"/>
          </w:tcPr>
          <w:p>
            <w:pPr>
              <w:jc w:val="right"/>
              <w:ind w:right="254"/>
              <w:spacing w:after="0"/>
              <w:rPr>
                <w:sz w:val="20"/>
                <w:szCs w:val="20"/>
                <w:color w:val="auto"/>
              </w:rPr>
            </w:pPr>
            <w:r>
              <w:rPr>
                <w:rFonts w:ascii="Arial" w:cs="Arial" w:eastAsia="Arial" w:hAnsi="Arial"/>
                <w:sz w:val="13"/>
                <w:szCs w:val="13"/>
                <w:color w:val="auto"/>
              </w:rPr>
              <w:t>486,379</w:t>
            </w:r>
          </w:p>
        </w:tc>
        <w:tc>
          <w:tcPr>
            <w:tcW w:w="1100" w:type="dxa"/>
            <w:vAlign w:val="bottom"/>
            <w:shd w:val="clear" w:color="auto" w:fill="E7E7E8"/>
          </w:tcPr>
          <w:p>
            <w:pPr>
              <w:jc w:val="right"/>
              <w:ind w:right="334"/>
              <w:spacing w:after="0"/>
              <w:rPr>
                <w:sz w:val="20"/>
                <w:szCs w:val="20"/>
                <w:color w:val="auto"/>
              </w:rPr>
            </w:pPr>
            <w:r>
              <w:rPr>
                <w:rFonts w:ascii="Arial" w:cs="Arial" w:eastAsia="Arial" w:hAnsi="Arial"/>
                <w:sz w:val="13"/>
                <w:szCs w:val="13"/>
                <w:color w:val="auto"/>
              </w:rPr>
              <w:t>57,376</w:t>
            </w:r>
          </w:p>
        </w:tc>
        <w:tc>
          <w:tcPr>
            <w:tcW w:w="112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2,102,639</w:t>
            </w:r>
          </w:p>
        </w:tc>
        <w:tc>
          <w:tcPr>
            <w:tcW w:w="0" w:type="dxa"/>
            <w:vAlign w:val="bottom"/>
          </w:tcPr>
          <w:p>
            <w:pPr>
              <w:spacing w:after="0"/>
              <w:rPr>
                <w:sz w:val="1"/>
                <w:szCs w:val="1"/>
                <w:color w:val="auto"/>
              </w:rPr>
            </w:pPr>
          </w:p>
        </w:tc>
      </w:tr>
      <w:tr>
        <w:trPr>
          <w:trHeight w:val="148"/>
        </w:trPr>
        <w:tc>
          <w:tcPr>
            <w:tcW w:w="2940" w:type="dxa"/>
            <w:vAlign w:val="bottom"/>
            <w:shd w:val="clear" w:color="auto" w:fill="E7E7E8"/>
          </w:tcPr>
          <w:p>
            <w:pPr>
              <w:ind w:left="80"/>
              <w:spacing w:after="0"/>
              <w:rPr>
                <w:sz w:val="20"/>
                <w:szCs w:val="20"/>
                <w:color w:val="auto"/>
              </w:rPr>
            </w:pPr>
            <w:r>
              <w:rPr>
                <w:rFonts w:ascii="Arial" w:cs="Arial" w:eastAsia="Arial" w:hAnsi="Arial"/>
                <w:sz w:val="13"/>
                <w:szCs w:val="13"/>
                <w:i w:val="1"/>
                <w:iCs w:val="1"/>
                <w:color w:val="auto"/>
              </w:rPr>
              <w:t>Executive Vice President</w:t>
            </w:r>
          </w:p>
        </w:tc>
        <w:tc>
          <w:tcPr>
            <w:tcW w:w="100" w:type="dxa"/>
            <w:vAlign w:val="bottom"/>
            <w:shd w:val="clear" w:color="auto" w:fill="E7E7E8"/>
          </w:tcPr>
          <w:p>
            <w:pPr>
              <w:spacing w:after="0"/>
              <w:rPr>
                <w:sz w:val="12"/>
                <w:szCs w:val="12"/>
                <w:color w:val="auto"/>
              </w:rPr>
            </w:pPr>
          </w:p>
        </w:tc>
        <w:tc>
          <w:tcPr>
            <w:tcW w:w="88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2024</w:t>
            </w:r>
          </w:p>
        </w:tc>
        <w:tc>
          <w:tcPr>
            <w:tcW w:w="960" w:type="dxa"/>
            <w:vAlign w:val="bottom"/>
            <w:gridSpan w:val="2"/>
            <w:shd w:val="clear" w:color="auto" w:fill="E7E7E8"/>
          </w:tcPr>
          <w:p>
            <w:pPr>
              <w:jc w:val="right"/>
              <w:spacing w:after="0"/>
              <w:rPr>
                <w:sz w:val="20"/>
                <w:szCs w:val="20"/>
                <w:color w:val="auto"/>
              </w:rPr>
            </w:pPr>
            <w:r>
              <w:rPr>
                <w:rFonts w:ascii="Arial" w:cs="Arial" w:eastAsia="Arial" w:hAnsi="Arial"/>
                <w:sz w:val="13"/>
                <w:szCs w:val="13"/>
                <w:color w:val="auto"/>
              </w:rPr>
              <w:t>475,000</w:t>
            </w:r>
          </w:p>
        </w:tc>
        <w:tc>
          <w:tcPr>
            <w:tcW w:w="156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813,990</w:t>
            </w:r>
          </w:p>
        </w:tc>
        <w:tc>
          <w:tcPr>
            <w:tcW w:w="116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shd w:val="clear" w:color="auto" w:fill="E7E7E8"/>
          </w:tcPr>
          <w:p>
            <w:pPr>
              <w:jc w:val="right"/>
              <w:ind w:right="254"/>
              <w:spacing w:after="0"/>
              <w:rPr>
                <w:sz w:val="20"/>
                <w:szCs w:val="20"/>
                <w:color w:val="auto"/>
              </w:rPr>
            </w:pPr>
            <w:r>
              <w:rPr>
                <w:rFonts w:ascii="Arial" w:cs="Arial" w:eastAsia="Arial" w:hAnsi="Arial"/>
                <w:sz w:val="13"/>
                <w:szCs w:val="13"/>
                <w:color w:val="auto"/>
              </w:rPr>
              <w:t>564,466</w:t>
            </w:r>
          </w:p>
        </w:tc>
        <w:tc>
          <w:tcPr>
            <w:tcW w:w="1100" w:type="dxa"/>
            <w:vAlign w:val="bottom"/>
            <w:shd w:val="clear" w:color="auto" w:fill="E7E7E8"/>
          </w:tcPr>
          <w:p>
            <w:pPr>
              <w:jc w:val="right"/>
              <w:ind w:right="334"/>
              <w:spacing w:after="0"/>
              <w:rPr>
                <w:sz w:val="20"/>
                <w:szCs w:val="20"/>
                <w:color w:val="auto"/>
              </w:rPr>
            </w:pPr>
            <w:r>
              <w:rPr>
                <w:rFonts w:ascii="Arial" w:cs="Arial" w:eastAsia="Arial" w:hAnsi="Arial"/>
                <w:sz w:val="13"/>
                <w:szCs w:val="13"/>
                <w:color w:val="auto"/>
              </w:rPr>
              <w:t>49,497</w:t>
            </w:r>
          </w:p>
        </w:tc>
        <w:tc>
          <w:tcPr>
            <w:tcW w:w="112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1,902,953</w:t>
            </w:r>
          </w:p>
        </w:tc>
        <w:tc>
          <w:tcPr>
            <w:tcW w:w="0" w:type="dxa"/>
            <w:vAlign w:val="bottom"/>
          </w:tcPr>
          <w:p>
            <w:pPr>
              <w:spacing w:after="0"/>
              <w:rPr>
                <w:sz w:val="1"/>
                <w:szCs w:val="1"/>
                <w:color w:val="auto"/>
              </w:rPr>
            </w:pPr>
          </w:p>
        </w:tc>
      </w:tr>
      <w:tr>
        <w:trPr>
          <w:trHeight w:val="149"/>
        </w:trPr>
        <w:tc>
          <w:tcPr>
            <w:tcW w:w="2940" w:type="dxa"/>
            <w:vAlign w:val="bottom"/>
            <w:shd w:val="clear" w:color="auto" w:fill="E7E7E8"/>
          </w:tcPr>
          <w:p>
            <w:pPr>
              <w:ind w:left="80"/>
              <w:spacing w:after="0"/>
              <w:rPr>
                <w:sz w:val="20"/>
                <w:szCs w:val="20"/>
                <w:color w:val="auto"/>
              </w:rPr>
            </w:pPr>
            <w:r>
              <w:rPr>
                <w:rFonts w:ascii="Arial" w:cs="Arial" w:eastAsia="Arial" w:hAnsi="Arial"/>
                <w:sz w:val="13"/>
                <w:szCs w:val="13"/>
                <w:i w:val="1"/>
                <w:iCs w:val="1"/>
                <w:color w:val="auto"/>
              </w:rPr>
              <w:t>General Counsel and</w:t>
            </w:r>
          </w:p>
        </w:tc>
        <w:tc>
          <w:tcPr>
            <w:tcW w:w="100" w:type="dxa"/>
            <w:vAlign w:val="bottom"/>
            <w:shd w:val="clear" w:color="auto" w:fill="E7E7E8"/>
          </w:tcPr>
          <w:p>
            <w:pPr>
              <w:spacing w:after="0"/>
              <w:rPr>
                <w:sz w:val="12"/>
                <w:szCs w:val="12"/>
                <w:color w:val="auto"/>
              </w:rPr>
            </w:pPr>
          </w:p>
        </w:tc>
        <w:tc>
          <w:tcPr>
            <w:tcW w:w="88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2023</w:t>
            </w:r>
          </w:p>
        </w:tc>
        <w:tc>
          <w:tcPr>
            <w:tcW w:w="120" w:type="dxa"/>
            <w:vAlign w:val="bottom"/>
            <w:shd w:val="clear" w:color="auto" w:fill="E7E7E8"/>
          </w:tcPr>
          <w:p>
            <w:pPr>
              <w:spacing w:after="0"/>
              <w:rPr>
                <w:sz w:val="12"/>
                <w:szCs w:val="12"/>
                <w:color w:val="auto"/>
              </w:rPr>
            </w:pPr>
          </w:p>
        </w:tc>
        <w:tc>
          <w:tcPr>
            <w:tcW w:w="840" w:type="dxa"/>
            <w:vAlign w:val="bottom"/>
            <w:shd w:val="clear" w:color="auto" w:fill="E7E7E8"/>
          </w:tcPr>
          <w:p>
            <w:pPr>
              <w:jc w:val="right"/>
              <w:spacing w:after="0"/>
              <w:rPr>
                <w:sz w:val="20"/>
                <w:szCs w:val="20"/>
                <w:color w:val="auto"/>
              </w:rPr>
            </w:pPr>
            <w:r>
              <w:rPr>
                <w:rFonts w:ascii="Arial" w:cs="Arial" w:eastAsia="Arial" w:hAnsi="Arial"/>
                <w:sz w:val="13"/>
                <w:szCs w:val="13"/>
                <w:color w:val="auto"/>
              </w:rPr>
              <w:t>392,268</w:t>
            </w:r>
          </w:p>
        </w:tc>
        <w:tc>
          <w:tcPr>
            <w:tcW w:w="156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759,567</w:t>
            </w:r>
          </w:p>
        </w:tc>
        <w:tc>
          <w:tcPr>
            <w:tcW w:w="116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shd w:val="clear" w:color="auto" w:fill="E7E7E8"/>
          </w:tcPr>
          <w:p>
            <w:pPr>
              <w:jc w:val="right"/>
              <w:ind w:right="254"/>
              <w:spacing w:after="0"/>
              <w:rPr>
                <w:sz w:val="20"/>
                <w:szCs w:val="20"/>
                <w:color w:val="auto"/>
              </w:rPr>
            </w:pPr>
            <w:r>
              <w:rPr>
                <w:rFonts w:ascii="Arial" w:cs="Arial" w:eastAsia="Arial" w:hAnsi="Arial"/>
                <w:sz w:val="13"/>
                <w:szCs w:val="13"/>
                <w:color w:val="auto"/>
              </w:rPr>
              <w:t>462,209</w:t>
            </w:r>
          </w:p>
        </w:tc>
        <w:tc>
          <w:tcPr>
            <w:tcW w:w="1100" w:type="dxa"/>
            <w:vAlign w:val="bottom"/>
            <w:shd w:val="clear" w:color="auto" w:fill="E7E7E8"/>
          </w:tcPr>
          <w:p>
            <w:pPr>
              <w:jc w:val="right"/>
              <w:ind w:right="334"/>
              <w:spacing w:after="0"/>
              <w:rPr>
                <w:sz w:val="20"/>
                <w:szCs w:val="20"/>
                <w:color w:val="auto"/>
              </w:rPr>
            </w:pPr>
            <w:r>
              <w:rPr>
                <w:rFonts w:ascii="Arial" w:cs="Arial" w:eastAsia="Arial" w:hAnsi="Arial"/>
                <w:sz w:val="13"/>
                <w:szCs w:val="13"/>
                <w:color w:val="auto"/>
              </w:rPr>
              <w:t>41,398</w:t>
            </w:r>
          </w:p>
        </w:tc>
        <w:tc>
          <w:tcPr>
            <w:tcW w:w="112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1,655,442</w:t>
            </w:r>
          </w:p>
        </w:tc>
        <w:tc>
          <w:tcPr>
            <w:tcW w:w="0" w:type="dxa"/>
            <w:vAlign w:val="bottom"/>
          </w:tcPr>
          <w:p>
            <w:pPr>
              <w:spacing w:after="0"/>
              <w:rPr>
                <w:sz w:val="1"/>
                <w:szCs w:val="1"/>
                <w:color w:val="auto"/>
              </w:rPr>
            </w:pPr>
          </w:p>
        </w:tc>
      </w:tr>
      <w:tr>
        <w:trPr>
          <w:trHeight w:val="182"/>
        </w:trPr>
        <w:tc>
          <w:tcPr>
            <w:tcW w:w="294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3"/>
                <w:szCs w:val="13"/>
                <w:i w:val="1"/>
                <w:iCs w:val="1"/>
                <w:color w:val="auto"/>
              </w:rPr>
              <w:t>Secretary</w:t>
            </w:r>
          </w:p>
        </w:tc>
        <w:tc>
          <w:tcPr>
            <w:tcW w:w="100" w:type="dxa"/>
            <w:vAlign w:val="bottom"/>
            <w:tcBorders>
              <w:bottom w:val="single" w:sz="8" w:color="E7E7E8"/>
            </w:tcBorders>
            <w:shd w:val="clear" w:color="auto" w:fill="E7E7E8"/>
          </w:tcPr>
          <w:p>
            <w:pPr>
              <w:spacing w:after="0"/>
              <w:rPr>
                <w:sz w:val="15"/>
                <w:szCs w:val="15"/>
                <w:color w:val="auto"/>
              </w:rPr>
            </w:pPr>
          </w:p>
        </w:tc>
        <w:tc>
          <w:tcPr>
            <w:tcW w:w="880" w:type="dxa"/>
            <w:vAlign w:val="bottom"/>
            <w:tcBorders>
              <w:bottom w:val="single" w:sz="8" w:color="E7E7E8"/>
            </w:tcBorders>
            <w:shd w:val="clear" w:color="auto" w:fill="E7E7E8"/>
          </w:tcPr>
          <w:p>
            <w:pPr>
              <w:spacing w:after="0"/>
              <w:rPr>
                <w:sz w:val="15"/>
                <w:szCs w:val="15"/>
                <w:color w:val="auto"/>
              </w:rPr>
            </w:pPr>
          </w:p>
        </w:tc>
        <w:tc>
          <w:tcPr>
            <w:tcW w:w="120" w:type="dxa"/>
            <w:vAlign w:val="bottom"/>
            <w:tcBorders>
              <w:bottom w:val="single" w:sz="8" w:color="E7E7E8"/>
            </w:tcBorders>
            <w:shd w:val="clear" w:color="auto" w:fill="E7E7E8"/>
          </w:tcPr>
          <w:p>
            <w:pPr>
              <w:spacing w:after="0"/>
              <w:rPr>
                <w:sz w:val="15"/>
                <w:szCs w:val="15"/>
                <w:color w:val="auto"/>
              </w:rPr>
            </w:pPr>
          </w:p>
        </w:tc>
        <w:tc>
          <w:tcPr>
            <w:tcW w:w="840" w:type="dxa"/>
            <w:vAlign w:val="bottom"/>
            <w:tcBorders>
              <w:bottom w:val="single" w:sz="8" w:color="E7E7E8"/>
            </w:tcBorders>
            <w:shd w:val="clear" w:color="auto" w:fill="E7E7E8"/>
          </w:tcPr>
          <w:p>
            <w:pPr>
              <w:spacing w:after="0"/>
              <w:rPr>
                <w:sz w:val="15"/>
                <w:szCs w:val="15"/>
                <w:color w:val="auto"/>
              </w:rPr>
            </w:pPr>
          </w:p>
        </w:tc>
        <w:tc>
          <w:tcPr>
            <w:tcW w:w="1560" w:type="dxa"/>
            <w:vAlign w:val="bottom"/>
            <w:tcBorders>
              <w:bottom w:val="single" w:sz="8" w:color="E7E7E8"/>
            </w:tcBorders>
            <w:shd w:val="clear" w:color="auto" w:fill="E7E7E8"/>
          </w:tcPr>
          <w:p>
            <w:pPr>
              <w:spacing w:after="0"/>
              <w:rPr>
                <w:sz w:val="15"/>
                <w:szCs w:val="15"/>
                <w:color w:val="auto"/>
              </w:rPr>
            </w:pPr>
          </w:p>
        </w:tc>
        <w:tc>
          <w:tcPr>
            <w:tcW w:w="1160" w:type="dxa"/>
            <w:vAlign w:val="bottom"/>
            <w:tcBorders>
              <w:bottom w:val="single" w:sz="8" w:color="E7E7E8"/>
            </w:tcBorders>
            <w:shd w:val="clear" w:color="auto" w:fill="E7E7E8"/>
          </w:tcPr>
          <w:p>
            <w:pPr>
              <w:spacing w:after="0"/>
              <w:rPr>
                <w:sz w:val="15"/>
                <w:szCs w:val="15"/>
                <w:color w:val="auto"/>
              </w:rPr>
            </w:pPr>
          </w:p>
        </w:tc>
        <w:tc>
          <w:tcPr>
            <w:tcW w:w="1420" w:type="dxa"/>
            <w:vAlign w:val="bottom"/>
            <w:tcBorders>
              <w:bottom w:val="single" w:sz="8" w:color="E7E7E8"/>
            </w:tcBorders>
            <w:shd w:val="clear" w:color="auto" w:fill="E7E7E8"/>
          </w:tcPr>
          <w:p>
            <w:pPr>
              <w:spacing w:after="0"/>
              <w:rPr>
                <w:sz w:val="15"/>
                <w:szCs w:val="15"/>
                <w:color w:val="auto"/>
              </w:rPr>
            </w:pPr>
          </w:p>
        </w:tc>
        <w:tc>
          <w:tcPr>
            <w:tcW w:w="1100" w:type="dxa"/>
            <w:vAlign w:val="bottom"/>
            <w:tcBorders>
              <w:bottom w:val="single" w:sz="8" w:color="E7E7E8"/>
            </w:tcBorders>
            <w:shd w:val="clear" w:color="auto" w:fill="E7E7E8"/>
          </w:tcPr>
          <w:p>
            <w:pPr>
              <w:spacing w:after="0"/>
              <w:rPr>
                <w:sz w:val="15"/>
                <w:szCs w:val="15"/>
                <w:color w:val="auto"/>
              </w:rPr>
            </w:pPr>
          </w:p>
        </w:tc>
        <w:tc>
          <w:tcPr>
            <w:tcW w:w="1120" w:type="dxa"/>
            <w:vAlign w:val="bottom"/>
            <w:tcBorders>
              <w:bottom w:val="single" w:sz="8" w:color="E7E7E8"/>
            </w:tcBorders>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40" w:type="dxa"/>
            <w:vAlign w:val="bottom"/>
          </w:tcPr>
          <w:p>
            <w:pPr>
              <w:ind w:left="40"/>
              <w:spacing w:after="0" w:line="176" w:lineRule="exact"/>
              <w:rPr>
                <w:sz w:val="20"/>
                <w:szCs w:val="20"/>
                <w:color w:val="auto"/>
              </w:rPr>
            </w:pPr>
            <w:r>
              <w:rPr>
                <w:rFonts w:ascii="Arial" w:cs="Arial" w:eastAsia="Arial" w:hAnsi="Arial"/>
                <w:sz w:val="13"/>
                <w:szCs w:val="13"/>
                <w:color w:val="auto"/>
              </w:rPr>
              <w:t>Eric Cribbs</w:t>
            </w:r>
            <w:r>
              <w:rPr>
                <w:rFonts w:ascii="Arial" w:cs="Arial" w:eastAsia="Arial" w:hAnsi="Arial"/>
                <w:sz w:val="18"/>
                <w:szCs w:val="18"/>
                <w:color w:val="auto"/>
                <w:vertAlign w:val="superscript"/>
              </w:rPr>
              <w:t>(6)</w:t>
            </w:r>
          </w:p>
        </w:tc>
        <w:tc>
          <w:tcPr>
            <w:tcW w:w="980" w:type="dxa"/>
            <w:vAlign w:val="bottom"/>
            <w:gridSpan w:val="2"/>
          </w:tcPr>
          <w:p>
            <w:pPr>
              <w:jc w:val="center"/>
              <w:ind w:left="13"/>
              <w:spacing w:after="0"/>
              <w:rPr>
                <w:sz w:val="20"/>
                <w:szCs w:val="20"/>
                <w:color w:val="auto"/>
              </w:rPr>
            </w:pPr>
            <w:r>
              <w:rPr>
                <w:rFonts w:ascii="Arial" w:cs="Arial" w:eastAsia="Arial" w:hAnsi="Arial"/>
                <w:sz w:val="13"/>
                <w:szCs w:val="13"/>
                <w:color w:val="auto"/>
              </w:rPr>
              <w:t>2025</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401,692</w:t>
            </w:r>
          </w:p>
        </w:tc>
        <w:tc>
          <w:tcPr>
            <w:tcW w:w="1560" w:type="dxa"/>
            <w:vAlign w:val="bottom"/>
          </w:tcPr>
          <w:p>
            <w:pPr>
              <w:jc w:val="right"/>
              <w:ind w:right="253"/>
              <w:spacing w:after="0"/>
              <w:rPr>
                <w:sz w:val="20"/>
                <w:szCs w:val="20"/>
                <w:color w:val="auto"/>
              </w:rPr>
            </w:pPr>
            <w:r>
              <w:rPr>
                <w:rFonts w:ascii="Arial" w:cs="Arial" w:eastAsia="Arial" w:hAnsi="Arial"/>
                <w:sz w:val="13"/>
                <w:szCs w:val="13"/>
                <w:color w:val="auto"/>
              </w:rPr>
              <w:t>792,392</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254"/>
              <w:spacing w:after="0"/>
              <w:rPr>
                <w:sz w:val="20"/>
                <w:szCs w:val="20"/>
                <w:color w:val="auto"/>
              </w:rPr>
            </w:pPr>
            <w:r>
              <w:rPr>
                <w:rFonts w:ascii="Arial" w:cs="Arial" w:eastAsia="Arial" w:hAnsi="Arial"/>
                <w:sz w:val="13"/>
                <w:szCs w:val="13"/>
                <w:color w:val="auto"/>
              </w:rPr>
              <w:t>427,500</w:t>
            </w:r>
          </w:p>
        </w:tc>
        <w:tc>
          <w:tcPr>
            <w:tcW w:w="1100" w:type="dxa"/>
            <w:vAlign w:val="bottom"/>
          </w:tcPr>
          <w:p>
            <w:pPr>
              <w:jc w:val="right"/>
              <w:ind w:right="334"/>
              <w:spacing w:after="0"/>
              <w:rPr>
                <w:sz w:val="20"/>
                <w:szCs w:val="20"/>
                <w:color w:val="auto"/>
              </w:rPr>
            </w:pPr>
            <w:r>
              <w:rPr>
                <w:rFonts w:ascii="Arial" w:cs="Arial" w:eastAsia="Arial" w:hAnsi="Arial"/>
                <w:sz w:val="13"/>
                <w:szCs w:val="13"/>
                <w:color w:val="auto"/>
              </w:rPr>
              <w:t>48,111</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1,669,695</w:t>
            </w:r>
          </w:p>
        </w:tc>
        <w:tc>
          <w:tcPr>
            <w:tcW w:w="0" w:type="dxa"/>
            <w:vAlign w:val="bottom"/>
          </w:tcPr>
          <w:p>
            <w:pPr>
              <w:spacing w:after="0"/>
              <w:rPr>
                <w:sz w:val="1"/>
                <w:szCs w:val="1"/>
                <w:color w:val="auto"/>
              </w:rPr>
            </w:pPr>
          </w:p>
        </w:tc>
      </w:tr>
      <w:tr>
        <w:trPr>
          <w:trHeight w:val="148"/>
        </w:trPr>
        <w:tc>
          <w:tcPr>
            <w:tcW w:w="2940" w:type="dxa"/>
            <w:vAlign w:val="bottom"/>
          </w:tcPr>
          <w:p>
            <w:pPr>
              <w:ind w:left="80"/>
              <w:spacing w:after="0"/>
              <w:rPr>
                <w:sz w:val="20"/>
                <w:szCs w:val="20"/>
                <w:color w:val="auto"/>
              </w:rPr>
            </w:pPr>
            <w:r>
              <w:rPr>
                <w:rFonts w:ascii="Arial" w:cs="Arial" w:eastAsia="Arial" w:hAnsi="Arial"/>
                <w:sz w:val="13"/>
                <w:szCs w:val="13"/>
                <w:i w:val="1"/>
                <w:iCs w:val="1"/>
                <w:color w:val="auto"/>
              </w:rPr>
              <w:t>President - American</w:t>
            </w:r>
          </w:p>
        </w:tc>
        <w:tc>
          <w:tcPr>
            <w:tcW w:w="980" w:type="dxa"/>
            <w:vAlign w:val="bottom"/>
            <w:gridSpan w:val="2"/>
          </w:tcPr>
          <w:p>
            <w:pPr>
              <w:jc w:val="center"/>
              <w:ind w:left="13"/>
              <w:spacing w:after="0"/>
              <w:rPr>
                <w:sz w:val="20"/>
                <w:szCs w:val="20"/>
                <w:color w:val="auto"/>
              </w:rPr>
            </w:pPr>
            <w:r>
              <w:rPr>
                <w:rFonts w:ascii="Arial" w:cs="Arial" w:eastAsia="Arial" w:hAnsi="Arial"/>
                <w:sz w:val="13"/>
                <w:szCs w:val="13"/>
                <w:color w:val="auto"/>
              </w:rPr>
              <w:t>2024</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346,286</w:t>
            </w:r>
          </w:p>
        </w:tc>
        <w:tc>
          <w:tcPr>
            <w:tcW w:w="1560" w:type="dxa"/>
            <w:vAlign w:val="bottom"/>
          </w:tcPr>
          <w:p>
            <w:pPr>
              <w:jc w:val="right"/>
              <w:ind w:right="253"/>
              <w:spacing w:after="0"/>
              <w:rPr>
                <w:sz w:val="20"/>
                <w:szCs w:val="20"/>
                <w:color w:val="auto"/>
              </w:rPr>
            </w:pPr>
            <w:r>
              <w:rPr>
                <w:rFonts w:ascii="Arial" w:cs="Arial" w:eastAsia="Arial" w:hAnsi="Arial"/>
                <w:sz w:val="13"/>
                <w:szCs w:val="13"/>
                <w:color w:val="auto"/>
              </w:rPr>
              <w:t>542,771</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254"/>
              <w:spacing w:after="0"/>
              <w:rPr>
                <w:sz w:val="20"/>
                <w:szCs w:val="20"/>
                <w:color w:val="auto"/>
              </w:rPr>
            </w:pPr>
            <w:r>
              <w:rPr>
                <w:rFonts w:ascii="Arial" w:cs="Arial" w:eastAsia="Arial" w:hAnsi="Arial"/>
                <w:sz w:val="13"/>
                <w:szCs w:val="13"/>
                <w:color w:val="auto"/>
              </w:rPr>
              <w:t>443,260</w:t>
            </w:r>
          </w:p>
        </w:tc>
        <w:tc>
          <w:tcPr>
            <w:tcW w:w="1100" w:type="dxa"/>
            <w:vAlign w:val="bottom"/>
          </w:tcPr>
          <w:p>
            <w:pPr>
              <w:jc w:val="right"/>
              <w:ind w:right="334"/>
              <w:spacing w:after="0"/>
              <w:rPr>
                <w:sz w:val="20"/>
                <w:szCs w:val="20"/>
                <w:color w:val="auto"/>
              </w:rPr>
            </w:pPr>
            <w:r>
              <w:rPr>
                <w:rFonts w:ascii="Arial" w:cs="Arial" w:eastAsia="Arial" w:hAnsi="Arial"/>
                <w:sz w:val="13"/>
                <w:szCs w:val="13"/>
                <w:color w:val="auto"/>
              </w:rPr>
              <w:t>39,904</w:t>
            </w:r>
          </w:p>
        </w:tc>
        <w:tc>
          <w:tcPr>
            <w:tcW w:w="1120" w:type="dxa"/>
            <w:vAlign w:val="bottom"/>
          </w:tcPr>
          <w:p>
            <w:pPr>
              <w:jc w:val="right"/>
              <w:ind w:right="73"/>
              <w:spacing w:after="0"/>
              <w:rPr>
                <w:sz w:val="20"/>
                <w:szCs w:val="20"/>
                <w:color w:val="auto"/>
              </w:rPr>
            </w:pPr>
            <w:r>
              <w:rPr>
                <w:rFonts w:ascii="Arial" w:cs="Arial" w:eastAsia="Arial" w:hAnsi="Arial"/>
                <w:sz w:val="13"/>
                <w:szCs w:val="13"/>
                <w:color w:val="auto"/>
              </w:rPr>
              <w:t>1,372,221</w:t>
            </w:r>
          </w:p>
        </w:tc>
        <w:tc>
          <w:tcPr>
            <w:tcW w:w="0" w:type="dxa"/>
            <w:vAlign w:val="bottom"/>
          </w:tcPr>
          <w:p>
            <w:pPr>
              <w:spacing w:after="0"/>
              <w:rPr>
                <w:sz w:val="1"/>
                <w:szCs w:val="1"/>
                <w:color w:val="auto"/>
              </w:rPr>
            </w:pPr>
          </w:p>
        </w:tc>
      </w:tr>
      <w:tr>
        <w:trPr>
          <w:trHeight w:val="176"/>
        </w:trPr>
        <w:tc>
          <w:tcPr>
            <w:tcW w:w="2940" w:type="dxa"/>
            <w:vAlign w:val="bottom"/>
          </w:tcPr>
          <w:p>
            <w:pPr>
              <w:ind w:left="80"/>
              <w:spacing w:after="0"/>
              <w:rPr>
                <w:sz w:val="20"/>
                <w:szCs w:val="20"/>
                <w:color w:val="auto"/>
              </w:rPr>
            </w:pPr>
            <w:r>
              <w:rPr>
                <w:rFonts w:ascii="Arial" w:cs="Arial" w:eastAsia="Arial" w:hAnsi="Arial"/>
                <w:sz w:val="13"/>
                <w:szCs w:val="13"/>
                <w:i w:val="1"/>
                <w:iCs w:val="1"/>
                <w:color w:val="auto"/>
              </w:rPr>
              <w:t>Gypsum Company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9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940" w:type="dxa"/>
            <w:vAlign w:val="bottom"/>
            <w:shd w:val="clear" w:color="auto" w:fill="E7E7E8"/>
          </w:tcPr>
          <w:p>
            <w:pPr>
              <w:ind w:left="40"/>
              <w:spacing w:after="0" w:line="176" w:lineRule="exact"/>
              <w:rPr>
                <w:sz w:val="20"/>
                <w:szCs w:val="20"/>
                <w:color w:val="auto"/>
              </w:rPr>
            </w:pPr>
            <w:r>
              <w:rPr>
                <w:rFonts w:ascii="Arial" w:cs="Arial" w:eastAsia="Arial" w:hAnsi="Arial"/>
                <w:sz w:val="13"/>
                <w:szCs w:val="13"/>
                <w:color w:val="auto"/>
              </w:rPr>
              <w:t>Tony Thompson</w:t>
            </w:r>
            <w:r>
              <w:rPr>
                <w:rFonts w:ascii="Arial" w:cs="Arial" w:eastAsia="Arial" w:hAnsi="Arial"/>
                <w:sz w:val="18"/>
                <w:szCs w:val="18"/>
                <w:color w:val="auto"/>
                <w:vertAlign w:val="superscript"/>
              </w:rPr>
              <w:t>(6)</w:t>
            </w:r>
          </w:p>
        </w:tc>
        <w:tc>
          <w:tcPr>
            <w:tcW w:w="100" w:type="dxa"/>
            <w:vAlign w:val="bottom"/>
            <w:shd w:val="clear" w:color="auto" w:fill="E7E7E8"/>
          </w:tcPr>
          <w:p>
            <w:pPr>
              <w:spacing w:after="0"/>
              <w:rPr>
                <w:sz w:val="15"/>
                <w:szCs w:val="15"/>
                <w:color w:val="auto"/>
              </w:rPr>
            </w:pPr>
          </w:p>
        </w:tc>
        <w:tc>
          <w:tcPr>
            <w:tcW w:w="88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2025</w:t>
            </w:r>
          </w:p>
        </w:tc>
        <w:tc>
          <w:tcPr>
            <w:tcW w:w="960" w:type="dxa"/>
            <w:vAlign w:val="bottom"/>
            <w:gridSpan w:val="2"/>
            <w:shd w:val="clear" w:color="auto" w:fill="E7E7E8"/>
          </w:tcPr>
          <w:p>
            <w:pPr>
              <w:jc w:val="right"/>
              <w:spacing w:after="0"/>
              <w:rPr>
                <w:sz w:val="20"/>
                <w:szCs w:val="20"/>
                <w:color w:val="auto"/>
              </w:rPr>
            </w:pPr>
            <w:r>
              <w:rPr>
                <w:rFonts w:ascii="Arial" w:cs="Arial" w:eastAsia="Arial" w:hAnsi="Arial"/>
                <w:sz w:val="13"/>
                <w:szCs w:val="13"/>
                <w:color w:val="auto"/>
              </w:rPr>
              <w:t>336,868</w:t>
            </w:r>
          </w:p>
        </w:tc>
        <w:tc>
          <w:tcPr>
            <w:tcW w:w="156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549,187</w:t>
            </w:r>
          </w:p>
        </w:tc>
        <w:tc>
          <w:tcPr>
            <w:tcW w:w="116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shd w:val="clear" w:color="auto" w:fill="E7E7E8"/>
          </w:tcPr>
          <w:p>
            <w:pPr>
              <w:jc w:val="right"/>
              <w:ind w:right="254"/>
              <w:spacing w:after="0"/>
              <w:rPr>
                <w:sz w:val="20"/>
                <w:szCs w:val="20"/>
                <w:color w:val="auto"/>
              </w:rPr>
            </w:pPr>
            <w:r>
              <w:rPr>
                <w:rFonts w:ascii="Arial" w:cs="Arial" w:eastAsia="Arial" w:hAnsi="Arial"/>
                <w:sz w:val="13"/>
                <w:szCs w:val="13"/>
                <w:color w:val="auto"/>
              </w:rPr>
              <w:t>303,250</w:t>
            </w:r>
          </w:p>
        </w:tc>
        <w:tc>
          <w:tcPr>
            <w:tcW w:w="1100" w:type="dxa"/>
            <w:vAlign w:val="bottom"/>
            <w:shd w:val="clear" w:color="auto" w:fill="E7E7E8"/>
          </w:tcPr>
          <w:p>
            <w:pPr>
              <w:jc w:val="right"/>
              <w:ind w:right="334"/>
              <w:spacing w:after="0"/>
              <w:rPr>
                <w:sz w:val="20"/>
                <w:szCs w:val="20"/>
                <w:color w:val="auto"/>
              </w:rPr>
            </w:pPr>
            <w:r>
              <w:rPr>
                <w:rFonts w:ascii="Arial" w:cs="Arial" w:eastAsia="Arial" w:hAnsi="Arial"/>
                <w:sz w:val="13"/>
                <w:szCs w:val="13"/>
                <w:color w:val="auto"/>
              </w:rPr>
              <w:t>42,329</w:t>
            </w:r>
          </w:p>
        </w:tc>
        <w:tc>
          <w:tcPr>
            <w:tcW w:w="112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1,231,634</w:t>
            </w:r>
          </w:p>
        </w:tc>
        <w:tc>
          <w:tcPr>
            <w:tcW w:w="0" w:type="dxa"/>
            <w:vAlign w:val="bottom"/>
          </w:tcPr>
          <w:p>
            <w:pPr>
              <w:spacing w:after="0"/>
              <w:rPr>
                <w:sz w:val="1"/>
                <w:szCs w:val="1"/>
                <w:color w:val="auto"/>
              </w:rPr>
            </w:pPr>
          </w:p>
        </w:tc>
      </w:tr>
      <w:tr>
        <w:trPr>
          <w:trHeight w:val="148"/>
        </w:trPr>
        <w:tc>
          <w:tcPr>
            <w:tcW w:w="2940" w:type="dxa"/>
            <w:vAlign w:val="bottom"/>
            <w:shd w:val="clear" w:color="auto" w:fill="E7E7E8"/>
          </w:tcPr>
          <w:p>
            <w:pPr>
              <w:ind w:left="80"/>
              <w:spacing w:after="0"/>
              <w:rPr>
                <w:sz w:val="20"/>
                <w:szCs w:val="20"/>
                <w:color w:val="auto"/>
              </w:rPr>
            </w:pPr>
            <w:r>
              <w:rPr>
                <w:rFonts w:ascii="Arial" w:cs="Arial" w:eastAsia="Arial" w:hAnsi="Arial"/>
                <w:sz w:val="13"/>
                <w:szCs w:val="13"/>
                <w:i w:val="1"/>
                <w:iCs w:val="1"/>
                <w:color w:val="auto"/>
              </w:rPr>
              <w:t>Senior Vice President -</w:t>
            </w:r>
          </w:p>
        </w:tc>
        <w:tc>
          <w:tcPr>
            <w:tcW w:w="100" w:type="dxa"/>
            <w:vAlign w:val="bottom"/>
            <w:shd w:val="clear" w:color="auto" w:fill="E7E7E8"/>
          </w:tcPr>
          <w:p>
            <w:pPr>
              <w:spacing w:after="0"/>
              <w:rPr>
                <w:sz w:val="12"/>
                <w:szCs w:val="12"/>
                <w:color w:val="auto"/>
              </w:rPr>
            </w:pPr>
          </w:p>
        </w:tc>
        <w:tc>
          <w:tcPr>
            <w:tcW w:w="880" w:type="dxa"/>
            <w:vAlign w:val="bottom"/>
            <w:shd w:val="clear" w:color="auto" w:fill="E7E7E8"/>
          </w:tcPr>
          <w:p>
            <w:pPr>
              <w:jc w:val="center"/>
              <w:spacing w:after="0"/>
              <w:rPr>
                <w:sz w:val="20"/>
                <w:szCs w:val="20"/>
                <w:color w:val="auto"/>
              </w:rPr>
            </w:pPr>
            <w:r>
              <w:rPr>
                <w:rFonts w:ascii="Arial" w:cs="Arial" w:eastAsia="Arial" w:hAnsi="Arial"/>
                <w:sz w:val="13"/>
                <w:szCs w:val="13"/>
                <w:color w:val="auto"/>
              </w:rPr>
              <w:t>2024</w:t>
            </w:r>
          </w:p>
        </w:tc>
        <w:tc>
          <w:tcPr>
            <w:tcW w:w="960" w:type="dxa"/>
            <w:vAlign w:val="bottom"/>
            <w:gridSpan w:val="2"/>
            <w:shd w:val="clear" w:color="auto" w:fill="E7E7E8"/>
          </w:tcPr>
          <w:p>
            <w:pPr>
              <w:jc w:val="right"/>
              <w:spacing w:after="0"/>
              <w:rPr>
                <w:sz w:val="20"/>
                <w:szCs w:val="20"/>
                <w:color w:val="auto"/>
              </w:rPr>
            </w:pPr>
            <w:r>
              <w:rPr>
                <w:rFonts w:ascii="Arial" w:cs="Arial" w:eastAsia="Arial" w:hAnsi="Arial"/>
                <w:sz w:val="13"/>
                <w:szCs w:val="13"/>
                <w:color w:val="auto"/>
              </w:rPr>
              <w:t>323,912</w:t>
            </w:r>
          </w:p>
        </w:tc>
        <w:tc>
          <w:tcPr>
            <w:tcW w:w="1560" w:type="dxa"/>
            <w:vAlign w:val="bottom"/>
            <w:shd w:val="clear" w:color="auto" w:fill="E7E7E8"/>
          </w:tcPr>
          <w:p>
            <w:pPr>
              <w:jc w:val="right"/>
              <w:ind w:right="253"/>
              <w:spacing w:after="0"/>
              <w:rPr>
                <w:sz w:val="20"/>
                <w:szCs w:val="20"/>
                <w:color w:val="auto"/>
              </w:rPr>
            </w:pPr>
            <w:r>
              <w:rPr>
                <w:rFonts w:ascii="Arial" w:cs="Arial" w:eastAsia="Arial" w:hAnsi="Arial"/>
                <w:sz w:val="13"/>
                <w:szCs w:val="13"/>
                <w:color w:val="auto"/>
              </w:rPr>
              <w:t>488,494</w:t>
            </w:r>
          </w:p>
        </w:tc>
        <w:tc>
          <w:tcPr>
            <w:tcW w:w="1160" w:type="dxa"/>
            <w:vAlign w:val="bottom"/>
            <w:shd w:val="clear" w:color="auto" w:fill="E7E7E8"/>
          </w:tcPr>
          <w:p>
            <w:pPr>
              <w:jc w:val="right"/>
              <w:ind w:right="153"/>
              <w:spacing w:after="0"/>
              <w:rPr>
                <w:sz w:val="20"/>
                <w:szCs w:val="20"/>
                <w:color w:val="auto"/>
              </w:rPr>
            </w:pPr>
            <w:r>
              <w:rPr>
                <w:rFonts w:ascii="Arial" w:cs="Arial" w:eastAsia="Arial" w:hAnsi="Arial"/>
                <w:sz w:val="13"/>
                <w:szCs w:val="13"/>
                <w:color w:val="auto"/>
              </w:rPr>
              <w:t>—</w:t>
            </w:r>
          </w:p>
        </w:tc>
        <w:tc>
          <w:tcPr>
            <w:tcW w:w="1420" w:type="dxa"/>
            <w:vAlign w:val="bottom"/>
            <w:shd w:val="clear" w:color="auto" w:fill="E7E7E8"/>
          </w:tcPr>
          <w:p>
            <w:pPr>
              <w:jc w:val="right"/>
              <w:ind w:right="254"/>
              <w:spacing w:after="0"/>
              <w:rPr>
                <w:sz w:val="20"/>
                <w:szCs w:val="20"/>
                <w:color w:val="auto"/>
              </w:rPr>
            </w:pPr>
            <w:r>
              <w:rPr>
                <w:rFonts w:ascii="Arial" w:cs="Arial" w:eastAsia="Arial" w:hAnsi="Arial"/>
                <w:sz w:val="13"/>
                <w:szCs w:val="13"/>
                <w:color w:val="auto"/>
              </w:rPr>
              <w:t>329,169</w:t>
            </w:r>
          </w:p>
        </w:tc>
        <w:tc>
          <w:tcPr>
            <w:tcW w:w="1100" w:type="dxa"/>
            <w:vAlign w:val="bottom"/>
            <w:shd w:val="clear" w:color="auto" w:fill="E7E7E8"/>
          </w:tcPr>
          <w:p>
            <w:pPr>
              <w:jc w:val="right"/>
              <w:ind w:right="334"/>
              <w:spacing w:after="0"/>
              <w:rPr>
                <w:sz w:val="20"/>
                <w:szCs w:val="20"/>
                <w:color w:val="auto"/>
              </w:rPr>
            </w:pPr>
            <w:r>
              <w:rPr>
                <w:rFonts w:ascii="Arial" w:cs="Arial" w:eastAsia="Arial" w:hAnsi="Arial"/>
                <w:sz w:val="13"/>
                <w:szCs w:val="13"/>
                <w:color w:val="auto"/>
              </w:rPr>
              <w:t>38,124</w:t>
            </w:r>
          </w:p>
        </w:tc>
        <w:tc>
          <w:tcPr>
            <w:tcW w:w="1120" w:type="dxa"/>
            <w:vAlign w:val="bottom"/>
            <w:shd w:val="clear" w:color="auto" w:fill="E7E7E8"/>
          </w:tcPr>
          <w:p>
            <w:pPr>
              <w:jc w:val="right"/>
              <w:ind w:right="73"/>
              <w:spacing w:after="0"/>
              <w:rPr>
                <w:sz w:val="20"/>
                <w:szCs w:val="20"/>
                <w:color w:val="auto"/>
              </w:rPr>
            </w:pPr>
            <w:r>
              <w:rPr>
                <w:rFonts w:ascii="Arial" w:cs="Arial" w:eastAsia="Arial" w:hAnsi="Arial"/>
                <w:sz w:val="13"/>
                <w:szCs w:val="13"/>
                <w:color w:val="auto"/>
              </w:rPr>
              <w:t>1,179,699</w:t>
            </w:r>
          </w:p>
        </w:tc>
        <w:tc>
          <w:tcPr>
            <w:tcW w:w="0" w:type="dxa"/>
            <w:vAlign w:val="bottom"/>
          </w:tcPr>
          <w:p>
            <w:pPr>
              <w:spacing w:after="0"/>
              <w:rPr>
                <w:sz w:val="1"/>
                <w:szCs w:val="1"/>
                <w:color w:val="auto"/>
              </w:rPr>
            </w:pPr>
          </w:p>
        </w:tc>
      </w:tr>
      <w:tr>
        <w:trPr>
          <w:trHeight w:val="161"/>
        </w:trPr>
        <w:tc>
          <w:tcPr>
            <w:tcW w:w="2940" w:type="dxa"/>
            <w:vAlign w:val="bottom"/>
            <w:shd w:val="clear" w:color="auto" w:fill="E7E7E8"/>
          </w:tcPr>
          <w:p>
            <w:pPr>
              <w:ind w:left="80"/>
              <w:spacing w:after="0"/>
              <w:rPr>
                <w:sz w:val="20"/>
                <w:szCs w:val="20"/>
                <w:color w:val="auto"/>
              </w:rPr>
            </w:pPr>
            <w:r>
              <w:rPr>
                <w:rFonts w:ascii="Arial" w:cs="Arial" w:eastAsia="Arial" w:hAnsi="Arial"/>
                <w:sz w:val="13"/>
                <w:szCs w:val="13"/>
                <w:i w:val="1"/>
                <w:iCs w:val="1"/>
                <w:color w:val="auto"/>
              </w:rPr>
              <w:t>Cement East</w:t>
            </w:r>
          </w:p>
        </w:tc>
        <w:tc>
          <w:tcPr>
            <w:tcW w:w="100" w:type="dxa"/>
            <w:vAlign w:val="bottom"/>
            <w:shd w:val="clear" w:color="auto" w:fill="E7E7E8"/>
          </w:tcPr>
          <w:p>
            <w:pPr>
              <w:spacing w:after="0"/>
              <w:rPr>
                <w:sz w:val="14"/>
                <w:szCs w:val="14"/>
                <w:color w:val="auto"/>
              </w:rPr>
            </w:pPr>
          </w:p>
        </w:tc>
        <w:tc>
          <w:tcPr>
            <w:tcW w:w="88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840" w:type="dxa"/>
            <w:vAlign w:val="bottom"/>
            <w:shd w:val="clear" w:color="auto" w:fill="E7E7E8"/>
          </w:tcPr>
          <w:p>
            <w:pPr>
              <w:spacing w:after="0"/>
              <w:rPr>
                <w:sz w:val="14"/>
                <w:szCs w:val="14"/>
                <w:color w:val="auto"/>
              </w:rPr>
            </w:pPr>
          </w:p>
        </w:tc>
        <w:tc>
          <w:tcPr>
            <w:tcW w:w="1560" w:type="dxa"/>
            <w:vAlign w:val="bottom"/>
            <w:shd w:val="clear" w:color="auto" w:fill="E7E7E8"/>
          </w:tcPr>
          <w:p>
            <w:pPr>
              <w:spacing w:after="0"/>
              <w:rPr>
                <w:sz w:val="14"/>
                <w:szCs w:val="14"/>
                <w:color w:val="auto"/>
              </w:rPr>
            </w:pPr>
          </w:p>
        </w:tc>
        <w:tc>
          <w:tcPr>
            <w:tcW w:w="1160" w:type="dxa"/>
            <w:vAlign w:val="bottom"/>
            <w:shd w:val="clear" w:color="auto" w:fill="E7E7E8"/>
          </w:tcPr>
          <w:p>
            <w:pPr>
              <w:spacing w:after="0"/>
              <w:rPr>
                <w:sz w:val="14"/>
                <w:szCs w:val="14"/>
                <w:color w:val="auto"/>
              </w:rPr>
            </w:pPr>
          </w:p>
        </w:tc>
        <w:tc>
          <w:tcPr>
            <w:tcW w:w="1420" w:type="dxa"/>
            <w:vAlign w:val="bottom"/>
            <w:shd w:val="clear" w:color="auto" w:fill="E7E7E8"/>
          </w:tcPr>
          <w:p>
            <w:pPr>
              <w:spacing w:after="0"/>
              <w:rPr>
                <w:sz w:val="14"/>
                <w:szCs w:val="14"/>
                <w:color w:val="auto"/>
              </w:rPr>
            </w:pPr>
          </w:p>
        </w:tc>
        <w:tc>
          <w:tcPr>
            <w:tcW w:w="1100" w:type="dxa"/>
            <w:vAlign w:val="bottom"/>
            <w:shd w:val="clear" w:color="auto" w:fill="E7E7E8"/>
          </w:tcPr>
          <w:p>
            <w:pPr>
              <w:spacing w:after="0"/>
              <w:rPr>
                <w:sz w:val="14"/>
                <w:szCs w:val="14"/>
                <w:color w:val="auto"/>
              </w:rPr>
            </w:pPr>
          </w:p>
        </w:tc>
        <w:tc>
          <w:tcPr>
            <w:tcW w:w="11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940" w:type="dxa"/>
            <w:vAlign w:val="bottom"/>
            <w:shd w:val="clear" w:color="auto" w:fill="E7E7E8"/>
          </w:tcPr>
          <w:p>
            <w:pPr>
              <w:spacing w:after="0"/>
              <w:rPr>
                <w:sz w:val="3"/>
                <w:szCs w:val="3"/>
                <w:color w:val="auto"/>
              </w:rPr>
            </w:pPr>
          </w:p>
        </w:tc>
        <w:tc>
          <w:tcPr>
            <w:tcW w:w="100" w:type="dxa"/>
            <w:vAlign w:val="bottom"/>
            <w:shd w:val="clear" w:color="auto" w:fill="E7E7E8"/>
          </w:tcPr>
          <w:p>
            <w:pPr>
              <w:spacing w:after="0"/>
              <w:rPr>
                <w:sz w:val="3"/>
                <w:szCs w:val="3"/>
                <w:color w:val="auto"/>
              </w:rPr>
            </w:pPr>
          </w:p>
        </w:tc>
        <w:tc>
          <w:tcPr>
            <w:tcW w:w="880" w:type="dxa"/>
            <w:vAlign w:val="bottom"/>
            <w:shd w:val="clear" w:color="auto" w:fill="E7E7E8"/>
          </w:tcPr>
          <w:p>
            <w:pPr>
              <w:spacing w:after="0"/>
              <w:rPr>
                <w:sz w:val="3"/>
                <w:szCs w:val="3"/>
                <w:color w:val="auto"/>
              </w:rPr>
            </w:pPr>
          </w:p>
        </w:tc>
        <w:tc>
          <w:tcPr>
            <w:tcW w:w="120" w:type="dxa"/>
            <w:vAlign w:val="bottom"/>
            <w:shd w:val="clear" w:color="auto" w:fill="E7E7E8"/>
          </w:tcPr>
          <w:p>
            <w:pPr>
              <w:spacing w:after="0"/>
              <w:rPr>
                <w:sz w:val="3"/>
                <w:szCs w:val="3"/>
                <w:color w:val="auto"/>
              </w:rPr>
            </w:pPr>
          </w:p>
        </w:tc>
        <w:tc>
          <w:tcPr>
            <w:tcW w:w="840" w:type="dxa"/>
            <w:vAlign w:val="bottom"/>
            <w:shd w:val="clear" w:color="auto" w:fill="E7E7E8"/>
          </w:tcPr>
          <w:p>
            <w:pPr>
              <w:spacing w:after="0"/>
              <w:rPr>
                <w:sz w:val="3"/>
                <w:szCs w:val="3"/>
                <w:color w:val="auto"/>
              </w:rPr>
            </w:pPr>
          </w:p>
        </w:tc>
        <w:tc>
          <w:tcPr>
            <w:tcW w:w="1560" w:type="dxa"/>
            <w:vAlign w:val="bottom"/>
            <w:shd w:val="clear" w:color="auto" w:fill="E7E7E8"/>
          </w:tcPr>
          <w:p>
            <w:pPr>
              <w:spacing w:after="0"/>
              <w:rPr>
                <w:sz w:val="3"/>
                <w:szCs w:val="3"/>
                <w:color w:val="auto"/>
              </w:rPr>
            </w:pPr>
          </w:p>
        </w:tc>
        <w:tc>
          <w:tcPr>
            <w:tcW w:w="1160" w:type="dxa"/>
            <w:vAlign w:val="bottom"/>
            <w:shd w:val="clear" w:color="auto" w:fill="E7E7E8"/>
          </w:tcPr>
          <w:p>
            <w:pPr>
              <w:spacing w:after="0"/>
              <w:rPr>
                <w:sz w:val="3"/>
                <w:szCs w:val="3"/>
                <w:color w:val="auto"/>
              </w:rPr>
            </w:pPr>
          </w:p>
        </w:tc>
        <w:tc>
          <w:tcPr>
            <w:tcW w:w="1420" w:type="dxa"/>
            <w:vAlign w:val="bottom"/>
            <w:shd w:val="clear" w:color="auto" w:fill="E7E7E8"/>
          </w:tcPr>
          <w:p>
            <w:pPr>
              <w:spacing w:after="0"/>
              <w:rPr>
                <w:sz w:val="3"/>
                <w:szCs w:val="3"/>
                <w:color w:val="auto"/>
              </w:rPr>
            </w:pPr>
          </w:p>
        </w:tc>
        <w:tc>
          <w:tcPr>
            <w:tcW w:w="1100" w:type="dxa"/>
            <w:vAlign w:val="bottom"/>
            <w:shd w:val="clear" w:color="auto" w:fill="E7E7E8"/>
          </w:tcPr>
          <w:p>
            <w:pPr>
              <w:spacing w:after="0"/>
              <w:rPr>
                <w:sz w:val="3"/>
                <w:szCs w:val="3"/>
                <w:color w:val="auto"/>
              </w:rPr>
            </w:pPr>
          </w:p>
        </w:tc>
        <w:tc>
          <w:tcPr>
            <w:tcW w:w="1120" w:type="dxa"/>
            <w:vAlign w:val="bottom"/>
            <w:shd w:val="clear" w:color="auto" w:fill="E7E7E8"/>
          </w:tcPr>
          <w:p>
            <w:pPr>
              <w:spacing w:after="0"/>
              <w:rPr>
                <w:sz w:val="3"/>
                <w:szCs w:val="3"/>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380" w:right="40" w:hanging="372"/>
        <w:spacing w:after="0" w:line="284" w:lineRule="auto"/>
        <w:tabs>
          <w:tab w:leader="none" w:pos="380" w:val="left"/>
        </w:tabs>
        <w:numPr>
          <w:ilvl w:val="0"/>
          <w:numId w:val="78"/>
        </w:numPr>
        <w:rPr>
          <w:rFonts w:ascii="Times New Roman" w:cs="Times New Roman" w:eastAsia="Times New Roman" w:hAnsi="Times New Roman"/>
          <w:sz w:val="14"/>
          <w:szCs w:val="14"/>
          <w:color w:val="auto"/>
        </w:rPr>
      </w:pPr>
      <w:r>
        <w:rPr>
          <w:rFonts w:ascii="Arial" w:cs="Arial" w:eastAsia="Arial" w:hAnsi="Arial"/>
          <w:sz w:val="14"/>
          <w:szCs w:val="14"/>
          <w:color w:val="auto"/>
        </w:rPr>
        <w:t>Includes amounts deferred on a pre-tax or after-tax basis at the election of the executive under our Retirement Plan, which is described in greater detail under “Retirement Plan” above.</w:t>
      </w:r>
    </w:p>
    <w:p>
      <w:pPr>
        <w:spacing w:after="0" w:line="50" w:lineRule="exact"/>
        <w:rPr>
          <w:rFonts w:ascii="Times New Roman" w:cs="Times New Roman" w:eastAsia="Times New Roman" w:hAnsi="Times New Roman"/>
          <w:sz w:val="14"/>
          <w:szCs w:val="14"/>
          <w:color w:val="auto"/>
        </w:rPr>
      </w:pPr>
    </w:p>
    <w:p>
      <w:pPr>
        <w:ind w:left="380" w:right="20" w:hanging="372"/>
        <w:spacing w:after="0" w:line="245" w:lineRule="auto"/>
        <w:tabs>
          <w:tab w:leader="none" w:pos="380" w:val="left"/>
        </w:tabs>
        <w:numPr>
          <w:ilvl w:val="0"/>
          <w:numId w:val="78"/>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in this column reflect the value of awards made to the Named Executive Officer in each of the fiscal years presented and are consistent with the grant date fair value of the award computed in accordance with FASB ASC Topic 718. For assumptions used in determining the fiscal 2025 values, refer to footnote (K) to the Company's audited financial statements for the fiscal year ended March 31, 2025 included in the Fiscal 2025 Form 10-K. For fiscal 2025, stock awards included RSUs and PSUs, and the fair value of the PSUs was determined using a Monte Carlo simulation and includes an estimate of the probable outcome of the performance and market conditions, determined as of the grant date. The fiscal 2025 awards are described in “Long-Term Incentive Compensation—Fiscal 2025 Grants” above, including the following target values for the Named Executive Officers: Mr. Haack - $5,650,000; Mr. Kesler - $1,350,000; Mr. Newby - $850,000; Mr. Cribbs - $650,000; and Mr. Thompson - $450,000. The following reflects the amounts that would be reported in this column for fiscal 2025 assuming the highest level of performance (i.e., the maximum amounts payable): Mr. Haack - $8,527,911; Mr. Kesler - $2,037,579; Mr. Newby - $1,283,107; Mr. Cribbs - $981,030; and Mr. Thompson - $679,673. The amounts shown in this column for fiscal 2024 and 2023 (and in the total compensation column for fiscal 2024 and 2023) were updated to reflect revised grant date fair values for the performance-based restricted stock granted in those years. These updates (along with the updates noted in footnote 3 below with respect to performance stock options) resulted in an increase in the total compensation previously reported of approximately 3.0%-5.0% for the Named Executive Officers in each of those years. This update does not change the number of shares of restricted stock granted or the terms of these grants.</w:t>
      </w:r>
    </w:p>
    <w:p>
      <w:pPr>
        <w:spacing w:after="0" w:line="79" w:lineRule="exact"/>
        <w:rPr>
          <w:rFonts w:ascii="Times New Roman" w:cs="Times New Roman" w:eastAsia="Times New Roman" w:hAnsi="Times New Roman"/>
          <w:sz w:val="14"/>
          <w:szCs w:val="14"/>
          <w:color w:val="auto"/>
        </w:rPr>
      </w:pPr>
    </w:p>
    <w:p>
      <w:pPr>
        <w:ind w:left="380" w:right="140" w:hanging="372"/>
        <w:spacing w:after="0" w:line="262" w:lineRule="auto"/>
        <w:tabs>
          <w:tab w:leader="none" w:pos="380" w:val="left"/>
        </w:tabs>
        <w:numPr>
          <w:ilvl w:val="0"/>
          <w:numId w:val="78"/>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shown in this column for fiscal 2023 (and in the total compensation column for fiscal 2023) were updated to reflect revised grant date fair values for the performance-based stock options granted in that year. See footnote 2 above regarding the impact of these changes on total compensation. This update does not change the number of stock options granted or the terms of these grants.</w:t>
      </w:r>
    </w:p>
    <w:p>
      <w:pPr>
        <w:spacing w:after="0" w:line="66" w:lineRule="exact"/>
        <w:rPr>
          <w:rFonts w:ascii="Times New Roman" w:cs="Times New Roman" w:eastAsia="Times New Roman" w:hAnsi="Times New Roman"/>
          <w:sz w:val="14"/>
          <w:szCs w:val="14"/>
          <w:color w:val="auto"/>
        </w:rPr>
      </w:pPr>
    </w:p>
    <w:p>
      <w:pPr>
        <w:ind w:left="380" w:right="360" w:hanging="372"/>
        <w:spacing w:after="0" w:line="284" w:lineRule="auto"/>
        <w:tabs>
          <w:tab w:leader="none" w:pos="380" w:val="left"/>
        </w:tabs>
        <w:numPr>
          <w:ilvl w:val="0"/>
          <w:numId w:val="78"/>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in this column represent payments to the Named Executive Officer under the applicable annual cash incentive compensation program for the applicable fiscal year.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50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5" w:name="page56"/>
    <w:bookmarkEnd w:id="55"/>
    <w:p>
      <w:pPr>
        <w:ind w:left="82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34235" cy="171450"/>
                    </a:xfrm>
                    <a:prstGeom prst="rect">
                      <a:avLst/>
                    </a:prstGeom>
                    <a:noFill/>
                  </pic:spPr>
                </pic:pic>
              </a:graphicData>
            </a:graphic>
          </wp:anchor>
        </w:drawing>
        <w:t>EXECUTIVE COMPENSATION</w:t>
      </w:r>
    </w:p>
    <w:p>
      <w:pPr>
        <w:spacing w:after="0" w:line="154" w:lineRule="exact"/>
        <w:rPr>
          <w:sz w:val="20"/>
          <w:szCs w:val="20"/>
          <w:color w:val="auto"/>
        </w:rPr>
      </w:pPr>
    </w:p>
    <w:p>
      <w:pPr>
        <w:ind w:left="380" w:right="100" w:hanging="372"/>
        <w:spacing w:after="0" w:line="252" w:lineRule="auto"/>
        <w:tabs>
          <w:tab w:leader="none" w:pos="380" w:val="left"/>
        </w:tabs>
        <w:numPr>
          <w:ilvl w:val="0"/>
          <w:numId w:val="79"/>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shown in this column represent: (a) Company profit sharing contributions to the account of the Named Executive Officer under our Retirement Plan (the Retirement Plan is described in greater detail under “Retirement Plan” above); (b) Company contributions to the account of the Named Executive Officer under our SERP (the SERP is described in greater detail under “SERP” above); (c) amounts paid with respect to individual life insurance policies under the Executive Life Insurance Plan (the plan is described in greater detail under “Executive Life Insurance Plan” above); and (d) health wellness awards. The table below provides further details of the amounts reflected in the All Other Compensation column for fiscal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51972"/>
              </w:rPr>
              <w:t>Fiscal</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51972"/>
              </w:rPr>
              <w:t>Profit</w:t>
            </w:r>
          </w:p>
        </w:tc>
        <w:tc>
          <w:tcPr>
            <w:tcW w:w="144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051972"/>
              </w:rPr>
              <w:t>Executive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1972"/>
              </w:rPr>
              <w:t>Health</w:t>
            </w:r>
          </w:p>
        </w:tc>
        <w:tc>
          <w:tcPr>
            <w:tcW w:w="1600" w:type="dxa"/>
            <w:vAlign w:val="bottom"/>
          </w:tcPr>
          <w:p>
            <w:pPr>
              <w:jc w:val="center"/>
              <w:ind w:left="38"/>
              <w:spacing w:after="0"/>
              <w:rPr>
                <w:sz w:val="20"/>
                <w:szCs w:val="20"/>
                <w:color w:val="auto"/>
              </w:rPr>
            </w:pPr>
            <w:r>
              <w:rPr>
                <w:rFonts w:ascii="Arial" w:cs="Arial" w:eastAsia="Arial" w:hAnsi="Arial"/>
                <w:sz w:val="14"/>
                <w:szCs w:val="14"/>
                <w:b w:val="1"/>
                <w:bCs w:val="1"/>
                <w:color w:val="051972"/>
              </w:rPr>
              <w:t>Total of</w:t>
            </w:r>
          </w:p>
        </w:tc>
      </w:tr>
      <w:tr>
        <w:trPr>
          <w:trHeight w:val="162"/>
        </w:trPr>
        <w:tc>
          <w:tcPr>
            <w:tcW w:w="25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51972"/>
                <w:w w:val="98"/>
              </w:rPr>
              <w:t>Year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51972"/>
              </w:rPr>
              <w:t>Sharing Plan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51972"/>
                <w:w w:val="99"/>
              </w:rPr>
              <w:t>SERP</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051972"/>
              </w:rPr>
              <w:t>Life Insurance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1972"/>
              </w:rPr>
              <w:t>Wellness</w:t>
            </w:r>
          </w:p>
        </w:tc>
        <w:tc>
          <w:tcPr>
            <w:tcW w:w="1600" w:type="dxa"/>
            <w:vAlign w:val="bottom"/>
          </w:tcPr>
          <w:p>
            <w:pPr>
              <w:jc w:val="center"/>
              <w:ind w:left="18"/>
              <w:spacing w:after="0"/>
              <w:rPr>
                <w:sz w:val="20"/>
                <w:szCs w:val="20"/>
                <w:color w:val="auto"/>
              </w:rPr>
            </w:pPr>
            <w:r>
              <w:rPr>
                <w:rFonts w:ascii="Arial" w:cs="Arial" w:eastAsia="Arial" w:hAnsi="Arial"/>
                <w:sz w:val="14"/>
                <w:szCs w:val="14"/>
                <w:b w:val="1"/>
                <w:bCs w:val="1"/>
                <w:color w:val="051972"/>
              </w:rPr>
              <w:t>All Other</w:t>
            </w:r>
          </w:p>
        </w:tc>
      </w:tr>
      <w:tr>
        <w:trPr>
          <w:trHeight w:val="162"/>
        </w:trPr>
        <w:tc>
          <w:tcPr>
            <w:tcW w:w="25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51972"/>
              </w:rPr>
              <w:t>Ended</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51972"/>
              </w:rPr>
              <w:t>Contribution</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51972"/>
              </w:rPr>
              <w:t>Contribution</w:t>
            </w:r>
          </w:p>
        </w:tc>
        <w:tc>
          <w:tcPr>
            <w:tcW w:w="1560" w:type="dxa"/>
            <w:vAlign w:val="bottom"/>
          </w:tcPr>
          <w:p>
            <w:pPr>
              <w:ind w:left="600"/>
              <w:spacing w:after="0"/>
              <w:rPr>
                <w:sz w:val="20"/>
                <w:szCs w:val="20"/>
                <w:color w:val="auto"/>
              </w:rPr>
            </w:pPr>
            <w:r>
              <w:rPr>
                <w:rFonts w:ascii="Arial" w:cs="Arial" w:eastAsia="Arial" w:hAnsi="Arial"/>
                <w:sz w:val="14"/>
                <w:szCs w:val="14"/>
                <w:b w:val="1"/>
                <w:bCs w:val="1"/>
                <w:color w:val="051972"/>
              </w:rPr>
              <w:t>Plan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1972"/>
              </w:rPr>
              <w:t>Award</w:t>
            </w:r>
          </w:p>
        </w:tc>
        <w:tc>
          <w:tcPr>
            <w:tcW w:w="1600" w:type="dxa"/>
            <w:vAlign w:val="bottom"/>
          </w:tcPr>
          <w:p>
            <w:pPr>
              <w:jc w:val="center"/>
              <w:ind w:left="38"/>
              <w:spacing w:after="0"/>
              <w:rPr>
                <w:sz w:val="20"/>
                <w:szCs w:val="20"/>
                <w:color w:val="auto"/>
              </w:rPr>
            </w:pPr>
            <w:r>
              <w:rPr>
                <w:rFonts w:ascii="Arial" w:cs="Arial" w:eastAsia="Arial" w:hAnsi="Arial"/>
                <w:sz w:val="14"/>
                <w:szCs w:val="14"/>
                <w:b w:val="1"/>
                <w:bCs w:val="1"/>
                <w:color w:val="051972"/>
              </w:rPr>
              <w:t>Compensation</w:t>
            </w:r>
          </w:p>
        </w:tc>
      </w:tr>
      <w:tr>
        <w:trPr>
          <w:trHeight w:val="185"/>
        </w:trPr>
        <w:tc>
          <w:tcPr>
            <w:tcW w:w="2560" w:type="dxa"/>
            <w:vAlign w:val="bottom"/>
            <w:tcBorders>
              <w:bottom w:val="single" w:sz="8" w:color="051972"/>
            </w:tcBorders>
          </w:tcPr>
          <w:p>
            <w:pPr>
              <w:ind w:left="40"/>
              <w:spacing w:after="0"/>
              <w:rPr>
                <w:sz w:val="20"/>
                <w:szCs w:val="20"/>
                <w:color w:val="auto"/>
              </w:rPr>
            </w:pPr>
            <w:r>
              <w:rPr>
                <w:rFonts w:ascii="Arial" w:cs="Arial" w:eastAsia="Arial" w:hAnsi="Arial"/>
                <w:sz w:val="14"/>
                <w:szCs w:val="14"/>
                <w:b w:val="1"/>
                <w:bCs w:val="1"/>
                <w:color w:val="051972"/>
              </w:rPr>
              <w:t>Name</w:t>
            </w:r>
          </w:p>
        </w:tc>
        <w:tc>
          <w:tcPr>
            <w:tcW w:w="130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March 31,</w:t>
            </w:r>
          </w:p>
        </w:tc>
        <w:tc>
          <w:tcPr>
            <w:tcW w:w="146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144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156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132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1600" w:type="dxa"/>
            <w:vAlign w:val="bottom"/>
            <w:tcBorders>
              <w:bottom w:val="single" w:sz="8" w:color="051972"/>
            </w:tcBorders>
          </w:tcPr>
          <w:p>
            <w:pPr>
              <w:jc w:val="center"/>
              <w:ind w:left="18"/>
              <w:spacing w:after="0"/>
              <w:rPr>
                <w:sz w:val="20"/>
                <w:szCs w:val="20"/>
                <w:color w:val="auto"/>
              </w:rPr>
            </w:pPr>
            <w:r>
              <w:rPr>
                <w:rFonts w:ascii="Arial" w:cs="Arial" w:eastAsia="Arial" w:hAnsi="Arial"/>
                <w:sz w:val="14"/>
                <w:szCs w:val="14"/>
                <w:b w:val="1"/>
                <w:bCs w:val="1"/>
                <w:color w:val="051972"/>
              </w:rPr>
              <w:t>($)</w:t>
            </w:r>
          </w:p>
        </w:tc>
      </w:tr>
      <w:tr>
        <w:trPr>
          <w:trHeight w:val="284"/>
        </w:trPr>
        <w:tc>
          <w:tcPr>
            <w:tcW w:w="25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8"/>
                <w:szCs w:val="18"/>
                <w:color w:val="auto"/>
              </w:rPr>
              <w:t>Michael R. Haack</w:t>
            </w:r>
          </w:p>
        </w:tc>
        <w:tc>
          <w:tcPr>
            <w:tcW w:w="130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8"/>
                <w:szCs w:val="18"/>
                <w:color w:val="auto"/>
                <w:w w:val="99"/>
              </w:rPr>
              <w:t>2025</w:t>
            </w:r>
          </w:p>
        </w:tc>
        <w:tc>
          <w:tcPr>
            <w:tcW w:w="146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8"/>
                <w:szCs w:val="18"/>
                <w:color w:val="auto"/>
                <w:w w:val="98"/>
              </w:rPr>
              <w:t>34,500</w:t>
            </w:r>
          </w:p>
        </w:tc>
        <w:tc>
          <w:tcPr>
            <w:tcW w:w="1440" w:type="dxa"/>
            <w:vAlign w:val="bottom"/>
            <w:tcBorders>
              <w:bottom w:val="single" w:sz="8" w:color="E7E7E8"/>
            </w:tcBorders>
            <w:shd w:val="clear" w:color="auto" w:fill="E7E7E8"/>
          </w:tcPr>
          <w:p>
            <w:pPr>
              <w:jc w:val="right"/>
              <w:ind w:right="357"/>
              <w:spacing w:after="0"/>
              <w:rPr>
                <w:sz w:val="20"/>
                <w:szCs w:val="20"/>
                <w:color w:val="auto"/>
              </w:rPr>
            </w:pPr>
            <w:r>
              <w:rPr>
                <w:rFonts w:ascii="Arial" w:cs="Arial" w:eastAsia="Arial" w:hAnsi="Arial"/>
                <w:sz w:val="18"/>
                <w:szCs w:val="18"/>
                <w:color w:val="auto"/>
              </w:rPr>
              <w:t>72,620</w:t>
            </w:r>
          </w:p>
        </w:tc>
        <w:tc>
          <w:tcPr>
            <w:tcW w:w="1560" w:type="dxa"/>
            <w:vAlign w:val="bottom"/>
            <w:tcBorders>
              <w:bottom w:val="single" w:sz="8" w:color="E7E7E8"/>
            </w:tcBorders>
            <w:shd w:val="clear" w:color="auto" w:fill="E7E7E8"/>
          </w:tcPr>
          <w:p>
            <w:pPr>
              <w:ind w:left="580"/>
              <w:spacing w:after="0"/>
              <w:rPr>
                <w:sz w:val="20"/>
                <w:szCs w:val="20"/>
                <w:color w:val="auto"/>
              </w:rPr>
            </w:pPr>
            <w:r>
              <w:rPr>
                <w:rFonts w:ascii="Arial" w:cs="Arial" w:eastAsia="Arial" w:hAnsi="Arial"/>
                <w:sz w:val="18"/>
                <w:szCs w:val="18"/>
                <w:color w:val="auto"/>
              </w:rPr>
              <w:t>7,982</w:t>
            </w:r>
          </w:p>
        </w:tc>
        <w:tc>
          <w:tcPr>
            <w:tcW w:w="1320" w:type="dxa"/>
            <w:vAlign w:val="bottom"/>
            <w:tcBorders>
              <w:bottom w:val="single" w:sz="8" w:color="E7E7E8"/>
            </w:tcBorders>
            <w:shd w:val="clear" w:color="auto" w:fill="E7E7E8"/>
          </w:tcPr>
          <w:p>
            <w:pPr>
              <w:jc w:val="right"/>
              <w:ind w:right="298"/>
              <w:spacing w:after="0"/>
              <w:rPr>
                <w:sz w:val="20"/>
                <w:szCs w:val="20"/>
                <w:color w:val="auto"/>
              </w:rPr>
            </w:pPr>
            <w:r>
              <w:rPr>
                <w:rFonts w:ascii="Arial" w:cs="Arial" w:eastAsia="Arial" w:hAnsi="Arial"/>
                <w:sz w:val="18"/>
                <w:szCs w:val="18"/>
                <w:color w:val="auto"/>
              </w:rPr>
              <w:t>495</w:t>
            </w:r>
          </w:p>
        </w:tc>
        <w:tc>
          <w:tcPr>
            <w:tcW w:w="1600" w:type="dxa"/>
            <w:vAlign w:val="bottom"/>
            <w:tcBorders>
              <w:bottom w:val="single" w:sz="8" w:color="E7E7E8"/>
            </w:tcBorders>
            <w:shd w:val="clear" w:color="auto" w:fill="E7E7E8"/>
          </w:tcPr>
          <w:p>
            <w:pPr>
              <w:jc w:val="right"/>
              <w:ind w:right="358"/>
              <w:spacing w:after="0"/>
              <w:rPr>
                <w:sz w:val="20"/>
                <w:szCs w:val="20"/>
                <w:color w:val="auto"/>
              </w:rPr>
            </w:pPr>
            <w:r>
              <w:rPr>
                <w:rFonts w:ascii="Arial" w:cs="Arial" w:eastAsia="Arial" w:hAnsi="Arial"/>
                <w:sz w:val="18"/>
                <w:szCs w:val="18"/>
                <w:color w:val="auto"/>
              </w:rPr>
              <w:t>115,597</w:t>
            </w:r>
          </w:p>
        </w:tc>
      </w:tr>
      <w:tr>
        <w:trPr>
          <w:trHeight w:val="261"/>
        </w:trPr>
        <w:tc>
          <w:tcPr>
            <w:tcW w:w="2560" w:type="dxa"/>
            <w:vAlign w:val="bottom"/>
          </w:tcPr>
          <w:p>
            <w:pPr>
              <w:ind w:left="40"/>
              <w:spacing w:after="0"/>
              <w:rPr>
                <w:sz w:val="20"/>
                <w:szCs w:val="20"/>
                <w:color w:val="auto"/>
              </w:rPr>
            </w:pPr>
            <w:r>
              <w:rPr>
                <w:rFonts w:ascii="Arial" w:cs="Arial" w:eastAsia="Arial" w:hAnsi="Arial"/>
                <w:sz w:val="18"/>
                <w:szCs w:val="18"/>
                <w:color w:val="auto"/>
              </w:rPr>
              <w:t>D. Craig Kesler</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34,500</w:t>
            </w:r>
          </w:p>
        </w:tc>
        <w:tc>
          <w:tcPr>
            <w:tcW w:w="1440" w:type="dxa"/>
            <w:vAlign w:val="bottom"/>
          </w:tcPr>
          <w:p>
            <w:pPr>
              <w:jc w:val="right"/>
              <w:ind w:right="357"/>
              <w:spacing w:after="0"/>
              <w:rPr>
                <w:sz w:val="20"/>
                <w:szCs w:val="20"/>
                <w:color w:val="auto"/>
              </w:rPr>
            </w:pPr>
            <w:r>
              <w:rPr>
                <w:rFonts w:ascii="Arial" w:cs="Arial" w:eastAsia="Arial" w:hAnsi="Arial"/>
                <w:sz w:val="18"/>
                <w:szCs w:val="18"/>
                <w:color w:val="auto"/>
              </w:rPr>
              <w:t>26,270</w:t>
            </w:r>
          </w:p>
        </w:tc>
        <w:tc>
          <w:tcPr>
            <w:tcW w:w="1560" w:type="dxa"/>
            <w:vAlign w:val="bottom"/>
          </w:tcPr>
          <w:p>
            <w:pPr>
              <w:ind w:left="580"/>
              <w:spacing w:after="0"/>
              <w:rPr>
                <w:sz w:val="20"/>
                <w:szCs w:val="20"/>
                <w:color w:val="auto"/>
              </w:rPr>
            </w:pPr>
            <w:r>
              <w:rPr>
                <w:rFonts w:ascii="Arial" w:cs="Arial" w:eastAsia="Arial" w:hAnsi="Arial"/>
                <w:sz w:val="18"/>
                <w:szCs w:val="18"/>
                <w:color w:val="auto"/>
              </w:rPr>
              <w:t>6,201</w:t>
            </w:r>
          </w:p>
        </w:tc>
        <w:tc>
          <w:tcPr>
            <w:tcW w:w="1320" w:type="dxa"/>
            <w:vAlign w:val="bottom"/>
          </w:tcPr>
          <w:p>
            <w:pPr>
              <w:jc w:val="right"/>
              <w:ind w:right="298"/>
              <w:spacing w:after="0"/>
              <w:rPr>
                <w:sz w:val="20"/>
                <w:szCs w:val="20"/>
                <w:color w:val="auto"/>
              </w:rPr>
            </w:pPr>
            <w:r>
              <w:rPr>
                <w:rFonts w:ascii="Arial" w:cs="Arial" w:eastAsia="Arial" w:hAnsi="Arial"/>
                <w:sz w:val="18"/>
                <w:szCs w:val="18"/>
                <w:color w:val="auto"/>
              </w:rPr>
              <w:t>495</w:t>
            </w:r>
          </w:p>
        </w:tc>
        <w:tc>
          <w:tcPr>
            <w:tcW w:w="1600" w:type="dxa"/>
            <w:vAlign w:val="bottom"/>
          </w:tcPr>
          <w:p>
            <w:pPr>
              <w:jc w:val="right"/>
              <w:ind w:right="358"/>
              <w:spacing w:after="0"/>
              <w:rPr>
                <w:sz w:val="20"/>
                <w:szCs w:val="20"/>
                <w:color w:val="auto"/>
              </w:rPr>
            </w:pPr>
            <w:r>
              <w:rPr>
                <w:rFonts w:ascii="Arial" w:cs="Arial" w:eastAsia="Arial" w:hAnsi="Arial"/>
                <w:sz w:val="18"/>
                <w:szCs w:val="18"/>
                <w:color w:val="auto"/>
              </w:rPr>
              <w:t>67,466</w:t>
            </w:r>
          </w:p>
        </w:tc>
      </w:tr>
      <w:tr>
        <w:trPr>
          <w:trHeight w:val="36"/>
        </w:trPr>
        <w:tc>
          <w:tcPr>
            <w:tcW w:w="25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77"/>
        </w:trPr>
        <w:tc>
          <w:tcPr>
            <w:tcW w:w="25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8"/>
                <w:szCs w:val="18"/>
                <w:color w:val="auto"/>
              </w:rPr>
              <w:t>Matt Newby</w:t>
            </w:r>
          </w:p>
        </w:tc>
        <w:tc>
          <w:tcPr>
            <w:tcW w:w="130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8"/>
                <w:szCs w:val="18"/>
                <w:color w:val="auto"/>
                <w:w w:val="99"/>
              </w:rPr>
              <w:t>2025</w:t>
            </w:r>
          </w:p>
        </w:tc>
        <w:tc>
          <w:tcPr>
            <w:tcW w:w="146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8"/>
                <w:szCs w:val="18"/>
                <w:color w:val="auto"/>
                <w:w w:val="98"/>
              </w:rPr>
              <w:t>34,500</w:t>
            </w:r>
          </w:p>
        </w:tc>
        <w:tc>
          <w:tcPr>
            <w:tcW w:w="1440" w:type="dxa"/>
            <w:vAlign w:val="bottom"/>
            <w:tcBorders>
              <w:bottom w:val="single" w:sz="8" w:color="E7E7E8"/>
            </w:tcBorders>
            <w:shd w:val="clear" w:color="auto" w:fill="E7E7E8"/>
          </w:tcPr>
          <w:p>
            <w:pPr>
              <w:jc w:val="right"/>
              <w:ind w:right="357"/>
              <w:spacing w:after="0"/>
              <w:rPr>
                <w:sz w:val="20"/>
                <w:szCs w:val="20"/>
                <w:color w:val="auto"/>
              </w:rPr>
            </w:pPr>
            <w:r>
              <w:rPr>
                <w:rFonts w:ascii="Arial" w:cs="Arial" w:eastAsia="Arial" w:hAnsi="Arial"/>
                <w:sz w:val="18"/>
                <w:szCs w:val="18"/>
                <w:color w:val="auto"/>
              </w:rPr>
              <w:t>16,563</w:t>
            </w:r>
          </w:p>
        </w:tc>
        <w:tc>
          <w:tcPr>
            <w:tcW w:w="1560" w:type="dxa"/>
            <w:vAlign w:val="bottom"/>
            <w:tcBorders>
              <w:bottom w:val="single" w:sz="8" w:color="E7E7E8"/>
            </w:tcBorders>
            <w:shd w:val="clear" w:color="auto" w:fill="E7E7E8"/>
          </w:tcPr>
          <w:p>
            <w:pPr>
              <w:ind w:left="580"/>
              <w:spacing w:after="0"/>
              <w:rPr>
                <w:sz w:val="20"/>
                <w:szCs w:val="20"/>
                <w:color w:val="auto"/>
              </w:rPr>
            </w:pPr>
            <w:r>
              <w:rPr>
                <w:rFonts w:ascii="Arial" w:cs="Arial" w:eastAsia="Arial" w:hAnsi="Arial"/>
                <w:sz w:val="18"/>
                <w:szCs w:val="18"/>
                <w:color w:val="auto"/>
              </w:rPr>
              <w:t>5,653</w:t>
            </w:r>
          </w:p>
        </w:tc>
        <w:tc>
          <w:tcPr>
            <w:tcW w:w="1320" w:type="dxa"/>
            <w:vAlign w:val="bottom"/>
            <w:tcBorders>
              <w:bottom w:val="single" w:sz="8" w:color="E7E7E8"/>
            </w:tcBorders>
            <w:shd w:val="clear" w:color="auto" w:fill="E7E7E8"/>
          </w:tcPr>
          <w:p>
            <w:pPr>
              <w:jc w:val="right"/>
              <w:ind w:right="298"/>
              <w:spacing w:after="0"/>
              <w:rPr>
                <w:sz w:val="20"/>
                <w:szCs w:val="20"/>
                <w:color w:val="auto"/>
              </w:rPr>
            </w:pPr>
            <w:r>
              <w:rPr>
                <w:rFonts w:ascii="Arial" w:cs="Arial" w:eastAsia="Arial" w:hAnsi="Arial"/>
                <w:sz w:val="18"/>
                <w:szCs w:val="18"/>
                <w:color w:val="auto"/>
              </w:rPr>
              <w:t>660</w:t>
            </w:r>
          </w:p>
        </w:tc>
        <w:tc>
          <w:tcPr>
            <w:tcW w:w="1600" w:type="dxa"/>
            <w:vAlign w:val="bottom"/>
            <w:tcBorders>
              <w:bottom w:val="single" w:sz="8" w:color="E7E7E8"/>
            </w:tcBorders>
            <w:shd w:val="clear" w:color="auto" w:fill="E7E7E8"/>
          </w:tcPr>
          <w:p>
            <w:pPr>
              <w:jc w:val="right"/>
              <w:ind w:right="358"/>
              <w:spacing w:after="0"/>
              <w:rPr>
                <w:sz w:val="20"/>
                <w:szCs w:val="20"/>
                <w:color w:val="auto"/>
              </w:rPr>
            </w:pPr>
            <w:r>
              <w:rPr>
                <w:rFonts w:ascii="Arial" w:cs="Arial" w:eastAsia="Arial" w:hAnsi="Arial"/>
                <w:sz w:val="18"/>
                <w:szCs w:val="18"/>
                <w:color w:val="auto"/>
              </w:rPr>
              <w:t>57,376</w:t>
            </w:r>
          </w:p>
        </w:tc>
      </w:tr>
      <w:tr>
        <w:trPr>
          <w:trHeight w:val="261"/>
        </w:trPr>
        <w:tc>
          <w:tcPr>
            <w:tcW w:w="2560" w:type="dxa"/>
            <w:vAlign w:val="bottom"/>
          </w:tcPr>
          <w:p>
            <w:pPr>
              <w:ind w:left="40"/>
              <w:spacing w:after="0"/>
              <w:rPr>
                <w:sz w:val="20"/>
                <w:szCs w:val="20"/>
                <w:color w:val="auto"/>
              </w:rPr>
            </w:pPr>
            <w:r>
              <w:rPr>
                <w:rFonts w:ascii="Arial" w:cs="Arial" w:eastAsia="Arial" w:hAnsi="Arial"/>
                <w:sz w:val="18"/>
                <w:szCs w:val="18"/>
                <w:color w:val="auto"/>
              </w:rPr>
              <w:t>Eric Cribbs</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2025</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34,500</w:t>
            </w:r>
          </w:p>
        </w:tc>
        <w:tc>
          <w:tcPr>
            <w:tcW w:w="1440" w:type="dxa"/>
            <w:vAlign w:val="bottom"/>
          </w:tcPr>
          <w:p>
            <w:pPr>
              <w:jc w:val="right"/>
              <w:ind w:right="357"/>
              <w:spacing w:after="0"/>
              <w:rPr>
                <w:sz w:val="20"/>
                <w:szCs w:val="20"/>
                <w:color w:val="auto"/>
              </w:rPr>
            </w:pPr>
            <w:r>
              <w:rPr>
                <w:rFonts w:ascii="Arial" w:cs="Arial" w:eastAsia="Arial" w:hAnsi="Arial"/>
                <w:sz w:val="18"/>
                <w:szCs w:val="18"/>
                <w:color w:val="auto"/>
              </w:rPr>
              <w:t>4,284</w:t>
            </w:r>
          </w:p>
        </w:tc>
        <w:tc>
          <w:tcPr>
            <w:tcW w:w="1560" w:type="dxa"/>
            <w:vAlign w:val="bottom"/>
          </w:tcPr>
          <w:p>
            <w:pPr>
              <w:ind w:left="580"/>
              <w:spacing w:after="0"/>
              <w:rPr>
                <w:sz w:val="20"/>
                <w:szCs w:val="20"/>
                <w:color w:val="auto"/>
              </w:rPr>
            </w:pPr>
            <w:r>
              <w:rPr>
                <w:rFonts w:ascii="Arial" w:cs="Arial" w:eastAsia="Arial" w:hAnsi="Arial"/>
                <w:sz w:val="18"/>
                <w:szCs w:val="18"/>
                <w:color w:val="auto"/>
              </w:rPr>
              <w:t>8,667</w:t>
            </w:r>
          </w:p>
        </w:tc>
        <w:tc>
          <w:tcPr>
            <w:tcW w:w="1320" w:type="dxa"/>
            <w:vAlign w:val="bottom"/>
          </w:tcPr>
          <w:p>
            <w:pPr>
              <w:jc w:val="right"/>
              <w:ind w:right="298"/>
              <w:spacing w:after="0"/>
              <w:rPr>
                <w:sz w:val="20"/>
                <w:szCs w:val="20"/>
                <w:color w:val="auto"/>
              </w:rPr>
            </w:pPr>
            <w:r>
              <w:rPr>
                <w:rFonts w:ascii="Arial" w:cs="Arial" w:eastAsia="Arial" w:hAnsi="Arial"/>
                <w:sz w:val="18"/>
                <w:szCs w:val="18"/>
                <w:color w:val="auto"/>
              </w:rPr>
              <w:t>660</w:t>
            </w:r>
          </w:p>
        </w:tc>
        <w:tc>
          <w:tcPr>
            <w:tcW w:w="1600" w:type="dxa"/>
            <w:vAlign w:val="bottom"/>
          </w:tcPr>
          <w:p>
            <w:pPr>
              <w:jc w:val="right"/>
              <w:ind w:right="358"/>
              <w:spacing w:after="0"/>
              <w:rPr>
                <w:sz w:val="20"/>
                <w:szCs w:val="20"/>
                <w:color w:val="auto"/>
              </w:rPr>
            </w:pPr>
            <w:r>
              <w:rPr>
                <w:rFonts w:ascii="Arial" w:cs="Arial" w:eastAsia="Arial" w:hAnsi="Arial"/>
                <w:sz w:val="18"/>
                <w:szCs w:val="18"/>
                <w:color w:val="auto"/>
              </w:rPr>
              <w:t>48,111</w:t>
            </w:r>
          </w:p>
        </w:tc>
      </w:tr>
      <w:tr>
        <w:trPr>
          <w:trHeight w:val="37"/>
        </w:trPr>
        <w:tc>
          <w:tcPr>
            <w:tcW w:w="25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90"/>
        </w:trPr>
        <w:tc>
          <w:tcPr>
            <w:tcW w:w="2560" w:type="dxa"/>
            <w:vAlign w:val="bottom"/>
            <w:tcBorders>
              <w:bottom w:val="single" w:sz="8" w:color="E7E7E8"/>
            </w:tcBorders>
            <w:shd w:val="clear" w:color="auto" w:fill="E7E7E8"/>
          </w:tcPr>
          <w:p>
            <w:pPr>
              <w:ind w:left="40"/>
              <w:spacing w:after="0"/>
              <w:rPr>
                <w:sz w:val="20"/>
                <w:szCs w:val="20"/>
                <w:color w:val="auto"/>
              </w:rPr>
            </w:pPr>
            <w:r>
              <w:rPr>
                <w:rFonts w:ascii="Arial" w:cs="Arial" w:eastAsia="Arial" w:hAnsi="Arial"/>
                <w:sz w:val="18"/>
                <w:szCs w:val="18"/>
                <w:color w:val="auto"/>
              </w:rPr>
              <w:t>Tony Thompson</w:t>
            </w:r>
          </w:p>
        </w:tc>
        <w:tc>
          <w:tcPr>
            <w:tcW w:w="130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8"/>
                <w:szCs w:val="18"/>
                <w:color w:val="auto"/>
                <w:w w:val="99"/>
              </w:rPr>
              <w:t>2025</w:t>
            </w:r>
          </w:p>
        </w:tc>
        <w:tc>
          <w:tcPr>
            <w:tcW w:w="1460" w:type="dxa"/>
            <w:vAlign w:val="bottom"/>
            <w:tcBorders>
              <w:bottom w:val="single" w:sz="8" w:color="E7E7E8"/>
            </w:tcBorders>
            <w:shd w:val="clear" w:color="auto" w:fill="E7E7E8"/>
          </w:tcPr>
          <w:p>
            <w:pPr>
              <w:jc w:val="center"/>
              <w:spacing w:after="0"/>
              <w:rPr>
                <w:sz w:val="20"/>
                <w:szCs w:val="20"/>
                <w:color w:val="auto"/>
              </w:rPr>
            </w:pPr>
            <w:r>
              <w:rPr>
                <w:rFonts w:ascii="Arial" w:cs="Arial" w:eastAsia="Arial" w:hAnsi="Arial"/>
                <w:sz w:val="18"/>
                <w:szCs w:val="18"/>
                <w:color w:val="auto"/>
                <w:w w:val="98"/>
              </w:rPr>
              <w:t>33,687</w:t>
            </w:r>
          </w:p>
        </w:tc>
        <w:tc>
          <w:tcPr>
            <w:tcW w:w="1440" w:type="dxa"/>
            <w:vAlign w:val="bottom"/>
            <w:tcBorders>
              <w:bottom w:val="single" w:sz="8" w:color="E7E7E8"/>
            </w:tcBorders>
            <w:shd w:val="clear" w:color="auto" w:fill="E7E7E8"/>
          </w:tcPr>
          <w:p>
            <w:pPr>
              <w:jc w:val="right"/>
              <w:ind w:right="357"/>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E7E7E8"/>
            </w:tcBorders>
            <w:shd w:val="clear" w:color="auto" w:fill="E7E7E8"/>
          </w:tcPr>
          <w:p>
            <w:pPr>
              <w:ind w:left="580"/>
              <w:spacing w:after="0"/>
              <w:rPr>
                <w:sz w:val="20"/>
                <w:szCs w:val="20"/>
                <w:color w:val="auto"/>
              </w:rPr>
            </w:pPr>
            <w:r>
              <w:rPr>
                <w:rFonts w:ascii="Arial" w:cs="Arial" w:eastAsia="Arial" w:hAnsi="Arial"/>
                <w:sz w:val="18"/>
                <w:szCs w:val="18"/>
                <w:color w:val="auto"/>
              </w:rPr>
              <w:t>7,982</w:t>
            </w:r>
          </w:p>
        </w:tc>
        <w:tc>
          <w:tcPr>
            <w:tcW w:w="1320" w:type="dxa"/>
            <w:vAlign w:val="bottom"/>
            <w:tcBorders>
              <w:bottom w:val="single" w:sz="8" w:color="E7E7E8"/>
            </w:tcBorders>
            <w:shd w:val="clear" w:color="auto" w:fill="E7E7E8"/>
          </w:tcPr>
          <w:p>
            <w:pPr>
              <w:jc w:val="right"/>
              <w:ind w:right="298"/>
              <w:spacing w:after="0"/>
              <w:rPr>
                <w:sz w:val="20"/>
                <w:szCs w:val="20"/>
                <w:color w:val="auto"/>
              </w:rPr>
            </w:pPr>
            <w:r>
              <w:rPr>
                <w:rFonts w:ascii="Arial" w:cs="Arial" w:eastAsia="Arial" w:hAnsi="Arial"/>
                <w:sz w:val="18"/>
                <w:szCs w:val="18"/>
                <w:color w:val="auto"/>
              </w:rPr>
              <w:t>660</w:t>
            </w:r>
          </w:p>
        </w:tc>
        <w:tc>
          <w:tcPr>
            <w:tcW w:w="1600" w:type="dxa"/>
            <w:vAlign w:val="bottom"/>
            <w:tcBorders>
              <w:bottom w:val="single" w:sz="8" w:color="E7E7E8"/>
            </w:tcBorders>
            <w:shd w:val="clear" w:color="auto" w:fill="E7E7E8"/>
          </w:tcPr>
          <w:p>
            <w:pPr>
              <w:jc w:val="right"/>
              <w:ind w:right="358"/>
              <w:spacing w:after="0"/>
              <w:rPr>
                <w:sz w:val="20"/>
                <w:szCs w:val="20"/>
                <w:color w:val="auto"/>
              </w:rPr>
            </w:pPr>
            <w:r>
              <w:rPr>
                <w:rFonts w:ascii="Arial" w:cs="Arial" w:eastAsia="Arial" w:hAnsi="Arial"/>
                <w:sz w:val="18"/>
                <w:szCs w:val="18"/>
                <w:color w:val="auto"/>
              </w:rPr>
              <w:t>42,329</w:t>
            </w:r>
          </w:p>
        </w:tc>
      </w:tr>
      <w:tr>
        <w:trPr>
          <w:trHeight w:val="41"/>
        </w:trPr>
        <w:tc>
          <w:tcPr>
            <w:tcW w:w="2560" w:type="dxa"/>
            <w:vAlign w:val="bottom"/>
            <w:shd w:val="clear" w:color="auto" w:fill="051972"/>
          </w:tcPr>
          <w:p>
            <w:pPr>
              <w:spacing w:after="0"/>
              <w:rPr>
                <w:sz w:val="3"/>
                <w:szCs w:val="3"/>
                <w:color w:val="auto"/>
              </w:rPr>
            </w:pPr>
          </w:p>
        </w:tc>
        <w:tc>
          <w:tcPr>
            <w:tcW w:w="1300" w:type="dxa"/>
            <w:vAlign w:val="bottom"/>
            <w:shd w:val="clear" w:color="auto" w:fill="051972"/>
          </w:tcPr>
          <w:p>
            <w:pPr>
              <w:spacing w:after="0"/>
              <w:rPr>
                <w:sz w:val="3"/>
                <w:szCs w:val="3"/>
                <w:color w:val="auto"/>
              </w:rPr>
            </w:pPr>
          </w:p>
        </w:tc>
        <w:tc>
          <w:tcPr>
            <w:tcW w:w="1460" w:type="dxa"/>
            <w:vAlign w:val="bottom"/>
            <w:shd w:val="clear" w:color="auto" w:fill="051972"/>
          </w:tcPr>
          <w:p>
            <w:pPr>
              <w:spacing w:after="0"/>
              <w:rPr>
                <w:sz w:val="3"/>
                <w:szCs w:val="3"/>
                <w:color w:val="auto"/>
              </w:rPr>
            </w:pPr>
          </w:p>
        </w:tc>
        <w:tc>
          <w:tcPr>
            <w:tcW w:w="1440" w:type="dxa"/>
            <w:vAlign w:val="bottom"/>
            <w:shd w:val="clear" w:color="auto" w:fill="051972"/>
          </w:tcPr>
          <w:p>
            <w:pPr>
              <w:spacing w:after="0"/>
              <w:rPr>
                <w:sz w:val="3"/>
                <w:szCs w:val="3"/>
                <w:color w:val="auto"/>
              </w:rPr>
            </w:pPr>
          </w:p>
        </w:tc>
        <w:tc>
          <w:tcPr>
            <w:tcW w:w="1560" w:type="dxa"/>
            <w:vAlign w:val="bottom"/>
            <w:shd w:val="clear" w:color="auto" w:fill="051972"/>
          </w:tcPr>
          <w:p>
            <w:pPr>
              <w:spacing w:after="0"/>
              <w:rPr>
                <w:sz w:val="3"/>
                <w:szCs w:val="3"/>
                <w:color w:val="auto"/>
              </w:rPr>
            </w:pPr>
          </w:p>
        </w:tc>
        <w:tc>
          <w:tcPr>
            <w:tcW w:w="1320" w:type="dxa"/>
            <w:vAlign w:val="bottom"/>
            <w:shd w:val="clear" w:color="auto" w:fill="051972"/>
          </w:tcPr>
          <w:p>
            <w:pPr>
              <w:spacing w:after="0"/>
              <w:rPr>
                <w:sz w:val="3"/>
                <w:szCs w:val="3"/>
                <w:color w:val="auto"/>
              </w:rPr>
            </w:pPr>
          </w:p>
        </w:tc>
        <w:tc>
          <w:tcPr>
            <w:tcW w:w="1600" w:type="dxa"/>
            <w:vAlign w:val="bottom"/>
            <w:shd w:val="clear" w:color="auto" w:fill="051972"/>
          </w:tcPr>
          <w:p>
            <w:pPr>
              <w:spacing w:after="0"/>
              <w:rPr>
                <w:sz w:val="3"/>
                <w:szCs w:val="3"/>
                <w:color w:val="auto"/>
              </w:rPr>
            </w:pPr>
          </w:p>
        </w:tc>
      </w:tr>
    </w:tbl>
    <w:p>
      <w:pPr>
        <w:spacing w:after="0" w:line="234" w:lineRule="exact"/>
        <w:rPr>
          <w:sz w:val="20"/>
          <w:szCs w:val="20"/>
          <w:color w:val="auto"/>
        </w:rPr>
      </w:pPr>
    </w:p>
    <w:p>
      <w:pPr>
        <w:ind w:left="380" w:right="600" w:hanging="372"/>
        <w:spacing w:after="0" w:line="284" w:lineRule="auto"/>
        <w:tabs>
          <w:tab w:leader="none" w:pos="380" w:val="left"/>
        </w:tabs>
        <w:numPr>
          <w:ilvl w:val="0"/>
          <w:numId w:val="80"/>
        </w:numPr>
        <w:rPr>
          <w:rFonts w:ascii="Times New Roman" w:cs="Times New Roman" w:eastAsia="Times New Roman" w:hAnsi="Times New Roman"/>
          <w:sz w:val="14"/>
          <w:szCs w:val="14"/>
          <w:color w:val="auto"/>
        </w:rPr>
      </w:pPr>
      <w:r>
        <w:rPr>
          <w:rFonts w:ascii="Arial" w:cs="Arial" w:eastAsia="Arial" w:hAnsi="Arial"/>
          <w:sz w:val="14"/>
          <w:szCs w:val="14"/>
          <w:color w:val="auto"/>
        </w:rPr>
        <w:t>Messrs. Cribbs and Thompson were not Named Executive Officers prior to fiscal year 2024. In accordance with SEC disclosure requirements, their compensation disclosure is provided only for the fiscal years in which they served as a Named Executive Officer.</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51</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6" w:name="page57"/>
    <w:bookmarkEnd w:id="56"/>
    <w:p>
      <w:pPr>
        <w:ind w:left="82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34235" cy="171450"/>
                    </a:xfrm>
                    <a:prstGeom prst="rect">
                      <a:avLst/>
                    </a:prstGeom>
                    <a:noFill/>
                  </pic:spPr>
                </pic:pic>
              </a:graphicData>
            </a:graphic>
          </wp:anchor>
        </w:drawing>
        <w:t>EXECUTIVE COMPENSATION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Grants of Plan-Based Awards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grants of plan-based awards made during fiscal 2025 to the Named Executive Officers.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20" w:type="dxa"/>
            <w:vAlign w:val="bottom"/>
            <w:gridSpan w:val="3"/>
            <w:vMerge w:val="restart"/>
          </w:tcPr>
          <w:p>
            <w:pPr>
              <w:jc w:val="center"/>
              <w:ind w:left="366"/>
              <w:spacing w:after="0"/>
              <w:rPr>
                <w:sz w:val="20"/>
                <w:szCs w:val="20"/>
                <w:color w:val="auto"/>
              </w:rPr>
            </w:pPr>
            <w:r>
              <w:rPr>
                <w:rFonts w:ascii="Arial" w:cs="Arial" w:eastAsia="Arial" w:hAnsi="Arial"/>
                <w:sz w:val="11"/>
                <w:szCs w:val="11"/>
                <w:b w:val="1"/>
                <w:bCs w:val="1"/>
                <w:color w:val="051972"/>
                <w:w w:val="98"/>
              </w:rPr>
              <w:t>Estimated Future Payouts</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40" w:type="dxa"/>
            <w:vAlign w:val="bottom"/>
            <w:gridSpan w:val="3"/>
            <w:vMerge w:val="restart"/>
          </w:tcPr>
          <w:p>
            <w:pPr>
              <w:jc w:val="center"/>
              <w:ind w:right="44"/>
              <w:spacing w:after="0"/>
              <w:rPr>
                <w:sz w:val="20"/>
                <w:szCs w:val="20"/>
                <w:color w:val="auto"/>
              </w:rPr>
            </w:pPr>
            <w:r>
              <w:rPr>
                <w:rFonts w:ascii="Arial" w:cs="Arial" w:eastAsia="Arial" w:hAnsi="Arial"/>
                <w:sz w:val="11"/>
                <w:szCs w:val="11"/>
                <w:b w:val="1"/>
                <w:bCs w:val="1"/>
                <w:color w:val="051972"/>
                <w:w w:val="98"/>
              </w:rPr>
              <w:t>Estimated Future Payouts</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left="206"/>
              <w:spacing w:after="0"/>
              <w:rPr>
                <w:sz w:val="20"/>
                <w:szCs w:val="20"/>
                <w:color w:val="auto"/>
              </w:rPr>
            </w:pPr>
            <w:r>
              <w:rPr>
                <w:rFonts w:ascii="Arial" w:cs="Arial" w:eastAsia="Arial" w:hAnsi="Arial"/>
                <w:sz w:val="11"/>
                <w:szCs w:val="11"/>
                <w:b w:val="1"/>
                <w:bCs w:val="1"/>
                <w:color w:val="051972"/>
                <w:w w:val="98"/>
              </w:rPr>
              <w:t>All Other</w:t>
            </w: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jc w:val="center"/>
              <w:ind w:left="226"/>
              <w:spacing w:after="0" w:line="108" w:lineRule="exact"/>
              <w:rPr>
                <w:sz w:val="20"/>
                <w:szCs w:val="20"/>
                <w:color w:val="auto"/>
              </w:rPr>
            </w:pPr>
            <w:r>
              <w:rPr>
                <w:rFonts w:ascii="Arial" w:cs="Arial" w:eastAsia="Arial" w:hAnsi="Arial"/>
                <w:sz w:val="11"/>
                <w:szCs w:val="11"/>
                <w:b w:val="1"/>
                <w:bCs w:val="1"/>
                <w:color w:val="051972"/>
                <w:w w:val="99"/>
              </w:rPr>
              <w:t>Stock Awards:</w:t>
            </w:r>
          </w:p>
        </w:tc>
        <w:tc>
          <w:tcPr>
            <w:tcW w:w="32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9"/>
              </w:rPr>
              <w:t>Grant Date</w:t>
            </w: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20" w:type="dxa"/>
            <w:vAlign w:val="bottom"/>
            <w:gridSpan w:val="3"/>
          </w:tcPr>
          <w:p>
            <w:pPr>
              <w:jc w:val="center"/>
              <w:ind w:left="366"/>
              <w:spacing w:after="0" w:line="122" w:lineRule="exact"/>
              <w:rPr>
                <w:sz w:val="20"/>
                <w:szCs w:val="20"/>
                <w:color w:val="auto"/>
              </w:rPr>
            </w:pPr>
            <w:r>
              <w:rPr>
                <w:rFonts w:ascii="Arial" w:cs="Arial" w:eastAsia="Arial" w:hAnsi="Arial"/>
                <w:sz w:val="11"/>
                <w:szCs w:val="11"/>
                <w:b w:val="1"/>
                <w:bCs w:val="1"/>
                <w:color w:val="051972"/>
                <w:w w:val="98"/>
              </w:rPr>
              <w:t>Under Non-Equity Incentive</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40" w:type="dxa"/>
            <w:vAlign w:val="bottom"/>
            <w:gridSpan w:val="3"/>
          </w:tcPr>
          <w:p>
            <w:pPr>
              <w:jc w:val="center"/>
              <w:ind w:right="44"/>
              <w:spacing w:after="0" w:line="122" w:lineRule="exact"/>
              <w:rPr>
                <w:sz w:val="20"/>
                <w:szCs w:val="20"/>
                <w:color w:val="auto"/>
              </w:rPr>
            </w:pPr>
            <w:r>
              <w:rPr>
                <w:rFonts w:ascii="Arial" w:cs="Arial" w:eastAsia="Arial" w:hAnsi="Arial"/>
                <w:sz w:val="11"/>
                <w:szCs w:val="11"/>
                <w:b w:val="1"/>
                <w:bCs w:val="1"/>
                <w:color w:val="051972"/>
                <w:w w:val="97"/>
              </w:rPr>
              <w:t>Under Equity Incentive Plan</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left="206"/>
              <w:spacing w:after="0" w:line="122" w:lineRule="exact"/>
              <w:rPr>
                <w:sz w:val="20"/>
                <w:szCs w:val="20"/>
                <w:color w:val="auto"/>
              </w:rPr>
            </w:pPr>
            <w:r>
              <w:rPr>
                <w:rFonts w:ascii="Arial" w:cs="Arial" w:eastAsia="Arial" w:hAnsi="Arial"/>
                <w:sz w:val="11"/>
                <w:szCs w:val="11"/>
                <w:b w:val="1"/>
                <w:bCs w:val="1"/>
                <w:color w:val="051972"/>
                <w:w w:val="98"/>
              </w:rPr>
              <w:t>Number of</w:t>
            </w:r>
          </w:p>
        </w:tc>
        <w:tc>
          <w:tcPr>
            <w:tcW w:w="32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Fair Value</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051972"/>
                <w:w w:val="98"/>
              </w:rPr>
              <w:t>Committee</w:t>
            </w:r>
          </w:p>
        </w:tc>
        <w:tc>
          <w:tcPr>
            <w:tcW w:w="720" w:type="dxa"/>
            <w:vAlign w:val="bottom"/>
            <w:tcBorders>
              <w:bottom w:val="single" w:sz="8" w:color="051972"/>
            </w:tcBorders>
          </w:tcPr>
          <w:p>
            <w:pPr>
              <w:spacing w:after="0"/>
              <w:rPr>
                <w:sz w:val="11"/>
                <w:szCs w:val="11"/>
                <w:color w:val="auto"/>
              </w:rPr>
            </w:pPr>
          </w:p>
        </w:tc>
        <w:tc>
          <w:tcPr>
            <w:tcW w:w="800" w:type="dxa"/>
            <w:vAlign w:val="bottom"/>
            <w:tcBorders>
              <w:bottom w:val="single" w:sz="8" w:color="051972"/>
            </w:tcBorders>
          </w:tcPr>
          <w:p>
            <w:pPr>
              <w:jc w:val="center"/>
              <w:ind w:left="46"/>
              <w:spacing w:after="0"/>
              <w:rPr>
                <w:sz w:val="20"/>
                <w:szCs w:val="20"/>
                <w:color w:val="auto"/>
              </w:rPr>
            </w:pPr>
            <w:r>
              <w:rPr>
                <w:rFonts w:ascii="Arial" w:cs="Arial" w:eastAsia="Arial" w:hAnsi="Arial"/>
                <w:sz w:val="11"/>
                <w:szCs w:val="11"/>
                <w:b w:val="1"/>
                <w:bCs w:val="1"/>
                <w:color w:val="051972"/>
                <w:w w:val="99"/>
              </w:rPr>
              <w:t>Plan Awards</w:t>
            </w:r>
          </w:p>
        </w:tc>
        <w:tc>
          <w:tcPr>
            <w:tcW w:w="400" w:type="dxa"/>
            <w:vAlign w:val="bottom"/>
            <w:tcBorders>
              <w:bottom w:val="single" w:sz="8" w:color="051972"/>
            </w:tcBorders>
          </w:tcPr>
          <w:p>
            <w:pPr>
              <w:spacing w:after="0"/>
              <w:rPr>
                <w:sz w:val="11"/>
                <w:szCs w:val="11"/>
                <w:color w:val="auto"/>
              </w:rPr>
            </w:pPr>
          </w:p>
        </w:tc>
        <w:tc>
          <w:tcPr>
            <w:tcW w:w="740" w:type="dxa"/>
            <w:vAlign w:val="bottom"/>
            <w:tcBorders>
              <w:bottom w:val="single" w:sz="8" w:color="051972"/>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051972"/>
            </w:tcBorders>
          </w:tcPr>
          <w:p>
            <w:pPr>
              <w:spacing w:after="0"/>
              <w:rPr>
                <w:sz w:val="11"/>
                <w:szCs w:val="11"/>
                <w:color w:val="auto"/>
              </w:rPr>
            </w:pPr>
          </w:p>
        </w:tc>
        <w:tc>
          <w:tcPr>
            <w:tcW w:w="360" w:type="dxa"/>
            <w:vAlign w:val="bottom"/>
            <w:tcBorders>
              <w:bottom w:val="single" w:sz="8" w:color="051972"/>
            </w:tcBorders>
          </w:tcPr>
          <w:p>
            <w:pPr>
              <w:spacing w:after="0"/>
              <w:rPr>
                <w:sz w:val="11"/>
                <w:szCs w:val="11"/>
                <w:color w:val="auto"/>
              </w:rPr>
            </w:pPr>
          </w:p>
        </w:tc>
        <w:tc>
          <w:tcPr>
            <w:tcW w:w="7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95"/>
              </w:rPr>
              <w:t>Awards</w:t>
            </w:r>
          </w:p>
        </w:tc>
        <w:tc>
          <w:tcPr>
            <w:tcW w:w="420" w:type="dxa"/>
            <w:vAlign w:val="bottom"/>
            <w:tcBorders>
              <w:bottom w:val="single" w:sz="8" w:color="051972"/>
            </w:tcBorders>
          </w:tcPr>
          <w:p>
            <w:pPr>
              <w:spacing w:after="0"/>
              <w:rPr>
                <w:sz w:val="11"/>
                <w:szCs w:val="11"/>
                <w:color w:val="auto"/>
              </w:rPr>
            </w:pPr>
          </w:p>
        </w:tc>
        <w:tc>
          <w:tcPr>
            <w:tcW w:w="620" w:type="dxa"/>
            <w:vAlign w:val="bottom"/>
            <w:tcBorders>
              <w:bottom w:val="single" w:sz="8" w:color="051972"/>
            </w:tcBorders>
          </w:tcPr>
          <w:p>
            <w:pPr>
              <w:spacing w:after="0"/>
              <w:rPr>
                <w:sz w:val="11"/>
                <w:szCs w:val="11"/>
                <w:color w:val="auto"/>
              </w:rPr>
            </w:pPr>
          </w:p>
        </w:tc>
        <w:tc>
          <w:tcPr>
            <w:tcW w:w="200" w:type="dxa"/>
            <w:vAlign w:val="bottom"/>
            <w:tcBorders>
              <w:bottom w:val="single" w:sz="8" w:color="051972"/>
            </w:tcBorders>
          </w:tcPr>
          <w:p>
            <w:pPr>
              <w:spacing w:after="0"/>
              <w:rPr>
                <w:sz w:val="11"/>
                <w:szCs w:val="11"/>
                <w:color w:val="auto"/>
              </w:rPr>
            </w:pPr>
          </w:p>
        </w:tc>
        <w:tc>
          <w:tcPr>
            <w:tcW w:w="1360" w:type="dxa"/>
            <w:vAlign w:val="bottom"/>
            <w:gridSpan w:val="2"/>
          </w:tcPr>
          <w:p>
            <w:pPr>
              <w:jc w:val="center"/>
              <w:ind w:right="30"/>
              <w:spacing w:after="0"/>
              <w:rPr>
                <w:sz w:val="20"/>
                <w:szCs w:val="20"/>
                <w:color w:val="auto"/>
              </w:rPr>
            </w:pPr>
            <w:r>
              <w:rPr>
                <w:rFonts w:ascii="Arial" w:cs="Arial" w:eastAsia="Arial" w:hAnsi="Arial"/>
                <w:sz w:val="11"/>
                <w:szCs w:val="11"/>
                <w:b w:val="1"/>
                <w:bCs w:val="1"/>
                <w:color w:val="051972"/>
                <w:w w:val="98"/>
              </w:rPr>
              <w:t>Shares of Stock</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051972"/>
                <w:w w:val="96"/>
              </w:rPr>
              <w:t>of Stock and</w:t>
            </w: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051972"/>
              </w:rPr>
              <w:t>Option</w:t>
            </w: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Grant</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Action</w:t>
            </w:r>
          </w:p>
        </w:tc>
        <w:tc>
          <w:tcPr>
            <w:tcW w:w="7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7"/>
              </w:rPr>
              <w:t>Threshold</w:t>
            </w:r>
          </w:p>
        </w:tc>
        <w:tc>
          <w:tcPr>
            <w:tcW w:w="80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051972"/>
              </w:rPr>
              <w:t>Target</w:t>
            </w:r>
          </w:p>
        </w:tc>
        <w:tc>
          <w:tcPr>
            <w:tcW w:w="400" w:type="dxa"/>
            <w:vAlign w:val="bottom"/>
          </w:tcPr>
          <w:p>
            <w:pPr>
              <w:spacing w:after="0"/>
              <w:rPr>
                <w:sz w:val="10"/>
                <w:szCs w:val="10"/>
                <w:color w:val="auto"/>
              </w:rPr>
            </w:pPr>
          </w:p>
        </w:tc>
        <w:tc>
          <w:tcPr>
            <w:tcW w:w="740" w:type="dxa"/>
            <w:vAlign w:val="bottom"/>
          </w:tcPr>
          <w:p>
            <w:pPr>
              <w:ind w:left="20"/>
              <w:spacing w:after="0" w:line="122" w:lineRule="exact"/>
              <w:rPr>
                <w:sz w:val="20"/>
                <w:szCs w:val="20"/>
                <w:color w:val="auto"/>
              </w:rPr>
            </w:pPr>
            <w:r>
              <w:rPr>
                <w:rFonts w:ascii="Arial" w:cs="Arial" w:eastAsia="Arial" w:hAnsi="Arial"/>
                <w:sz w:val="11"/>
                <w:szCs w:val="11"/>
                <w:b w:val="1"/>
                <w:bCs w:val="1"/>
                <w:color w:val="051972"/>
              </w:rPr>
              <w:t>Maximum</w:t>
            </w:r>
          </w:p>
        </w:tc>
        <w:tc>
          <w:tcPr>
            <w:tcW w:w="100" w:type="dxa"/>
            <w:vAlign w:val="bottom"/>
          </w:tcPr>
          <w:p>
            <w:pPr>
              <w:spacing w:after="0"/>
              <w:rPr>
                <w:sz w:val="10"/>
                <w:szCs w:val="10"/>
                <w:color w:val="auto"/>
              </w:rPr>
            </w:pPr>
          </w:p>
        </w:tc>
        <w:tc>
          <w:tcPr>
            <w:tcW w:w="960" w:type="dxa"/>
            <w:vAlign w:val="bottom"/>
            <w:gridSpan w:val="2"/>
          </w:tcPr>
          <w:p>
            <w:pPr>
              <w:jc w:val="right"/>
              <w:ind w:right="219"/>
              <w:spacing w:after="0" w:line="122" w:lineRule="exact"/>
              <w:rPr>
                <w:sz w:val="20"/>
                <w:szCs w:val="20"/>
                <w:color w:val="auto"/>
              </w:rPr>
            </w:pPr>
            <w:r>
              <w:rPr>
                <w:rFonts w:ascii="Arial" w:cs="Arial" w:eastAsia="Arial" w:hAnsi="Arial"/>
                <w:sz w:val="11"/>
                <w:szCs w:val="11"/>
                <w:b w:val="1"/>
                <w:bCs w:val="1"/>
                <w:color w:val="051972"/>
              </w:rPr>
              <w:t>Threshold</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051972"/>
              </w:rPr>
              <w:t>Target</w:t>
            </w:r>
          </w:p>
        </w:tc>
        <w:tc>
          <w:tcPr>
            <w:tcW w:w="4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b w:val="1"/>
                <w:bCs w:val="1"/>
                <w:color w:val="051972"/>
              </w:rPr>
              <w:t>Maximum</w:t>
            </w:r>
          </w:p>
        </w:tc>
        <w:tc>
          <w:tcPr>
            <w:tcW w:w="200" w:type="dxa"/>
            <w:vAlign w:val="bottom"/>
          </w:tcPr>
          <w:p>
            <w:pPr>
              <w:spacing w:after="0"/>
              <w:rPr>
                <w:sz w:val="10"/>
                <w:szCs w:val="10"/>
                <w:color w:val="auto"/>
              </w:rPr>
            </w:pPr>
          </w:p>
        </w:tc>
        <w:tc>
          <w:tcPr>
            <w:tcW w:w="1040" w:type="dxa"/>
            <w:vAlign w:val="bottom"/>
          </w:tcPr>
          <w:p>
            <w:pPr>
              <w:jc w:val="center"/>
              <w:ind w:left="226"/>
              <w:spacing w:after="0" w:line="122" w:lineRule="exact"/>
              <w:rPr>
                <w:sz w:val="20"/>
                <w:szCs w:val="20"/>
                <w:color w:val="auto"/>
              </w:rPr>
            </w:pPr>
            <w:r>
              <w:rPr>
                <w:rFonts w:ascii="Arial" w:cs="Arial" w:eastAsia="Arial" w:hAnsi="Arial"/>
                <w:sz w:val="11"/>
                <w:szCs w:val="11"/>
                <w:b w:val="1"/>
                <w:bCs w:val="1"/>
                <w:color w:val="051972"/>
                <w:w w:val="96"/>
              </w:rPr>
              <w:t>or Units</w:t>
            </w:r>
          </w:p>
        </w:tc>
        <w:tc>
          <w:tcPr>
            <w:tcW w:w="320" w:type="dxa"/>
            <w:vAlign w:val="bottom"/>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3"/>
              </w:rPr>
              <w:t>Awards</w:t>
            </w:r>
            <w:r>
              <w:rPr>
                <w:rFonts w:ascii="Arial" w:cs="Arial" w:eastAsia="Arial" w:hAnsi="Arial"/>
                <w:sz w:val="14"/>
                <w:szCs w:val="14"/>
                <w:b w:val="1"/>
                <w:bCs w:val="1"/>
                <w:color w:val="051972"/>
                <w:w w:val="93"/>
                <w:vertAlign w:val="superscript"/>
              </w:rPr>
              <w:t>(1)</w:t>
            </w:r>
          </w:p>
        </w:tc>
        <w:tc>
          <w:tcPr>
            <w:tcW w:w="0" w:type="dxa"/>
            <w:vAlign w:val="bottom"/>
          </w:tcPr>
          <w:p>
            <w:pPr>
              <w:spacing w:after="0"/>
              <w:rPr>
                <w:sz w:val="1"/>
                <w:szCs w:val="1"/>
                <w:color w:val="auto"/>
              </w:rPr>
            </w:pPr>
          </w:p>
        </w:tc>
      </w:tr>
      <w:tr>
        <w:trPr>
          <w:trHeight w:val="81"/>
        </w:trPr>
        <w:tc>
          <w:tcPr>
            <w:tcW w:w="1380" w:type="dxa"/>
            <w:vAlign w:val="bottom"/>
            <w:vMerge w:val="restart"/>
          </w:tcPr>
          <w:p>
            <w:pPr>
              <w:ind w:left="20"/>
              <w:spacing w:after="0" w:line="122" w:lineRule="exact"/>
              <w:rPr>
                <w:sz w:val="20"/>
                <w:szCs w:val="20"/>
                <w:color w:val="auto"/>
              </w:rPr>
            </w:pPr>
            <w:r>
              <w:rPr>
                <w:rFonts w:ascii="Arial" w:cs="Arial" w:eastAsia="Arial" w:hAnsi="Arial"/>
                <w:sz w:val="11"/>
                <w:szCs w:val="11"/>
                <w:b w:val="1"/>
                <w:bCs w:val="1"/>
                <w:color w:val="051972"/>
              </w:rPr>
              <w:t>Name</w:t>
            </w:r>
          </w:p>
        </w:tc>
        <w:tc>
          <w:tcPr>
            <w:tcW w:w="100" w:type="dxa"/>
            <w:vAlign w:val="bottom"/>
          </w:tcPr>
          <w:p>
            <w:pPr>
              <w:spacing w:after="0"/>
              <w:rPr>
                <w:sz w:val="7"/>
                <w:szCs w:val="7"/>
                <w:color w:val="auto"/>
              </w:rPr>
            </w:pPr>
          </w:p>
        </w:tc>
        <w:tc>
          <w:tcPr>
            <w:tcW w:w="80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051972"/>
                <w:w w:val="92"/>
              </w:rPr>
              <w:t>Date</w:t>
            </w:r>
          </w:p>
        </w:tc>
        <w:tc>
          <w:tcPr>
            <w:tcW w:w="680" w:type="dxa"/>
            <w:vAlign w:val="bottom"/>
            <w:vMerge w:val="restart"/>
          </w:tcPr>
          <w:p>
            <w:pPr>
              <w:jc w:val="center"/>
              <w:spacing w:after="0" w:line="122" w:lineRule="exact"/>
              <w:rPr>
                <w:sz w:val="20"/>
                <w:szCs w:val="20"/>
                <w:color w:val="auto"/>
              </w:rPr>
            </w:pPr>
            <w:r>
              <w:rPr>
                <w:rFonts w:ascii="Arial" w:cs="Arial" w:eastAsia="Arial" w:hAnsi="Arial"/>
                <w:sz w:val="11"/>
                <w:szCs w:val="11"/>
                <w:b w:val="1"/>
                <w:bCs w:val="1"/>
                <w:color w:val="051972"/>
                <w:w w:val="92"/>
              </w:rPr>
              <w:t>Date</w:t>
            </w:r>
          </w:p>
        </w:tc>
        <w:tc>
          <w:tcPr>
            <w:tcW w:w="720" w:type="dxa"/>
            <w:vAlign w:val="bottom"/>
            <w:vMerge w:val="restart"/>
          </w:tcPr>
          <w:p>
            <w:pPr>
              <w:jc w:val="right"/>
              <w:ind w:right="286"/>
              <w:spacing w:after="0" w:line="122" w:lineRule="exact"/>
              <w:rPr>
                <w:sz w:val="20"/>
                <w:szCs w:val="20"/>
                <w:color w:val="auto"/>
              </w:rPr>
            </w:pPr>
            <w:r>
              <w:rPr>
                <w:rFonts w:ascii="Arial" w:cs="Arial" w:eastAsia="Arial" w:hAnsi="Arial"/>
                <w:sz w:val="11"/>
                <w:szCs w:val="11"/>
                <w:b w:val="1"/>
                <w:bCs w:val="1"/>
                <w:color w:val="051972"/>
              </w:rPr>
              <w:t>($)</w:t>
            </w:r>
          </w:p>
        </w:tc>
        <w:tc>
          <w:tcPr>
            <w:tcW w:w="800" w:type="dxa"/>
            <w:vAlign w:val="bottom"/>
            <w:vMerge w:val="restart"/>
          </w:tcPr>
          <w:p>
            <w:pPr>
              <w:jc w:val="right"/>
              <w:ind w:right="206"/>
              <w:spacing w:after="0" w:line="122" w:lineRule="exact"/>
              <w:rPr>
                <w:sz w:val="20"/>
                <w:szCs w:val="20"/>
                <w:color w:val="auto"/>
              </w:rPr>
            </w:pPr>
            <w:r>
              <w:rPr>
                <w:rFonts w:ascii="Arial" w:cs="Arial" w:eastAsia="Arial" w:hAnsi="Arial"/>
                <w:sz w:val="11"/>
                <w:szCs w:val="11"/>
                <w:b w:val="1"/>
                <w:bCs w:val="1"/>
                <w:color w:val="051972"/>
              </w:rPr>
              <w:t>($)</w:t>
            </w:r>
          </w:p>
        </w:tc>
        <w:tc>
          <w:tcPr>
            <w:tcW w:w="400" w:type="dxa"/>
            <w:vAlign w:val="bottom"/>
          </w:tcPr>
          <w:p>
            <w:pPr>
              <w:spacing w:after="0"/>
              <w:rPr>
                <w:sz w:val="7"/>
                <w:szCs w:val="7"/>
                <w:color w:val="auto"/>
              </w:rPr>
            </w:pPr>
          </w:p>
        </w:tc>
        <w:tc>
          <w:tcPr>
            <w:tcW w:w="740" w:type="dxa"/>
            <w:vAlign w:val="bottom"/>
            <w:vMerge w:val="restart"/>
          </w:tcPr>
          <w:p>
            <w:pPr>
              <w:ind w:left="220"/>
              <w:spacing w:after="0" w:line="122" w:lineRule="exact"/>
              <w:rPr>
                <w:sz w:val="20"/>
                <w:szCs w:val="20"/>
                <w:color w:val="auto"/>
              </w:rPr>
            </w:pPr>
            <w:r>
              <w:rPr>
                <w:rFonts w:ascii="Arial" w:cs="Arial" w:eastAsia="Arial" w:hAnsi="Arial"/>
                <w:sz w:val="11"/>
                <w:szCs w:val="11"/>
                <w:b w:val="1"/>
                <w:bCs w:val="1"/>
                <w:color w:val="051972"/>
              </w:rPr>
              <w:t>($)</w:t>
            </w:r>
          </w:p>
        </w:tc>
        <w:tc>
          <w:tcPr>
            <w:tcW w:w="700" w:type="dxa"/>
            <w:vAlign w:val="bottom"/>
            <w:gridSpan w:val="2"/>
            <w:vMerge w:val="restart"/>
          </w:tcPr>
          <w:p>
            <w:pPr>
              <w:jc w:val="right"/>
              <w:ind w:right="46"/>
              <w:spacing w:after="0" w:line="122" w:lineRule="exact"/>
              <w:rPr>
                <w:sz w:val="20"/>
                <w:szCs w:val="20"/>
                <w:color w:val="auto"/>
              </w:rPr>
            </w:pPr>
            <w:r>
              <w:rPr>
                <w:rFonts w:ascii="Arial" w:cs="Arial" w:eastAsia="Arial" w:hAnsi="Arial"/>
                <w:sz w:val="11"/>
                <w:szCs w:val="11"/>
                <w:b w:val="1"/>
                <w:bCs w:val="1"/>
                <w:color w:val="051972"/>
              </w:rPr>
              <w:t>(#)</w:t>
            </w:r>
          </w:p>
        </w:tc>
        <w:tc>
          <w:tcPr>
            <w:tcW w:w="360" w:type="dxa"/>
            <w:vAlign w:val="bottom"/>
          </w:tcPr>
          <w:p>
            <w:pPr>
              <w:spacing w:after="0"/>
              <w:rPr>
                <w:sz w:val="7"/>
                <w:szCs w:val="7"/>
                <w:color w:val="auto"/>
              </w:rPr>
            </w:pPr>
          </w:p>
        </w:tc>
        <w:tc>
          <w:tcPr>
            <w:tcW w:w="760" w:type="dxa"/>
            <w:vAlign w:val="bottom"/>
            <w:vMerge w:val="restart"/>
          </w:tcPr>
          <w:p>
            <w:pPr>
              <w:jc w:val="right"/>
              <w:ind w:right="126"/>
              <w:spacing w:after="0" w:line="122" w:lineRule="exact"/>
              <w:rPr>
                <w:sz w:val="20"/>
                <w:szCs w:val="20"/>
                <w:color w:val="auto"/>
              </w:rPr>
            </w:pPr>
            <w:r>
              <w:rPr>
                <w:rFonts w:ascii="Arial" w:cs="Arial" w:eastAsia="Arial" w:hAnsi="Arial"/>
                <w:sz w:val="11"/>
                <w:szCs w:val="11"/>
                <w:b w:val="1"/>
                <w:bCs w:val="1"/>
                <w:color w:val="051972"/>
              </w:rPr>
              <w:t>(#)</w:t>
            </w:r>
          </w:p>
        </w:tc>
        <w:tc>
          <w:tcPr>
            <w:tcW w:w="420" w:type="dxa"/>
            <w:vAlign w:val="bottom"/>
          </w:tcPr>
          <w:p>
            <w:pPr>
              <w:spacing w:after="0"/>
              <w:rPr>
                <w:sz w:val="7"/>
                <w:szCs w:val="7"/>
                <w:color w:val="auto"/>
              </w:rPr>
            </w:pPr>
          </w:p>
        </w:tc>
        <w:tc>
          <w:tcPr>
            <w:tcW w:w="620" w:type="dxa"/>
            <w:vAlign w:val="bottom"/>
            <w:vMerge w:val="restart"/>
          </w:tcPr>
          <w:p>
            <w:pPr>
              <w:jc w:val="right"/>
              <w:ind w:right="146"/>
              <w:spacing w:after="0" w:line="122" w:lineRule="exact"/>
              <w:rPr>
                <w:sz w:val="20"/>
                <w:szCs w:val="20"/>
                <w:color w:val="auto"/>
              </w:rPr>
            </w:pPr>
            <w:r>
              <w:rPr>
                <w:rFonts w:ascii="Arial" w:cs="Arial" w:eastAsia="Arial" w:hAnsi="Arial"/>
                <w:sz w:val="11"/>
                <w:szCs w:val="11"/>
                <w:b w:val="1"/>
                <w:bCs w:val="1"/>
                <w:color w:val="051972"/>
              </w:rPr>
              <w:t>(#)</w:t>
            </w:r>
          </w:p>
        </w:tc>
        <w:tc>
          <w:tcPr>
            <w:tcW w:w="200" w:type="dxa"/>
            <w:vAlign w:val="bottom"/>
          </w:tcPr>
          <w:p>
            <w:pPr>
              <w:spacing w:after="0"/>
              <w:rPr>
                <w:sz w:val="7"/>
                <w:szCs w:val="7"/>
                <w:color w:val="auto"/>
              </w:rPr>
            </w:pPr>
          </w:p>
        </w:tc>
        <w:tc>
          <w:tcPr>
            <w:tcW w:w="1040" w:type="dxa"/>
            <w:vAlign w:val="bottom"/>
            <w:vMerge w:val="restart"/>
          </w:tcPr>
          <w:p>
            <w:pPr>
              <w:jc w:val="center"/>
              <w:ind w:left="226"/>
              <w:spacing w:after="0" w:line="122" w:lineRule="exact"/>
              <w:rPr>
                <w:sz w:val="20"/>
                <w:szCs w:val="20"/>
                <w:color w:val="auto"/>
              </w:rPr>
            </w:pPr>
            <w:r>
              <w:rPr>
                <w:rFonts w:ascii="Arial" w:cs="Arial" w:eastAsia="Arial" w:hAnsi="Arial"/>
                <w:sz w:val="11"/>
                <w:szCs w:val="11"/>
                <w:b w:val="1"/>
                <w:bCs w:val="1"/>
                <w:color w:val="051972"/>
                <w:w w:val="88"/>
              </w:rPr>
              <w:t>(#)</w:t>
            </w:r>
          </w:p>
        </w:tc>
        <w:tc>
          <w:tcPr>
            <w:tcW w:w="320" w:type="dxa"/>
            <w:vAlign w:val="bottom"/>
          </w:tcPr>
          <w:p>
            <w:pPr>
              <w:spacing w:after="0"/>
              <w:rPr>
                <w:sz w:val="7"/>
                <w:szCs w:val="7"/>
                <w:color w:val="auto"/>
              </w:rPr>
            </w:pPr>
          </w:p>
        </w:tc>
        <w:tc>
          <w:tcPr>
            <w:tcW w:w="1200" w:type="dxa"/>
            <w:vAlign w:val="bottom"/>
          </w:tcPr>
          <w:p>
            <w:pPr>
              <w:jc w:val="center"/>
              <w:spacing w:after="0"/>
              <w:rPr>
                <w:sz w:val="20"/>
                <w:szCs w:val="20"/>
                <w:color w:val="auto"/>
              </w:rPr>
            </w:pPr>
            <w:r>
              <w:rPr>
                <w:rFonts w:ascii="Arial" w:cs="Arial" w:eastAsia="Arial" w:hAnsi="Arial"/>
                <w:sz w:val="7"/>
                <w:szCs w:val="7"/>
                <w:b w:val="1"/>
                <w:bCs w:val="1"/>
                <w:color w:val="051972"/>
                <w:w w:val="92"/>
              </w:rPr>
              <w:t>($)</w:t>
            </w:r>
          </w:p>
        </w:tc>
        <w:tc>
          <w:tcPr>
            <w:tcW w:w="0" w:type="dxa"/>
            <w:vAlign w:val="bottom"/>
          </w:tcPr>
          <w:p>
            <w:pPr>
              <w:spacing w:after="0"/>
              <w:rPr>
                <w:sz w:val="1"/>
                <w:szCs w:val="1"/>
                <w:color w:val="auto"/>
              </w:rPr>
            </w:pPr>
          </w:p>
        </w:tc>
      </w:tr>
      <w:tr>
        <w:trPr>
          <w:trHeight w:val="40"/>
        </w:trPr>
        <w:tc>
          <w:tcPr>
            <w:tcW w:w="1380" w:type="dxa"/>
            <w:vAlign w:val="bottom"/>
            <w:tcBorders>
              <w:bottom w:val="single" w:sz="8" w:color="051972"/>
            </w:tcBorders>
            <w:vMerge w:val="continue"/>
          </w:tcPr>
          <w:p>
            <w:pPr>
              <w:spacing w:after="0"/>
              <w:rPr>
                <w:sz w:val="3"/>
                <w:szCs w:val="3"/>
                <w:color w:val="auto"/>
              </w:rPr>
            </w:pPr>
          </w:p>
        </w:tc>
        <w:tc>
          <w:tcPr>
            <w:tcW w:w="100" w:type="dxa"/>
            <w:vAlign w:val="bottom"/>
            <w:tcBorders>
              <w:bottom w:val="single" w:sz="8" w:color="051972"/>
            </w:tcBorders>
          </w:tcPr>
          <w:p>
            <w:pPr>
              <w:spacing w:after="0"/>
              <w:rPr>
                <w:sz w:val="3"/>
                <w:szCs w:val="3"/>
                <w:color w:val="auto"/>
              </w:rPr>
            </w:pPr>
          </w:p>
        </w:tc>
        <w:tc>
          <w:tcPr>
            <w:tcW w:w="800" w:type="dxa"/>
            <w:vAlign w:val="bottom"/>
            <w:tcBorders>
              <w:bottom w:val="single" w:sz="8" w:color="051972"/>
            </w:tcBorders>
            <w:vMerge w:val="continue"/>
          </w:tcPr>
          <w:p>
            <w:pPr>
              <w:spacing w:after="0"/>
              <w:rPr>
                <w:sz w:val="3"/>
                <w:szCs w:val="3"/>
                <w:color w:val="auto"/>
              </w:rPr>
            </w:pPr>
          </w:p>
        </w:tc>
        <w:tc>
          <w:tcPr>
            <w:tcW w:w="680" w:type="dxa"/>
            <w:vAlign w:val="bottom"/>
            <w:tcBorders>
              <w:bottom w:val="single" w:sz="8" w:color="051972"/>
            </w:tcBorders>
            <w:vMerge w:val="continue"/>
          </w:tcPr>
          <w:p>
            <w:pPr>
              <w:spacing w:after="0"/>
              <w:rPr>
                <w:sz w:val="3"/>
                <w:szCs w:val="3"/>
                <w:color w:val="auto"/>
              </w:rPr>
            </w:pPr>
          </w:p>
        </w:tc>
        <w:tc>
          <w:tcPr>
            <w:tcW w:w="720" w:type="dxa"/>
            <w:vAlign w:val="bottom"/>
            <w:tcBorders>
              <w:bottom w:val="single" w:sz="8" w:color="051972"/>
            </w:tcBorders>
            <w:vMerge w:val="continue"/>
          </w:tcPr>
          <w:p>
            <w:pPr>
              <w:spacing w:after="0"/>
              <w:rPr>
                <w:sz w:val="3"/>
                <w:szCs w:val="3"/>
                <w:color w:val="auto"/>
              </w:rPr>
            </w:pPr>
          </w:p>
        </w:tc>
        <w:tc>
          <w:tcPr>
            <w:tcW w:w="800" w:type="dxa"/>
            <w:vAlign w:val="bottom"/>
            <w:tcBorders>
              <w:bottom w:val="single" w:sz="8" w:color="051972"/>
            </w:tcBorders>
            <w:vMerge w:val="continue"/>
          </w:tcPr>
          <w:p>
            <w:pPr>
              <w:spacing w:after="0"/>
              <w:rPr>
                <w:sz w:val="3"/>
                <w:szCs w:val="3"/>
                <w:color w:val="auto"/>
              </w:rPr>
            </w:pPr>
          </w:p>
        </w:tc>
        <w:tc>
          <w:tcPr>
            <w:tcW w:w="400" w:type="dxa"/>
            <w:vAlign w:val="bottom"/>
            <w:tcBorders>
              <w:bottom w:val="single" w:sz="8" w:color="051972"/>
            </w:tcBorders>
          </w:tcPr>
          <w:p>
            <w:pPr>
              <w:spacing w:after="0"/>
              <w:rPr>
                <w:sz w:val="3"/>
                <w:szCs w:val="3"/>
                <w:color w:val="auto"/>
              </w:rPr>
            </w:pPr>
          </w:p>
        </w:tc>
        <w:tc>
          <w:tcPr>
            <w:tcW w:w="740" w:type="dxa"/>
            <w:vAlign w:val="bottom"/>
            <w:tcBorders>
              <w:bottom w:val="single" w:sz="8" w:color="051972"/>
            </w:tcBorders>
            <w:vMerge w:val="continue"/>
          </w:tcPr>
          <w:p>
            <w:pPr>
              <w:spacing w:after="0"/>
              <w:rPr>
                <w:sz w:val="3"/>
                <w:szCs w:val="3"/>
                <w:color w:val="auto"/>
              </w:rPr>
            </w:pPr>
          </w:p>
        </w:tc>
        <w:tc>
          <w:tcPr>
            <w:tcW w:w="700" w:type="dxa"/>
            <w:vAlign w:val="bottom"/>
            <w:tcBorders>
              <w:bottom w:val="single" w:sz="8" w:color="051972"/>
            </w:tcBorders>
            <w:gridSpan w:val="2"/>
            <w:vMerge w:val="continue"/>
          </w:tcPr>
          <w:p>
            <w:pPr>
              <w:spacing w:after="0"/>
              <w:rPr>
                <w:sz w:val="3"/>
                <w:szCs w:val="3"/>
                <w:color w:val="auto"/>
              </w:rPr>
            </w:pPr>
          </w:p>
        </w:tc>
        <w:tc>
          <w:tcPr>
            <w:tcW w:w="360" w:type="dxa"/>
            <w:vAlign w:val="bottom"/>
            <w:tcBorders>
              <w:bottom w:val="single" w:sz="8" w:color="051972"/>
            </w:tcBorders>
          </w:tcPr>
          <w:p>
            <w:pPr>
              <w:spacing w:after="0"/>
              <w:rPr>
                <w:sz w:val="3"/>
                <w:szCs w:val="3"/>
                <w:color w:val="auto"/>
              </w:rPr>
            </w:pPr>
          </w:p>
        </w:tc>
        <w:tc>
          <w:tcPr>
            <w:tcW w:w="760" w:type="dxa"/>
            <w:vAlign w:val="bottom"/>
            <w:tcBorders>
              <w:bottom w:val="single" w:sz="8" w:color="051972"/>
            </w:tcBorders>
            <w:vMerge w:val="continue"/>
          </w:tcPr>
          <w:p>
            <w:pPr>
              <w:spacing w:after="0"/>
              <w:rPr>
                <w:sz w:val="3"/>
                <w:szCs w:val="3"/>
                <w:color w:val="auto"/>
              </w:rPr>
            </w:pPr>
          </w:p>
        </w:tc>
        <w:tc>
          <w:tcPr>
            <w:tcW w:w="420" w:type="dxa"/>
            <w:vAlign w:val="bottom"/>
            <w:tcBorders>
              <w:bottom w:val="single" w:sz="8" w:color="051972"/>
            </w:tcBorders>
          </w:tcPr>
          <w:p>
            <w:pPr>
              <w:spacing w:after="0"/>
              <w:rPr>
                <w:sz w:val="3"/>
                <w:szCs w:val="3"/>
                <w:color w:val="auto"/>
              </w:rPr>
            </w:pPr>
          </w:p>
        </w:tc>
        <w:tc>
          <w:tcPr>
            <w:tcW w:w="620" w:type="dxa"/>
            <w:vAlign w:val="bottom"/>
            <w:tcBorders>
              <w:bottom w:val="single" w:sz="8" w:color="051972"/>
            </w:tcBorders>
            <w:vMerge w:val="continue"/>
          </w:tcPr>
          <w:p>
            <w:pPr>
              <w:spacing w:after="0"/>
              <w:rPr>
                <w:sz w:val="3"/>
                <w:szCs w:val="3"/>
                <w:color w:val="auto"/>
              </w:rPr>
            </w:pPr>
          </w:p>
        </w:tc>
        <w:tc>
          <w:tcPr>
            <w:tcW w:w="200" w:type="dxa"/>
            <w:vAlign w:val="bottom"/>
            <w:tcBorders>
              <w:bottom w:val="single" w:sz="8" w:color="051972"/>
            </w:tcBorders>
          </w:tcPr>
          <w:p>
            <w:pPr>
              <w:spacing w:after="0"/>
              <w:rPr>
                <w:sz w:val="3"/>
                <w:szCs w:val="3"/>
                <w:color w:val="auto"/>
              </w:rPr>
            </w:pPr>
          </w:p>
        </w:tc>
        <w:tc>
          <w:tcPr>
            <w:tcW w:w="1040" w:type="dxa"/>
            <w:vAlign w:val="bottom"/>
            <w:tcBorders>
              <w:bottom w:val="single" w:sz="8" w:color="051972"/>
            </w:tcBorders>
            <w:vMerge w:val="continue"/>
          </w:tcPr>
          <w:p>
            <w:pPr>
              <w:spacing w:after="0"/>
              <w:rPr>
                <w:sz w:val="3"/>
                <w:szCs w:val="3"/>
                <w:color w:val="auto"/>
              </w:rPr>
            </w:pPr>
          </w:p>
        </w:tc>
        <w:tc>
          <w:tcPr>
            <w:tcW w:w="320" w:type="dxa"/>
            <w:vAlign w:val="bottom"/>
            <w:tcBorders>
              <w:bottom w:val="single" w:sz="8" w:color="051972"/>
            </w:tcBorders>
          </w:tcPr>
          <w:p>
            <w:pPr>
              <w:spacing w:after="0"/>
              <w:rPr>
                <w:sz w:val="3"/>
                <w:szCs w:val="3"/>
                <w:color w:val="auto"/>
              </w:rPr>
            </w:pPr>
          </w:p>
        </w:tc>
        <w:tc>
          <w:tcPr>
            <w:tcW w:w="1200" w:type="dxa"/>
            <w:vAlign w:val="bottom"/>
            <w:tcBorders>
              <w:bottom w:val="single" w:sz="8" w:color="051972"/>
            </w:tcBorders>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138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rPr>
              <w:t>Michael R. Haack</w:t>
            </w:r>
          </w:p>
        </w:tc>
        <w:tc>
          <w:tcPr>
            <w:tcW w:w="100" w:type="dxa"/>
            <w:vAlign w:val="bottom"/>
            <w:shd w:val="clear" w:color="auto" w:fill="E7E7E8"/>
          </w:tcPr>
          <w:p>
            <w:pPr>
              <w:spacing w:after="0"/>
              <w:rPr>
                <w:sz w:val="9"/>
                <w:szCs w:val="9"/>
                <w:color w:val="auto"/>
              </w:rPr>
            </w:pPr>
          </w:p>
        </w:tc>
        <w:tc>
          <w:tcPr>
            <w:tcW w:w="80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5/16/24</w:t>
            </w:r>
          </w:p>
        </w:tc>
        <w:tc>
          <w:tcPr>
            <w:tcW w:w="68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rPr>
              <w:t>-</w:t>
            </w:r>
          </w:p>
        </w:tc>
        <w:tc>
          <w:tcPr>
            <w:tcW w:w="720" w:type="dxa"/>
            <w:vAlign w:val="bottom"/>
            <w:shd w:val="clear" w:color="auto" w:fill="E7E7E8"/>
          </w:tcPr>
          <w:p>
            <w:pPr>
              <w:spacing w:after="0"/>
              <w:rPr>
                <w:sz w:val="9"/>
                <w:szCs w:val="9"/>
                <w:color w:val="auto"/>
              </w:rPr>
            </w:pPr>
          </w:p>
        </w:tc>
        <w:tc>
          <w:tcPr>
            <w:tcW w:w="8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2,132,071</w:t>
            </w:r>
          </w:p>
        </w:tc>
        <w:tc>
          <w:tcPr>
            <w:tcW w:w="400" w:type="dxa"/>
            <w:vAlign w:val="bottom"/>
            <w:shd w:val="clear" w:color="auto" w:fill="E7E7E8"/>
          </w:tcPr>
          <w:p>
            <w:pPr>
              <w:jc w:val="right"/>
              <w:ind w:right="264"/>
              <w:spacing w:after="0"/>
              <w:rPr>
                <w:sz w:val="20"/>
                <w:szCs w:val="20"/>
                <w:color w:val="auto"/>
              </w:rPr>
            </w:pPr>
            <w:r>
              <w:rPr>
                <w:rFonts w:ascii="Arial" w:cs="Arial" w:eastAsia="Arial" w:hAnsi="Arial"/>
                <w:sz w:val="7"/>
                <w:szCs w:val="7"/>
                <w:color w:val="auto"/>
                <w:w w:val="92"/>
              </w:rPr>
              <w:t>(2)</w:t>
            </w:r>
          </w:p>
        </w:tc>
        <w:tc>
          <w:tcPr>
            <w:tcW w:w="740" w:type="dxa"/>
            <w:vAlign w:val="bottom"/>
            <w:vMerge w:val="restart"/>
            <w:shd w:val="clear" w:color="auto" w:fill="E7E7E8"/>
          </w:tcPr>
          <w:p>
            <w:pPr>
              <w:ind w:left="320"/>
              <w:spacing w:after="0"/>
              <w:rPr>
                <w:sz w:val="20"/>
                <w:szCs w:val="20"/>
                <w:color w:val="auto"/>
              </w:rPr>
            </w:pPr>
            <w:r>
              <w:rPr>
                <w:rFonts w:ascii="Arial" w:cs="Arial" w:eastAsia="Arial" w:hAnsi="Arial"/>
                <w:sz w:val="11"/>
                <w:szCs w:val="11"/>
                <w:color w:val="auto"/>
              </w:rPr>
              <w:t>—</w:t>
            </w:r>
          </w:p>
        </w:tc>
        <w:tc>
          <w:tcPr>
            <w:tcW w:w="100" w:type="dxa"/>
            <w:vAlign w:val="bottom"/>
            <w:shd w:val="clear" w:color="auto" w:fill="E7E7E8"/>
          </w:tcPr>
          <w:p>
            <w:pPr>
              <w:spacing w:after="0"/>
              <w:rPr>
                <w:sz w:val="9"/>
                <w:szCs w:val="9"/>
                <w:color w:val="auto"/>
              </w:rPr>
            </w:pPr>
          </w:p>
        </w:tc>
        <w:tc>
          <w:tcPr>
            <w:tcW w:w="60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9"/>
                <w:szCs w:val="9"/>
                <w:color w:val="auto"/>
              </w:rPr>
            </w:pPr>
          </w:p>
        </w:tc>
        <w:tc>
          <w:tcPr>
            <w:tcW w:w="76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shd w:val="clear" w:color="auto" w:fill="E7E7E8"/>
          </w:tcPr>
          <w:p>
            <w:pPr>
              <w:spacing w:after="0"/>
              <w:rPr>
                <w:sz w:val="9"/>
                <w:szCs w:val="9"/>
                <w:color w:val="auto"/>
              </w:rPr>
            </w:pPr>
          </w:p>
        </w:tc>
        <w:tc>
          <w:tcPr>
            <w:tcW w:w="6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9"/>
                <w:szCs w:val="9"/>
                <w:color w:val="auto"/>
              </w:rPr>
            </w:pPr>
          </w:p>
        </w:tc>
        <w:tc>
          <w:tcPr>
            <w:tcW w:w="10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shd w:val="clear" w:color="auto" w:fill="E7E7E8"/>
          </w:tcPr>
          <w:p>
            <w:pPr>
              <w:spacing w:after="0"/>
              <w:rPr>
                <w:sz w:val="9"/>
                <w:szCs w:val="9"/>
                <w:color w:val="auto"/>
              </w:rPr>
            </w:pPr>
          </w:p>
        </w:tc>
        <w:tc>
          <w:tcPr>
            <w:tcW w:w="1200" w:type="dxa"/>
            <w:vAlign w:val="bottom"/>
            <w:vMerge w:val="restart"/>
            <w:shd w:val="clear" w:color="auto" w:fill="E7E7E8"/>
          </w:tcPr>
          <w:p>
            <w:pPr>
              <w:jc w:val="right"/>
              <w:ind w:right="3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38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680" w:type="dxa"/>
            <w:vAlign w:val="bottom"/>
            <w:vMerge w:val="continue"/>
            <w:shd w:val="clear" w:color="auto" w:fill="E7E7E8"/>
          </w:tcPr>
          <w:p>
            <w:pPr>
              <w:spacing w:after="0"/>
              <w:rPr>
                <w:sz w:val="5"/>
                <w:szCs w:val="5"/>
                <w:color w:val="auto"/>
              </w:rPr>
            </w:pPr>
          </w:p>
        </w:tc>
        <w:tc>
          <w:tcPr>
            <w:tcW w:w="72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400" w:type="dxa"/>
            <w:vAlign w:val="bottom"/>
            <w:shd w:val="clear" w:color="auto" w:fill="E7E7E8"/>
          </w:tcPr>
          <w:p>
            <w:pPr>
              <w:spacing w:after="0"/>
              <w:rPr>
                <w:sz w:val="5"/>
                <w:szCs w:val="5"/>
                <w:color w:val="auto"/>
              </w:rPr>
            </w:pPr>
          </w:p>
        </w:tc>
        <w:tc>
          <w:tcPr>
            <w:tcW w:w="74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760" w:type="dxa"/>
            <w:vAlign w:val="bottom"/>
            <w:vMerge w:val="continue"/>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040" w:type="dxa"/>
            <w:vAlign w:val="bottom"/>
            <w:vMerge w:val="continue"/>
            <w:shd w:val="clear" w:color="auto" w:fill="E7E7E8"/>
          </w:tcPr>
          <w:p>
            <w:pPr>
              <w:spacing w:after="0"/>
              <w:rPr>
                <w:sz w:val="5"/>
                <w:szCs w:val="5"/>
                <w:color w:val="auto"/>
              </w:rPr>
            </w:pPr>
          </w:p>
        </w:tc>
        <w:tc>
          <w:tcPr>
            <w:tcW w:w="320" w:type="dxa"/>
            <w:vAlign w:val="bottom"/>
            <w:shd w:val="clear" w:color="auto" w:fill="E7E7E8"/>
          </w:tcPr>
          <w:p>
            <w:pPr>
              <w:spacing w:after="0"/>
              <w:rPr>
                <w:sz w:val="5"/>
                <w:szCs w:val="5"/>
                <w:color w:val="auto"/>
              </w:rPr>
            </w:pPr>
          </w:p>
        </w:tc>
        <w:tc>
          <w:tcPr>
            <w:tcW w:w="120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8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80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5/24/24</w:t>
            </w:r>
          </w:p>
        </w:tc>
        <w:tc>
          <w:tcPr>
            <w:tcW w:w="68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5/16/24</w:t>
            </w:r>
          </w:p>
        </w:tc>
        <w:tc>
          <w:tcPr>
            <w:tcW w:w="720" w:type="dxa"/>
            <w:vAlign w:val="bottom"/>
            <w:shd w:val="clear" w:color="auto" w:fill="E7E7E8"/>
          </w:tcPr>
          <w:p>
            <w:pPr>
              <w:spacing w:after="0"/>
              <w:rPr>
                <w:sz w:val="10"/>
                <w:szCs w:val="10"/>
                <w:color w:val="auto"/>
              </w:rPr>
            </w:pPr>
          </w:p>
        </w:tc>
        <w:tc>
          <w:tcPr>
            <w:tcW w:w="8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shd w:val="clear" w:color="auto" w:fill="E7E7E8"/>
          </w:tcPr>
          <w:p>
            <w:pPr>
              <w:spacing w:after="0"/>
              <w:rPr>
                <w:sz w:val="10"/>
                <w:szCs w:val="10"/>
                <w:color w:val="auto"/>
              </w:rPr>
            </w:pPr>
          </w:p>
        </w:tc>
        <w:tc>
          <w:tcPr>
            <w:tcW w:w="740" w:type="dxa"/>
            <w:vAlign w:val="bottom"/>
            <w:vMerge w:val="restart"/>
            <w:shd w:val="clear" w:color="auto" w:fill="E7E7E8"/>
          </w:tcPr>
          <w:p>
            <w:pPr>
              <w:ind w:left="320"/>
              <w:spacing w:after="0"/>
              <w:rPr>
                <w:sz w:val="20"/>
                <w:szCs w:val="20"/>
                <w:color w:val="auto"/>
              </w:rPr>
            </w:pPr>
            <w:r>
              <w:rPr>
                <w:rFonts w:ascii="Arial" w:cs="Arial" w:eastAsia="Arial" w:hAnsi="Arial"/>
                <w:sz w:val="11"/>
                <w:szCs w:val="11"/>
                <w:color w:val="auto"/>
              </w:rPr>
              <w:t>—</w:t>
            </w:r>
          </w:p>
        </w:tc>
        <w:tc>
          <w:tcPr>
            <w:tcW w:w="100" w:type="dxa"/>
            <w:vAlign w:val="bottom"/>
            <w:shd w:val="clear" w:color="auto" w:fill="E7E7E8"/>
          </w:tcPr>
          <w:p>
            <w:pPr>
              <w:spacing w:after="0"/>
              <w:rPr>
                <w:sz w:val="10"/>
                <w:szCs w:val="10"/>
                <w:color w:val="auto"/>
              </w:rPr>
            </w:pPr>
          </w:p>
        </w:tc>
        <w:tc>
          <w:tcPr>
            <w:tcW w:w="60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10"/>
                <w:szCs w:val="10"/>
                <w:color w:val="auto"/>
              </w:rPr>
            </w:pPr>
          </w:p>
        </w:tc>
        <w:tc>
          <w:tcPr>
            <w:tcW w:w="76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shd w:val="clear" w:color="auto" w:fill="E7E7E8"/>
          </w:tcPr>
          <w:p>
            <w:pPr>
              <w:spacing w:after="0"/>
              <w:rPr>
                <w:sz w:val="10"/>
                <w:szCs w:val="10"/>
                <w:color w:val="auto"/>
              </w:rPr>
            </w:pPr>
          </w:p>
        </w:tc>
        <w:tc>
          <w:tcPr>
            <w:tcW w:w="6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10"/>
                <w:szCs w:val="10"/>
                <w:color w:val="auto"/>
              </w:rPr>
            </w:pPr>
          </w:p>
        </w:tc>
        <w:tc>
          <w:tcPr>
            <w:tcW w:w="10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11,857</w:t>
            </w:r>
          </w:p>
        </w:tc>
        <w:tc>
          <w:tcPr>
            <w:tcW w:w="320" w:type="dxa"/>
            <w:vAlign w:val="bottom"/>
            <w:shd w:val="clear" w:color="auto" w:fill="E7E7E8"/>
          </w:tcPr>
          <w:p>
            <w:pPr>
              <w:jc w:val="right"/>
              <w:ind w:right="210"/>
              <w:spacing w:after="0"/>
              <w:rPr>
                <w:sz w:val="20"/>
                <w:szCs w:val="20"/>
                <w:color w:val="auto"/>
              </w:rPr>
            </w:pPr>
            <w:r>
              <w:rPr>
                <w:rFonts w:ascii="Arial" w:cs="Arial" w:eastAsia="Arial" w:hAnsi="Arial"/>
                <w:sz w:val="6"/>
                <w:szCs w:val="6"/>
                <w:color w:val="auto"/>
                <w:w w:val="81"/>
              </w:rPr>
              <w:t>(3)</w:t>
            </w:r>
          </w:p>
        </w:tc>
        <w:tc>
          <w:tcPr>
            <w:tcW w:w="1200" w:type="dxa"/>
            <w:vAlign w:val="bottom"/>
            <w:vMerge w:val="restart"/>
            <w:shd w:val="clear" w:color="auto" w:fill="E7E7E8"/>
          </w:tcPr>
          <w:p>
            <w:pPr>
              <w:jc w:val="right"/>
              <w:ind w:right="347"/>
              <w:spacing w:after="0"/>
              <w:rPr>
                <w:sz w:val="20"/>
                <w:szCs w:val="20"/>
                <w:color w:val="auto"/>
              </w:rPr>
            </w:pPr>
            <w:r>
              <w:rPr>
                <w:rFonts w:ascii="Arial" w:cs="Arial" w:eastAsia="Arial" w:hAnsi="Arial"/>
                <w:sz w:val="11"/>
                <w:szCs w:val="11"/>
                <w:color w:val="auto"/>
              </w:rPr>
              <w:t>2,825,168</w:t>
            </w:r>
          </w:p>
        </w:tc>
        <w:tc>
          <w:tcPr>
            <w:tcW w:w="0" w:type="dxa"/>
            <w:vAlign w:val="bottom"/>
          </w:tcPr>
          <w:p>
            <w:pPr>
              <w:spacing w:after="0"/>
              <w:rPr>
                <w:sz w:val="1"/>
                <w:szCs w:val="1"/>
                <w:color w:val="auto"/>
              </w:rPr>
            </w:pPr>
          </w:p>
        </w:tc>
      </w:tr>
      <w:tr>
        <w:trPr>
          <w:trHeight w:val="66"/>
        </w:trPr>
        <w:tc>
          <w:tcPr>
            <w:tcW w:w="1380" w:type="dxa"/>
            <w:vAlign w:val="bottom"/>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680" w:type="dxa"/>
            <w:vAlign w:val="bottom"/>
            <w:vMerge w:val="continue"/>
            <w:shd w:val="clear" w:color="auto" w:fill="E7E7E8"/>
          </w:tcPr>
          <w:p>
            <w:pPr>
              <w:spacing w:after="0"/>
              <w:rPr>
                <w:sz w:val="5"/>
                <w:szCs w:val="5"/>
                <w:color w:val="auto"/>
              </w:rPr>
            </w:pPr>
          </w:p>
        </w:tc>
        <w:tc>
          <w:tcPr>
            <w:tcW w:w="72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400" w:type="dxa"/>
            <w:vAlign w:val="bottom"/>
            <w:shd w:val="clear" w:color="auto" w:fill="E7E7E8"/>
          </w:tcPr>
          <w:p>
            <w:pPr>
              <w:spacing w:after="0"/>
              <w:rPr>
                <w:sz w:val="5"/>
                <w:szCs w:val="5"/>
                <w:color w:val="auto"/>
              </w:rPr>
            </w:pPr>
          </w:p>
        </w:tc>
        <w:tc>
          <w:tcPr>
            <w:tcW w:w="74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760" w:type="dxa"/>
            <w:vAlign w:val="bottom"/>
            <w:vMerge w:val="continue"/>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040" w:type="dxa"/>
            <w:vAlign w:val="bottom"/>
            <w:vMerge w:val="continue"/>
            <w:shd w:val="clear" w:color="auto" w:fill="E7E7E8"/>
          </w:tcPr>
          <w:p>
            <w:pPr>
              <w:spacing w:after="0"/>
              <w:rPr>
                <w:sz w:val="5"/>
                <w:szCs w:val="5"/>
                <w:color w:val="auto"/>
              </w:rPr>
            </w:pPr>
          </w:p>
        </w:tc>
        <w:tc>
          <w:tcPr>
            <w:tcW w:w="320" w:type="dxa"/>
            <w:vAlign w:val="bottom"/>
            <w:shd w:val="clear" w:color="auto" w:fill="E7E7E8"/>
          </w:tcPr>
          <w:p>
            <w:pPr>
              <w:spacing w:after="0"/>
              <w:rPr>
                <w:sz w:val="5"/>
                <w:szCs w:val="5"/>
                <w:color w:val="auto"/>
              </w:rPr>
            </w:pPr>
          </w:p>
        </w:tc>
        <w:tc>
          <w:tcPr>
            <w:tcW w:w="120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8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80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5/24/24</w:t>
            </w:r>
          </w:p>
        </w:tc>
        <w:tc>
          <w:tcPr>
            <w:tcW w:w="68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5/16/24</w:t>
            </w:r>
          </w:p>
        </w:tc>
        <w:tc>
          <w:tcPr>
            <w:tcW w:w="720" w:type="dxa"/>
            <w:vAlign w:val="bottom"/>
            <w:shd w:val="clear" w:color="auto" w:fill="E7E7E8"/>
          </w:tcPr>
          <w:p>
            <w:pPr>
              <w:spacing w:after="0"/>
              <w:rPr>
                <w:sz w:val="10"/>
                <w:szCs w:val="10"/>
                <w:color w:val="auto"/>
              </w:rPr>
            </w:pPr>
          </w:p>
        </w:tc>
        <w:tc>
          <w:tcPr>
            <w:tcW w:w="8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shd w:val="clear" w:color="auto" w:fill="E7E7E8"/>
          </w:tcPr>
          <w:p>
            <w:pPr>
              <w:spacing w:after="0"/>
              <w:rPr>
                <w:sz w:val="10"/>
                <w:szCs w:val="10"/>
                <w:color w:val="auto"/>
              </w:rPr>
            </w:pPr>
          </w:p>
        </w:tc>
        <w:tc>
          <w:tcPr>
            <w:tcW w:w="740" w:type="dxa"/>
            <w:vAlign w:val="bottom"/>
            <w:vMerge w:val="restart"/>
            <w:shd w:val="clear" w:color="auto" w:fill="E7E7E8"/>
          </w:tcPr>
          <w:p>
            <w:pPr>
              <w:ind w:left="32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E7E7E8"/>
          </w:tcPr>
          <w:p>
            <w:pPr>
              <w:jc w:val="right"/>
              <w:spacing w:after="0"/>
              <w:rPr>
                <w:sz w:val="20"/>
                <w:szCs w:val="20"/>
                <w:color w:val="auto"/>
              </w:rPr>
            </w:pPr>
            <w:r>
              <w:rPr>
                <w:rFonts w:ascii="Arial" w:cs="Arial" w:eastAsia="Arial" w:hAnsi="Arial"/>
                <w:sz w:val="11"/>
                <w:szCs w:val="11"/>
                <w:color w:val="auto"/>
              </w:rPr>
              <w:t>5,929</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7"/>
                <w:szCs w:val="7"/>
                <w:color w:val="auto"/>
              </w:rPr>
              <w:t>(4)</w:t>
            </w:r>
          </w:p>
        </w:tc>
        <w:tc>
          <w:tcPr>
            <w:tcW w:w="76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11,857</w:t>
            </w:r>
          </w:p>
        </w:tc>
        <w:tc>
          <w:tcPr>
            <w:tcW w:w="420" w:type="dxa"/>
            <w:vAlign w:val="bottom"/>
            <w:shd w:val="clear" w:color="auto" w:fill="E7E7E8"/>
          </w:tcPr>
          <w:p>
            <w:pPr>
              <w:jc w:val="right"/>
              <w:ind w:right="244"/>
              <w:spacing w:after="0"/>
              <w:rPr>
                <w:sz w:val="20"/>
                <w:szCs w:val="20"/>
                <w:color w:val="auto"/>
              </w:rPr>
            </w:pPr>
            <w:r>
              <w:rPr>
                <w:rFonts w:ascii="Arial" w:cs="Arial" w:eastAsia="Arial" w:hAnsi="Arial"/>
                <w:sz w:val="7"/>
                <w:szCs w:val="7"/>
                <w:color w:val="auto"/>
              </w:rPr>
              <w:t>(4)</w:t>
            </w:r>
          </w:p>
        </w:tc>
        <w:tc>
          <w:tcPr>
            <w:tcW w:w="6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23,714</w:t>
            </w:r>
          </w:p>
        </w:tc>
        <w:tc>
          <w:tcPr>
            <w:tcW w:w="200" w:type="dxa"/>
            <w:vAlign w:val="bottom"/>
            <w:shd w:val="clear" w:color="auto" w:fill="E7E7E8"/>
          </w:tcPr>
          <w:p>
            <w:pPr>
              <w:jc w:val="right"/>
              <w:ind w:right="64"/>
              <w:spacing w:after="0"/>
              <w:rPr>
                <w:sz w:val="20"/>
                <w:szCs w:val="20"/>
                <w:color w:val="auto"/>
              </w:rPr>
            </w:pPr>
            <w:r>
              <w:rPr>
                <w:rFonts w:ascii="Arial" w:cs="Arial" w:eastAsia="Arial" w:hAnsi="Arial"/>
                <w:sz w:val="7"/>
                <w:szCs w:val="7"/>
                <w:color w:val="auto"/>
                <w:w w:val="92"/>
              </w:rPr>
              <w:t>(4)</w:t>
            </w:r>
          </w:p>
        </w:tc>
        <w:tc>
          <w:tcPr>
            <w:tcW w:w="10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shd w:val="clear" w:color="auto" w:fill="E7E7E8"/>
          </w:tcPr>
          <w:p>
            <w:pPr>
              <w:spacing w:after="0"/>
              <w:rPr>
                <w:sz w:val="10"/>
                <w:szCs w:val="10"/>
                <w:color w:val="auto"/>
              </w:rPr>
            </w:pPr>
          </w:p>
        </w:tc>
        <w:tc>
          <w:tcPr>
            <w:tcW w:w="1200" w:type="dxa"/>
            <w:vAlign w:val="bottom"/>
            <w:vMerge w:val="restart"/>
            <w:shd w:val="clear" w:color="auto" w:fill="E7E7E8"/>
          </w:tcPr>
          <w:p>
            <w:pPr>
              <w:jc w:val="right"/>
              <w:ind w:right="347"/>
              <w:spacing w:after="0"/>
              <w:rPr>
                <w:sz w:val="20"/>
                <w:szCs w:val="20"/>
                <w:color w:val="auto"/>
              </w:rPr>
            </w:pPr>
            <w:r>
              <w:rPr>
                <w:rFonts w:ascii="Arial" w:cs="Arial" w:eastAsia="Arial" w:hAnsi="Arial"/>
                <w:sz w:val="11"/>
                <w:szCs w:val="11"/>
                <w:color w:val="auto"/>
              </w:rPr>
              <w:t>4,063,155</w:t>
            </w:r>
          </w:p>
        </w:tc>
        <w:tc>
          <w:tcPr>
            <w:tcW w:w="0" w:type="dxa"/>
            <w:vAlign w:val="bottom"/>
          </w:tcPr>
          <w:p>
            <w:pPr>
              <w:spacing w:after="0"/>
              <w:rPr>
                <w:sz w:val="1"/>
                <w:szCs w:val="1"/>
                <w:color w:val="auto"/>
              </w:rPr>
            </w:pPr>
          </w:p>
        </w:tc>
      </w:tr>
      <w:tr>
        <w:trPr>
          <w:trHeight w:val="93"/>
        </w:trPr>
        <w:tc>
          <w:tcPr>
            <w:tcW w:w="1380" w:type="dxa"/>
            <w:vAlign w:val="bottom"/>
            <w:tcBorders>
              <w:bottom w:val="single" w:sz="8" w:color="E7E7E8"/>
            </w:tcBorders>
            <w:shd w:val="clear" w:color="auto" w:fill="E7E7E8"/>
          </w:tcPr>
          <w:p>
            <w:pPr>
              <w:spacing w:after="0"/>
              <w:rPr>
                <w:sz w:val="8"/>
                <w:szCs w:val="8"/>
                <w:color w:val="auto"/>
              </w:rPr>
            </w:pPr>
          </w:p>
        </w:tc>
        <w:tc>
          <w:tcPr>
            <w:tcW w:w="100" w:type="dxa"/>
            <w:vAlign w:val="bottom"/>
            <w:tcBorders>
              <w:bottom w:val="single" w:sz="8" w:color="E7E7E8"/>
            </w:tcBorders>
            <w:shd w:val="clear" w:color="auto" w:fill="E7E7E8"/>
          </w:tcPr>
          <w:p>
            <w:pPr>
              <w:spacing w:after="0"/>
              <w:rPr>
                <w:sz w:val="8"/>
                <w:szCs w:val="8"/>
                <w:color w:val="auto"/>
              </w:rPr>
            </w:pPr>
          </w:p>
        </w:tc>
        <w:tc>
          <w:tcPr>
            <w:tcW w:w="800" w:type="dxa"/>
            <w:vAlign w:val="bottom"/>
            <w:tcBorders>
              <w:bottom w:val="single" w:sz="8" w:color="E7E7E8"/>
            </w:tcBorders>
            <w:vMerge w:val="continue"/>
            <w:shd w:val="clear" w:color="auto" w:fill="E7E7E8"/>
          </w:tcPr>
          <w:p>
            <w:pPr>
              <w:spacing w:after="0"/>
              <w:rPr>
                <w:sz w:val="8"/>
                <w:szCs w:val="8"/>
                <w:color w:val="auto"/>
              </w:rPr>
            </w:pPr>
          </w:p>
        </w:tc>
        <w:tc>
          <w:tcPr>
            <w:tcW w:w="680" w:type="dxa"/>
            <w:vAlign w:val="bottom"/>
            <w:tcBorders>
              <w:bottom w:val="single" w:sz="8" w:color="E7E7E8"/>
            </w:tcBorders>
            <w:vMerge w:val="continue"/>
            <w:shd w:val="clear" w:color="auto" w:fill="E7E7E8"/>
          </w:tcPr>
          <w:p>
            <w:pPr>
              <w:spacing w:after="0"/>
              <w:rPr>
                <w:sz w:val="8"/>
                <w:szCs w:val="8"/>
                <w:color w:val="auto"/>
              </w:rPr>
            </w:pPr>
          </w:p>
        </w:tc>
        <w:tc>
          <w:tcPr>
            <w:tcW w:w="720" w:type="dxa"/>
            <w:vAlign w:val="bottom"/>
            <w:tcBorders>
              <w:bottom w:val="single" w:sz="8" w:color="E7E7E8"/>
            </w:tcBorders>
            <w:shd w:val="clear" w:color="auto" w:fill="E7E7E8"/>
          </w:tcPr>
          <w:p>
            <w:pPr>
              <w:spacing w:after="0"/>
              <w:rPr>
                <w:sz w:val="8"/>
                <w:szCs w:val="8"/>
                <w:color w:val="auto"/>
              </w:rPr>
            </w:pPr>
          </w:p>
        </w:tc>
        <w:tc>
          <w:tcPr>
            <w:tcW w:w="800" w:type="dxa"/>
            <w:vAlign w:val="bottom"/>
            <w:tcBorders>
              <w:bottom w:val="single" w:sz="8" w:color="E7E7E8"/>
            </w:tcBorders>
            <w:vMerge w:val="continue"/>
            <w:shd w:val="clear" w:color="auto" w:fill="E7E7E8"/>
          </w:tcPr>
          <w:p>
            <w:pPr>
              <w:spacing w:after="0"/>
              <w:rPr>
                <w:sz w:val="8"/>
                <w:szCs w:val="8"/>
                <w:color w:val="auto"/>
              </w:rPr>
            </w:pPr>
          </w:p>
        </w:tc>
        <w:tc>
          <w:tcPr>
            <w:tcW w:w="400" w:type="dxa"/>
            <w:vAlign w:val="bottom"/>
            <w:tcBorders>
              <w:bottom w:val="single" w:sz="8" w:color="E7E7E8"/>
            </w:tcBorders>
            <w:shd w:val="clear" w:color="auto" w:fill="E7E7E8"/>
          </w:tcPr>
          <w:p>
            <w:pPr>
              <w:spacing w:after="0"/>
              <w:rPr>
                <w:sz w:val="8"/>
                <w:szCs w:val="8"/>
                <w:color w:val="auto"/>
              </w:rPr>
            </w:pPr>
          </w:p>
        </w:tc>
        <w:tc>
          <w:tcPr>
            <w:tcW w:w="740" w:type="dxa"/>
            <w:vAlign w:val="bottom"/>
            <w:tcBorders>
              <w:bottom w:val="single" w:sz="8" w:color="E7E7E8"/>
            </w:tcBorders>
            <w:vMerge w:val="continue"/>
            <w:shd w:val="clear" w:color="auto" w:fill="E7E7E8"/>
          </w:tcPr>
          <w:p>
            <w:pPr>
              <w:spacing w:after="0"/>
              <w:rPr>
                <w:sz w:val="8"/>
                <w:szCs w:val="8"/>
                <w:color w:val="auto"/>
              </w:rPr>
            </w:pPr>
          </w:p>
        </w:tc>
        <w:tc>
          <w:tcPr>
            <w:tcW w:w="700" w:type="dxa"/>
            <w:vAlign w:val="bottom"/>
            <w:tcBorders>
              <w:bottom w:val="single" w:sz="8" w:color="E7E7E8"/>
            </w:tcBorders>
            <w:gridSpan w:val="2"/>
            <w:vMerge w:val="continue"/>
            <w:shd w:val="clear" w:color="auto" w:fill="E7E7E8"/>
          </w:tcPr>
          <w:p>
            <w:pPr>
              <w:spacing w:after="0"/>
              <w:rPr>
                <w:sz w:val="8"/>
                <w:szCs w:val="8"/>
                <w:color w:val="auto"/>
              </w:rPr>
            </w:pPr>
          </w:p>
        </w:tc>
        <w:tc>
          <w:tcPr>
            <w:tcW w:w="360" w:type="dxa"/>
            <w:vAlign w:val="bottom"/>
            <w:tcBorders>
              <w:bottom w:val="single" w:sz="8" w:color="E7E7E8"/>
            </w:tcBorders>
            <w:shd w:val="clear" w:color="auto" w:fill="E7E7E8"/>
          </w:tcPr>
          <w:p>
            <w:pPr>
              <w:spacing w:after="0"/>
              <w:rPr>
                <w:sz w:val="8"/>
                <w:szCs w:val="8"/>
                <w:color w:val="auto"/>
              </w:rPr>
            </w:pPr>
          </w:p>
        </w:tc>
        <w:tc>
          <w:tcPr>
            <w:tcW w:w="760" w:type="dxa"/>
            <w:vAlign w:val="bottom"/>
            <w:tcBorders>
              <w:bottom w:val="single" w:sz="8" w:color="E7E7E8"/>
            </w:tcBorders>
            <w:vMerge w:val="continue"/>
            <w:shd w:val="clear" w:color="auto" w:fill="E7E7E8"/>
          </w:tcPr>
          <w:p>
            <w:pPr>
              <w:spacing w:after="0"/>
              <w:rPr>
                <w:sz w:val="8"/>
                <w:szCs w:val="8"/>
                <w:color w:val="auto"/>
              </w:rPr>
            </w:pPr>
          </w:p>
        </w:tc>
        <w:tc>
          <w:tcPr>
            <w:tcW w:w="420" w:type="dxa"/>
            <w:vAlign w:val="bottom"/>
            <w:tcBorders>
              <w:bottom w:val="single" w:sz="8" w:color="E7E7E8"/>
            </w:tcBorders>
            <w:shd w:val="clear" w:color="auto" w:fill="E7E7E8"/>
          </w:tcPr>
          <w:p>
            <w:pPr>
              <w:spacing w:after="0"/>
              <w:rPr>
                <w:sz w:val="8"/>
                <w:szCs w:val="8"/>
                <w:color w:val="auto"/>
              </w:rPr>
            </w:pPr>
          </w:p>
        </w:tc>
        <w:tc>
          <w:tcPr>
            <w:tcW w:w="620" w:type="dxa"/>
            <w:vAlign w:val="bottom"/>
            <w:tcBorders>
              <w:bottom w:val="single" w:sz="8" w:color="E7E7E8"/>
            </w:tcBorders>
            <w:vMerge w:val="continue"/>
            <w:shd w:val="clear" w:color="auto" w:fill="E7E7E8"/>
          </w:tcPr>
          <w:p>
            <w:pPr>
              <w:spacing w:after="0"/>
              <w:rPr>
                <w:sz w:val="8"/>
                <w:szCs w:val="8"/>
                <w:color w:val="auto"/>
              </w:rPr>
            </w:pPr>
          </w:p>
        </w:tc>
        <w:tc>
          <w:tcPr>
            <w:tcW w:w="200" w:type="dxa"/>
            <w:vAlign w:val="bottom"/>
            <w:tcBorders>
              <w:bottom w:val="single" w:sz="8" w:color="E7E7E8"/>
            </w:tcBorders>
            <w:shd w:val="clear" w:color="auto" w:fill="E7E7E8"/>
          </w:tcPr>
          <w:p>
            <w:pPr>
              <w:spacing w:after="0"/>
              <w:rPr>
                <w:sz w:val="8"/>
                <w:szCs w:val="8"/>
                <w:color w:val="auto"/>
              </w:rPr>
            </w:pPr>
          </w:p>
        </w:tc>
        <w:tc>
          <w:tcPr>
            <w:tcW w:w="1040" w:type="dxa"/>
            <w:vAlign w:val="bottom"/>
            <w:tcBorders>
              <w:bottom w:val="single" w:sz="8" w:color="E7E7E8"/>
            </w:tcBorders>
            <w:vMerge w:val="continue"/>
            <w:shd w:val="clear" w:color="auto" w:fill="E7E7E8"/>
          </w:tcPr>
          <w:p>
            <w:pPr>
              <w:spacing w:after="0"/>
              <w:rPr>
                <w:sz w:val="8"/>
                <w:szCs w:val="8"/>
                <w:color w:val="auto"/>
              </w:rPr>
            </w:pPr>
          </w:p>
        </w:tc>
        <w:tc>
          <w:tcPr>
            <w:tcW w:w="320" w:type="dxa"/>
            <w:vAlign w:val="bottom"/>
            <w:tcBorders>
              <w:bottom w:val="single" w:sz="8" w:color="E7E7E8"/>
            </w:tcBorders>
            <w:shd w:val="clear" w:color="auto" w:fill="E7E7E8"/>
          </w:tcPr>
          <w:p>
            <w:pPr>
              <w:spacing w:after="0"/>
              <w:rPr>
                <w:sz w:val="8"/>
                <w:szCs w:val="8"/>
                <w:color w:val="auto"/>
              </w:rPr>
            </w:pPr>
          </w:p>
        </w:tc>
        <w:tc>
          <w:tcPr>
            <w:tcW w:w="1200" w:type="dxa"/>
            <w:vAlign w:val="bottom"/>
            <w:tcBorders>
              <w:bottom w:val="single" w:sz="8" w:color="E7E7E8"/>
            </w:tcBorders>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80" w:type="dxa"/>
            <w:vAlign w:val="bottom"/>
            <w:vMerge w:val="restart"/>
          </w:tcPr>
          <w:p>
            <w:pPr>
              <w:ind w:left="20"/>
              <w:spacing w:after="0"/>
              <w:rPr>
                <w:sz w:val="20"/>
                <w:szCs w:val="20"/>
                <w:color w:val="auto"/>
              </w:rPr>
            </w:pPr>
            <w:r>
              <w:rPr>
                <w:rFonts w:ascii="Arial" w:cs="Arial" w:eastAsia="Arial" w:hAnsi="Arial"/>
                <w:sz w:val="11"/>
                <w:szCs w:val="11"/>
                <w:color w:val="auto"/>
              </w:rPr>
              <w:t>D. Craig Kesler</w:t>
            </w:r>
          </w:p>
        </w:tc>
        <w:tc>
          <w:tcPr>
            <w:tcW w:w="90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97"/>
              </w:rPr>
              <w:t>5/16/24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8"/>
                <w:szCs w:val="8"/>
                <w:color w:val="auto"/>
              </w:rPr>
            </w:pPr>
          </w:p>
        </w:tc>
        <w:tc>
          <w:tcPr>
            <w:tcW w:w="800" w:type="dxa"/>
            <w:vAlign w:val="bottom"/>
            <w:vMerge w:val="restart"/>
          </w:tcPr>
          <w:p>
            <w:pPr>
              <w:jc w:val="right"/>
              <w:ind w:right="66"/>
              <w:spacing w:after="0"/>
              <w:rPr>
                <w:sz w:val="20"/>
                <w:szCs w:val="20"/>
                <w:color w:val="auto"/>
              </w:rPr>
            </w:pPr>
            <w:r>
              <w:rPr>
                <w:rFonts w:ascii="Arial" w:cs="Arial" w:eastAsia="Arial" w:hAnsi="Arial"/>
                <w:sz w:val="11"/>
                <w:szCs w:val="11"/>
                <w:color w:val="auto"/>
              </w:rPr>
              <w:t>913,745</w:t>
            </w:r>
          </w:p>
        </w:tc>
        <w:tc>
          <w:tcPr>
            <w:tcW w:w="400" w:type="dxa"/>
            <w:vAlign w:val="bottom"/>
          </w:tcPr>
          <w:p>
            <w:pPr>
              <w:jc w:val="right"/>
              <w:ind w:right="264"/>
              <w:spacing w:after="0"/>
              <w:rPr>
                <w:sz w:val="20"/>
                <w:szCs w:val="20"/>
                <w:color w:val="auto"/>
              </w:rPr>
            </w:pPr>
            <w:r>
              <w:rPr>
                <w:rFonts w:ascii="Arial" w:cs="Arial" w:eastAsia="Arial" w:hAnsi="Arial"/>
                <w:sz w:val="7"/>
                <w:szCs w:val="7"/>
                <w:color w:val="auto"/>
                <w:w w:val="92"/>
              </w:rPr>
              <w:t>(2)</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8"/>
                <w:szCs w:val="8"/>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8"/>
                <w:szCs w:val="8"/>
                <w:color w:val="auto"/>
              </w:rPr>
            </w:pPr>
          </w:p>
        </w:tc>
        <w:tc>
          <w:tcPr>
            <w:tcW w:w="6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8"/>
                <w:szCs w:val="8"/>
                <w:color w:val="auto"/>
              </w:rPr>
            </w:pPr>
          </w:p>
        </w:tc>
        <w:tc>
          <w:tcPr>
            <w:tcW w:w="1200" w:type="dxa"/>
            <w:vAlign w:val="bottom"/>
            <w:vMerge w:val="restart"/>
          </w:tcPr>
          <w:p>
            <w:pPr>
              <w:jc w:val="right"/>
              <w:ind w:right="3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3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80" w:type="dxa"/>
            <w:vAlign w:val="bottom"/>
          </w:tcPr>
          <w:p>
            <w:pPr>
              <w:spacing w:after="0"/>
              <w:rPr>
                <w:sz w:val="10"/>
                <w:szCs w:val="10"/>
                <w:color w:val="auto"/>
              </w:rPr>
            </w:pPr>
          </w:p>
        </w:tc>
        <w:tc>
          <w:tcPr>
            <w:tcW w:w="90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97"/>
              </w:rPr>
              <w:t>5/24/24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7"/>
              </w:rPr>
              <w:t>5/24/24</w:t>
            </w:r>
          </w:p>
        </w:tc>
        <w:tc>
          <w:tcPr>
            <w:tcW w:w="720" w:type="dxa"/>
            <w:vAlign w:val="bottom"/>
          </w:tcPr>
          <w:p>
            <w:pPr>
              <w:spacing w:after="0"/>
              <w:rPr>
                <w:sz w:val="10"/>
                <w:szCs w:val="10"/>
                <w:color w:val="auto"/>
              </w:rPr>
            </w:pPr>
          </w:p>
        </w:tc>
        <w:tc>
          <w:tcPr>
            <w:tcW w:w="80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40" w:type="dxa"/>
            <w:vAlign w:val="bottom"/>
            <w:vMerge w:val="restart"/>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0"/>
                <w:szCs w:val="10"/>
                <w:color w:val="auto"/>
              </w:rPr>
            </w:pPr>
          </w:p>
        </w:tc>
        <w:tc>
          <w:tcPr>
            <w:tcW w:w="6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2,833</w:t>
            </w:r>
          </w:p>
        </w:tc>
        <w:tc>
          <w:tcPr>
            <w:tcW w:w="320" w:type="dxa"/>
            <w:vAlign w:val="bottom"/>
          </w:tcPr>
          <w:p>
            <w:pPr>
              <w:jc w:val="right"/>
              <w:ind w:right="210"/>
              <w:spacing w:after="0"/>
              <w:rPr>
                <w:sz w:val="20"/>
                <w:szCs w:val="20"/>
                <w:color w:val="auto"/>
              </w:rPr>
            </w:pPr>
            <w:r>
              <w:rPr>
                <w:rFonts w:ascii="Arial" w:cs="Arial" w:eastAsia="Arial" w:hAnsi="Arial"/>
                <w:sz w:val="6"/>
                <w:szCs w:val="6"/>
                <w:color w:val="auto"/>
                <w:w w:val="81"/>
              </w:rPr>
              <w:t>(3)</w:t>
            </w:r>
          </w:p>
        </w:tc>
        <w:tc>
          <w:tcPr>
            <w:tcW w:w="1200" w:type="dxa"/>
            <w:vAlign w:val="bottom"/>
            <w:vMerge w:val="restart"/>
          </w:tcPr>
          <w:p>
            <w:pPr>
              <w:jc w:val="right"/>
              <w:ind w:right="347"/>
              <w:spacing w:after="0"/>
              <w:rPr>
                <w:sz w:val="20"/>
                <w:szCs w:val="20"/>
                <w:color w:val="auto"/>
              </w:rPr>
            </w:pPr>
            <w:r>
              <w:rPr>
                <w:rFonts w:ascii="Arial" w:cs="Arial" w:eastAsia="Arial" w:hAnsi="Arial"/>
                <w:sz w:val="11"/>
                <w:szCs w:val="11"/>
                <w:color w:val="auto"/>
              </w:rPr>
              <w:t>675,019</w:t>
            </w:r>
          </w:p>
        </w:tc>
        <w:tc>
          <w:tcPr>
            <w:tcW w:w="0" w:type="dxa"/>
            <w:vAlign w:val="bottom"/>
          </w:tcPr>
          <w:p>
            <w:pPr>
              <w:spacing w:after="0"/>
              <w:rPr>
                <w:sz w:val="1"/>
                <w:szCs w:val="1"/>
                <w:color w:val="auto"/>
              </w:rPr>
            </w:pPr>
          </w:p>
        </w:tc>
      </w:tr>
      <w:tr>
        <w:trPr>
          <w:trHeight w:val="66"/>
        </w:trPr>
        <w:tc>
          <w:tcPr>
            <w:tcW w:w="13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80" w:type="dxa"/>
            <w:vAlign w:val="bottom"/>
          </w:tcPr>
          <w:p>
            <w:pPr>
              <w:spacing w:after="0"/>
              <w:rPr>
                <w:sz w:val="10"/>
                <w:szCs w:val="10"/>
                <w:color w:val="auto"/>
              </w:rPr>
            </w:pPr>
          </w:p>
        </w:tc>
        <w:tc>
          <w:tcPr>
            <w:tcW w:w="90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97"/>
              </w:rPr>
              <w:t>5/24/24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7"/>
              </w:rPr>
              <w:t>5/24/24</w:t>
            </w:r>
          </w:p>
        </w:tc>
        <w:tc>
          <w:tcPr>
            <w:tcW w:w="720" w:type="dxa"/>
            <w:vAlign w:val="bottom"/>
          </w:tcPr>
          <w:p>
            <w:pPr>
              <w:spacing w:after="0"/>
              <w:rPr>
                <w:sz w:val="10"/>
                <w:szCs w:val="10"/>
                <w:color w:val="auto"/>
              </w:rPr>
            </w:pPr>
          </w:p>
        </w:tc>
        <w:tc>
          <w:tcPr>
            <w:tcW w:w="80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40" w:type="dxa"/>
            <w:vAlign w:val="bottom"/>
            <w:vMerge w:val="restart"/>
          </w:tcPr>
          <w:p>
            <w:pPr>
              <w:ind w:left="32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color w:val="auto"/>
              </w:rPr>
              <w:t>1,417</w:t>
            </w:r>
          </w:p>
        </w:tc>
        <w:tc>
          <w:tcPr>
            <w:tcW w:w="360" w:type="dxa"/>
            <w:vAlign w:val="bottom"/>
          </w:tcPr>
          <w:p>
            <w:pPr>
              <w:jc w:val="right"/>
              <w:ind w:right="119"/>
              <w:spacing w:after="0"/>
              <w:rPr>
                <w:sz w:val="20"/>
                <w:szCs w:val="20"/>
                <w:color w:val="auto"/>
              </w:rPr>
            </w:pPr>
            <w:r>
              <w:rPr>
                <w:rFonts w:ascii="Arial" w:cs="Arial" w:eastAsia="Arial" w:hAnsi="Arial"/>
                <w:sz w:val="7"/>
                <w:szCs w:val="7"/>
                <w:color w:val="auto"/>
              </w:rPr>
              <w:t>(4)</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2,833</w:t>
            </w:r>
          </w:p>
        </w:tc>
        <w:tc>
          <w:tcPr>
            <w:tcW w:w="420" w:type="dxa"/>
            <w:vAlign w:val="bottom"/>
          </w:tcPr>
          <w:p>
            <w:pPr>
              <w:jc w:val="right"/>
              <w:ind w:right="244"/>
              <w:spacing w:after="0"/>
              <w:rPr>
                <w:sz w:val="20"/>
                <w:szCs w:val="20"/>
                <w:color w:val="auto"/>
              </w:rPr>
            </w:pPr>
            <w:r>
              <w:rPr>
                <w:rFonts w:ascii="Arial" w:cs="Arial" w:eastAsia="Arial" w:hAnsi="Arial"/>
                <w:sz w:val="7"/>
                <w:szCs w:val="7"/>
                <w:color w:val="auto"/>
              </w:rPr>
              <w:t>(4)</w:t>
            </w:r>
          </w:p>
        </w:tc>
        <w:tc>
          <w:tcPr>
            <w:tcW w:w="620" w:type="dxa"/>
            <w:vAlign w:val="bottom"/>
            <w:vMerge w:val="restart"/>
          </w:tcPr>
          <w:p>
            <w:pPr>
              <w:jc w:val="right"/>
              <w:ind w:right="46"/>
              <w:spacing w:after="0"/>
              <w:rPr>
                <w:sz w:val="20"/>
                <w:szCs w:val="20"/>
                <w:color w:val="auto"/>
              </w:rPr>
            </w:pPr>
            <w:r>
              <w:rPr>
                <w:rFonts w:ascii="Arial" w:cs="Arial" w:eastAsia="Arial" w:hAnsi="Arial"/>
                <w:sz w:val="11"/>
                <w:szCs w:val="11"/>
                <w:color w:val="auto"/>
              </w:rPr>
              <w:t>5,666</w:t>
            </w:r>
          </w:p>
        </w:tc>
        <w:tc>
          <w:tcPr>
            <w:tcW w:w="200" w:type="dxa"/>
            <w:vAlign w:val="bottom"/>
          </w:tcPr>
          <w:p>
            <w:pPr>
              <w:jc w:val="right"/>
              <w:ind w:right="64"/>
              <w:spacing w:after="0"/>
              <w:rPr>
                <w:sz w:val="20"/>
                <w:szCs w:val="20"/>
                <w:color w:val="auto"/>
              </w:rPr>
            </w:pPr>
            <w:r>
              <w:rPr>
                <w:rFonts w:ascii="Arial" w:cs="Arial" w:eastAsia="Arial" w:hAnsi="Arial"/>
                <w:sz w:val="7"/>
                <w:szCs w:val="7"/>
                <w:color w:val="auto"/>
                <w:w w:val="92"/>
              </w:rPr>
              <w:t>(4)</w:t>
            </w: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1200" w:type="dxa"/>
            <w:vAlign w:val="bottom"/>
            <w:vMerge w:val="restart"/>
          </w:tcPr>
          <w:p>
            <w:pPr>
              <w:jc w:val="right"/>
              <w:ind w:right="347"/>
              <w:spacing w:after="0"/>
              <w:rPr>
                <w:sz w:val="20"/>
                <w:szCs w:val="20"/>
                <w:color w:val="auto"/>
              </w:rPr>
            </w:pPr>
            <w:r>
              <w:rPr>
                <w:rFonts w:ascii="Arial" w:cs="Arial" w:eastAsia="Arial" w:hAnsi="Arial"/>
                <w:sz w:val="11"/>
                <w:szCs w:val="11"/>
                <w:color w:val="auto"/>
              </w:rPr>
              <w:t>970,969</w:t>
            </w:r>
          </w:p>
        </w:tc>
        <w:tc>
          <w:tcPr>
            <w:tcW w:w="0" w:type="dxa"/>
            <w:vAlign w:val="bottom"/>
          </w:tcPr>
          <w:p>
            <w:pPr>
              <w:spacing w:after="0"/>
              <w:rPr>
                <w:sz w:val="1"/>
                <w:szCs w:val="1"/>
                <w:color w:val="auto"/>
              </w:rPr>
            </w:pPr>
          </w:p>
        </w:tc>
      </w:tr>
      <w:tr>
        <w:trPr>
          <w:trHeight w:val="66"/>
        </w:trPr>
        <w:tc>
          <w:tcPr>
            <w:tcW w:w="13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38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rPr>
              <w:t>Matt Newby</w:t>
            </w:r>
          </w:p>
        </w:tc>
        <w:tc>
          <w:tcPr>
            <w:tcW w:w="900" w:type="dxa"/>
            <w:vAlign w:val="bottom"/>
            <w:gridSpan w:val="2"/>
            <w:vMerge w:val="restart"/>
            <w:shd w:val="clear" w:color="auto" w:fill="E7E7E8"/>
          </w:tcPr>
          <w:p>
            <w:pPr>
              <w:jc w:val="center"/>
              <w:ind w:left="46"/>
              <w:spacing w:after="0"/>
              <w:rPr>
                <w:sz w:val="20"/>
                <w:szCs w:val="20"/>
                <w:color w:val="auto"/>
              </w:rPr>
            </w:pPr>
            <w:r>
              <w:rPr>
                <w:rFonts w:ascii="Arial" w:cs="Arial" w:eastAsia="Arial" w:hAnsi="Arial"/>
                <w:sz w:val="11"/>
                <w:szCs w:val="11"/>
                <w:color w:val="auto"/>
                <w:w w:val="97"/>
              </w:rPr>
              <w:t>5/16/24</w:t>
            </w:r>
          </w:p>
        </w:tc>
        <w:tc>
          <w:tcPr>
            <w:tcW w:w="68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rPr>
              <w:t>-</w:t>
            </w:r>
          </w:p>
        </w:tc>
        <w:tc>
          <w:tcPr>
            <w:tcW w:w="720" w:type="dxa"/>
            <w:vAlign w:val="bottom"/>
            <w:shd w:val="clear" w:color="auto" w:fill="E7E7E8"/>
          </w:tcPr>
          <w:p>
            <w:pPr>
              <w:spacing w:after="0"/>
              <w:rPr>
                <w:sz w:val="8"/>
                <w:szCs w:val="8"/>
                <w:color w:val="auto"/>
              </w:rPr>
            </w:pPr>
          </w:p>
        </w:tc>
        <w:tc>
          <w:tcPr>
            <w:tcW w:w="8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533,018</w:t>
            </w:r>
          </w:p>
        </w:tc>
        <w:tc>
          <w:tcPr>
            <w:tcW w:w="400" w:type="dxa"/>
            <w:vAlign w:val="bottom"/>
            <w:shd w:val="clear" w:color="auto" w:fill="E7E7E8"/>
          </w:tcPr>
          <w:p>
            <w:pPr>
              <w:jc w:val="right"/>
              <w:ind w:right="264"/>
              <w:spacing w:after="0"/>
              <w:rPr>
                <w:sz w:val="20"/>
                <w:szCs w:val="20"/>
                <w:color w:val="auto"/>
              </w:rPr>
            </w:pPr>
            <w:r>
              <w:rPr>
                <w:rFonts w:ascii="Arial" w:cs="Arial" w:eastAsia="Arial" w:hAnsi="Arial"/>
                <w:sz w:val="7"/>
                <w:szCs w:val="7"/>
                <w:color w:val="auto"/>
                <w:w w:val="92"/>
              </w:rPr>
              <w:t>(2)</w:t>
            </w:r>
          </w:p>
        </w:tc>
        <w:tc>
          <w:tcPr>
            <w:tcW w:w="740" w:type="dxa"/>
            <w:vAlign w:val="bottom"/>
            <w:vMerge w:val="restart"/>
            <w:shd w:val="clear" w:color="auto" w:fill="E7E7E8"/>
          </w:tcPr>
          <w:p>
            <w:pPr>
              <w:ind w:left="320"/>
              <w:spacing w:after="0"/>
              <w:rPr>
                <w:sz w:val="20"/>
                <w:szCs w:val="20"/>
                <w:color w:val="auto"/>
              </w:rPr>
            </w:pPr>
            <w:r>
              <w:rPr>
                <w:rFonts w:ascii="Arial" w:cs="Arial" w:eastAsia="Arial" w:hAnsi="Arial"/>
                <w:sz w:val="11"/>
                <w:szCs w:val="11"/>
                <w:color w:val="auto"/>
              </w:rPr>
              <w:t>—</w:t>
            </w:r>
          </w:p>
        </w:tc>
        <w:tc>
          <w:tcPr>
            <w:tcW w:w="100" w:type="dxa"/>
            <w:vAlign w:val="bottom"/>
            <w:shd w:val="clear" w:color="auto" w:fill="E7E7E8"/>
          </w:tcPr>
          <w:p>
            <w:pPr>
              <w:spacing w:after="0"/>
              <w:rPr>
                <w:sz w:val="8"/>
                <w:szCs w:val="8"/>
                <w:color w:val="auto"/>
              </w:rPr>
            </w:pPr>
          </w:p>
        </w:tc>
        <w:tc>
          <w:tcPr>
            <w:tcW w:w="60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8"/>
                <w:szCs w:val="8"/>
                <w:color w:val="auto"/>
              </w:rPr>
            </w:pPr>
          </w:p>
        </w:tc>
        <w:tc>
          <w:tcPr>
            <w:tcW w:w="76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shd w:val="clear" w:color="auto" w:fill="E7E7E8"/>
          </w:tcPr>
          <w:p>
            <w:pPr>
              <w:spacing w:after="0"/>
              <w:rPr>
                <w:sz w:val="8"/>
                <w:szCs w:val="8"/>
                <w:color w:val="auto"/>
              </w:rPr>
            </w:pPr>
          </w:p>
        </w:tc>
        <w:tc>
          <w:tcPr>
            <w:tcW w:w="6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8"/>
                <w:szCs w:val="8"/>
                <w:color w:val="auto"/>
              </w:rPr>
            </w:pPr>
          </w:p>
        </w:tc>
        <w:tc>
          <w:tcPr>
            <w:tcW w:w="10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shd w:val="clear" w:color="auto" w:fill="E7E7E8"/>
          </w:tcPr>
          <w:p>
            <w:pPr>
              <w:spacing w:after="0"/>
              <w:rPr>
                <w:sz w:val="8"/>
                <w:szCs w:val="8"/>
                <w:color w:val="auto"/>
              </w:rPr>
            </w:pPr>
          </w:p>
        </w:tc>
        <w:tc>
          <w:tcPr>
            <w:tcW w:w="1200" w:type="dxa"/>
            <w:vAlign w:val="bottom"/>
            <w:vMerge w:val="restart"/>
            <w:shd w:val="clear" w:color="auto" w:fill="E7E7E8"/>
          </w:tcPr>
          <w:p>
            <w:pPr>
              <w:jc w:val="right"/>
              <w:ind w:right="3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380" w:type="dxa"/>
            <w:vAlign w:val="bottom"/>
            <w:vMerge w:val="continue"/>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680" w:type="dxa"/>
            <w:vAlign w:val="bottom"/>
            <w:vMerge w:val="continue"/>
            <w:shd w:val="clear" w:color="auto" w:fill="E7E7E8"/>
          </w:tcPr>
          <w:p>
            <w:pPr>
              <w:spacing w:after="0"/>
              <w:rPr>
                <w:sz w:val="5"/>
                <w:szCs w:val="5"/>
                <w:color w:val="auto"/>
              </w:rPr>
            </w:pPr>
          </w:p>
        </w:tc>
        <w:tc>
          <w:tcPr>
            <w:tcW w:w="72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400" w:type="dxa"/>
            <w:vAlign w:val="bottom"/>
            <w:shd w:val="clear" w:color="auto" w:fill="E7E7E8"/>
          </w:tcPr>
          <w:p>
            <w:pPr>
              <w:spacing w:after="0"/>
              <w:rPr>
                <w:sz w:val="5"/>
                <w:szCs w:val="5"/>
                <w:color w:val="auto"/>
              </w:rPr>
            </w:pPr>
          </w:p>
        </w:tc>
        <w:tc>
          <w:tcPr>
            <w:tcW w:w="74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760" w:type="dxa"/>
            <w:vAlign w:val="bottom"/>
            <w:vMerge w:val="continue"/>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040" w:type="dxa"/>
            <w:vAlign w:val="bottom"/>
            <w:vMerge w:val="continue"/>
            <w:shd w:val="clear" w:color="auto" w:fill="E7E7E8"/>
          </w:tcPr>
          <w:p>
            <w:pPr>
              <w:spacing w:after="0"/>
              <w:rPr>
                <w:sz w:val="5"/>
                <w:szCs w:val="5"/>
                <w:color w:val="auto"/>
              </w:rPr>
            </w:pPr>
          </w:p>
        </w:tc>
        <w:tc>
          <w:tcPr>
            <w:tcW w:w="320" w:type="dxa"/>
            <w:vAlign w:val="bottom"/>
            <w:shd w:val="clear" w:color="auto" w:fill="E7E7E8"/>
          </w:tcPr>
          <w:p>
            <w:pPr>
              <w:spacing w:after="0"/>
              <w:rPr>
                <w:sz w:val="5"/>
                <w:szCs w:val="5"/>
                <w:color w:val="auto"/>
              </w:rPr>
            </w:pPr>
          </w:p>
        </w:tc>
        <w:tc>
          <w:tcPr>
            <w:tcW w:w="120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8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80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5/24/24</w:t>
            </w:r>
          </w:p>
        </w:tc>
        <w:tc>
          <w:tcPr>
            <w:tcW w:w="68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5/16/24</w:t>
            </w:r>
          </w:p>
        </w:tc>
        <w:tc>
          <w:tcPr>
            <w:tcW w:w="720" w:type="dxa"/>
            <w:vAlign w:val="bottom"/>
            <w:shd w:val="clear" w:color="auto" w:fill="E7E7E8"/>
          </w:tcPr>
          <w:p>
            <w:pPr>
              <w:spacing w:after="0"/>
              <w:rPr>
                <w:sz w:val="10"/>
                <w:szCs w:val="10"/>
                <w:color w:val="auto"/>
              </w:rPr>
            </w:pPr>
          </w:p>
        </w:tc>
        <w:tc>
          <w:tcPr>
            <w:tcW w:w="8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shd w:val="clear" w:color="auto" w:fill="E7E7E8"/>
          </w:tcPr>
          <w:p>
            <w:pPr>
              <w:spacing w:after="0"/>
              <w:rPr>
                <w:sz w:val="10"/>
                <w:szCs w:val="10"/>
                <w:color w:val="auto"/>
              </w:rPr>
            </w:pPr>
          </w:p>
        </w:tc>
        <w:tc>
          <w:tcPr>
            <w:tcW w:w="740" w:type="dxa"/>
            <w:vAlign w:val="bottom"/>
            <w:vMerge w:val="restart"/>
            <w:shd w:val="clear" w:color="auto" w:fill="E7E7E8"/>
          </w:tcPr>
          <w:p>
            <w:pPr>
              <w:ind w:left="320"/>
              <w:spacing w:after="0"/>
              <w:rPr>
                <w:sz w:val="20"/>
                <w:szCs w:val="20"/>
                <w:color w:val="auto"/>
              </w:rPr>
            </w:pPr>
            <w:r>
              <w:rPr>
                <w:rFonts w:ascii="Arial" w:cs="Arial" w:eastAsia="Arial" w:hAnsi="Arial"/>
                <w:sz w:val="11"/>
                <w:szCs w:val="11"/>
                <w:color w:val="auto"/>
              </w:rPr>
              <w:t>—</w:t>
            </w:r>
          </w:p>
        </w:tc>
        <w:tc>
          <w:tcPr>
            <w:tcW w:w="100" w:type="dxa"/>
            <w:vAlign w:val="bottom"/>
            <w:shd w:val="clear" w:color="auto" w:fill="E7E7E8"/>
          </w:tcPr>
          <w:p>
            <w:pPr>
              <w:spacing w:after="0"/>
              <w:rPr>
                <w:sz w:val="10"/>
                <w:szCs w:val="10"/>
                <w:color w:val="auto"/>
              </w:rPr>
            </w:pPr>
          </w:p>
        </w:tc>
        <w:tc>
          <w:tcPr>
            <w:tcW w:w="60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10"/>
                <w:szCs w:val="10"/>
                <w:color w:val="auto"/>
              </w:rPr>
            </w:pPr>
          </w:p>
        </w:tc>
        <w:tc>
          <w:tcPr>
            <w:tcW w:w="76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shd w:val="clear" w:color="auto" w:fill="E7E7E8"/>
          </w:tcPr>
          <w:p>
            <w:pPr>
              <w:spacing w:after="0"/>
              <w:rPr>
                <w:sz w:val="10"/>
                <w:szCs w:val="10"/>
                <w:color w:val="auto"/>
              </w:rPr>
            </w:pPr>
          </w:p>
        </w:tc>
        <w:tc>
          <w:tcPr>
            <w:tcW w:w="6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10"/>
                <w:szCs w:val="10"/>
                <w:color w:val="auto"/>
              </w:rPr>
            </w:pPr>
          </w:p>
        </w:tc>
        <w:tc>
          <w:tcPr>
            <w:tcW w:w="10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1,784</w:t>
            </w:r>
          </w:p>
        </w:tc>
        <w:tc>
          <w:tcPr>
            <w:tcW w:w="320" w:type="dxa"/>
            <w:vAlign w:val="bottom"/>
            <w:shd w:val="clear" w:color="auto" w:fill="E7E7E8"/>
          </w:tcPr>
          <w:p>
            <w:pPr>
              <w:jc w:val="right"/>
              <w:ind w:right="210"/>
              <w:spacing w:after="0"/>
              <w:rPr>
                <w:sz w:val="20"/>
                <w:szCs w:val="20"/>
                <w:color w:val="auto"/>
              </w:rPr>
            </w:pPr>
            <w:r>
              <w:rPr>
                <w:rFonts w:ascii="Arial" w:cs="Arial" w:eastAsia="Arial" w:hAnsi="Arial"/>
                <w:sz w:val="6"/>
                <w:szCs w:val="6"/>
                <w:color w:val="auto"/>
                <w:w w:val="81"/>
              </w:rPr>
              <w:t>(3)</w:t>
            </w:r>
          </w:p>
        </w:tc>
        <w:tc>
          <w:tcPr>
            <w:tcW w:w="1200" w:type="dxa"/>
            <w:vAlign w:val="bottom"/>
            <w:vMerge w:val="restart"/>
            <w:shd w:val="clear" w:color="auto" w:fill="E7E7E8"/>
          </w:tcPr>
          <w:p>
            <w:pPr>
              <w:jc w:val="right"/>
              <w:ind w:right="347"/>
              <w:spacing w:after="0"/>
              <w:rPr>
                <w:sz w:val="20"/>
                <w:szCs w:val="20"/>
                <w:color w:val="auto"/>
              </w:rPr>
            </w:pPr>
            <w:r>
              <w:rPr>
                <w:rFonts w:ascii="Arial" w:cs="Arial" w:eastAsia="Arial" w:hAnsi="Arial"/>
                <w:sz w:val="11"/>
                <w:szCs w:val="11"/>
                <w:color w:val="auto"/>
              </w:rPr>
              <w:t>425,074</w:t>
            </w:r>
          </w:p>
        </w:tc>
        <w:tc>
          <w:tcPr>
            <w:tcW w:w="0" w:type="dxa"/>
            <w:vAlign w:val="bottom"/>
          </w:tcPr>
          <w:p>
            <w:pPr>
              <w:spacing w:after="0"/>
              <w:rPr>
                <w:sz w:val="1"/>
                <w:szCs w:val="1"/>
                <w:color w:val="auto"/>
              </w:rPr>
            </w:pPr>
          </w:p>
        </w:tc>
      </w:tr>
      <w:tr>
        <w:trPr>
          <w:trHeight w:val="66"/>
        </w:trPr>
        <w:tc>
          <w:tcPr>
            <w:tcW w:w="1380" w:type="dxa"/>
            <w:vAlign w:val="bottom"/>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680" w:type="dxa"/>
            <w:vAlign w:val="bottom"/>
            <w:vMerge w:val="continue"/>
            <w:shd w:val="clear" w:color="auto" w:fill="E7E7E8"/>
          </w:tcPr>
          <w:p>
            <w:pPr>
              <w:spacing w:after="0"/>
              <w:rPr>
                <w:sz w:val="5"/>
                <w:szCs w:val="5"/>
                <w:color w:val="auto"/>
              </w:rPr>
            </w:pPr>
          </w:p>
        </w:tc>
        <w:tc>
          <w:tcPr>
            <w:tcW w:w="72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400" w:type="dxa"/>
            <w:vAlign w:val="bottom"/>
            <w:shd w:val="clear" w:color="auto" w:fill="E7E7E8"/>
          </w:tcPr>
          <w:p>
            <w:pPr>
              <w:spacing w:after="0"/>
              <w:rPr>
                <w:sz w:val="5"/>
                <w:szCs w:val="5"/>
                <w:color w:val="auto"/>
              </w:rPr>
            </w:pPr>
          </w:p>
        </w:tc>
        <w:tc>
          <w:tcPr>
            <w:tcW w:w="74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760" w:type="dxa"/>
            <w:vAlign w:val="bottom"/>
            <w:vMerge w:val="continue"/>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040" w:type="dxa"/>
            <w:vAlign w:val="bottom"/>
            <w:vMerge w:val="continue"/>
            <w:shd w:val="clear" w:color="auto" w:fill="E7E7E8"/>
          </w:tcPr>
          <w:p>
            <w:pPr>
              <w:spacing w:after="0"/>
              <w:rPr>
                <w:sz w:val="5"/>
                <w:szCs w:val="5"/>
                <w:color w:val="auto"/>
              </w:rPr>
            </w:pPr>
          </w:p>
        </w:tc>
        <w:tc>
          <w:tcPr>
            <w:tcW w:w="320" w:type="dxa"/>
            <w:vAlign w:val="bottom"/>
            <w:shd w:val="clear" w:color="auto" w:fill="E7E7E8"/>
          </w:tcPr>
          <w:p>
            <w:pPr>
              <w:spacing w:after="0"/>
              <w:rPr>
                <w:sz w:val="5"/>
                <w:szCs w:val="5"/>
                <w:color w:val="auto"/>
              </w:rPr>
            </w:pPr>
          </w:p>
        </w:tc>
        <w:tc>
          <w:tcPr>
            <w:tcW w:w="120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8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80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5/24/24</w:t>
            </w:r>
          </w:p>
        </w:tc>
        <w:tc>
          <w:tcPr>
            <w:tcW w:w="68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5/16/24</w:t>
            </w:r>
          </w:p>
        </w:tc>
        <w:tc>
          <w:tcPr>
            <w:tcW w:w="720" w:type="dxa"/>
            <w:vAlign w:val="bottom"/>
            <w:shd w:val="clear" w:color="auto" w:fill="E7E7E8"/>
          </w:tcPr>
          <w:p>
            <w:pPr>
              <w:spacing w:after="0"/>
              <w:rPr>
                <w:sz w:val="10"/>
                <w:szCs w:val="10"/>
                <w:color w:val="auto"/>
              </w:rPr>
            </w:pPr>
          </w:p>
        </w:tc>
        <w:tc>
          <w:tcPr>
            <w:tcW w:w="8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shd w:val="clear" w:color="auto" w:fill="E7E7E8"/>
          </w:tcPr>
          <w:p>
            <w:pPr>
              <w:spacing w:after="0"/>
              <w:rPr>
                <w:sz w:val="10"/>
                <w:szCs w:val="10"/>
                <w:color w:val="auto"/>
              </w:rPr>
            </w:pPr>
          </w:p>
        </w:tc>
        <w:tc>
          <w:tcPr>
            <w:tcW w:w="740" w:type="dxa"/>
            <w:vAlign w:val="bottom"/>
            <w:vMerge w:val="restart"/>
            <w:shd w:val="clear" w:color="auto" w:fill="E7E7E8"/>
          </w:tcPr>
          <w:p>
            <w:pPr>
              <w:ind w:left="32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E7E7E8"/>
          </w:tcPr>
          <w:p>
            <w:pPr>
              <w:jc w:val="right"/>
              <w:spacing w:after="0"/>
              <w:rPr>
                <w:sz w:val="20"/>
                <w:szCs w:val="20"/>
                <w:color w:val="auto"/>
              </w:rPr>
            </w:pPr>
            <w:r>
              <w:rPr>
                <w:rFonts w:ascii="Arial" w:cs="Arial" w:eastAsia="Arial" w:hAnsi="Arial"/>
                <w:sz w:val="11"/>
                <w:szCs w:val="11"/>
                <w:color w:val="auto"/>
              </w:rPr>
              <w:t>892</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7"/>
                <w:szCs w:val="7"/>
                <w:color w:val="auto"/>
              </w:rPr>
              <w:t>(4)</w:t>
            </w:r>
          </w:p>
        </w:tc>
        <w:tc>
          <w:tcPr>
            <w:tcW w:w="76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1,784</w:t>
            </w:r>
          </w:p>
        </w:tc>
        <w:tc>
          <w:tcPr>
            <w:tcW w:w="420" w:type="dxa"/>
            <w:vAlign w:val="bottom"/>
            <w:shd w:val="clear" w:color="auto" w:fill="E7E7E8"/>
          </w:tcPr>
          <w:p>
            <w:pPr>
              <w:jc w:val="right"/>
              <w:ind w:right="244"/>
              <w:spacing w:after="0"/>
              <w:rPr>
                <w:sz w:val="20"/>
                <w:szCs w:val="20"/>
                <w:color w:val="auto"/>
              </w:rPr>
            </w:pPr>
            <w:r>
              <w:rPr>
                <w:rFonts w:ascii="Arial" w:cs="Arial" w:eastAsia="Arial" w:hAnsi="Arial"/>
                <w:sz w:val="7"/>
                <w:szCs w:val="7"/>
                <w:color w:val="auto"/>
              </w:rPr>
              <w:t>(4)</w:t>
            </w:r>
          </w:p>
        </w:tc>
        <w:tc>
          <w:tcPr>
            <w:tcW w:w="6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3,568</w:t>
            </w:r>
          </w:p>
        </w:tc>
        <w:tc>
          <w:tcPr>
            <w:tcW w:w="200" w:type="dxa"/>
            <w:vAlign w:val="bottom"/>
            <w:shd w:val="clear" w:color="auto" w:fill="E7E7E8"/>
          </w:tcPr>
          <w:p>
            <w:pPr>
              <w:jc w:val="right"/>
              <w:ind w:right="64"/>
              <w:spacing w:after="0"/>
              <w:rPr>
                <w:sz w:val="20"/>
                <w:szCs w:val="20"/>
                <w:color w:val="auto"/>
              </w:rPr>
            </w:pPr>
            <w:r>
              <w:rPr>
                <w:rFonts w:ascii="Arial" w:cs="Arial" w:eastAsia="Arial" w:hAnsi="Arial"/>
                <w:sz w:val="7"/>
                <w:szCs w:val="7"/>
                <w:color w:val="auto"/>
                <w:w w:val="92"/>
              </w:rPr>
              <w:t>(4)</w:t>
            </w:r>
          </w:p>
        </w:tc>
        <w:tc>
          <w:tcPr>
            <w:tcW w:w="10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shd w:val="clear" w:color="auto" w:fill="E7E7E8"/>
          </w:tcPr>
          <w:p>
            <w:pPr>
              <w:spacing w:after="0"/>
              <w:rPr>
                <w:sz w:val="10"/>
                <w:szCs w:val="10"/>
                <w:color w:val="auto"/>
              </w:rPr>
            </w:pPr>
          </w:p>
        </w:tc>
        <w:tc>
          <w:tcPr>
            <w:tcW w:w="1200" w:type="dxa"/>
            <w:vAlign w:val="bottom"/>
            <w:vMerge w:val="restart"/>
            <w:shd w:val="clear" w:color="auto" w:fill="E7E7E8"/>
          </w:tcPr>
          <w:p>
            <w:pPr>
              <w:jc w:val="right"/>
              <w:ind w:right="347"/>
              <w:spacing w:after="0"/>
              <w:rPr>
                <w:sz w:val="20"/>
                <w:szCs w:val="20"/>
                <w:color w:val="auto"/>
              </w:rPr>
            </w:pPr>
            <w:r>
              <w:rPr>
                <w:rFonts w:ascii="Arial" w:cs="Arial" w:eastAsia="Arial" w:hAnsi="Arial"/>
                <w:sz w:val="11"/>
                <w:szCs w:val="11"/>
                <w:color w:val="auto"/>
              </w:rPr>
              <w:t>611,310</w:t>
            </w:r>
          </w:p>
        </w:tc>
        <w:tc>
          <w:tcPr>
            <w:tcW w:w="0" w:type="dxa"/>
            <w:vAlign w:val="bottom"/>
          </w:tcPr>
          <w:p>
            <w:pPr>
              <w:spacing w:after="0"/>
              <w:rPr>
                <w:sz w:val="1"/>
                <w:szCs w:val="1"/>
                <w:color w:val="auto"/>
              </w:rPr>
            </w:pPr>
          </w:p>
        </w:tc>
      </w:tr>
      <w:tr>
        <w:trPr>
          <w:trHeight w:val="93"/>
        </w:trPr>
        <w:tc>
          <w:tcPr>
            <w:tcW w:w="1380" w:type="dxa"/>
            <w:vAlign w:val="bottom"/>
            <w:tcBorders>
              <w:bottom w:val="single" w:sz="8" w:color="E7E7E8"/>
            </w:tcBorders>
            <w:shd w:val="clear" w:color="auto" w:fill="E7E7E8"/>
          </w:tcPr>
          <w:p>
            <w:pPr>
              <w:spacing w:after="0"/>
              <w:rPr>
                <w:sz w:val="8"/>
                <w:szCs w:val="8"/>
                <w:color w:val="auto"/>
              </w:rPr>
            </w:pPr>
          </w:p>
        </w:tc>
        <w:tc>
          <w:tcPr>
            <w:tcW w:w="100" w:type="dxa"/>
            <w:vAlign w:val="bottom"/>
            <w:tcBorders>
              <w:bottom w:val="single" w:sz="8" w:color="E7E7E8"/>
            </w:tcBorders>
            <w:shd w:val="clear" w:color="auto" w:fill="E7E7E8"/>
          </w:tcPr>
          <w:p>
            <w:pPr>
              <w:spacing w:after="0"/>
              <w:rPr>
                <w:sz w:val="8"/>
                <w:szCs w:val="8"/>
                <w:color w:val="auto"/>
              </w:rPr>
            </w:pPr>
          </w:p>
        </w:tc>
        <w:tc>
          <w:tcPr>
            <w:tcW w:w="800" w:type="dxa"/>
            <w:vAlign w:val="bottom"/>
            <w:tcBorders>
              <w:bottom w:val="single" w:sz="8" w:color="E7E7E8"/>
            </w:tcBorders>
            <w:vMerge w:val="continue"/>
            <w:shd w:val="clear" w:color="auto" w:fill="E7E7E8"/>
          </w:tcPr>
          <w:p>
            <w:pPr>
              <w:spacing w:after="0"/>
              <w:rPr>
                <w:sz w:val="8"/>
                <w:szCs w:val="8"/>
                <w:color w:val="auto"/>
              </w:rPr>
            </w:pPr>
          </w:p>
        </w:tc>
        <w:tc>
          <w:tcPr>
            <w:tcW w:w="680" w:type="dxa"/>
            <w:vAlign w:val="bottom"/>
            <w:tcBorders>
              <w:bottom w:val="single" w:sz="8" w:color="E7E7E8"/>
            </w:tcBorders>
            <w:vMerge w:val="continue"/>
            <w:shd w:val="clear" w:color="auto" w:fill="E7E7E8"/>
          </w:tcPr>
          <w:p>
            <w:pPr>
              <w:spacing w:after="0"/>
              <w:rPr>
                <w:sz w:val="8"/>
                <w:szCs w:val="8"/>
                <w:color w:val="auto"/>
              </w:rPr>
            </w:pPr>
          </w:p>
        </w:tc>
        <w:tc>
          <w:tcPr>
            <w:tcW w:w="720" w:type="dxa"/>
            <w:vAlign w:val="bottom"/>
            <w:tcBorders>
              <w:bottom w:val="single" w:sz="8" w:color="E7E7E8"/>
            </w:tcBorders>
            <w:shd w:val="clear" w:color="auto" w:fill="E7E7E8"/>
          </w:tcPr>
          <w:p>
            <w:pPr>
              <w:spacing w:after="0"/>
              <w:rPr>
                <w:sz w:val="8"/>
                <w:szCs w:val="8"/>
                <w:color w:val="auto"/>
              </w:rPr>
            </w:pPr>
          </w:p>
        </w:tc>
        <w:tc>
          <w:tcPr>
            <w:tcW w:w="800" w:type="dxa"/>
            <w:vAlign w:val="bottom"/>
            <w:tcBorders>
              <w:bottom w:val="single" w:sz="8" w:color="E7E7E8"/>
            </w:tcBorders>
            <w:vMerge w:val="continue"/>
            <w:shd w:val="clear" w:color="auto" w:fill="E7E7E8"/>
          </w:tcPr>
          <w:p>
            <w:pPr>
              <w:spacing w:after="0"/>
              <w:rPr>
                <w:sz w:val="8"/>
                <w:szCs w:val="8"/>
                <w:color w:val="auto"/>
              </w:rPr>
            </w:pPr>
          </w:p>
        </w:tc>
        <w:tc>
          <w:tcPr>
            <w:tcW w:w="400" w:type="dxa"/>
            <w:vAlign w:val="bottom"/>
            <w:tcBorders>
              <w:bottom w:val="single" w:sz="8" w:color="E7E7E8"/>
            </w:tcBorders>
            <w:shd w:val="clear" w:color="auto" w:fill="E7E7E8"/>
          </w:tcPr>
          <w:p>
            <w:pPr>
              <w:spacing w:after="0"/>
              <w:rPr>
                <w:sz w:val="8"/>
                <w:szCs w:val="8"/>
                <w:color w:val="auto"/>
              </w:rPr>
            </w:pPr>
          </w:p>
        </w:tc>
        <w:tc>
          <w:tcPr>
            <w:tcW w:w="740" w:type="dxa"/>
            <w:vAlign w:val="bottom"/>
            <w:tcBorders>
              <w:bottom w:val="single" w:sz="8" w:color="E7E7E8"/>
            </w:tcBorders>
            <w:vMerge w:val="continue"/>
            <w:shd w:val="clear" w:color="auto" w:fill="E7E7E8"/>
          </w:tcPr>
          <w:p>
            <w:pPr>
              <w:spacing w:after="0"/>
              <w:rPr>
                <w:sz w:val="8"/>
                <w:szCs w:val="8"/>
                <w:color w:val="auto"/>
              </w:rPr>
            </w:pPr>
          </w:p>
        </w:tc>
        <w:tc>
          <w:tcPr>
            <w:tcW w:w="700" w:type="dxa"/>
            <w:vAlign w:val="bottom"/>
            <w:tcBorders>
              <w:bottom w:val="single" w:sz="8" w:color="E7E7E8"/>
            </w:tcBorders>
            <w:gridSpan w:val="2"/>
            <w:vMerge w:val="continue"/>
            <w:shd w:val="clear" w:color="auto" w:fill="E7E7E8"/>
          </w:tcPr>
          <w:p>
            <w:pPr>
              <w:spacing w:after="0"/>
              <w:rPr>
                <w:sz w:val="8"/>
                <w:szCs w:val="8"/>
                <w:color w:val="auto"/>
              </w:rPr>
            </w:pPr>
          </w:p>
        </w:tc>
        <w:tc>
          <w:tcPr>
            <w:tcW w:w="360" w:type="dxa"/>
            <w:vAlign w:val="bottom"/>
            <w:tcBorders>
              <w:bottom w:val="single" w:sz="8" w:color="E7E7E8"/>
            </w:tcBorders>
            <w:shd w:val="clear" w:color="auto" w:fill="E7E7E8"/>
          </w:tcPr>
          <w:p>
            <w:pPr>
              <w:spacing w:after="0"/>
              <w:rPr>
                <w:sz w:val="8"/>
                <w:szCs w:val="8"/>
                <w:color w:val="auto"/>
              </w:rPr>
            </w:pPr>
          </w:p>
        </w:tc>
        <w:tc>
          <w:tcPr>
            <w:tcW w:w="760" w:type="dxa"/>
            <w:vAlign w:val="bottom"/>
            <w:tcBorders>
              <w:bottom w:val="single" w:sz="8" w:color="E7E7E8"/>
            </w:tcBorders>
            <w:vMerge w:val="continue"/>
            <w:shd w:val="clear" w:color="auto" w:fill="E7E7E8"/>
          </w:tcPr>
          <w:p>
            <w:pPr>
              <w:spacing w:after="0"/>
              <w:rPr>
                <w:sz w:val="8"/>
                <w:szCs w:val="8"/>
                <w:color w:val="auto"/>
              </w:rPr>
            </w:pPr>
          </w:p>
        </w:tc>
        <w:tc>
          <w:tcPr>
            <w:tcW w:w="420" w:type="dxa"/>
            <w:vAlign w:val="bottom"/>
            <w:tcBorders>
              <w:bottom w:val="single" w:sz="8" w:color="E7E7E8"/>
            </w:tcBorders>
            <w:shd w:val="clear" w:color="auto" w:fill="E7E7E8"/>
          </w:tcPr>
          <w:p>
            <w:pPr>
              <w:spacing w:after="0"/>
              <w:rPr>
                <w:sz w:val="8"/>
                <w:szCs w:val="8"/>
                <w:color w:val="auto"/>
              </w:rPr>
            </w:pPr>
          </w:p>
        </w:tc>
        <w:tc>
          <w:tcPr>
            <w:tcW w:w="620" w:type="dxa"/>
            <w:vAlign w:val="bottom"/>
            <w:tcBorders>
              <w:bottom w:val="single" w:sz="8" w:color="E7E7E8"/>
            </w:tcBorders>
            <w:vMerge w:val="continue"/>
            <w:shd w:val="clear" w:color="auto" w:fill="E7E7E8"/>
          </w:tcPr>
          <w:p>
            <w:pPr>
              <w:spacing w:after="0"/>
              <w:rPr>
                <w:sz w:val="8"/>
                <w:szCs w:val="8"/>
                <w:color w:val="auto"/>
              </w:rPr>
            </w:pPr>
          </w:p>
        </w:tc>
        <w:tc>
          <w:tcPr>
            <w:tcW w:w="200" w:type="dxa"/>
            <w:vAlign w:val="bottom"/>
            <w:tcBorders>
              <w:bottom w:val="single" w:sz="8" w:color="E7E7E8"/>
            </w:tcBorders>
            <w:shd w:val="clear" w:color="auto" w:fill="E7E7E8"/>
          </w:tcPr>
          <w:p>
            <w:pPr>
              <w:spacing w:after="0"/>
              <w:rPr>
                <w:sz w:val="8"/>
                <w:szCs w:val="8"/>
                <w:color w:val="auto"/>
              </w:rPr>
            </w:pPr>
          </w:p>
        </w:tc>
        <w:tc>
          <w:tcPr>
            <w:tcW w:w="1040" w:type="dxa"/>
            <w:vAlign w:val="bottom"/>
            <w:tcBorders>
              <w:bottom w:val="single" w:sz="8" w:color="E7E7E8"/>
            </w:tcBorders>
            <w:vMerge w:val="continue"/>
            <w:shd w:val="clear" w:color="auto" w:fill="E7E7E8"/>
          </w:tcPr>
          <w:p>
            <w:pPr>
              <w:spacing w:after="0"/>
              <w:rPr>
                <w:sz w:val="8"/>
                <w:szCs w:val="8"/>
                <w:color w:val="auto"/>
              </w:rPr>
            </w:pPr>
          </w:p>
        </w:tc>
        <w:tc>
          <w:tcPr>
            <w:tcW w:w="320" w:type="dxa"/>
            <w:vAlign w:val="bottom"/>
            <w:tcBorders>
              <w:bottom w:val="single" w:sz="8" w:color="E7E7E8"/>
            </w:tcBorders>
            <w:shd w:val="clear" w:color="auto" w:fill="E7E7E8"/>
          </w:tcPr>
          <w:p>
            <w:pPr>
              <w:spacing w:after="0"/>
              <w:rPr>
                <w:sz w:val="8"/>
                <w:szCs w:val="8"/>
                <w:color w:val="auto"/>
              </w:rPr>
            </w:pPr>
          </w:p>
        </w:tc>
        <w:tc>
          <w:tcPr>
            <w:tcW w:w="1200" w:type="dxa"/>
            <w:vAlign w:val="bottom"/>
            <w:tcBorders>
              <w:bottom w:val="single" w:sz="8" w:color="E7E7E8"/>
            </w:tcBorders>
            <w:vMerge w:val="continue"/>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380" w:type="dxa"/>
            <w:vAlign w:val="bottom"/>
            <w:vMerge w:val="restart"/>
          </w:tcPr>
          <w:p>
            <w:pPr>
              <w:ind w:left="20"/>
              <w:spacing w:after="0"/>
              <w:rPr>
                <w:sz w:val="20"/>
                <w:szCs w:val="20"/>
                <w:color w:val="auto"/>
              </w:rPr>
            </w:pPr>
            <w:r>
              <w:rPr>
                <w:rFonts w:ascii="Arial" w:cs="Arial" w:eastAsia="Arial" w:hAnsi="Arial"/>
                <w:sz w:val="11"/>
                <w:szCs w:val="11"/>
                <w:color w:val="auto"/>
              </w:rPr>
              <w:t>Eric Cribbs</w:t>
            </w:r>
          </w:p>
        </w:tc>
        <w:tc>
          <w:tcPr>
            <w:tcW w:w="90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97"/>
              </w:rPr>
              <w:t>5/16/24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8"/>
                <w:szCs w:val="8"/>
                <w:color w:val="auto"/>
              </w:rPr>
            </w:pPr>
          </w:p>
        </w:tc>
        <w:tc>
          <w:tcPr>
            <w:tcW w:w="800" w:type="dxa"/>
            <w:vAlign w:val="bottom"/>
            <w:vMerge w:val="restart"/>
          </w:tcPr>
          <w:p>
            <w:pPr>
              <w:jc w:val="right"/>
              <w:ind w:right="66"/>
              <w:spacing w:after="0"/>
              <w:rPr>
                <w:sz w:val="20"/>
                <w:szCs w:val="20"/>
                <w:color w:val="auto"/>
              </w:rPr>
            </w:pPr>
            <w:r>
              <w:rPr>
                <w:rFonts w:ascii="Arial" w:cs="Arial" w:eastAsia="Arial" w:hAnsi="Arial"/>
                <w:sz w:val="11"/>
                <w:szCs w:val="11"/>
                <w:color w:val="auto"/>
              </w:rPr>
              <w:t>450,000</w:t>
            </w:r>
          </w:p>
        </w:tc>
        <w:tc>
          <w:tcPr>
            <w:tcW w:w="400" w:type="dxa"/>
            <w:vAlign w:val="bottom"/>
          </w:tcPr>
          <w:p>
            <w:pPr>
              <w:jc w:val="right"/>
              <w:ind w:right="264"/>
              <w:spacing w:after="0"/>
              <w:rPr>
                <w:sz w:val="20"/>
                <w:szCs w:val="20"/>
                <w:color w:val="auto"/>
              </w:rPr>
            </w:pPr>
            <w:r>
              <w:rPr>
                <w:rFonts w:ascii="Arial" w:cs="Arial" w:eastAsia="Arial" w:hAnsi="Arial"/>
                <w:sz w:val="7"/>
                <w:szCs w:val="7"/>
                <w:color w:val="auto"/>
                <w:w w:val="92"/>
              </w:rPr>
              <w:t>(2)</w:t>
            </w:r>
          </w:p>
        </w:tc>
        <w:tc>
          <w:tcPr>
            <w:tcW w:w="740" w:type="dxa"/>
            <w:vAlign w:val="bottom"/>
            <w:vMerge w:val="restart"/>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8"/>
                <w:szCs w:val="8"/>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8"/>
                <w:szCs w:val="8"/>
                <w:color w:val="auto"/>
              </w:rPr>
            </w:pPr>
          </w:p>
        </w:tc>
        <w:tc>
          <w:tcPr>
            <w:tcW w:w="6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8"/>
                <w:szCs w:val="8"/>
                <w:color w:val="auto"/>
              </w:rPr>
            </w:pPr>
          </w:p>
        </w:tc>
        <w:tc>
          <w:tcPr>
            <w:tcW w:w="1200" w:type="dxa"/>
            <w:vAlign w:val="bottom"/>
            <w:vMerge w:val="restart"/>
          </w:tcPr>
          <w:p>
            <w:pPr>
              <w:jc w:val="right"/>
              <w:ind w:right="3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3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80" w:type="dxa"/>
            <w:vAlign w:val="bottom"/>
          </w:tcPr>
          <w:p>
            <w:pPr>
              <w:spacing w:after="0"/>
              <w:rPr>
                <w:sz w:val="10"/>
                <w:szCs w:val="10"/>
                <w:color w:val="auto"/>
              </w:rPr>
            </w:pPr>
          </w:p>
        </w:tc>
        <w:tc>
          <w:tcPr>
            <w:tcW w:w="90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97"/>
              </w:rPr>
              <w:t>5/24/24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7"/>
              </w:rPr>
              <w:t>5/24/24</w:t>
            </w:r>
          </w:p>
        </w:tc>
        <w:tc>
          <w:tcPr>
            <w:tcW w:w="720" w:type="dxa"/>
            <w:vAlign w:val="bottom"/>
          </w:tcPr>
          <w:p>
            <w:pPr>
              <w:spacing w:after="0"/>
              <w:rPr>
                <w:sz w:val="10"/>
                <w:szCs w:val="10"/>
                <w:color w:val="auto"/>
              </w:rPr>
            </w:pPr>
          </w:p>
        </w:tc>
        <w:tc>
          <w:tcPr>
            <w:tcW w:w="80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40" w:type="dxa"/>
            <w:vAlign w:val="bottom"/>
            <w:vMerge w:val="restart"/>
          </w:tcPr>
          <w:p>
            <w:pPr>
              <w:ind w:left="3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0"/>
                <w:szCs w:val="10"/>
                <w:color w:val="auto"/>
              </w:rPr>
            </w:pPr>
          </w:p>
        </w:tc>
        <w:tc>
          <w:tcPr>
            <w:tcW w:w="62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1,364</w:t>
            </w:r>
          </w:p>
        </w:tc>
        <w:tc>
          <w:tcPr>
            <w:tcW w:w="320" w:type="dxa"/>
            <w:vAlign w:val="bottom"/>
          </w:tcPr>
          <w:p>
            <w:pPr>
              <w:jc w:val="right"/>
              <w:ind w:right="210"/>
              <w:spacing w:after="0"/>
              <w:rPr>
                <w:sz w:val="20"/>
                <w:szCs w:val="20"/>
                <w:color w:val="auto"/>
              </w:rPr>
            </w:pPr>
            <w:r>
              <w:rPr>
                <w:rFonts w:ascii="Arial" w:cs="Arial" w:eastAsia="Arial" w:hAnsi="Arial"/>
                <w:sz w:val="6"/>
                <w:szCs w:val="6"/>
                <w:color w:val="auto"/>
                <w:w w:val="81"/>
              </w:rPr>
              <w:t>(3)</w:t>
            </w:r>
          </w:p>
        </w:tc>
        <w:tc>
          <w:tcPr>
            <w:tcW w:w="1200" w:type="dxa"/>
            <w:vAlign w:val="bottom"/>
            <w:vMerge w:val="restart"/>
          </w:tcPr>
          <w:p>
            <w:pPr>
              <w:jc w:val="right"/>
              <w:ind w:right="347"/>
              <w:spacing w:after="0"/>
              <w:rPr>
                <w:sz w:val="20"/>
                <w:szCs w:val="20"/>
                <w:color w:val="auto"/>
              </w:rPr>
            </w:pPr>
            <w:r>
              <w:rPr>
                <w:rFonts w:ascii="Arial" w:cs="Arial" w:eastAsia="Arial" w:hAnsi="Arial"/>
                <w:sz w:val="11"/>
                <w:szCs w:val="11"/>
                <w:color w:val="auto"/>
              </w:rPr>
              <w:t>325,001</w:t>
            </w:r>
          </w:p>
        </w:tc>
        <w:tc>
          <w:tcPr>
            <w:tcW w:w="0" w:type="dxa"/>
            <w:vAlign w:val="bottom"/>
          </w:tcPr>
          <w:p>
            <w:pPr>
              <w:spacing w:after="0"/>
              <w:rPr>
                <w:sz w:val="1"/>
                <w:szCs w:val="1"/>
                <w:color w:val="auto"/>
              </w:rPr>
            </w:pPr>
          </w:p>
        </w:tc>
      </w:tr>
      <w:tr>
        <w:trPr>
          <w:trHeight w:val="66"/>
        </w:trPr>
        <w:tc>
          <w:tcPr>
            <w:tcW w:w="13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80" w:type="dxa"/>
            <w:vAlign w:val="bottom"/>
          </w:tcPr>
          <w:p>
            <w:pPr>
              <w:spacing w:after="0"/>
              <w:rPr>
                <w:sz w:val="10"/>
                <w:szCs w:val="10"/>
                <w:color w:val="auto"/>
              </w:rPr>
            </w:pPr>
          </w:p>
        </w:tc>
        <w:tc>
          <w:tcPr>
            <w:tcW w:w="900" w:type="dxa"/>
            <w:vAlign w:val="bottom"/>
            <w:gridSpan w:val="2"/>
            <w:vMerge w:val="restart"/>
          </w:tcPr>
          <w:p>
            <w:pPr>
              <w:jc w:val="center"/>
              <w:ind w:left="46"/>
              <w:spacing w:after="0"/>
              <w:rPr>
                <w:sz w:val="20"/>
                <w:szCs w:val="20"/>
                <w:color w:val="auto"/>
              </w:rPr>
            </w:pPr>
            <w:r>
              <w:rPr>
                <w:rFonts w:ascii="Arial" w:cs="Arial" w:eastAsia="Arial" w:hAnsi="Arial"/>
                <w:sz w:val="11"/>
                <w:szCs w:val="11"/>
                <w:color w:val="auto"/>
                <w:w w:val="97"/>
              </w:rPr>
              <w:t>5/24/24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w w:val="97"/>
              </w:rPr>
              <w:t>5/24/24</w:t>
            </w:r>
          </w:p>
        </w:tc>
        <w:tc>
          <w:tcPr>
            <w:tcW w:w="720" w:type="dxa"/>
            <w:vAlign w:val="bottom"/>
          </w:tcPr>
          <w:p>
            <w:pPr>
              <w:spacing w:after="0"/>
              <w:rPr>
                <w:sz w:val="10"/>
                <w:szCs w:val="10"/>
                <w:color w:val="auto"/>
              </w:rPr>
            </w:pPr>
          </w:p>
        </w:tc>
        <w:tc>
          <w:tcPr>
            <w:tcW w:w="80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0"/>
                <w:szCs w:val="10"/>
                <w:color w:val="auto"/>
              </w:rPr>
            </w:pPr>
          </w:p>
        </w:tc>
        <w:tc>
          <w:tcPr>
            <w:tcW w:w="740" w:type="dxa"/>
            <w:vAlign w:val="bottom"/>
            <w:vMerge w:val="restart"/>
          </w:tcPr>
          <w:p>
            <w:pPr>
              <w:ind w:left="32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spacing w:after="0"/>
              <w:rPr>
                <w:sz w:val="20"/>
                <w:szCs w:val="20"/>
                <w:color w:val="auto"/>
              </w:rPr>
            </w:pPr>
            <w:r>
              <w:rPr>
                <w:rFonts w:ascii="Arial" w:cs="Arial" w:eastAsia="Arial" w:hAnsi="Arial"/>
                <w:sz w:val="11"/>
                <w:szCs w:val="11"/>
                <w:color w:val="auto"/>
              </w:rPr>
              <w:t>682</w:t>
            </w:r>
          </w:p>
        </w:tc>
        <w:tc>
          <w:tcPr>
            <w:tcW w:w="360" w:type="dxa"/>
            <w:vAlign w:val="bottom"/>
          </w:tcPr>
          <w:p>
            <w:pPr>
              <w:jc w:val="right"/>
              <w:ind w:right="119"/>
              <w:spacing w:after="0"/>
              <w:rPr>
                <w:sz w:val="20"/>
                <w:szCs w:val="20"/>
                <w:color w:val="auto"/>
              </w:rPr>
            </w:pPr>
            <w:r>
              <w:rPr>
                <w:rFonts w:ascii="Arial" w:cs="Arial" w:eastAsia="Arial" w:hAnsi="Arial"/>
                <w:sz w:val="7"/>
                <w:szCs w:val="7"/>
                <w:color w:val="auto"/>
              </w:rPr>
              <w:t>(4)</w:t>
            </w: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1,364</w:t>
            </w:r>
          </w:p>
        </w:tc>
        <w:tc>
          <w:tcPr>
            <w:tcW w:w="420" w:type="dxa"/>
            <w:vAlign w:val="bottom"/>
          </w:tcPr>
          <w:p>
            <w:pPr>
              <w:jc w:val="right"/>
              <w:ind w:right="244"/>
              <w:spacing w:after="0"/>
              <w:rPr>
                <w:sz w:val="20"/>
                <w:szCs w:val="20"/>
                <w:color w:val="auto"/>
              </w:rPr>
            </w:pPr>
            <w:r>
              <w:rPr>
                <w:rFonts w:ascii="Arial" w:cs="Arial" w:eastAsia="Arial" w:hAnsi="Arial"/>
                <w:sz w:val="7"/>
                <w:szCs w:val="7"/>
                <w:color w:val="auto"/>
              </w:rPr>
              <w:t>(4)</w:t>
            </w:r>
          </w:p>
        </w:tc>
        <w:tc>
          <w:tcPr>
            <w:tcW w:w="620" w:type="dxa"/>
            <w:vAlign w:val="bottom"/>
            <w:vMerge w:val="restart"/>
          </w:tcPr>
          <w:p>
            <w:pPr>
              <w:jc w:val="right"/>
              <w:ind w:right="46"/>
              <w:spacing w:after="0"/>
              <w:rPr>
                <w:sz w:val="20"/>
                <w:szCs w:val="20"/>
                <w:color w:val="auto"/>
              </w:rPr>
            </w:pPr>
            <w:r>
              <w:rPr>
                <w:rFonts w:ascii="Arial" w:cs="Arial" w:eastAsia="Arial" w:hAnsi="Arial"/>
                <w:sz w:val="11"/>
                <w:szCs w:val="11"/>
                <w:color w:val="auto"/>
              </w:rPr>
              <w:t>2,728</w:t>
            </w:r>
          </w:p>
        </w:tc>
        <w:tc>
          <w:tcPr>
            <w:tcW w:w="200" w:type="dxa"/>
            <w:vAlign w:val="bottom"/>
          </w:tcPr>
          <w:p>
            <w:pPr>
              <w:jc w:val="right"/>
              <w:ind w:right="64"/>
              <w:spacing w:after="0"/>
              <w:rPr>
                <w:sz w:val="20"/>
                <w:szCs w:val="20"/>
                <w:color w:val="auto"/>
              </w:rPr>
            </w:pPr>
            <w:r>
              <w:rPr>
                <w:rFonts w:ascii="Arial" w:cs="Arial" w:eastAsia="Arial" w:hAnsi="Arial"/>
                <w:sz w:val="7"/>
                <w:szCs w:val="7"/>
                <w:color w:val="auto"/>
                <w:w w:val="92"/>
              </w:rPr>
              <w:t>(4)</w:t>
            </w:r>
          </w:p>
        </w:tc>
        <w:tc>
          <w:tcPr>
            <w:tcW w:w="10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1200" w:type="dxa"/>
            <w:vAlign w:val="bottom"/>
            <w:vMerge w:val="restart"/>
          </w:tcPr>
          <w:p>
            <w:pPr>
              <w:jc w:val="right"/>
              <w:ind w:right="347"/>
              <w:spacing w:after="0"/>
              <w:rPr>
                <w:sz w:val="20"/>
                <w:szCs w:val="20"/>
                <w:color w:val="auto"/>
              </w:rPr>
            </w:pPr>
            <w:r>
              <w:rPr>
                <w:rFonts w:ascii="Arial" w:cs="Arial" w:eastAsia="Arial" w:hAnsi="Arial"/>
                <w:sz w:val="11"/>
                <w:szCs w:val="11"/>
                <w:color w:val="auto"/>
              </w:rPr>
              <w:t>467,392</w:t>
            </w:r>
          </w:p>
        </w:tc>
        <w:tc>
          <w:tcPr>
            <w:tcW w:w="0" w:type="dxa"/>
            <w:vAlign w:val="bottom"/>
          </w:tcPr>
          <w:p>
            <w:pPr>
              <w:spacing w:after="0"/>
              <w:rPr>
                <w:sz w:val="1"/>
                <w:szCs w:val="1"/>
                <w:color w:val="auto"/>
              </w:rPr>
            </w:pPr>
          </w:p>
        </w:tc>
      </w:tr>
      <w:tr>
        <w:trPr>
          <w:trHeight w:val="66"/>
        </w:trPr>
        <w:tc>
          <w:tcPr>
            <w:tcW w:w="13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1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38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rPr>
              <w:t>Tony Thompson</w:t>
            </w:r>
          </w:p>
        </w:tc>
        <w:tc>
          <w:tcPr>
            <w:tcW w:w="900" w:type="dxa"/>
            <w:vAlign w:val="bottom"/>
            <w:gridSpan w:val="2"/>
            <w:vMerge w:val="restart"/>
            <w:shd w:val="clear" w:color="auto" w:fill="E7E7E8"/>
          </w:tcPr>
          <w:p>
            <w:pPr>
              <w:jc w:val="center"/>
              <w:ind w:left="46"/>
              <w:spacing w:after="0"/>
              <w:rPr>
                <w:sz w:val="20"/>
                <w:szCs w:val="20"/>
                <w:color w:val="auto"/>
              </w:rPr>
            </w:pPr>
            <w:r>
              <w:rPr>
                <w:rFonts w:ascii="Arial" w:cs="Arial" w:eastAsia="Arial" w:hAnsi="Arial"/>
                <w:sz w:val="11"/>
                <w:szCs w:val="11"/>
                <w:color w:val="auto"/>
                <w:w w:val="97"/>
              </w:rPr>
              <w:t>5/16/24</w:t>
            </w:r>
          </w:p>
        </w:tc>
        <w:tc>
          <w:tcPr>
            <w:tcW w:w="68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rPr>
              <w:t>-</w:t>
            </w:r>
          </w:p>
        </w:tc>
        <w:tc>
          <w:tcPr>
            <w:tcW w:w="720" w:type="dxa"/>
            <w:vAlign w:val="bottom"/>
            <w:shd w:val="clear" w:color="auto" w:fill="E7E7E8"/>
          </w:tcPr>
          <w:p>
            <w:pPr>
              <w:spacing w:after="0"/>
              <w:rPr>
                <w:sz w:val="8"/>
                <w:szCs w:val="8"/>
                <w:color w:val="auto"/>
              </w:rPr>
            </w:pPr>
          </w:p>
        </w:tc>
        <w:tc>
          <w:tcPr>
            <w:tcW w:w="8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352,616</w:t>
            </w:r>
          </w:p>
        </w:tc>
        <w:tc>
          <w:tcPr>
            <w:tcW w:w="400" w:type="dxa"/>
            <w:vAlign w:val="bottom"/>
            <w:shd w:val="clear" w:color="auto" w:fill="E7E7E8"/>
          </w:tcPr>
          <w:p>
            <w:pPr>
              <w:jc w:val="right"/>
              <w:ind w:right="264"/>
              <w:spacing w:after="0"/>
              <w:rPr>
                <w:sz w:val="20"/>
                <w:szCs w:val="20"/>
                <w:color w:val="auto"/>
              </w:rPr>
            </w:pPr>
            <w:r>
              <w:rPr>
                <w:rFonts w:ascii="Arial" w:cs="Arial" w:eastAsia="Arial" w:hAnsi="Arial"/>
                <w:sz w:val="7"/>
                <w:szCs w:val="7"/>
                <w:color w:val="auto"/>
                <w:w w:val="92"/>
              </w:rPr>
              <w:t>(2)</w:t>
            </w:r>
          </w:p>
        </w:tc>
        <w:tc>
          <w:tcPr>
            <w:tcW w:w="740" w:type="dxa"/>
            <w:vAlign w:val="bottom"/>
            <w:vMerge w:val="restart"/>
            <w:shd w:val="clear" w:color="auto" w:fill="E7E7E8"/>
          </w:tcPr>
          <w:p>
            <w:pPr>
              <w:ind w:left="320"/>
              <w:spacing w:after="0"/>
              <w:rPr>
                <w:sz w:val="20"/>
                <w:szCs w:val="20"/>
                <w:color w:val="auto"/>
              </w:rPr>
            </w:pPr>
            <w:r>
              <w:rPr>
                <w:rFonts w:ascii="Arial" w:cs="Arial" w:eastAsia="Arial" w:hAnsi="Arial"/>
                <w:sz w:val="11"/>
                <w:szCs w:val="11"/>
                <w:color w:val="auto"/>
              </w:rPr>
              <w:t>—</w:t>
            </w:r>
          </w:p>
        </w:tc>
        <w:tc>
          <w:tcPr>
            <w:tcW w:w="100" w:type="dxa"/>
            <w:vAlign w:val="bottom"/>
            <w:shd w:val="clear" w:color="auto" w:fill="E7E7E8"/>
          </w:tcPr>
          <w:p>
            <w:pPr>
              <w:spacing w:after="0"/>
              <w:rPr>
                <w:sz w:val="8"/>
                <w:szCs w:val="8"/>
                <w:color w:val="auto"/>
              </w:rPr>
            </w:pPr>
          </w:p>
        </w:tc>
        <w:tc>
          <w:tcPr>
            <w:tcW w:w="60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8"/>
                <w:szCs w:val="8"/>
                <w:color w:val="auto"/>
              </w:rPr>
            </w:pPr>
          </w:p>
        </w:tc>
        <w:tc>
          <w:tcPr>
            <w:tcW w:w="76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shd w:val="clear" w:color="auto" w:fill="E7E7E8"/>
          </w:tcPr>
          <w:p>
            <w:pPr>
              <w:spacing w:after="0"/>
              <w:rPr>
                <w:sz w:val="8"/>
                <w:szCs w:val="8"/>
                <w:color w:val="auto"/>
              </w:rPr>
            </w:pPr>
          </w:p>
        </w:tc>
        <w:tc>
          <w:tcPr>
            <w:tcW w:w="6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8"/>
                <w:szCs w:val="8"/>
                <w:color w:val="auto"/>
              </w:rPr>
            </w:pPr>
          </w:p>
        </w:tc>
        <w:tc>
          <w:tcPr>
            <w:tcW w:w="10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shd w:val="clear" w:color="auto" w:fill="E7E7E8"/>
          </w:tcPr>
          <w:p>
            <w:pPr>
              <w:spacing w:after="0"/>
              <w:rPr>
                <w:sz w:val="8"/>
                <w:szCs w:val="8"/>
                <w:color w:val="auto"/>
              </w:rPr>
            </w:pPr>
          </w:p>
        </w:tc>
        <w:tc>
          <w:tcPr>
            <w:tcW w:w="1200" w:type="dxa"/>
            <w:vAlign w:val="bottom"/>
            <w:vMerge w:val="restart"/>
            <w:shd w:val="clear" w:color="auto" w:fill="E7E7E8"/>
          </w:tcPr>
          <w:p>
            <w:pPr>
              <w:jc w:val="right"/>
              <w:ind w:right="3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380" w:type="dxa"/>
            <w:vAlign w:val="bottom"/>
            <w:vMerge w:val="continue"/>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680" w:type="dxa"/>
            <w:vAlign w:val="bottom"/>
            <w:vMerge w:val="continue"/>
            <w:shd w:val="clear" w:color="auto" w:fill="E7E7E8"/>
          </w:tcPr>
          <w:p>
            <w:pPr>
              <w:spacing w:after="0"/>
              <w:rPr>
                <w:sz w:val="5"/>
                <w:szCs w:val="5"/>
                <w:color w:val="auto"/>
              </w:rPr>
            </w:pPr>
          </w:p>
        </w:tc>
        <w:tc>
          <w:tcPr>
            <w:tcW w:w="72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400" w:type="dxa"/>
            <w:vAlign w:val="bottom"/>
            <w:shd w:val="clear" w:color="auto" w:fill="E7E7E8"/>
          </w:tcPr>
          <w:p>
            <w:pPr>
              <w:spacing w:after="0"/>
              <w:rPr>
                <w:sz w:val="5"/>
                <w:szCs w:val="5"/>
                <w:color w:val="auto"/>
              </w:rPr>
            </w:pPr>
          </w:p>
        </w:tc>
        <w:tc>
          <w:tcPr>
            <w:tcW w:w="74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760" w:type="dxa"/>
            <w:vAlign w:val="bottom"/>
            <w:vMerge w:val="continue"/>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040" w:type="dxa"/>
            <w:vAlign w:val="bottom"/>
            <w:vMerge w:val="continue"/>
            <w:shd w:val="clear" w:color="auto" w:fill="E7E7E8"/>
          </w:tcPr>
          <w:p>
            <w:pPr>
              <w:spacing w:after="0"/>
              <w:rPr>
                <w:sz w:val="5"/>
                <w:szCs w:val="5"/>
                <w:color w:val="auto"/>
              </w:rPr>
            </w:pPr>
          </w:p>
        </w:tc>
        <w:tc>
          <w:tcPr>
            <w:tcW w:w="320" w:type="dxa"/>
            <w:vAlign w:val="bottom"/>
            <w:shd w:val="clear" w:color="auto" w:fill="E7E7E8"/>
          </w:tcPr>
          <w:p>
            <w:pPr>
              <w:spacing w:after="0"/>
              <w:rPr>
                <w:sz w:val="5"/>
                <w:szCs w:val="5"/>
                <w:color w:val="auto"/>
              </w:rPr>
            </w:pPr>
          </w:p>
        </w:tc>
        <w:tc>
          <w:tcPr>
            <w:tcW w:w="120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8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80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5/24/24</w:t>
            </w:r>
          </w:p>
        </w:tc>
        <w:tc>
          <w:tcPr>
            <w:tcW w:w="68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5/16/24</w:t>
            </w:r>
          </w:p>
        </w:tc>
        <w:tc>
          <w:tcPr>
            <w:tcW w:w="720" w:type="dxa"/>
            <w:vAlign w:val="bottom"/>
            <w:shd w:val="clear" w:color="auto" w:fill="E7E7E8"/>
          </w:tcPr>
          <w:p>
            <w:pPr>
              <w:spacing w:after="0"/>
              <w:rPr>
                <w:sz w:val="10"/>
                <w:szCs w:val="10"/>
                <w:color w:val="auto"/>
              </w:rPr>
            </w:pPr>
          </w:p>
        </w:tc>
        <w:tc>
          <w:tcPr>
            <w:tcW w:w="8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shd w:val="clear" w:color="auto" w:fill="E7E7E8"/>
          </w:tcPr>
          <w:p>
            <w:pPr>
              <w:spacing w:after="0"/>
              <w:rPr>
                <w:sz w:val="10"/>
                <w:szCs w:val="10"/>
                <w:color w:val="auto"/>
              </w:rPr>
            </w:pPr>
          </w:p>
        </w:tc>
        <w:tc>
          <w:tcPr>
            <w:tcW w:w="740" w:type="dxa"/>
            <w:vAlign w:val="bottom"/>
            <w:vMerge w:val="restart"/>
            <w:shd w:val="clear" w:color="auto" w:fill="E7E7E8"/>
          </w:tcPr>
          <w:p>
            <w:pPr>
              <w:ind w:left="320"/>
              <w:spacing w:after="0"/>
              <w:rPr>
                <w:sz w:val="20"/>
                <w:szCs w:val="20"/>
                <w:color w:val="auto"/>
              </w:rPr>
            </w:pPr>
            <w:r>
              <w:rPr>
                <w:rFonts w:ascii="Arial" w:cs="Arial" w:eastAsia="Arial" w:hAnsi="Arial"/>
                <w:sz w:val="11"/>
                <w:szCs w:val="11"/>
                <w:color w:val="auto"/>
              </w:rPr>
              <w:t>—</w:t>
            </w:r>
          </w:p>
        </w:tc>
        <w:tc>
          <w:tcPr>
            <w:tcW w:w="100" w:type="dxa"/>
            <w:vAlign w:val="bottom"/>
            <w:shd w:val="clear" w:color="auto" w:fill="E7E7E8"/>
          </w:tcPr>
          <w:p>
            <w:pPr>
              <w:spacing w:after="0"/>
              <w:rPr>
                <w:sz w:val="10"/>
                <w:szCs w:val="10"/>
                <w:color w:val="auto"/>
              </w:rPr>
            </w:pPr>
          </w:p>
        </w:tc>
        <w:tc>
          <w:tcPr>
            <w:tcW w:w="60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E7E7E8"/>
          </w:tcPr>
          <w:p>
            <w:pPr>
              <w:spacing w:after="0"/>
              <w:rPr>
                <w:sz w:val="10"/>
                <w:szCs w:val="10"/>
                <w:color w:val="auto"/>
              </w:rPr>
            </w:pPr>
          </w:p>
        </w:tc>
        <w:tc>
          <w:tcPr>
            <w:tcW w:w="76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w:t>
            </w:r>
          </w:p>
        </w:tc>
        <w:tc>
          <w:tcPr>
            <w:tcW w:w="420" w:type="dxa"/>
            <w:vAlign w:val="bottom"/>
            <w:shd w:val="clear" w:color="auto" w:fill="E7E7E8"/>
          </w:tcPr>
          <w:p>
            <w:pPr>
              <w:spacing w:after="0"/>
              <w:rPr>
                <w:sz w:val="10"/>
                <w:szCs w:val="10"/>
                <w:color w:val="auto"/>
              </w:rPr>
            </w:pPr>
          </w:p>
        </w:tc>
        <w:tc>
          <w:tcPr>
            <w:tcW w:w="6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10"/>
                <w:szCs w:val="10"/>
                <w:color w:val="auto"/>
              </w:rPr>
            </w:pPr>
          </w:p>
        </w:tc>
        <w:tc>
          <w:tcPr>
            <w:tcW w:w="10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945</w:t>
            </w:r>
          </w:p>
        </w:tc>
        <w:tc>
          <w:tcPr>
            <w:tcW w:w="320" w:type="dxa"/>
            <w:vAlign w:val="bottom"/>
            <w:shd w:val="clear" w:color="auto" w:fill="E7E7E8"/>
          </w:tcPr>
          <w:p>
            <w:pPr>
              <w:jc w:val="right"/>
              <w:ind w:right="210"/>
              <w:spacing w:after="0"/>
              <w:rPr>
                <w:sz w:val="20"/>
                <w:szCs w:val="20"/>
                <w:color w:val="auto"/>
              </w:rPr>
            </w:pPr>
            <w:r>
              <w:rPr>
                <w:rFonts w:ascii="Arial" w:cs="Arial" w:eastAsia="Arial" w:hAnsi="Arial"/>
                <w:sz w:val="6"/>
                <w:szCs w:val="6"/>
                <w:color w:val="auto"/>
                <w:w w:val="81"/>
              </w:rPr>
              <w:t>(3)</w:t>
            </w:r>
          </w:p>
        </w:tc>
        <w:tc>
          <w:tcPr>
            <w:tcW w:w="1200" w:type="dxa"/>
            <w:vAlign w:val="bottom"/>
            <w:vMerge w:val="restart"/>
            <w:shd w:val="clear" w:color="auto" w:fill="E7E7E8"/>
          </w:tcPr>
          <w:p>
            <w:pPr>
              <w:jc w:val="right"/>
              <w:ind w:right="347"/>
              <w:spacing w:after="0"/>
              <w:rPr>
                <w:sz w:val="20"/>
                <w:szCs w:val="20"/>
                <w:color w:val="auto"/>
              </w:rPr>
            </w:pPr>
            <w:r>
              <w:rPr>
                <w:rFonts w:ascii="Arial" w:cs="Arial" w:eastAsia="Arial" w:hAnsi="Arial"/>
                <w:sz w:val="11"/>
                <w:szCs w:val="11"/>
                <w:color w:val="auto"/>
              </w:rPr>
              <w:t>225,166</w:t>
            </w:r>
          </w:p>
        </w:tc>
        <w:tc>
          <w:tcPr>
            <w:tcW w:w="0" w:type="dxa"/>
            <w:vAlign w:val="bottom"/>
          </w:tcPr>
          <w:p>
            <w:pPr>
              <w:spacing w:after="0"/>
              <w:rPr>
                <w:sz w:val="1"/>
                <w:szCs w:val="1"/>
                <w:color w:val="auto"/>
              </w:rPr>
            </w:pPr>
          </w:p>
        </w:tc>
      </w:tr>
      <w:tr>
        <w:trPr>
          <w:trHeight w:val="66"/>
        </w:trPr>
        <w:tc>
          <w:tcPr>
            <w:tcW w:w="1380" w:type="dxa"/>
            <w:vAlign w:val="bottom"/>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680" w:type="dxa"/>
            <w:vAlign w:val="bottom"/>
            <w:vMerge w:val="continue"/>
            <w:shd w:val="clear" w:color="auto" w:fill="E7E7E8"/>
          </w:tcPr>
          <w:p>
            <w:pPr>
              <w:spacing w:after="0"/>
              <w:rPr>
                <w:sz w:val="5"/>
                <w:szCs w:val="5"/>
                <w:color w:val="auto"/>
              </w:rPr>
            </w:pPr>
          </w:p>
        </w:tc>
        <w:tc>
          <w:tcPr>
            <w:tcW w:w="72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400" w:type="dxa"/>
            <w:vAlign w:val="bottom"/>
            <w:shd w:val="clear" w:color="auto" w:fill="E7E7E8"/>
          </w:tcPr>
          <w:p>
            <w:pPr>
              <w:spacing w:after="0"/>
              <w:rPr>
                <w:sz w:val="5"/>
                <w:szCs w:val="5"/>
                <w:color w:val="auto"/>
              </w:rPr>
            </w:pPr>
          </w:p>
        </w:tc>
        <w:tc>
          <w:tcPr>
            <w:tcW w:w="74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60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760" w:type="dxa"/>
            <w:vAlign w:val="bottom"/>
            <w:vMerge w:val="continue"/>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040" w:type="dxa"/>
            <w:vAlign w:val="bottom"/>
            <w:vMerge w:val="continue"/>
            <w:shd w:val="clear" w:color="auto" w:fill="E7E7E8"/>
          </w:tcPr>
          <w:p>
            <w:pPr>
              <w:spacing w:after="0"/>
              <w:rPr>
                <w:sz w:val="5"/>
                <w:szCs w:val="5"/>
                <w:color w:val="auto"/>
              </w:rPr>
            </w:pPr>
          </w:p>
        </w:tc>
        <w:tc>
          <w:tcPr>
            <w:tcW w:w="320" w:type="dxa"/>
            <w:vAlign w:val="bottom"/>
            <w:shd w:val="clear" w:color="auto" w:fill="E7E7E8"/>
          </w:tcPr>
          <w:p>
            <w:pPr>
              <w:spacing w:after="0"/>
              <w:rPr>
                <w:sz w:val="5"/>
                <w:szCs w:val="5"/>
                <w:color w:val="auto"/>
              </w:rPr>
            </w:pPr>
          </w:p>
        </w:tc>
        <w:tc>
          <w:tcPr>
            <w:tcW w:w="120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380" w:type="dxa"/>
            <w:vAlign w:val="bottom"/>
            <w:shd w:val="clear" w:color="auto" w:fill="E7E7E8"/>
          </w:tcPr>
          <w:p>
            <w:pPr>
              <w:spacing w:after="0"/>
              <w:rPr>
                <w:sz w:val="10"/>
                <w:szCs w:val="10"/>
                <w:color w:val="auto"/>
              </w:rPr>
            </w:pPr>
          </w:p>
        </w:tc>
        <w:tc>
          <w:tcPr>
            <w:tcW w:w="100" w:type="dxa"/>
            <w:vAlign w:val="bottom"/>
            <w:shd w:val="clear" w:color="auto" w:fill="E7E7E8"/>
          </w:tcPr>
          <w:p>
            <w:pPr>
              <w:spacing w:after="0"/>
              <w:rPr>
                <w:sz w:val="10"/>
                <w:szCs w:val="10"/>
                <w:color w:val="auto"/>
              </w:rPr>
            </w:pPr>
          </w:p>
        </w:tc>
        <w:tc>
          <w:tcPr>
            <w:tcW w:w="80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5/24/24</w:t>
            </w:r>
          </w:p>
        </w:tc>
        <w:tc>
          <w:tcPr>
            <w:tcW w:w="680" w:type="dxa"/>
            <w:vAlign w:val="bottom"/>
            <w:vMerge w:val="restart"/>
            <w:shd w:val="clear" w:color="auto" w:fill="E7E7E8"/>
          </w:tcPr>
          <w:p>
            <w:pPr>
              <w:jc w:val="center"/>
              <w:spacing w:after="0"/>
              <w:rPr>
                <w:sz w:val="20"/>
                <w:szCs w:val="20"/>
                <w:color w:val="auto"/>
              </w:rPr>
            </w:pPr>
            <w:r>
              <w:rPr>
                <w:rFonts w:ascii="Arial" w:cs="Arial" w:eastAsia="Arial" w:hAnsi="Arial"/>
                <w:sz w:val="11"/>
                <w:szCs w:val="11"/>
                <w:color w:val="auto"/>
                <w:w w:val="97"/>
              </w:rPr>
              <w:t>5/16/24</w:t>
            </w:r>
          </w:p>
        </w:tc>
        <w:tc>
          <w:tcPr>
            <w:tcW w:w="720" w:type="dxa"/>
            <w:vAlign w:val="bottom"/>
            <w:shd w:val="clear" w:color="auto" w:fill="E7E7E8"/>
          </w:tcPr>
          <w:p>
            <w:pPr>
              <w:spacing w:after="0"/>
              <w:rPr>
                <w:sz w:val="10"/>
                <w:szCs w:val="10"/>
                <w:color w:val="auto"/>
              </w:rPr>
            </w:pPr>
          </w:p>
        </w:tc>
        <w:tc>
          <w:tcPr>
            <w:tcW w:w="80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shd w:val="clear" w:color="auto" w:fill="E7E7E8"/>
          </w:tcPr>
          <w:p>
            <w:pPr>
              <w:spacing w:after="0"/>
              <w:rPr>
                <w:sz w:val="10"/>
                <w:szCs w:val="10"/>
                <w:color w:val="auto"/>
              </w:rPr>
            </w:pPr>
          </w:p>
        </w:tc>
        <w:tc>
          <w:tcPr>
            <w:tcW w:w="740" w:type="dxa"/>
            <w:vAlign w:val="bottom"/>
            <w:vMerge w:val="restart"/>
            <w:shd w:val="clear" w:color="auto" w:fill="E7E7E8"/>
          </w:tcPr>
          <w:p>
            <w:pPr>
              <w:ind w:left="320"/>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shd w:val="clear" w:color="auto" w:fill="E7E7E8"/>
          </w:tcPr>
          <w:p>
            <w:pPr>
              <w:jc w:val="right"/>
              <w:spacing w:after="0"/>
              <w:rPr>
                <w:sz w:val="20"/>
                <w:szCs w:val="20"/>
                <w:color w:val="auto"/>
              </w:rPr>
            </w:pPr>
            <w:r>
              <w:rPr>
                <w:rFonts w:ascii="Arial" w:cs="Arial" w:eastAsia="Arial" w:hAnsi="Arial"/>
                <w:sz w:val="11"/>
                <w:szCs w:val="11"/>
                <w:color w:val="auto"/>
              </w:rPr>
              <w:t>473</w:t>
            </w:r>
          </w:p>
        </w:tc>
        <w:tc>
          <w:tcPr>
            <w:tcW w:w="360" w:type="dxa"/>
            <w:vAlign w:val="bottom"/>
            <w:shd w:val="clear" w:color="auto" w:fill="E7E7E8"/>
          </w:tcPr>
          <w:p>
            <w:pPr>
              <w:jc w:val="right"/>
              <w:ind w:right="119"/>
              <w:spacing w:after="0"/>
              <w:rPr>
                <w:sz w:val="20"/>
                <w:szCs w:val="20"/>
                <w:color w:val="auto"/>
              </w:rPr>
            </w:pPr>
            <w:r>
              <w:rPr>
                <w:rFonts w:ascii="Arial" w:cs="Arial" w:eastAsia="Arial" w:hAnsi="Arial"/>
                <w:sz w:val="7"/>
                <w:szCs w:val="7"/>
                <w:color w:val="auto"/>
              </w:rPr>
              <w:t>(4)</w:t>
            </w:r>
          </w:p>
        </w:tc>
        <w:tc>
          <w:tcPr>
            <w:tcW w:w="760" w:type="dxa"/>
            <w:vAlign w:val="bottom"/>
            <w:vMerge w:val="restart"/>
            <w:shd w:val="clear" w:color="auto" w:fill="E7E7E8"/>
          </w:tcPr>
          <w:p>
            <w:pPr>
              <w:jc w:val="right"/>
              <w:ind w:right="6"/>
              <w:spacing w:after="0"/>
              <w:rPr>
                <w:sz w:val="20"/>
                <w:szCs w:val="20"/>
                <w:color w:val="auto"/>
              </w:rPr>
            </w:pPr>
            <w:r>
              <w:rPr>
                <w:rFonts w:ascii="Arial" w:cs="Arial" w:eastAsia="Arial" w:hAnsi="Arial"/>
                <w:sz w:val="11"/>
                <w:szCs w:val="11"/>
                <w:color w:val="auto"/>
              </w:rPr>
              <w:t>945</w:t>
            </w:r>
          </w:p>
        </w:tc>
        <w:tc>
          <w:tcPr>
            <w:tcW w:w="420" w:type="dxa"/>
            <w:vAlign w:val="bottom"/>
            <w:shd w:val="clear" w:color="auto" w:fill="E7E7E8"/>
          </w:tcPr>
          <w:p>
            <w:pPr>
              <w:jc w:val="right"/>
              <w:ind w:right="244"/>
              <w:spacing w:after="0"/>
              <w:rPr>
                <w:sz w:val="20"/>
                <w:szCs w:val="20"/>
                <w:color w:val="auto"/>
              </w:rPr>
            </w:pPr>
            <w:r>
              <w:rPr>
                <w:rFonts w:ascii="Arial" w:cs="Arial" w:eastAsia="Arial" w:hAnsi="Arial"/>
                <w:sz w:val="7"/>
                <w:szCs w:val="7"/>
                <w:color w:val="auto"/>
              </w:rPr>
              <w:t>(4)</w:t>
            </w:r>
          </w:p>
        </w:tc>
        <w:tc>
          <w:tcPr>
            <w:tcW w:w="62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1,890</w:t>
            </w:r>
          </w:p>
        </w:tc>
        <w:tc>
          <w:tcPr>
            <w:tcW w:w="200" w:type="dxa"/>
            <w:vAlign w:val="bottom"/>
            <w:shd w:val="clear" w:color="auto" w:fill="E7E7E8"/>
          </w:tcPr>
          <w:p>
            <w:pPr>
              <w:jc w:val="right"/>
              <w:ind w:right="64"/>
              <w:spacing w:after="0"/>
              <w:rPr>
                <w:sz w:val="20"/>
                <w:szCs w:val="20"/>
                <w:color w:val="auto"/>
              </w:rPr>
            </w:pPr>
            <w:r>
              <w:rPr>
                <w:rFonts w:ascii="Arial" w:cs="Arial" w:eastAsia="Arial" w:hAnsi="Arial"/>
                <w:sz w:val="7"/>
                <w:szCs w:val="7"/>
                <w:color w:val="auto"/>
                <w:w w:val="92"/>
              </w:rPr>
              <w:t>(4)</w:t>
            </w:r>
          </w:p>
        </w:tc>
        <w:tc>
          <w:tcPr>
            <w:tcW w:w="104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shd w:val="clear" w:color="auto" w:fill="E7E7E8"/>
          </w:tcPr>
          <w:p>
            <w:pPr>
              <w:spacing w:after="0"/>
              <w:rPr>
                <w:sz w:val="10"/>
                <w:szCs w:val="10"/>
                <w:color w:val="auto"/>
              </w:rPr>
            </w:pPr>
          </w:p>
        </w:tc>
        <w:tc>
          <w:tcPr>
            <w:tcW w:w="1200" w:type="dxa"/>
            <w:vAlign w:val="bottom"/>
            <w:vMerge w:val="restart"/>
            <w:shd w:val="clear" w:color="auto" w:fill="E7E7E8"/>
          </w:tcPr>
          <w:p>
            <w:pPr>
              <w:jc w:val="right"/>
              <w:ind w:right="347"/>
              <w:spacing w:after="0"/>
              <w:rPr>
                <w:sz w:val="20"/>
                <w:szCs w:val="20"/>
                <w:color w:val="auto"/>
              </w:rPr>
            </w:pPr>
            <w:r>
              <w:rPr>
                <w:rFonts w:ascii="Arial" w:cs="Arial" w:eastAsia="Arial" w:hAnsi="Arial"/>
                <w:sz w:val="11"/>
                <w:szCs w:val="11"/>
                <w:color w:val="auto"/>
              </w:rPr>
              <w:t>324,022</w:t>
            </w:r>
          </w:p>
        </w:tc>
        <w:tc>
          <w:tcPr>
            <w:tcW w:w="0" w:type="dxa"/>
            <w:vAlign w:val="bottom"/>
          </w:tcPr>
          <w:p>
            <w:pPr>
              <w:spacing w:after="0"/>
              <w:rPr>
                <w:sz w:val="1"/>
                <w:szCs w:val="1"/>
                <w:color w:val="auto"/>
              </w:rPr>
            </w:pPr>
          </w:p>
        </w:tc>
      </w:tr>
      <w:tr>
        <w:trPr>
          <w:trHeight w:val="66"/>
        </w:trPr>
        <w:tc>
          <w:tcPr>
            <w:tcW w:w="1380" w:type="dxa"/>
            <w:vAlign w:val="bottom"/>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680" w:type="dxa"/>
            <w:vAlign w:val="bottom"/>
            <w:vMerge w:val="continue"/>
            <w:shd w:val="clear" w:color="auto" w:fill="E7E7E8"/>
          </w:tcPr>
          <w:p>
            <w:pPr>
              <w:spacing w:after="0"/>
              <w:rPr>
                <w:sz w:val="5"/>
                <w:szCs w:val="5"/>
                <w:color w:val="auto"/>
              </w:rPr>
            </w:pPr>
          </w:p>
        </w:tc>
        <w:tc>
          <w:tcPr>
            <w:tcW w:w="72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400" w:type="dxa"/>
            <w:vAlign w:val="bottom"/>
            <w:shd w:val="clear" w:color="auto" w:fill="E7E7E8"/>
          </w:tcPr>
          <w:p>
            <w:pPr>
              <w:spacing w:after="0"/>
              <w:rPr>
                <w:sz w:val="5"/>
                <w:szCs w:val="5"/>
                <w:color w:val="auto"/>
              </w:rPr>
            </w:pPr>
          </w:p>
        </w:tc>
        <w:tc>
          <w:tcPr>
            <w:tcW w:w="740" w:type="dxa"/>
            <w:vAlign w:val="bottom"/>
            <w:vMerge w:val="continue"/>
            <w:shd w:val="clear" w:color="auto" w:fill="E7E7E8"/>
          </w:tcPr>
          <w:p>
            <w:pPr>
              <w:spacing w:after="0"/>
              <w:rPr>
                <w:sz w:val="5"/>
                <w:szCs w:val="5"/>
                <w:color w:val="auto"/>
              </w:rPr>
            </w:pPr>
          </w:p>
        </w:tc>
        <w:tc>
          <w:tcPr>
            <w:tcW w:w="700" w:type="dxa"/>
            <w:vAlign w:val="bottom"/>
            <w:gridSpan w:val="2"/>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760" w:type="dxa"/>
            <w:vAlign w:val="bottom"/>
            <w:vMerge w:val="continue"/>
            <w:shd w:val="clear" w:color="auto" w:fill="E7E7E8"/>
          </w:tcPr>
          <w:p>
            <w:pPr>
              <w:spacing w:after="0"/>
              <w:rPr>
                <w:sz w:val="5"/>
                <w:szCs w:val="5"/>
                <w:color w:val="auto"/>
              </w:rPr>
            </w:pPr>
          </w:p>
        </w:tc>
        <w:tc>
          <w:tcPr>
            <w:tcW w:w="4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040" w:type="dxa"/>
            <w:vAlign w:val="bottom"/>
            <w:vMerge w:val="continue"/>
            <w:shd w:val="clear" w:color="auto" w:fill="E7E7E8"/>
          </w:tcPr>
          <w:p>
            <w:pPr>
              <w:spacing w:after="0"/>
              <w:rPr>
                <w:sz w:val="5"/>
                <w:szCs w:val="5"/>
                <w:color w:val="auto"/>
              </w:rPr>
            </w:pPr>
          </w:p>
        </w:tc>
        <w:tc>
          <w:tcPr>
            <w:tcW w:w="320" w:type="dxa"/>
            <w:vAlign w:val="bottom"/>
            <w:shd w:val="clear" w:color="auto" w:fill="E7E7E8"/>
          </w:tcPr>
          <w:p>
            <w:pPr>
              <w:spacing w:after="0"/>
              <w:rPr>
                <w:sz w:val="5"/>
                <w:szCs w:val="5"/>
                <w:color w:val="auto"/>
              </w:rPr>
            </w:pPr>
          </w:p>
        </w:tc>
        <w:tc>
          <w:tcPr>
            <w:tcW w:w="120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80" w:type="dxa"/>
            <w:vAlign w:val="bottom"/>
            <w:tcBorders>
              <w:bottom w:val="single" w:sz="8" w:color="051972"/>
            </w:tcBorders>
            <w:shd w:val="clear" w:color="auto" w:fill="E7E7E8"/>
          </w:tcPr>
          <w:p>
            <w:pPr>
              <w:spacing w:after="0"/>
              <w:rPr>
                <w:sz w:val="7"/>
                <w:szCs w:val="7"/>
                <w:color w:val="auto"/>
              </w:rPr>
            </w:pPr>
          </w:p>
        </w:tc>
        <w:tc>
          <w:tcPr>
            <w:tcW w:w="100" w:type="dxa"/>
            <w:vAlign w:val="bottom"/>
            <w:tcBorders>
              <w:bottom w:val="single" w:sz="8" w:color="051972"/>
            </w:tcBorders>
            <w:shd w:val="clear" w:color="auto" w:fill="E7E7E8"/>
          </w:tcPr>
          <w:p>
            <w:pPr>
              <w:spacing w:after="0"/>
              <w:rPr>
                <w:sz w:val="7"/>
                <w:szCs w:val="7"/>
                <w:color w:val="auto"/>
              </w:rPr>
            </w:pPr>
          </w:p>
        </w:tc>
        <w:tc>
          <w:tcPr>
            <w:tcW w:w="800" w:type="dxa"/>
            <w:vAlign w:val="bottom"/>
            <w:tcBorders>
              <w:bottom w:val="single" w:sz="8" w:color="051972"/>
            </w:tcBorders>
            <w:shd w:val="clear" w:color="auto" w:fill="E7E7E8"/>
          </w:tcPr>
          <w:p>
            <w:pPr>
              <w:spacing w:after="0"/>
              <w:rPr>
                <w:sz w:val="7"/>
                <w:szCs w:val="7"/>
                <w:color w:val="auto"/>
              </w:rPr>
            </w:pPr>
          </w:p>
        </w:tc>
        <w:tc>
          <w:tcPr>
            <w:tcW w:w="680" w:type="dxa"/>
            <w:vAlign w:val="bottom"/>
            <w:tcBorders>
              <w:bottom w:val="single" w:sz="8" w:color="051972"/>
            </w:tcBorders>
            <w:shd w:val="clear" w:color="auto" w:fill="E7E7E8"/>
          </w:tcPr>
          <w:p>
            <w:pPr>
              <w:spacing w:after="0"/>
              <w:rPr>
                <w:sz w:val="7"/>
                <w:szCs w:val="7"/>
                <w:color w:val="auto"/>
              </w:rPr>
            </w:pPr>
          </w:p>
        </w:tc>
        <w:tc>
          <w:tcPr>
            <w:tcW w:w="720" w:type="dxa"/>
            <w:vAlign w:val="bottom"/>
            <w:tcBorders>
              <w:bottom w:val="single" w:sz="8" w:color="051972"/>
            </w:tcBorders>
            <w:shd w:val="clear" w:color="auto" w:fill="E7E7E8"/>
          </w:tcPr>
          <w:p>
            <w:pPr>
              <w:spacing w:after="0"/>
              <w:rPr>
                <w:sz w:val="7"/>
                <w:szCs w:val="7"/>
                <w:color w:val="auto"/>
              </w:rPr>
            </w:pPr>
          </w:p>
        </w:tc>
        <w:tc>
          <w:tcPr>
            <w:tcW w:w="800" w:type="dxa"/>
            <w:vAlign w:val="bottom"/>
            <w:tcBorders>
              <w:bottom w:val="single" w:sz="8" w:color="051972"/>
            </w:tcBorders>
            <w:shd w:val="clear" w:color="auto" w:fill="E7E7E8"/>
          </w:tcPr>
          <w:p>
            <w:pPr>
              <w:spacing w:after="0"/>
              <w:rPr>
                <w:sz w:val="7"/>
                <w:szCs w:val="7"/>
                <w:color w:val="auto"/>
              </w:rPr>
            </w:pPr>
          </w:p>
        </w:tc>
        <w:tc>
          <w:tcPr>
            <w:tcW w:w="400" w:type="dxa"/>
            <w:vAlign w:val="bottom"/>
            <w:tcBorders>
              <w:bottom w:val="single" w:sz="8" w:color="051972"/>
            </w:tcBorders>
            <w:shd w:val="clear" w:color="auto" w:fill="E7E7E8"/>
          </w:tcPr>
          <w:p>
            <w:pPr>
              <w:spacing w:after="0"/>
              <w:rPr>
                <w:sz w:val="7"/>
                <w:szCs w:val="7"/>
                <w:color w:val="auto"/>
              </w:rPr>
            </w:pPr>
          </w:p>
        </w:tc>
        <w:tc>
          <w:tcPr>
            <w:tcW w:w="740" w:type="dxa"/>
            <w:vAlign w:val="bottom"/>
            <w:tcBorders>
              <w:bottom w:val="single" w:sz="8" w:color="051972"/>
            </w:tcBorders>
            <w:shd w:val="clear" w:color="auto" w:fill="E7E7E8"/>
          </w:tcPr>
          <w:p>
            <w:pPr>
              <w:spacing w:after="0"/>
              <w:rPr>
                <w:sz w:val="7"/>
                <w:szCs w:val="7"/>
                <w:color w:val="auto"/>
              </w:rPr>
            </w:pPr>
          </w:p>
        </w:tc>
        <w:tc>
          <w:tcPr>
            <w:tcW w:w="100" w:type="dxa"/>
            <w:vAlign w:val="bottom"/>
            <w:tcBorders>
              <w:bottom w:val="single" w:sz="8" w:color="051972"/>
            </w:tcBorders>
            <w:shd w:val="clear" w:color="auto" w:fill="E7E7E8"/>
          </w:tcPr>
          <w:p>
            <w:pPr>
              <w:spacing w:after="0"/>
              <w:rPr>
                <w:sz w:val="7"/>
                <w:szCs w:val="7"/>
                <w:color w:val="auto"/>
              </w:rPr>
            </w:pPr>
          </w:p>
        </w:tc>
        <w:tc>
          <w:tcPr>
            <w:tcW w:w="600" w:type="dxa"/>
            <w:vAlign w:val="bottom"/>
            <w:tcBorders>
              <w:bottom w:val="single" w:sz="8" w:color="051972"/>
            </w:tcBorders>
            <w:shd w:val="clear" w:color="auto" w:fill="E7E7E8"/>
          </w:tcPr>
          <w:p>
            <w:pPr>
              <w:spacing w:after="0"/>
              <w:rPr>
                <w:sz w:val="7"/>
                <w:szCs w:val="7"/>
                <w:color w:val="auto"/>
              </w:rPr>
            </w:pPr>
          </w:p>
        </w:tc>
        <w:tc>
          <w:tcPr>
            <w:tcW w:w="360" w:type="dxa"/>
            <w:vAlign w:val="bottom"/>
            <w:tcBorders>
              <w:bottom w:val="single" w:sz="8" w:color="051972"/>
            </w:tcBorders>
            <w:shd w:val="clear" w:color="auto" w:fill="E7E7E8"/>
          </w:tcPr>
          <w:p>
            <w:pPr>
              <w:spacing w:after="0"/>
              <w:rPr>
                <w:sz w:val="7"/>
                <w:szCs w:val="7"/>
                <w:color w:val="auto"/>
              </w:rPr>
            </w:pPr>
          </w:p>
        </w:tc>
        <w:tc>
          <w:tcPr>
            <w:tcW w:w="760" w:type="dxa"/>
            <w:vAlign w:val="bottom"/>
            <w:tcBorders>
              <w:bottom w:val="single" w:sz="8" w:color="051972"/>
            </w:tcBorders>
            <w:shd w:val="clear" w:color="auto" w:fill="E7E7E8"/>
          </w:tcPr>
          <w:p>
            <w:pPr>
              <w:spacing w:after="0"/>
              <w:rPr>
                <w:sz w:val="7"/>
                <w:szCs w:val="7"/>
                <w:color w:val="auto"/>
              </w:rPr>
            </w:pPr>
          </w:p>
        </w:tc>
        <w:tc>
          <w:tcPr>
            <w:tcW w:w="420" w:type="dxa"/>
            <w:vAlign w:val="bottom"/>
            <w:tcBorders>
              <w:bottom w:val="single" w:sz="8" w:color="051972"/>
            </w:tcBorders>
            <w:shd w:val="clear" w:color="auto" w:fill="E7E7E8"/>
          </w:tcPr>
          <w:p>
            <w:pPr>
              <w:spacing w:after="0"/>
              <w:rPr>
                <w:sz w:val="7"/>
                <w:szCs w:val="7"/>
                <w:color w:val="auto"/>
              </w:rPr>
            </w:pPr>
          </w:p>
        </w:tc>
        <w:tc>
          <w:tcPr>
            <w:tcW w:w="620" w:type="dxa"/>
            <w:vAlign w:val="bottom"/>
            <w:tcBorders>
              <w:bottom w:val="single" w:sz="8" w:color="051972"/>
            </w:tcBorders>
            <w:shd w:val="clear" w:color="auto" w:fill="E7E7E8"/>
          </w:tcPr>
          <w:p>
            <w:pPr>
              <w:spacing w:after="0"/>
              <w:rPr>
                <w:sz w:val="7"/>
                <w:szCs w:val="7"/>
                <w:color w:val="auto"/>
              </w:rPr>
            </w:pPr>
          </w:p>
        </w:tc>
        <w:tc>
          <w:tcPr>
            <w:tcW w:w="200" w:type="dxa"/>
            <w:vAlign w:val="bottom"/>
            <w:tcBorders>
              <w:bottom w:val="single" w:sz="8" w:color="051972"/>
            </w:tcBorders>
            <w:shd w:val="clear" w:color="auto" w:fill="E7E7E8"/>
          </w:tcPr>
          <w:p>
            <w:pPr>
              <w:spacing w:after="0"/>
              <w:rPr>
                <w:sz w:val="7"/>
                <w:szCs w:val="7"/>
                <w:color w:val="auto"/>
              </w:rPr>
            </w:pPr>
          </w:p>
        </w:tc>
        <w:tc>
          <w:tcPr>
            <w:tcW w:w="1040" w:type="dxa"/>
            <w:vAlign w:val="bottom"/>
            <w:tcBorders>
              <w:bottom w:val="single" w:sz="8" w:color="051972"/>
            </w:tcBorders>
            <w:shd w:val="clear" w:color="auto" w:fill="E7E7E8"/>
          </w:tcPr>
          <w:p>
            <w:pPr>
              <w:spacing w:after="0"/>
              <w:rPr>
                <w:sz w:val="7"/>
                <w:szCs w:val="7"/>
                <w:color w:val="auto"/>
              </w:rPr>
            </w:pPr>
          </w:p>
        </w:tc>
        <w:tc>
          <w:tcPr>
            <w:tcW w:w="320" w:type="dxa"/>
            <w:vAlign w:val="bottom"/>
            <w:tcBorders>
              <w:bottom w:val="single" w:sz="8" w:color="051972"/>
            </w:tcBorders>
            <w:shd w:val="clear" w:color="auto" w:fill="E7E7E8"/>
          </w:tcPr>
          <w:p>
            <w:pPr>
              <w:spacing w:after="0"/>
              <w:rPr>
                <w:sz w:val="7"/>
                <w:szCs w:val="7"/>
                <w:color w:val="auto"/>
              </w:rPr>
            </w:pPr>
          </w:p>
        </w:tc>
        <w:tc>
          <w:tcPr>
            <w:tcW w:w="1200" w:type="dxa"/>
            <w:vAlign w:val="bottom"/>
            <w:tcBorders>
              <w:bottom w:val="single" w:sz="8" w:color="051972"/>
            </w:tcBorders>
            <w:shd w:val="clear" w:color="auto" w:fill="E7E7E8"/>
          </w:tcPr>
          <w:p>
            <w:pPr>
              <w:spacing w:after="0"/>
              <w:rPr>
                <w:sz w:val="7"/>
                <w:szCs w:val="7"/>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left="380" w:right="20" w:hanging="372"/>
        <w:spacing w:after="0" w:line="262" w:lineRule="auto"/>
        <w:tabs>
          <w:tab w:leader="none" w:pos="380" w:val="left"/>
        </w:tabs>
        <w:numPr>
          <w:ilvl w:val="0"/>
          <w:numId w:val="81"/>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included in this column reflect the grant date fair value of the award computed in accordance with FASB ASC Topic 718. Assumptions used in the calculation of these amounts are included in footnote (K) to the Company’s audited financial statements for the fiscal year ended March 31, 2025 included in the Fiscal 2025 Form 10-K. Further information regarding these values is found in footnote 2 of the Summary Compensation Table above.</w:t>
      </w:r>
    </w:p>
    <w:p>
      <w:pPr>
        <w:spacing w:after="0" w:line="66" w:lineRule="exact"/>
        <w:rPr>
          <w:rFonts w:ascii="Times New Roman" w:cs="Times New Roman" w:eastAsia="Times New Roman" w:hAnsi="Times New Roman"/>
          <w:sz w:val="14"/>
          <w:szCs w:val="14"/>
          <w:color w:val="auto"/>
        </w:rPr>
      </w:pPr>
    </w:p>
    <w:p>
      <w:pPr>
        <w:ind w:left="380" w:right="140" w:hanging="372"/>
        <w:spacing w:after="0" w:line="250" w:lineRule="auto"/>
        <w:tabs>
          <w:tab w:leader="none" w:pos="380" w:val="left"/>
        </w:tabs>
        <w:numPr>
          <w:ilvl w:val="0"/>
          <w:numId w:val="81"/>
        </w:numPr>
        <w:rPr>
          <w:rFonts w:ascii="Times New Roman" w:cs="Times New Roman" w:eastAsia="Times New Roman" w:hAnsi="Times New Roman"/>
          <w:sz w:val="14"/>
          <w:szCs w:val="14"/>
          <w:color w:val="auto"/>
        </w:rPr>
      </w:pPr>
      <w:r>
        <w:rPr>
          <w:rFonts w:ascii="Arial" w:cs="Arial" w:eastAsia="Arial" w:hAnsi="Arial"/>
          <w:sz w:val="14"/>
          <w:szCs w:val="14"/>
          <w:color w:val="auto"/>
        </w:rPr>
        <w:t>These amounts represent the maximum annual incentive payments potentially payable to the Named Executive Officers pursuant to the Eagle Annual Incentive Program or the Divisional Annual Cash Incentive Award Programs, as applicable, for fiscal 2025. They represent the lower of (i) the individual's pool percentage multiplied by the applicable operating earnings or EBITDA for the fiscal year; and (ii) the individual cap amount described in the fiscal 2025 programs (a multiple of base salary or a separately approved cap amount, as applicable). The actual pay-outs to the Named Executive Officers were as follows: Mr. Haack - $1,945,515; Mr. Kesler - $833,792; Mr. Newby - $486,379; Mr. Cribbs - $427,500; and Mr. Thompson - $303,250. These annual incentive programs, including individual caps on potential awards, are described in greater detail in “Annual Cash Incentive Award” above.</w:t>
      </w:r>
    </w:p>
    <w:p>
      <w:pPr>
        <w:spacing w:after="0" w:line="73" w:lineRule="exact"/>
        <w:rPr>
          <w:rFonts w:ascii="Times New Roman" w:cs="Times New Roman" w:eastAsia="Times New Roman" w:hAnsi="Times New Roman"/>
          <w:sz w:val="14"/>
          <w:szCs w:val="14"/>
          <w:color w:val="auto"/>
        </w:rPr>
      </w:pPr>
    </w:p>
    <w:p>
      <w:pPr>
        <w:ind w:left="380" w:right="180" w:hanging="372"/>
        <w:spacing w:after="0" w:line="262" w:lineRule="auto"/>
        <w:tabs>
          <w:tab w:leader="none" w:pos="380" w:val="left"/>
        </w:tabs>
        <w:numPr>
          <w:ilvl w:val="0"/>
          <w:numId w:val="81"/>
        </w:numPr>
        <w:rPr>
          <w:rFonts w:ascii="Times New Roman" w:cs="Times New Roman" w:eastAsia="Times New Roman" w:hAnsi="Times New Roman"/>
          <w:sz w:val="14"/>
          <w:szCs w:val="14"/>
          <w:color w:val="auto"/>
        </w:rPr>
      </w:pPr>
      <w:r>
        <w:rPr>
          <w:rFonts w:ascii="Arial" w:cs="Arial" w:eastAsia="Arial" w:hAnsi="Arial"/>
          <w:sz w:val="14"/>
          <w:szCs w:val="14"/>
          <w:color w:val="auto"/>
        </w:rPr>
        <w:t>These amounts represent grants of time-vesting RSUs made on May 24, 2024 under our 2023 Incentive Plan. One-third of the RSUs vested on May 24, 2025, and the remaining RSUs will vest ratably on March 31 of 2026 and 2027. These RSU grants are described in greater detail in “Long-Term Incentive Compensation—Fiscal 2025 Grants” above.</w:t>
      </w:r>
    </w:p>
    <w:p>
      <w:pPr>
        <w:spacing w:after="0" w:line="66" w:lineRule="exact"/>
        <w:rPr>
          <w:rFonts w:ascii="Times New Roman" w:cs="Times New Roman" w:eastAsia="Times New Roman" w:hAnsi="Times New Roman"/>
          <w:sz w:val="14"/>
          <w:szCs w:val="14"/>
          <w:color w:val="auto"/>
        </w:rPr>
      </w:pPr>
    </w:p>
    <w:p>
      <w:pPr>
        <w:ind w:left="380" w:right="120" w:hanging="372"/>
        <w:spacing w:after="0" w:line="270" w:lineRule="auto"/>
        <w:tabs>
          <w:tab w:leader="none" w:pos="380" w:val="left"/>
        </w:tabs>
        <w:numPr>
          <w:ilvl w:val="0"/>
          <w:numId w:val="81"/>
        </w:numPr>
        <w:rPr>
          <w:rFonts w:ascii="Times New Roman" w:cs="Times New Roman" w:eastAsia="Times New Roman" w:hAnsi="Times New Roman"/>
          <w:sz w:val="14"/>
          <w:szCs w:val="14"/>
          <w:color w:val="auto"/>
        </w:rPr>
      </w:pPr>
      <w:r>
        <w:rPr>
          <w:rFonts w:ascii="Arial" w:cs="Arial" w:eastAsia="Arial" w:hAnsi="Arial"/>
          <w:sz w:val="14"/>
          <w:szCs w:val="14"/>
          <w:color w:val="auto"/>
        </w:rPr>
        <w:t>These amounts represent grants of performance-vesting PSUs made on May 24, 2024 under our 2023 Incentive Plan. The vesting of the PSUs is subject to performance vesting criteria over a three-year performance period. These PSU grants are described in greater detail in “Long-Term Incentive Compensation—Fiscal 2025 Grants” above.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52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7" w:name="page58"/>
    <w:bookmarkEnd w:id="57"/>
    <w:p>
      <w:pPr>
        <w:ind w:left="82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34235" cy="171450"/>
                    </a:xfrm>
                    <a:prstGeom prst="rect">
                      <a:avLst/>
                    </a:prstGeom>
                    <a:noFill/>
                  </pic:spPr>
                </pic:pic>
              </a:graphicData>
            </a:graphic>
          </wp:anchor>
        </w:drawing>
        <w:t>EXECUTIVE COMPENSATION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Outstanding Equity Awards at 2025 Fiscal Year-End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stock-based compensation awards outstanding at the end of fiscal 2025 for each of the Named Executive Officers.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051972"/>
            </w:tcBorders>
          </w:tcPr>
          <w:p>
            <w:pPr>
              <w:spacing w:after="0"/>
              <w:rPr>
                <w:sz w:val="11"/>
                <w:szCs w:val="11"/>
                <w:color w:val="auto"/>
              </w:rPr>
            </w:pPr>
          </w:p>
        </w:tc>
        <w:tc>
          <w:tcPr>
            <w:tcW w:w="620" w:type="dxa"/>
            <w:vAlign w:val="bottom"/>
            <w:tcBorders>
              <w:bottom w:val="single" w:sz="8" w:color="051972"/>
            </w:tcBorders>
          </w:tcPr>
          <w:p>
            <w:pPr>
              <w:spacing w:after="0"/>
              <w:rPr>
                <w:sz w:val="11"/>
                <w:szCs w:val="11"/>
                <w:color w:val="auto"/>
              </w:rPr>
            </w:pPr>
          </w:p>
        </w:tc>
        <w:tc>
          <w:tcPr>
            <w:tcW w:w="120" w:type="dxa"/>
            <w:vAlign w:val="bottom"/>
            <w:tcBorders>
              <w:bottom w:val="single" w:sz="8" w:color="051972"/>
            </w:tcBorders>
          </w:tcPr>
          <w:p>
            <w:pPr>
              <w:spacing w:after="0"/>
              <w:rPr>
                <w:sz w:val="11"/>
                <w:szCs w:val="11"/>
                <w:color w:val="auto"/>
              </w:rPr>
            </w:pPr>
          </w:p>
        </w:tc>
        <w:tc>
          <w:tcPr>
            <w:tcW w:w="160" w:type="dxa"/>
            <w:vAlign w:val="bottom"/>
            <w:tcBorders>
              <w:bottom w:val="single" w:sz="8" w:color="051972"/>
            </w:tcBorders>
          </w:tcPr>
          <w:p>
            <w:pPr>
              <w:spacing w:after="0"/>
              <w:rPr>
                <w:sz w:val="11"/>
                <w:szCs w:val="11"/>
                <w:color w:val="auto"/>
              </w:rPr>
            </w:pPr>
          </w:p>
        </w:tc>
        <w:tc>
          <w:tcPr>
            <w:tcW w:w="980" w:type="dxa"/>
            <w:vAlign w:val="bottom"/>
            <w:tcBorders>
              <w:bottom w:val="single" w:sz="8" w:color="051972"/>
            </w:tcBorders>
          </w:tcPr>
          <w:p>
            <w:pPr>
              <w:spacing w:after="0"/>
              <w:rPr>
                <w:sz w:val="11"/>
                <w:szCs w:val="11"/>
                <w:color w:val="auto"/>
              </w:rPr>
            </w:pPr>
          </w:p>
        </w:tc>
        <w:tc>
          <w:tcPr>
            <w:tcW w:w="200" w:type="dxa"/>
            <w:vAlign w:val="bottom"/>
            <w:tcBorders>
              <w:bottom w:val="single" w:sz="8" w:color="051972"/>
            </w:tcBorders>
          </w:tcPr>
          <w:p>
            <w:pPr>
              <w:spacing w:after="0"/>
              <w:rPr>
                <w:sz w:val="11"/>
                <w:szCs w:val="11"/>
                <w:color w:val="auto"/>
              </w:rPr>
            </w:pPr>
          </w:p>
        </w:tc>
        <w:tc>
          <w:tcPr>
            <w:tcW w:w="1220" w:type="dxa"/>
            <w:vAlign w:val="bottom"/>
            <w:tcBorders>
              <w:bottom w:val="single" w:sz="8" w:color="051972"/>
            </w:tcBorders>
          </w:tcPr>
          <w:p>
            <w:pPr>
              <w:ind w:left="100"/>
              <w:spacing w:after="0"/>
              <w:rPr>
                <w:sz w:val="20"/>
                <w:szCs w:val="20"/>
                <w:color w:val="auto"/>
              </w:rPr>
            </w:pPr>
            <w:r>
              <w:rPr>
                <w:rFonts w:ascii="Arial" w:cs="Arial" w:eastAsia="Arial" w:hAnsi="Arial"/>
                <w:sz w:val="11"/>
                <w:szCs w:val="11"/>
                <w:b w:val="1"/>
                <w:bCs w:val="1"/>
                <w:color w:val="051972"/>
              </w:rPr>
              <w:t>Option Awards</w:t>
            </w:r>
          </w:p>
        </w:tc>
        <w:tc>
          <w:tcPr>
            <w:tcW w:w="1020" w:type="dxa"/>
            <w:vAlign w:val="bottom"/>
            <w:tcBorders>
              <w:bottom w:val="single" w:sz="8" w:color="051972"/>
            </w:tcBorders>
          </w:tcPr>
          <w:p>
            <w:pPr>
              <w:spacing w:after="0"/>
              <w:rPr>
                <w:sz w:val="11"/>
                <w:szCs w:val="11"/>
                <w:color w:val="auto"/>
              </w:rPr>
            </w:pPr>
          </w:p>
        </w:tc>
        <w:tc>
          <w:tcPr>
            <w:tcW w:w="940" w:type="dxa"/>
            <w:vAlign w:val="bottom"/>
            <w:tcBorders>
              <w:bottom w:val="single" w:sz="8" w:color="051972"/>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bottom w:val="single" w:sz="8" w:color="051972"/>
            </w:tcBorders>
          </w:tcPr>
          <w:p>
            <w:pPr>
              <w:spacing w:after="0"/>
              <w:rPr>
                <w:sz w:val="11"/>
                <w:szCs w:val="11"/>
                <w:color w:val="auto"/>
              </w:rPr>
            </w:pPr>
          </w:p>
        </w:tc>
        <w:tc>
          <w:tcPr>
            <w:tcW w:w="240" w:type="dxa"/>
            <w:vAlign w:val="bottom"/>
            <w:tcBorders>
              <w:bottom w:val="single" w:sz="8" w:color="051972"/>
            </w:tcBorders>
          </w:tcPr>
          <w:p>
            <w:pPr>
              <w:spacing w:after="0"/>
              <w:rPr>
                <w:sz w:val="11"/>
                <w:szCs w:val="11"/>
                <w:color w:val="auto"/>
              </w:rPr>
            </w:pPr>
          </w:p>
        </w:tc>
        <w:tc>
          <w:tcPr>
            <w:tcW w:w="240" w:type="dxa"/>
            <w:vAlign w:val="bottom"/>
            <w:tcBorders>
              <w:bottom w:val="single" w:sz="8" w:color="051972"/>
            </w:tcBorders>
          </w:tcPr>
          <w:p>
            <w:pPr>
              <w:spacing w:after="0"/>
              <w:rPr>
                <w:sz w:val="11"/>
                <w:szCs w:val="11"/>
                <w:color w:val="auto"/>
              </w:rPr>
            </w:pPr>
          </w:p>
        </w:tc>
        <w:tc>
          <w:tcPr>
            <w:tcW w:w="1100" w:type="dxa"/>
            <w:vAlign w:val="bottom"/>
            <w:tcBorders>
              <w:bottom w:val="single" w:sz="8" w:color="051972"/>
            </w:tcBorders>
          </w:tcPr>
          <w:p>
            <w:pPr>
              <w:jc w:val="right"/>
              <w:spacing w:after="0"/>
              <w:rPr>
                <w:sz w:val="20"/>
                <w:szCs w:val="20"/>
                <w:color w:val="auto"/>
              </w:rPr>
            </w:pPr>
            <w:r>
              <w:rPr>
                <w:rFonts w:ascii="Arial" w:cs="Arial" w:eastAsia="Arial" w:hAnsi="Arial"/>
                <w:sz w:val="11"/>
                <w:szCs w:val="11"/>
                <w:b w:val="1"/>
                <w:bCs w:val="1"/>
                <w:color w:val="051972"/>
              </w:rPr>
              <w:t>Stock Awards</w:t>
            </w:r>
          </w:p>
        </w:tc>
        <w:tc>
          <w:tcPr>
            <w:tcW w:w="640" w:type="dxa"/>
            <w:vAlign w:val="bottom"/>
            <w:tcBorders>
              <w:bottom w:val="single" w:sz="8" w:color="051972"/>
            </w:tcBorders>
          </w:tcPr>
          <w:p>
            <w:pPr>
              <w:spacing w:after="0"/>
              <w:rPr>
                <w:sz w:val="11"/>
                <w:szCs w:val="11"/>
                <w:color w:val="auto"/>
              </w:rPr>
            </w:pPr>
          </w:p>
        </w:tc>
        <w:tc>
          <w:tcPr>
            <w:tcW w:w="300" w:type="dxa"/>
            <w:vAlign w:val="bottom"/>
            <w:tcBorders>
              <w:bottom w:val="single" w:sz="8" w:color="051972"/>
            </w:tcBorders>
          </w:tcPr>
          <w:p>
            <w:pPr>
              <w:spacing w:after="0"/>
              <w:rPr>
                <w:sz w:val="11"/>
                <w:szCs w:val="11"/>
                <w:color w:val="auto"/>
              </w:rPr>
            </w:pPr>
          </w:p>
        </w:tc>
        <w:tc>
          <w:tcPr>
            <w:tcW w:w="1020" w:type="dxa"/>
            <w:vAlign w:val="bottom"/>
            <w:tcBorders>
              <w:bottom w:val="single" w:sz="8" w:color="051972"/>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jc w:val="center"/>
              <w:spacing w:after="0" w:line="102" w:lineRule="exact"/>
              <w:rPr>
                <w:sz w:val="20"/>
                <w:szCs w:val="20"/>
                <w:color w:val="auto"/>
              </w:rPr>
            </w:pPr>
            <w:r>
              <w:rPr>
                <w:rFonts w:ascii="Arial" w:cs="Arial" w:eastAsia="Arial" w:hAnsi="Arial"/>
                <w:sz w:val="11"/>
                <w:szCs w:val="11"/>
                <w:b w:val="1"/>
                <w:bCs w:val="1"/>
                <w:color w:val="051972"/>
              </w:rPr>
              <w:t>Equity</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Incentive</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Plan</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Equity</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Awards:</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Incentive</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Market or</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Equity</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Plan</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Payout</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Incentive</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Awards:</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Value of</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Plan</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center"/>
              <w:ind w:right="386"/>
              <w:spacing w:after="0" w:line="122" w:lineRule="exact"/>
              <w:rPr>
                <w:sz w:val="20"/>
                <w:szCs w:val="20"/>
                <w:color w:val="auto"/>
              </w:rPr>
            </w:pPr>
            <w:r>
              <w:rPr>
                <w:rFonts w:ascii="Arial" w:cs="Arial" w:eastAsia="Arial" w:hAnsi="Arial"/>
                <w:sz w:val="11"/>
                <w:szCs w:val="11"/>
                <w:b w:val="1"/>
                <w:bCs w:val="1"/>
                <w:color w:val="051972"/>
                <w:w w:val="95"/>
              </w:rPr>
              <w:t>Market</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Number of</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Unearned</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Awards:</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center"/>
              <w:ind w:right="386"/>
              <w:spacing w:after="0" w:line="122" w:lineRule="exact"/>
              <w:rPr>
                <w:sz w:val="20"/>
                <w:szCs w:val="20"/>
                <w:color w:val="auto"/>
              </w:rPr>
            </w:pPr>
            <w:r>
              <w:rPr>
                <w:rFonts w:ascii="Arial" w:cs="Arial" w:eastAsia="Arial" w:hAnsi="Arial"/>
                <w:sz w:val="11"/>
                <w:szCs w:val="11"/>
                <w:b w:val="1"/>
                <w:bCs w:val="1"/>
                <w:color w:val="051972"/>
                <w:w w:val="98"/>
              </w:rPr>
              <w:t>Value of</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Unearned</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Shares,</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051972"/>
                <w:w w:val="98"/>
              </w:rPr>
              <w:t>Number of</w:t>
            </w:r>
          </w:p>
        </w:tc>
        <w:tc>
          <w:tcPr>
            <w:tcW w:w="160" w:type="dxa"/>
            <w:vAlign w:val="bottom"/>
          </w:tcPr>
          <w:p>
            <w:pPr>
              <w:spacing w:after="0"/>
              <w:rPr>
                <w:sz w:val="10"/>
                <w:szCs w:val="10"/>
                <w:color w:val="auto"/>
              </w:rPr>
            </w:pPr>
          </w:p>
        </w:tc>
        <w:tc>
          <w:tcPr>
            <w:tcW w:w="980" w:type="dxa"/>
            <w:vAlign w:val="bottom"/>
          </w:tcPr>
          <w:p>
            <w:pPr>
              <w:jc w:val="center"/>
              <w:ind w:left="226"/>
              <w:spacing w:after="0" w:line="122" w:lineRule="exact"/>
              <w:rPr>
                <w:sz w:val="20"/>
                <w:szCs w:val="20"/>
                <w:color w:val="auto"/>
              </w:rPr>
            </w:pPr>
            <w:r>
              <w:rPr>
                <w:rFonts w:ascii="Arial" w:cs="Arial" w:eastAsia="Arial" w:hAnsi="Arial"/>
                <w:sz w:val="11"/>
                <w:szCs w:val="11"/>
                <w:b w:val="1"/>
                <w:bCs w:val="1"/>
                <w:color w:val="051972"/>
                <w:w w:val="98"/>
              </w:rPr>
              <w:t>Number of</w:t>
            </w:r>
          </w:p>
        </w:tc>
        <w:tc>
          <w:tcPr>
            <w:tcW w:w="2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Number of</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66"/>
              <w:spacing w:after="0" w:line="122" w:lineRule="exact"/>
              <w:rPr>
                <w:sz w:val="20"/>
                <w:szCs w:val="20"/>
                <w:color w:val="auto"/>
              </w:rPr>
            </w:pPr>
            <w:r>
              <w:rPr>
                <w:rFonts w:ascii="Arial" w:cs="Arial" w:eastAsia="Arial" w:hAnsi="Arial"/>
                <w:sz w:val="11"/>
                <w:szCs w:val="11"/>
                <w:b w:val="1"/>
                <w:bCs w:val="1"/>
                <w:color w:val="051972"/>
                <w:w w:val="98"/>
              </w:rPr>
              <w:t>Number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center"/>
              <w:ind w:right="386"/>
              <w:spacing w:after="0" w:line="122" w:lineRule="exact"/>
              <w:rPr>
                <w:sz w:val="20"/>
                <w:szCs w:val="20"/>
                <w:color w:val="auto"/>
              </w:rPr>
            </w:pPr>
            <w:r>
              <w:rPr>
                <w:rFonts w:ascii="Arial" w:cs="Arial" w:eastAsia="Arial" w:hAnsi="Arial"/>
                <w:sz w:val="11"/>
                <w:szCs w:val="11"/>
                <w:b w:val="1"/>
                <w:bCs w:val="1"/>
                <w:color w:val="051972"/>
                <w:w w:val="98"/>
              </w:rPr>
              <w:t>Shares or</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Shares,</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Units</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051972"/>
                <w:w w:val="98"/>
              </w:rPr>
              <w:t>Securities</w:t>
            </w:r>
          </w:p>
        </w:tc>
        <w:tc>
          <w:tcPr>
            <w:tcW w:w="160" w:type="dxa"/>
            <w:vAlign w:val="bottom"/>
          </w:tcPr>
          <w:p>
            <w:pPr>
              <w:spacing w:after="0"/>
              <w:rPr>
                <w:sz w:val="10"/>
                <w:szCs w:val="10"/>
                <w:color w:val="auto"/>
              </w:rPr>
            </w:pPr>
          </w:p>
        </w:tc>
        <w:tc>
          <w:tcPr>
            <w:tcW w:w="980" w:type="dxa"/>
            <w:vAlign w:val="bottom"/>
          </w:tcPr>
          <w:p>
            <w:pPr>
              <w:jc w:val="center"/>
              <w:ind w:left="226"/>
              <w:spacing w:after="0" w:line="122" w:lineRule="exact"/>
              <w:rPr>
                <w:sz w:val="20"/>
                <w:szCs w:val="20"/>
                <w:color w:val="auto"/>
              </w:rPr>
            </w:pPr>
            <w:r>
              <w:rPr>
                <w:rFonts w:ascii="Arial" w:cs="Arial" w:eastAsia="Arial" w:hAnsi="Arial"/>
                <w:sz w:val="11"/>
                <w:szCs w:val="11"/>
                <w:b w:val="1"/>
                <w:bCs w:val="1"/>
                <w:color w:val="051972"/>
                <w:w w:val="94"/>
              </w:rPr>
              <w:t>Securities</w:t>
            </w:r>
          </w:p>
        </w:tc>
        <w:tc>
          <w:tcPr>
            <w:tcW w:w="2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Securities</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66"/>
              <w:spacing w:after="0" w:line="122" w:lineRule="exact"/>
              <w:rPr>
                <w:sz w:val="20"/>
                <w:szCs w:val="20"/>
                <w:color w:val="auto"/>
              </w:rPr>
            </w:pPr>
            <w:r>
              <w:rPr>
                <w:rFonts w:ascii="Arial" w:cs="Arial" w:eastAsia="Arial" w:hAnsi="Arial"/>
                <w:sz w:val="11"/>
                <w:szCs w:val="11"/>
                <w:b w:val="1"/>
                <w:bCs w:val="1"/>
                <w:color w:val="051972"/>
                <w:w w:val="98"/>
              </w:rPr>
              <w:t>Shares or</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center"/>
              <w:ind w:right="366"/>
              <w:spacing w:after="0" w:line="122" w:lineRule="exact"/>
              <w:rPr>
                <w:sz w:val="20"/>
                <w:szCs w:val="20"/>
                <w:color w:val="auto"/>
              </w:rPr>
            </w:pPr>
            <w:r>
              <w:rPr>
                <w:rFonts w:ascii="Arial" w:cs="Arial" w:eastAsia="Arial" w:hAnsi="Arial"/>
                <w:sz w:val="11"/>
                <w:szCs w:val="11"/>
                <w:b w:val="1"/>
                <w:bCs w:val="1"/>
                <w:color w:val="051972"/>
                <w:w w:val="97"/>
              </w:rPr>
              <w:t>Units of</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Units</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or Other</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051972"/>
                <w:w w:val="97"/>
              </w:rPr>
              <w:t>Underlying</w:t>
            </w:r>
          </w:p>
        </w:tc>
        <w:tc>
          <w:tcPr>
            <w:tcW w:w="160" w:type="dxa"/>
            <w:vAlign w:val="bottom"/>
          </w:tcPr>
          <w:p>
            <w:pPr>
              <w:spacing w:after="0"/>
              <w:rPr>
                <w:sz w:val="10"/>
                <w:szCs w:val="10"/>
                <w:color w:val="auto"/>
              </w:rPr>
            </w:pPr>
          </w:p>
        </w:tc>
        <w:tc>
          <w:tcPr>
            <w:tcW w:w="980" w:type="dxa"/>
            <w:vAlign w:val="bottom"/>
          </w:tcPr>
          <w:p>
            <w:pPr>
              <w:jc w:val="center"/>
              <w:ind w:left="226"/>
              <w:spacing w:after="0" w:line="122" w:lineRule="exact"/>
              <w:rPr>
                <w:sz w:val="20"/>
                <w:szCs w:val="20"/>
                <w:color w:val="auto"/>
              </w:rPr>
            </w:pPr>
            <w:r>
              <w:rPr>
                <w:rFonts w:ascii="Arial" w:cs="Arial" w:eastAsia="Arial" w:hAnsi="Arial"/>
                <w:sz w:val="11"/>
                <w:szCs w:val="11"/>
                <w:b w:val="1"/>
                <w:bCs w:val="1"/>
                <w:color w:val="051972"/>
              </w:rPr>
              <w:t>Underlying</w:t>
            </w:r>
          </w:p>
        </w:tc>
        <w:tc>
          <w:tcPr>
            <w:tcW w:w="2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Underlying</w:t>
            </w: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46"/>
              <w:spacing w:after="0" w:line="122" w:lineRule="exact"/>
              <w:rPr>
                <w:sz w:val="20"/>
                <w:szCs w:val="20"/>
                <w:color w:val="auto"/>
              </w:rPr>
            </w:pPr>
            <w:r>
              <w:rPr>
                <w:rFonts w:ascii="Arial" w:cs="Arial" w:eastAsia="Arial" w:hAnsi="Arial"/>
                <w:sz w:val="11"/>
                <w:szCs w:val="11"/>
                <w:b w:val="1"/>
                <w:bCs w:val="1"/>
                <w:color w:val="051972"/>
                <w:w w:val="97"/>
              </w:rPr>
              <w:t>Units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center"/>
              <w:ind w:right="386"/>
              <w:spacing w:after="0" w:line="122" w:lineRule="exact"/>
              <w:rPr>
                <w:sz w:val="20"/>
                <w:szCs w:val="20"/>
                <w:color w:val="auto"/>
              </w:rPr>
            </w:pPr>
            <w:r>
              <w:rPr>
                <w:rFonts w:ascii="Arial" w:cs="Arial" w:eastAsia="Arial" w:hAnsi="Arial"/>
                <w:sz w:val="11"/>
                <w:szCs w:val="11"/>
                <w:b w:val="1"/>
                <w:bCs w:val="1"/>
                <w:color w:val="051972"/>
                <w:w w:val="99"/>
              </w:rPr>
              <w:t>Stock</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or Other</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Rights</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051972"/>
                <w:w w:val="97"/>
              </w:rPr>
              <w:t>Unexercised</w:t>
            </w:r>
          </w:p>
        </w:tc>
        <w:tc>
          <w:tcPr>
            <w:tcW w:w="160" w:type="dxa"/>
            <w:vAlign w:val="bottom"/>
          </w:tcPr>
          <w:p>
            <w:pPr>
              <w:spacing w:after="0"/>
              <w:rPr>
                <w:sz w:val="10"/>
                <w:szCs w:val="10"/>
                <w:color w:val="auto"/>
              </w:rPr>
            </w:pPr>
          </w:p>
        </w:tc>
        <w:tc>
          <w:tcPr>
            <w:tcW w:w="980" w:type="dxa"/>
            <w:vAlign w:val="bottom"/>
          </w:tcPr>
          <w:p>
            <w:pPr>
              <w:jc w:val="center"/>
              <w:ind w:left="246"/>
              <w:spacing w:after="0" w:line="122" w:lineRule="exact"/>
              <w:rPr>
                <w:sz w:val="20"/>
                <w:szCs w:val="20"/>
                <w:color w:val="auto"/>
              </w:rPr>
            </w:pPr>
            <w:r>
              <w:rPr>
                <w:rFonts w:ascii="Arial" w:cs="Arial" w:eastAsia="Arial" w:hAnsi="Arial"/>
                <w:sz w:val="11"/>
                <w:szCs w:val="11"/>
                <w:b w:val="1"/>
                <w:bCs w:val="1"/>
                <w:color w:val="051972"/>
                <w:w w:val="97"/>
              </w:rPr>
              <w:t>Unexercised</w:t>
            </w:r>
          </w:p>
        </w:tc>
        <w:tc>
          <w:tcPr>
            <w:tcW w:w="2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Unexercised</w:t>
            </w:r>
          </w:p>
        </w:tc>
        <w:tc>
          <w:tcPr>
            <w:tcW w:w="102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051972"/>
              </w:rPr>
              <w:t>Option</w:t>
            </w: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66"/>
              <w:spacing w:after="0" w:line="122" w:lineRule="exact"/>
              <w:rPr>
                <w:sz w:val="20"/>
                <w:szCs w:val="20"/>
                <w:color w:val="auto"/>
              </w:rPr>
            </w:pPr>
            <w:r>
              <w:rPr>
                <w:rFonts w:ascii="Arial" w:cs="Arial" w:eastAsia="Arial" w:hAnsi="Arial"/>
                <w:sz w:val="11"/>
                <w:szCs w:val="11"/>
                <w:b w:val="1"/>
                <w:bCs w:val="1"/>
                <w:color w:val="051972"/>
                <w:w w:val="95"/>
              </w:rPr>
              <w:t>Stock That</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center"/>
              <w:ind w:right="386"/>
              <w:spacing w:after="0" w:line="122" w:lineRule="exact"/>
              <w:rPr>
                <w:sz w:val="20"/>
                <w:szCs w:val="20"/>
                <w:color w:val="auto"/>
              </w:rPr>
            </w:pPr>
            <w:r>
              <w:rPr>
                <w:rFonts w:ascii="Arial" w:cs="Arial" w:eastAsia="Arial" w:hAnsi="Arial"/>
                <w:sz w:val="11"/>
                <w:szCs w:val="11"/>
                <w:b w:val="1"/>
                <w:bCs w:val="1"/>
                <w:color w:val="051972"/>
                <w:w w:val="94"/>
              </w:rPr>
              <w:t>That</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Rights That</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That</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051972"/>
                <w:w w:val="96"/>
              </w:rPr>
              <w:t>Options</w:t>
            </w:r>
          </w:p>
        </w:tc>
        <w:tc>
          <w:tcPr>
            <w:tcW w:w="160" w:type="dxa"/>
            <w:vAlign w:val="bottom"/>
          </w:tcPr>
          <w:p>
            <w:pPr>
              <w:spacing w:after="0"/>
              <w:rPr>
                <w:sz w:val="10"/>
                <w:szCs w:val="10"/>
                <w:color w:val="auto"/>
              </w:rPr>
            </w:pPr>
          </w:p>
        </w:tc>
        <w:tc>
          <w:tcPr>
            <w:tcW w:w="980" w:type="dxa"/>
            <w:vAlign w:val="bottom"/>
          </w:tcPr>
          <w:p>
            <w:pPr>
              <w:jc w:val="center"/>
              <w:ind w:left="226"/>
              <w:spacing w:after="0" w:line="122" w:lineRule="exact"/>
              <w:rPr>
                <w:sz w:val="20"/>
                <w:szCs w:val="20"/>
                <w:color w:val="auto"/>
              </w:rPr>
            </w:pPr>
            <w:r>
              <w:rPr>
                <w:rFonts w:ascii="Arial" w:cs="Arial" w:eastAsia="Arial" w:hAnsi="Arial"/>
                <w:sz w:val="11"/>
                <w:szCs w:val="11"/>
                <w:b w:val="1"/>
                <w:bCs w:val="1"/>
                <w:color w:val="051972"/>
              </w:rPr>
              <w:t>Options</w:t>
            </w:r>
          </w:p>
        </w:tc>
        <w:tc>
          <w:tcPr>
            <w:tcW w:w="200" w:type="dxa"/>
            <w:vAlign w:val="bottom"/>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Unearned</w:t>
            </w:r>
          </w:p>
        </w:tc>
        <w:tc>
          <w:tcPr>
            <w:tcW w:w="102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051972"/>
                <w:w w:val="97"/>
              </w:rPr>
              <w:t>Exercise</w:t>
            </w:r>
          </w:p>
        </w:tc>
        <w:tc>
          <w:tcPr>
            <w:tcW w:w="940" w:type="dxa"/>
            <w:vAlign w:val="bottom"/>
          </w:tcPr>
          <w:p>
            <w:pPr>
              <w:jc w:val="center"/>
              <w:ind w:left="86"/>
              <w:spacing w:after="0" w:line="122" w:lineRule="exact"/>
              <w:rPr>
                <w:sz w:val="20"/>
                <w:szCs w:val="20"/>
                <w:color w:val="auto"/>
              </w:rPr>
            </w:pPr>
            <w:r>
              <w:rPr>
                <w:rFonts w:ascii="Arial" w:cs="Arial" w:eastAsia="Arial" w:hAnsi="Arial"/>
                <w:sz w:val="11"/>
                <w:szCs w:val="11"/>
                <w:b w:val="1"/>
                <w:bCs w:val="1"/>
                <w:color w:val="051972"/>
              </w:rPr>
              <w:t>Option</w:t>
            </w:r>
          </w:p>
        </w:tc>
        <w:tc>
          <w:tcPr>
            <w:tcW w:w="10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66"/>
              <w:spacing w:after="0" w:line="122" w:lineRule="exact"/>
              <w:rPr>
                <w:sz w:val="20"/>
                <w:szCs w:val="20"/>
                <w:color w:val="auto"/>
              </w:rPr>
            </w:pPr>
            <w:r>
              <w:rPr>
                <w:rFonts w:ascii="Arial" w:cs="Arial" w:eastAsia="Arial" w:hAnsi="Arial"/>
                <w:sz w:val="11"/>
                <w:szCs w:val="11"/>
                <w:b w:val="1"/>
                <w:bCs w:val="1"/>
                <w:color w:val="051972"/>
                <w:w w:val="96"/>
              </w:rPr>
              <w:t>Have Not</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center"/>
              <w:ind w:right="386"/>
              <w:spacing w:after="0" w:line="122" w:lineRule="exact"/>
              <w:rPr>
                <w:sz w:val="20"/>
                <w:szCs w:val="20"/>
                <w:color w:val="auto"/>
              </w:rPr>
            </w:pPr>
            <w:r>
              <w:rPr>
                <w:rFonts w:ascii="Arial" w:cs="Arial" w:eastAsia="Arial" w:hAnsi="Arial"/>
                <w:sz w:val="11"/>
                <w:szCs w:val="11"/>
                <w:b w:val="1"/>
                <w:bCs w:val="1"/>
                <w:color w:val="051972"/>
                <w:w w:val="96"/>
              </w:rPr>
              <w:t>Have Not</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Have Not</w:t>
            </w:r>
          </w:p>
        </w:tc>
        <w:tc>
          <w:tcPr>
            <w:tcW w:w="30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Have Not</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051972"/>
                <w:w w:val="98"/>
              </w:rPr>
              <w:t>Exercisable</w:t>
            </w:r>
          </w:p>
        </w:tc>
        <w:tc>
          <w:tcPr>
            <w:tcW w:w="160" w:type="dxa"/>
            <w:vAlign w:val="bottom"/>
          </w:tcPr>
          <w:p>
            <w:pPr>
              <w:spacing w:after="0"/>
              <w:rPr>
                <w:sz w:val="9"/>
                <w:szCs w:val="9"/>
                <w:color w:val="auto"/>
              </w:rPr>
            </w:pPr>
          </w:p>
        </w:tc>
        <w:tc>
          <w:tcPr>
            <w:tcW w:w="1180" w:type="dxa"/>
            <w:vAlign w:val="bottom"/>
            <w:gridSpan w:val="2"/>
          </w:tcPr>
          <w:p>
            <w:pPr>
              <w:jc w:val="center"/>
              <w:ind w:left="26"/>
              <w:spacing w:after="0" w:line="108" w:lineRule="exact"/>
              <w:rPr>
                <w:sz w:val="20"/>
                <w:szCs w:val="20"/>
                <w:color w:val="auto"/>
              </w:rPr>
            </w:pPr>
            <w:r>
              <w:rPr>
                <w:rFonts w:ascii="Arial" w:cs="Arial" w:eastAsia="Arial" w:hAnsi="Arial"/>
                <w:sz w:val="11"/>
                <w:szCs w:val="11"/>
                <w:b w:val="1"/>
                <w:bCs w:val="1"/>
                <w:color w:val="051972"/>
                <w:w w:val="99"/>
              </w:rPr>
              <w:t>Unexercisable</w:t>
            </w:r>
          </w:p>
        </w:tc>
        <w:tc>
          <w:tcPr>
            <w:tcW w:w="122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6"/>
              </w:rPr>
              <w:t>Options</w:t>
            </w:r>
          </w:p>
        </w:tc>
        <w:tc>
          <w:tcPr>
            <w:tcW w:w="1020" w:type="dxa"/>
            <w:vAlign w:val="bottom"/>
          </w:tcPr>
          <w:p>
            <w:pPr>
              <w:jc w:val="center"/>
              <w:ind w:left="6"/>
              <w:spacing w:after="0" w:line="108" w:lineRule="exact"/>
              <w:rPr>
                <w:sz w:val="20"/>
                <w:szCs w:val="20"/>
                <w:color w:val="auto"/>
              </w:rPr>
            </w:pPr>
            <w:r>
              <w:rPr>
                <w:rFonts w:ascii="Arial" w:cs="Arial" w:eastAsia="Arial" w:hAnsi="Arial"/>
                <w:sz w:val="11"/>
                <w:szCs w:val="11"/>
                <w:b w:val="1"/>
                <w:bCs w:val="1"/>
                <w:color w:val="051972"/>
              </w:rPr>
              <w:t>Price</w:t>
            </w:r>
          </w:p>
        </w:tc>
        <w:tc>
          <w:tcPr>
            <w:tcW w:w="940" w:type="dxa"/>
            <w:vAlign w:val="bottom"/>
          </w:tcPr>
          <w:p>
            <w:pPr>
              <w:jc w:val="center"/>
              <w:ind w:left="86"/>
              <w:spacing w:after="0" w:line="108" w:lineRule="exact"/>
              <w:rPr>
                <w:sz w:val="20"/>
                <w:szCs w:val="20"/>
                <w:color w:val="auto"/>
              </w:rPr>
            </w:pPr>
            <w:r>
              <w:rPr>
                <w:rFonts w:ascii="Arial" w:cs="Arial" w:eastAsia="Arial" w:hAnsi="Arial"/>
                <w:sz w:val="11"/>
                <w:szCs w:val="11"/>
                <w:b w:val="1"/>
                <w:bCs w:val="1"/>
                <w:color w:val="051972"/>
                <w:w w:val="96"/>
              </w:rPr>
              <w:t>Expiration</w:t>
            </w:r>
          </w:p>
        </w:tc>
        <w:tc>
          <w:tcPr>
            <w:tcW w:w="100" w:type="dxa"/>
            <w:vAlign w:val="bottom"/>
            <w:tcBorders>
              <w:right w:val="single" w:sz="8" w:color="051972"/>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left="146"/>
              <w:spacing w:after="0" w:line="108" w:lineRule="exact"/>
              <w:rPr>
                <w:sz w:val="20"/>
                <w:szCs w:val="20"/>
                <w:color w:val="auto"/>
              </w:rPr>
            </w:pPr>
            <w:r>
              <w:rPr>
                <w:rFonts w:ascii="Arial" w:cs="Arial" w:eastAsia="Arial" w:hAnsi="Arial"/>
                <w:sz w:val="11"/>
                <w:szCs w:val="11"/>
                <w:b w:val="1"/>
                <w:bCs w:val="1"/>
                <w:color w:val="051972"/>
                <w:w w:val="99"/>
              </w:rPr>
              <w:t>Vested</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jc w:val="center"/>
              <w:ind w:right="366"/>
              <w:spacing w:after="0" w:line="108" w:lineRule="exact"/>
              <w:rPr>
                <w:sz w:val="20"/>
                <w:szCs w:val="20"/>
                <w:color w:val="auto"/>
              </w:rPr>
            </w:pPr>
            <w:r>
              <w:rPr>
                <w:rFonts w:ascii="Arial" w:cs="Arial" w:eastAsia="Arial" w:hAnsi="Arial"/>
                <w:sz w:val="11"/>
                <w:szCs w:val="11"/>
                <w:b w:val="1"/>
                <w:bCs w:val="1"/>
                <w:color w:val="051972"/>
                <w:w w:val="99"/>
              </w:rPr>
              <w:t>Vested</w:t>
            </w:r>
          </w:p>
        </w:tc>
        <w:tc>
          <w:tcPr>
            <w:tcW w:w="64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9"/>
              </w:rPr>
              <w:t>Vested</w:t>
            </w:r>
          </w:p>
        </w:tc>
        <w:tc>
          <w:tcPr>
            <w:tcW w:w="300" w:type="dxa"/>
            <w:vAlign w:val="bottom"/>
          </w:tcPr>
          <w:p>
            <w:pPr>
              <w:spacing w:after="0"/>
              <w:rPr>
                <w:sz w:val="9"/>
                <w:szCs w:val="9"/>
                <w:color w:val="auto"/>
              </w:rPr>
            </w:pPr>
          </w:p>
        </w:tc>
        <w:tc>
          <w:tcPr>
            <w:tcW w:w="102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9"/>
              </w:rPr>
              <w:t>Vested</w:t>
            </w:r>
          </w:p>
        </w:tc>
        <w:tc>
          <w:tcPr>
            <w:tcW w:w="0" w:type="dxa"/>
            <w:vAlign w:val="bottom"/>
          </w:tcPr>
          <w:p>
            <w:pPr>
              <w:spacing w:after="0"/>
              <w:rPr>
                <w:sz w:val="1"/>
                <w:szCs w:val="1"/>
                <w:color w:val="auto"/>
              </w:rPr>
            </w:pPr>
          </w:p>
        </w:tc>
      </w:tr>
      <w:tr>
        <w:trPr>
          <w:trHeight w:val="189"/>
        </w:trPr>
        <w:tc>
          <w:tcPr>
            <w:tcW w:w="1200" w:type="dxa"/>
            <w:vAlign w:val="bottom"/>
            <w:tcBorders>
              <w:bottom w:val="single" w:sz="8" w:color="051972"/>
            </w:tcBorders>
          </w:tcPr>
          <w:p>
            <w:pPr>
              <w:ind w:left="20"/>
              <w:spacing w:after="0"/>
              <w:rPr>
                <w:sz w:val="20"/>
                <w:szCs w:val="20"/>
                <w:color w:val="auto"/>
              </w:rPr>
            </w:pPr>
            <w:r>
              <w:rPr>
                <w:rFonts w:ascii="Arial" w:cs="Arial" w:eastAsia="Arial" w:hAnsi="Arial"/>
                <w:sz w:val="11"/>
                <w:szCs w:val="11"/>
                <w:b w:val="1"/>
                <w:bCs w:val="1"/>
                <w:color w:val="051972"/>
              </w:rPr>
              <w:t>Name</w:t>
            </w:r>
          </w:p>
        </w:tc>
        <w:tc>
          <w:tcPr>
            <w:tcW w:w="860" w:type="dxa"/>
            <w:vAlign w:val="bottom"/>
            <w:tcBorders>
              <w:bottom w:val="single" w:sz="8" w:color="051972"/>
            </w:tcBorders>
            <w:gridSpan w:val="3"/>
          </w:tcPr>
          <w:p>
            <w:pPr>
              <w:jc w:val="center"/>
              <w:ind w:left="346"/>
              <w:spacing w:after="0"/>
              <w:rPr>
                <w:sz w:val="20"/>
                <w:szCs w:val="20"/>
                <w:color w:val="auto"/>
              </w:rPr>
            </w:pPr>
            <w:r>
              <w:rPr>
                <w:rFonts w:ascii="Arial" w:cs="Arial" w:eastAsia="Arial" w:hAnsi="Arial"/>
                <w:sz w:val="11"/>
                <w:szCs w:val="11"/>
                <w:b w:val="1"/>
                <w:bCs w:val="1"/>
                <w:color w:val="051972"/>
              </w:rPr>
              <w:t>(#)</w:t>
            </w:r>
          </w:p>
        </w:tc>
        <w:tc>
          <w:tcPr>
            <w:tcW w:w="120" w:type="dxa"/>
            <w:vAlign w:val="bottom"/>
            <w:tcBorders>
              <w:bottom w:val="single" w:sz="8" w:color="051972"/>
            </w:tcBorders>
          </w:tcPr>
          <w:p>
            <w:pPr>
              <w:spacing w:after="0"/>
              <w:rPr>
                <w:sz w:val="16"/>
                <w:szCs w:val="16"/>
                <w:color w:val="auto"/>
              </w:rPr>
            </w:pPr>
          </w:p>
        </w:tc>
        <w:tc>
          <w:tcPr>
            <w:tcW w:w="1140" w:type="dxa"/>
            <w:vAlign w:val="bottom"/>
            <w:tcBorders>
              <w:bottom w:val="single" w:sz="8" w:color="051972"/>
            </w:tcBorders>
            <w:gridSpan w:val="2"/>
          </w:tcPr>
          <w:p>
            <w:pPr>
              <w:jc w:val="center"/>
              <w:ind w:left="386"/>
              <w:spacing w:after="0"/>
              <w:rPr>
                <w:sz w:val="20"/>
                <w:szCs w:val="20"/>
                <w:color w:val="auto"/>
              </w:rPr>
            </w:pPr>
            <w:r>
              <w:rPr>
                <w:rFonts w:ascii="Arial" w:cs="Arial" w:eastAsia="Arial" w:hAnsi="Arial"/>
                <w:sz w:val="11"/>
                <w:szCs w:val="11"/>
                <w:b w:val="1"/>
                <w:bCs w:val="1"/>
                <w:color w:val="051972"/>
              </w:rPr>
              <w:t>(#)</w:t>
            </w:r>
          </w:p>
        </w:tc>
        <w:tc>
          <w:tcPr>
            <w:tcW w:w="200" w:type="dxa"/>
            <w:vAlign w:val="bottom"/>
            <w:tcBorders>
              <w:bottom w:val="single" w:sz="8" w:color="051972"/>
            </w:tcBorders>
          </w:tcPr>
          <w:p>
            <w:pPr>
              <w:spacing w:after="0"/>
              <w:rPr>
                <w:sz w:val="16"/>
                <w:szCs w:val="16"/>
                <w:color w:val="auto"/>
              </w:rPr>
            </w:pPr>
          </w:p>
        </w:tc>
        <w:tc>
          <w:tcPr>
            <w:tcW w:w="122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p>
        </w:tc>
        <w:tc>
          <w:tcPr>
            <w:tcW w:w="1020" w:type="dxa"/>
            <w:vAlign w:val="bottom"/>
            <w:tcBorders>
              <w:bottom w:val="single" w:sz="8" w:color="051972"/>
            </w:tcBorders>
          </w:tcPr>
          <w:p>
            <w:pPr>
              <w:jc w:val="center"/>
              <w:ind w:left="6"/>
              <w:spacing w:after="0"/>
              <w:rPr>
                <w:sz w:val="20"/>
                <w:szCs w:val="20"/>
                <w:color w:val="auto"/>
              </w:rPr>
            </w:pPr>
            <w:r>
              <w:rPr>
                <w:rFonts w:ascii="Arial" w:cs="Arial" w:eastAsia="Arial" w:hAnsi="Arial"/>
                <w:sz w:val="11"/>
                <w:szCs w:val="11"/>
                <w:b w:val="1"/>
                <w:bCs w:val="1"/>
                <w:color w:val="051972"/>
                <w:w w:val="88"/>
              </w:rPr>
              <w:t>($)</w:t>
            </w:r>
          </w:p>
        </w:tc>
        <w:tc>
          <w:tcPr>
            <w:tcW w:w="940" w:type="dxa"/>
            <w:vAlign w:val="bottom"/>
            <w:tcBorders>
              <w:bottom w:val="single" w:sz="8" w:color="051972"/>
            </w:tcBorders>
          </w:tcPr>
          <w:p>
            <w:pPr>
              <w:jc w:val="center"/>
              <w:ind w:left="86"/>
              <w:spacing w:after="0"/>
              <w:rPr>
                <w:sz w:val="20"/>
                <w:szCs w:val="20"/>
                <w:color w:val="auto"/>
              </w:rPr>
            </w:pPr>
            <w:r>
              <w:rPr>
                <w:rFonts w:ascii="Arial" w:cs="Arial" w:eastAsia="Arial" w:hAnsi="Arial"/>
                <w:sz w:val="11"/>
                <w:szCs w:val="11"/>
                <w:b w:val="1"/>
                <w:bCs w:val="1"/>
                <w:color w:val="051972"/>
              </w:rPr>
              <w:t>Date</w:t>
            </w:r>
          </w:p>
        </w:tc>
        <w:tc>
          <w:tcPr>
            <w:tcW w:w="100" w:type="dxa"/>
            <w:vAlign w:val="bottom"/>
            <w:tcBorders>
              <w:bottom w:val="single" w:sz="8" w:color="051972"/>
              <w:right w:val="single" w:sz="8" w:color="051972"/>
            </w:tcBorders>
          </w:tcPr>
          <w:p>
            <w:pPr>
              <w:spacing w:after="0"/>
              <w:rPr>
                <w:sz w:val="16"/>
                <w:szCs w:val="16"/>
                <w:color w:val="auto"/>
              </w:rPr>
            </w:pPr>
          </w:p>
        </w:tc>
        <w:tc>
          <w:tcPr>
            <w:tcW w:w="900" w:type="dxa"/>
            <w:vAlign w:val="bottom"/>
            <w:tcBorders>
              <w:bottom w:val="single" w:sz="8" w:color="051972"/>
            </w:tcBorders>
            <w:gridSpan w:val="2"/>
          </w:tcPr>
          <w:p>
            <w:pPr>
              <w:jc w:val="center"/>
              <w:ind w:left="266"/>
              <w:spacing w:after="0"/>
              <w:rPr>
                <w:sz w:val="20"/>
                <w:szCs w:val="20"/>
                <w:color w:val="auto"/>
              </w:rPr>
            </w:pPr>
            <w:r>
              <w:rPr>
                <w:rFonts w:ascii="Arial" w:cs="Arial" w:eastAsia="Arial" w:hAnsi="Arial"/>
                <w:sz w:val="11"/>
                <w:szCs w:val="11"/>
                <w:b w:val="1"/>
                <w:bCs w:val="1"/>
                <w:color w:val="051972"/>
              </w:rPr>
              <w:t>(#)</w:t>
            </w:r>
          </w:p>
        </w:tc>
        <w:tc>
          <w:tcPr>
            <w:tcW w:w="240" w:type="dxa"/>
            <w:vAlign w:val="bottom"/>
            <w:tcBorders>
              <w:bottom w:val="single" w:sz="8" w:color="051972"/>
            </w:tcBorders>
          </w:tcPr>
          <w:p>
            <w:pPr>
              <w:spacing w:after="0"/>
              <w:rPr>
                <w:sz w:val="16"/>
                <w:szCs w:val="16"/>
                <w:color w:val="auto"/>
              </w:rPr>
            </w:pPr>
          </w:p>
        </w:tc>
        <w:tc>
          <w:tcPr>
            <w:tcW w:w="240" w:type="dxa"/>
            <w:vAlign w:val="bottom"/>
            <w:tcBorders>
              <w:bottom w:val="single" w:sz="8" w:color="051972"/>
            </w:tcBorders>
          </w:tcPr>
          <w:p>
            <w:pPr>
              <w:spacing w:after="0"/>
              <w:rPr>
                <w:sz w:val="16"/>
                <w:szCs w:val="16"/>
                <w:color w:val="auto"/>
              </w:rPr>
            </w:pPr>
          </w:p>
        </w:tc>
        <w:tc>
          <w:tcPr>
            <w:tcW w:w="1100" w:type="dxa"/>
            <w:vAlign w:val="bottom"/>
            <w:tcBorders>
              <w:bottom w:val="single" w:sz="8" w:color="051972"/>
            </w:tcBorders>
          </w:tcPr>
          <w:p>
            <w:pPr>
              <w:jc w:val="center"/>
              <w:ind w:right="386"/>
              <w:spacing w:after="0" w:line="189" w:lineRule="exact"/>
              <w:rPr>
                <w:sz w:val="20"/>
                <w:szCs w:val="20"/>
                <w:color w:val="auto"/>
              </w:rPr>
            </w:pPr>
            <w:r>
              <w:rPr>
                <w:rFonts w:ascii="Arial" w:cs="Arial" w:eastAsia="Arial" w:hAnsi="Arial"/>
                <w:sz w:val="21"/>
                <w:szCs w:val="21"/>
                <w:b w:val="1"/>
                <w:bCs w:val="1"/>
                <w:color w:val="051972"/>
                <w:w w:val="85"/>
                <w:vertAlign w:val="subscript"/>
              </w:rPr>
              <w:t>($)</w:t>
            </w:r>
            <w:r>
              <w:rPr>
                <w:rFonts w:ascii="Arial" w:cs="Arial" w:eastAsia="Arial" w:hAnsi="Arial"/>
                <w:sz w:val="7"/>
                <w:szCs w:val="7"/>
                <w:b w:val="1"/>
                <w:bCs w:val="1"/>
                <w:color w:val="051972"/>
                <w:w w:val="85"/>
              </w:rPr>
              <w:t>(1)</w:t>
            </w:r>
          </w:p>
        </w:tc>
        <w:tc>
          <w:tcPr>
            <w:tcW w:w="64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p>
        </w:tc>
        <w:tc>
          <w:tcPr>
            <w:tcW w:w="300" w:type="dxa"/>
            <w:vAlign w:val="bottom"/>
            <w:tcBorders>
              <w:bottom w:val="single" w:sz="8" w:color="051972"/>
            </w:tcBorders>
          </w:tcPr>
          <w:p>
            <w:pPr>
              <w:spacing w:after="0"/>
              <w:rPr>
                <w:sz w:val="16"/>
                <w:szCs w:val="16"/>
                <w:color w:val="auto"/>
              </w:rPr>
            </w:pPr>
          </w:p>
        </w:tc>
        <w:tc>
          <w:tcPr>
            <w:tcW w:w="1020" w:type="dxa"/>
            <w:vAlign w:val="bottom"/>
            <w:tcBorders>
              <w:bottom w:val="single" w:sz="8" w:color="051972"/>
            </w:tcBorders>
          </w:tcPr>
          <w:p>
            <w:pPr>
              <w:jc w:val="center"/>
              <w:spacing w:after="0" w:line="189" w:lineRule="exact"/>
              <w:rPr>
                <w:sz w:val="20"/>
                <w:szCs w:val="20"/>
                <w:color w:val="auto"/>
              </w:rPr>
            </w:pPr>
            <w:r>
              <w:rPr>
                <w:rFonts w:ascii="Arial" w:cs="Arial" w:eastAsia="Arial" w:hAnsi="Arial"/>
                <w:sz w:val="21"/>
                <w:szCs w:val="21"/>
                <w:b w:val="1"/>
                <w:bCs w:val="1"/>
                <w:color w:val="051972"/>
                <w:w w:val="85"/>
                <w:vertAlign w:val="subscript"/>
              </w:rPr>
              <w:t>($)</w:t>
            </w:r>
            <w:r>
              <w:rPr>
                <w:rFonts w:ascii="Arial" w:cs="Arial" w:eastAsia="Arial" w:hAnsi="Arial"/>
                <w:sz w:val="7"/>
                <w:szCs w:val="7"/>
                <w:b w:val="1"/>
                <w:bCs w:val="1"/>
                <w:color w:val="051972"/>
                <w:w w:val="85"/>
              </w:rPr>
              <w:t>(1)</w:t>
            </w:r>
          </w:p>
        </w:tc>
        <w:tc>
          <w:tcPr>
            <w:tcW w:w="0" w:type="dxa"/>
            <w:vAlign w:val="bottom"/>
          </w:tcPr>
          <w:p>
            <w:pPr>
              <w:spacing w:after="0"/>
              <w:rPr>
                <w:sz w:val="1"/>
                <w:szCs w:val="1"/>
                <w:color w:val="auto"/>
              </w:rPr>
            </w:pPr>
          </w:p>
        </w:tc>
      </w:tr>
      <w:tr>
        <w:trPr>
          <w:trHeight w:val="110"/>
        </w:trPr>
        <w:tc>
          <w:tcPr>
            <w:tcW w:w="120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rPr>
              <w:t>Michael R. Haack</w:t>
            </w:r>
          </w:p>
        </w:tc>
        <w:tc>
          <w:tcPr>
            <w:tcW w:w="860" w:type="dxa"/>
            <w:vAlign w:val="bottom"/>
            <w:gridSpan w:val="3"/>
            <w:vMerge w:val="restart"/>
            <w:shd w:val="clear" w:color="auto" w:fill="E7E7E8"/>
          </w:tcPr>
          <w:p>
            <w:pPr>
              <w:jc w:val="right"/>
              <w:spacing w:after="0"/>
              <w:rPr>
                <w:sz w:val="20"/>
                <w:szCs w:val="20"/>
                <w:color w:val="auto"/>
              </w:rPr>
            </w:pPr>
            <w:r>
              <w:rPr>
                <w:rFonts w:ascii="Arial" w:cs="Arial" w:eastAsia="Arial" w:hAnsi="Arial"/>
                <w:sz w:val="11"/>
                <w:szCs w:val="11"/>
                <w:color w:val="auto"/>
              </w:rPr>
              <w:t>23,774</w:t>
            </w:r>
          </w:p>
        </w:tc>
        <w:tc>
          <w:tcPr>
            <w:tcW w:w="120" w:type="dxa"/>
            <w:vAlign w:val="bottom"/>
            <w:shd w:val="clear" w:color="auto" w:fill="E7E7E8"/>
          </w:tcPr>
          <w:p>
            <w:pPr>
              <w:spacing w:after="0"/>
              <w:rPr>
                <w:sz w:val="9"/>
                <w:szCs w:val="9"/>
                <w:color w:val="auto"/>
              </w:rPr>
            </w:pPr>
          </w:p>
        </w:tc>
        <w:tc>
          <w:tcPr>
            <w:tcW w:w="160" w:type="dxa"/>
            <w:vAlign w:val="bottom"/>
            <w:shd w:val="clear" w:color="auto" w:fill="E7E7E8"/>
          </w:tcPr>
          <w:p>
            <w:pPr>
              <w:spacing w:after="0"/>
              <w:rPr>
                <w:sz w:val="9"/>
                <w:szCs w:val="9"/>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9"/>
                <w:szCs w:val="9"/>
                <w:color w:val="auto"/>
              </w:rPr>
            </w:pPr>
          </w:p>
        </w:tc>
        <w:tc>
          <w:tcPr>
            <w:tcW w:w="1220" w:type="dxa"/>
            <w:vAlign w:val="bottom"/>
            <w:vMerge w:val="restart"/>
            <w:shd w:val="clear" w:color="auto" w:fill="E7E7E8"/>
          </w:tcPr>
          <w:p>
            <w:pPr>
              <w:ind w:left="720"/>
              <w:spacing w:after="0"/>
              <w:rPr>
                <w:sz w:val="20"/>
                <w:szCs w:val="20"/>
                <w:color w:val="auto"/>
              </w:rPr>
            </w:pPr>
            <w:r>
              <w:rPr>
                <w:rFonts w:ascii="Arial" w:cs="Arial" w:eastAsia="Arial" w:hAnsi="Arial"/>
                <w:sz w:val="11"/>
                <w:szCs w:val="11"/>
                <w:color w:val="auto"/>
              </w:rPr>
              <w:t>—</w:t>
            </w:r>
          </w:p>
        </w:tc>
        <w:tc>
          <w:tcPr>
            <w:tcW w:w="102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60.21</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05/19/2030</w:t>
            </w:r>
          </w:p>
        </w:tc>
        <w:tc>
          <w:tcPr>
            <w:tcW w:w="100" w:type="dxa"/>
            <w:vAlign w:val="bottom"/>
            <w:tcBorders>
              <w:right w:val="single" w:sz="8" w:color="051972"/>
            </w:tcBorders>
            <w:shd w:val="clear" w:color="auto" w:fill="E7E7E8"/>
          </w:tcPr>
          <w:p>
            <w:pPr>
              <w:spacing w:after="0"/>
              <w:rPr>
                <w:sz w:val="9"/>
                <w:szCs w:val="9"/>
                <w:color w:val="auto"/>
              </w:rPr>
            </w:pPr>
          </w:p>
        </w:tc>
        <w:tc>
          <w:tcPr>
            <w:tcW w:w="900" w:type="dxa"/>
            <w:vAlign w:val="bottom"/>
            <w:gridSpan w:val="2"/>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4,011</w:t>
            </w:r>
          </w:p>
        </w:tc>
        <w:tc>
          <w:tcPr>
            <w:tcW w:w="240" w:type="dxa"/>
            <w:vAlign w:val="bottom"/>
            <w:shd w:val="clear" w:color="auto" w:fill="E7E7E8"/>
          </w:tcPr>
          <w:p>
            <w:pPr>
              <w:ind w:left="40"/>
              <w:spacing w:after="0"/>
              <w:rPr>
                <w:sz w:val="20"/>
                <w:szCs w:val="20"/>
                <w:color w:val="auto"/>
              </w:rPr>
            </w:pPr>
            <w:r>
              <w:rPr>
                <w:rFonts w:ascii="Arial" w:cs="Arial" w:eastAsia="Arial" w:hAnsi="Arial"/>
                <w:sz w:val="7"/>
                <w:szCs w:val="7"/>
                <w:color w:val="auto"/>
              </w:rPr>
              <w:t>(4)</w:t>
            </w:r>
          </w:p>
        </w:tc>
        <w:tc>
          <w:tcPr>
            <w:tcW w:w="2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110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890,161</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shd w:val="clear" w:color="auto" w:fill="E7E7E8"/>
          </w:tcPr>
          <w:p>
            <w:pPr>
              <w:spacing w:after="0"/>
              <w:rPr>
                <w:sz w:val="9"/>
                <w:szCs w:val="9"/>
                <w:color w:val="auto"/>
              </w:rPr>
            </w:pP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vMerge w:val="continue"/>
            <w:shd w:val="clear" w:color="auto" w:fill="E7E7E8"/>
          </w:tcPr>
          <w:p>
            <w:pPr>
              <w:spacing w:after="0"/>
              <w:rPr>
                <w:sz w:val="5"/>
                <w:szCs w:val="5"/>
                <w:color w:val="auto"/>
              </w:rPr>
            </w:pPr>
          </w:p>
        </w:tc>
        <w:tc>
          <w:tcPr>
            <w:tcW w:w="860" w:type="dxa"/>
            <w:vAlign w:val="bottom"/>
            <w:gridSpan w:val="3"/>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220" w:type="dxa"/>
            <w:vAlign w:val="bottom"/>
            <w:vMerge w:val="continue"/>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240" w:type="dxa"/>
            <w:vAlign w:val="bottom"/>
            <w:vMerge w:val="continue"/>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200" w:type="dxa"/>
            <w:vAlign w:val="bottom"/>
            <w:shd w:val="clear" w:color="auto" w:fill="E7E7E8"/>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740" w:type="dxa"/>
            <w:vAlign w:val="bottom"/>
            <w:gridSpan w:val="2"/>
            <w:vMerge w:val="restart"/>
            <w:shd w:val="clear" w:color="auto" w:fill="E7E7E8"/>
          </w:tcPr>
          <w:p>
            <w:pPr>
              <w:jc w:val="right"/>
              <w:spacing w:after="0"/>
              <w:rPr>
                <w:sz w:val="20"/>
                <w:szCs w:val="20"/>
                <w:color w:val="auto"/>
              </w:rPr>
            </w:pPr>
            <w:r>
              <w:rPr>
                <w:rFonts w:ascii="Arial" w:cs="Arial" w:eastAsia="Arial" w:hAnsi="Arial"/>
                <w:sz w:val="11"/>
                <w:szCs w:val="11"/>
                <w:color w:val="auto"/>
              </w:rPr>
              <w:t>19,812</w:t>
            </w:r>
          </w:p>
        </w:tc>
        <w:tc>
          <w:tcPr>
            <w:tcW w:w="120" w:type="dxa"/>
            <w:vAlign w:val="bottom"/>
            <w:shd w:val="clear" w:color="auto" w:fill="E7E7E8"/>
          </w:tcPr>
          <w:p>
            <w:pPr>
              <w:spacing w:after="0"/>
              <w:rPr>
                <w:sz w:val="11"/>
                <w:szCs w:val="11"/>
                <w:color w:val="auto"/>
              </w:rPr>
            </w:pPr>
          </w:p>
        </w:tc>
        <w:tc>
          <w:tcPr>
            <w:tcW w:w="160" w:type="dxa"/>
            <w:vAlign w:val="bottom"/>
            <w:shd w:val="clear" w:color="auto" w:fill="E7E7E8"/>
          </w:tcPr>
          <w:p>
            <w:pPr>
              <w:spacing w:after="0"/>
              <w:rPr>
                <w:sz w:val="11"/>
                <w:szCs w:val="11"/>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11"/>
                <w:szCs w:val="11"/>
                <w:color w:val="auto"/>
              </w:rPr>
            </w:pPr>
          </w:p>
        </w:tc>
        <w:tc>
          <w:tcPr>
            <w:tcW w:w="1220" w:type="dxa"/>
            <w:vAlign w:val="bottom"/>
            <w:vMerge w:val="restart"/>
            <w:shd w:val="clear" w:color="auto" w:fill="E7E7E8"/>
          </w:tcPr>
          <w:p>
            <w:pPr>
              <w:ind w:left="720"/>
              <w:spacing w:after="0"/>
              <w:rPr>
                <w:sz w:val="20"/>
                <w:szCs w:val="20"/>
                <w:color w:val="auto"/>
              </w:rPr>
            </w:pPr>
            <w:r>
              <w:rPr>
                <w:rFonts w:ascii="Arial" w:cs="Arial" w:eastAsia="Arial" w:hAnsi="Arial"/>
                <w:sz w:val="11"/>
                <w:szCs w:val="11"/>
                <w:color w:val="auto"/>
              </w:rPr>
              <w:t>—</w:t>
            </w:r>
          </w:p>
        </w:tc>
        <w:tc>
          <w:tcPr>
            <w:tcW w:w="102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60.21</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05/19/2030</w:t>
            </w:r>
          </w:p>
        </w:tc>
        <w:tc>
          <w:tcPr>
            <w:tcW w:w="100" w:type="dxa"/>
            <w:vAlign w:val="bottom"/>
            <w:tcBorders>
              <w:right w:val="single" w:sz="8" w:color="051972"/>
            </w:tcBorders>
            <w:shd w:val="clear" w:color="auto" w:fill="E7E7E8"/>
          </w:tcPr>
          <w:p>
            <w:pPr>
              <w:spacing w:after="0"/>
              <w:rPr>
                <w:sz w:val="11"/>
                <w:szCs w:val="11"/>
                <w:color w:val="auto"/>
              </w:rPr>
            </w:pPr>
          </w:p>
        </w:tc>
        <w:tc>
          <w:tcPr>
            <w:tcW w:w="900" w:type="dxa"/>
            <w:vAlign w:val="bottom"/>
            <w:gridSpan w:val="2"/>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3,342</w:t>
            </w:r>
          </w:p>
        </w:tc>
        <w:tc>
          <w:tcPr>
            <w:tcW w:w="240" w:type="dxa"/>
            <w:vAlign w:val="bottom"/>
            <w:shd w:val="clear" w:color="auto" w:fill="E7E7E8"/>
          </w:tcPr>
          <w:p>
            <w:pPr>
              <w:ind w:left="40"/>
              <w:spacing w:after="0"/>
              <w:rPr>
                <w:sz w:val="20"/>
                <w:szCs w:val="20"/>
                <w:color w:val="auto"/>
              </w:rPr>
            </w:pPr>
            <w:r>
              <w:rPr>
                <w:rFonts w:ascii="Arial" w:cs="Arial" w:eastAsia="Arial" w:hAnsi="Arial"/>
                <w:sz w:val="7"/>
                <w:szCs w:val="7"/>
                <w:color w:val="auto"/>
              </w:rPr>
              <w:t>(5)</w:t>
            </w:r>
          </w:p>
        </w:tc>
        <w:tc>
          <w:tcPr>
            <w:tcW w:w="240" w:type="dxa"/>
            <w:vAlign w:val="bottom"/>
            <w:shd w:val="clear" w:color="auto" w:fill="E7E7E8"/>
          </w:tcPr>
          <w:p>
            <w:pPr>
              <w:spacing w:after="0"/>
              <w:rPr>
                <w:sz w:val="11"/>
                <w:szCs w:val="11"/>
                <w:color w:val="auto"/>
              </w:rPr>
            </w:pPr>
          </w:p>
        </w:tc>
        <w:tc>
          <w:tcPr>
            <w:tcW w:w="110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741,690</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shd w:val="clear" w:color="auto" w:fill="E7E7E8"/>
          </w:tcPr>
          <w:p>
            <w:pPr>
              <w:spacing w:after="0"/>
              <w:rPr>
                <w:sz w:val="11"/>
                <w:szCs w:val="11"/>
                <w:color w:val="auto"/>
              </w:rPr>
            </w:pP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40" w:type="dxa"/>
            <w:vAlign w:val="bottom"/>
            <w:gridSpan w:val="2"/>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220" w:type="dxa"/>
            <w:vAlign w:val="bottom"/>
            <w:vMerge w:val="continue"/>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10,431</w:t>
            </w:r>
          </w:p>
        </w:tc>
        <w:tc>
          <w:tcPr>
            <w:tcW w:w="120" w:type="dxa"/>
            <w:vAlign w:val="bottom"/>
            <w:shd w:val="clear" w:color="auto" w:fill="E7E7E8"/>
          </w:tcPr>
          <w:p>
            <w:pPr>
              <w:spacing w:after="0"/>
              <w:rPr>
                <w:sz w:val="8"/>
                <w:szCs w:val="8"/>
                <w:color w:val="auto"/>
              </w:rPr>
            </w:pPr>
          </w:p>
        </w:tc>
        <w:tc>
          <w:tcPr>
            <w:tcW w:w="1140" w:type="dxa"/>
            <w:vAlign w:val="bottom"/>
            <w:gridSpan w:val="2"/>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3,476</w:t>
            </w:r>
          </w:p>
        </w:tc>
        <w:tc>
          <w:tcPr>
            <w:tcW w:w="200" w:type="dxa"/>
            <w:vAlign w:val="bottom"/>
            <w:shd w:val="clear" w:color="auto" w:fill="E7E7E8"/>
          </w:tcPr>
          <w:p>
            <w:pPr>
              <w:jc w:val="right"/>
              <w:ind w:right="64"/>
              <w:spacing w:after="0"/>
              <w:rPr>
                <w:sz w:val="20"/>
                <w:szCs w:val="20"/>
                <w:color w:val="auto"/>
              </w:rPr>
            </w:pPr>
            <w:r>
              <w:rPr>
                <w:rFonts w:ascii="Arial" w:cs="Arial" w:eastAsia="Arial" w:hAnsi="Arial"/>
                <w:sz w:val="7"/>
                <w:szCs w:val="7"/>
                <w:color w:val="auto"/>
                <w:w w:val="92"/>
              </w:rPr>
              <w:t>(2)</w:t>
            </w:r>
          </w:p>
        </w:tc>
        <w:tc>
          <w:tcPr>
            <w:tcW w:w="1220" w:type="dxa"/>
            <w:vAlign w:val="bottom"/>
            <w:vMerge w:val="restart"/>
            <w:shd w:val="clear" w:color="auto" w:fill="E7E7E8"/>
          </w:tcPr>
          <w:p>
            <w:pPr>
              <w:ind w:left="720"/>
              <w:spacing w:after="0"/>
              <w:rPr>
                <w:sz w:val="20"/>
                <w:szCs w:val="20"/>
                <w:color w:val="auto"/>
              </w:rPr>
            </w:pPr>
            <w:r>
              <w:rPr>
                <w:rFonts w:ascii="Arial" w:cs="Arial" w:eastAsia="Arial" w:hAnsi="Arial"/>
                <w:sz w:val="11"/>
                <w:szCs w:val="11"/>
                <w:color w:val="auto"/>
              </w:rPr>
              <w:t>—</w:t>
            </w:r>
          </w:p>
        </w:tc>
        <w:tc>
          <w:tcPr>
            <w:tcW w:w="102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126.22</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05/19/2032</w:t>
            </w:r>
          </w:p>
        </w:tc>
        <w:tc>
          <w:tcPr>
            <w:tcW w:w="10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10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4,318</w:t>
            </w:r>
          </w:p>
        </w:tc>
        <w:tc>
          <w:tcPr>
            <w:tcW w:w="300" w:type="dxa"/>
            <w:vAlign w:val="bottom"/>
            <w:shd w:val="clear" w:color="auto" w:fill="E7E7E8"/>
          </w:tcPr>
          <w:p>
            <w:pPr>
              <w:jc w:val="right"/>
              <w:ind w:right="144"/>
              <w:spacing w:after="0"/>
              <w:rPr>
                <w:sz w:val="20"/>
                <w:szCs w:val="20"/>
                <w:color w:val="auto"/>
              </w:rPr>
            </w:pPr>
            <w:r>
              <w:rPr>
                <w:rFonts w:ascii="Arial" w:cs="Arial" w:eastAsia="Arial" w:hAnsi="Arial"/>
                <w:sz w:val="7"/>
                <w:szCs w:val="7"/>
                <w:color w:val="auto"/>
              </w:rPr>
              <w:t>(6)</w:t>
            </w: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958,294</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140" w:type="dxa"/>
            <w:vAlign w:val="bottom"/>
            <w:gridSpan w:val="2"/>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220" w:type="dxa"/>
            <w:vAlign w:val="bottom"/>
            <w:vMerge w:val="continue"/>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8,692</w:t>
            </w:r>
          </w:p>
        </w:tc>
        <w:tc>
          <w:tcPr>
            <w:tcW w:w="120" w:type="dxa"/>
            <w:vAlign w:val="bottom"/>
            <w:shd w:val="clear" w:color="auto" w:fill="E7E7E8"/>
          </w:tcPr>
          <w:p>
            <w:pPr>
              <w:spacing w:after="0"/>
              <w:rPr>
                <w:sz w:val="8"/>
                <w:szCs w:val="8"/>
                <w:color w:val="auto"/>
              </w:rPr>
            </w:pPr>
          </w:p>
        </w:tc>
        <w:tc>
          <w:tcPr>
            <w:tcW w:w="1140" w:type="dxa"/>
            <w:vAlign w:val="bottom"/>
            <w:gridSpan w:val="2"/>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2,897</w:t>
            </w:r>
          </w:p>
        </w:tc>
        <w:tc>
          <w:tcPr>
            <w:tcW w:w="200" w:type="dxa"/>
            <w:vAlign w:val="bottom"/>
            <w:shd w:val="clear" w:color="auto" w:fill="E7E7E8"/>
          </w:tcPr>
          <w:p>
            <w:pPr>
              <w:jc w:val="right"/>
              <w:ind w:right="64"/>
              <w:spacing w:after="0"/>
              <w:rPr>
                <w:sz w:val="20"/>
                <w:szCs w:val="20"/>
                <w:color w:val="auto"/>
              </w:rPr>
            </w:pPr>
            <w:r>
              <w:rPr>
                <w:rFonts w:ascii="Arial" w:cs="Arial" w:eastAsia="Arial" w:hAnsi="Arial"/>
                <w:sz w:val="7"/>
                <w:szCs w:val="7"/>
                <w:color w:val="auto"/>
                <w:w w:val="92"/>
              </w:rPr>
              <w:t>(3)</w:t>
            </w:r>
          </w:p>
        </w:tc>
        <w:tc>
          <w:tcPr>
            <w:tcW w:w="1220" w:type="dxa"/>
            <w:vAlign w:val="bottom"/>
            <w:vMerge w:val="restart"/>
            <w:shd w:val="clear" w:color="auto" w:fill="E7E7E8"/>
          </w:tcPr>
          <w:p>
            <w:pPr>
              <w:ind w:left="720"/>
              <w:spacing w:after="0"/>
              <w:rPr>
                <w:sz w:val="20"/>
                <w:szCs w:val="20"/>
                <w:color w:val="auto"/>
              </w:rPr>
            </w:pPr>
            <w:r>
              <w:rPr>
                <w:rFonts w:ascii="Arial" w:cs="Arial" w:eastAsia="Arial" w:hAnsi="Arial"/>
                <w:sz w:val="11"/>
                <w:szCs w:val="11"/>
                <w:color w:val="auto"/>
              </w:rPr>
              <w:t>—</w:t>
            </w:r>
          </w:p>
        </w:tc>
        <w:tc>
          <w:tcPr>
            <w:tcW w:w="102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126.22</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05/19/2032</w:t>
            </w:r>
          </w:p>
        </w:tc>
        <w:tc>
          <w:tcPr>
            <w:tcW w:w="10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10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8,636</w:t>
            </w:r>
          </w:p>
        </w:tc>
        <w:tc>
          <w:tcPr>
            <w:tcW w:w="300" w:type="dxa"/>
            <w:vAlign w:val="bottom"/>
            <w:shd w:val="clear" w:color="auto" w:fill="E7E7E8"/>
          </w:tcPr>
          <w:p>
            <w:pPr>
              <w:jc w:val="right"/>
              <w:ind w:right="144"/>
              <w:spacing w:after="0"/>
              <w:rPr>
                <w:sz w:val="20"/>
                <w:szCs w:val="20"/>
                <w:color w:val="auto"/>
              </w:rPr>
            </w:pPr>
            <w:r>
              <w:rPr>
                <w:rFonts w:ascii="Arial" w:cs="Arial" w:eastAsia="Arial" w:hAnsi="Arial"/>
                <w:sz w:val="7"/>
                <w:szCs w:val="7"/>
                <w:color w:val="auto"/>
              </w:rPr>
              <w:t>(7)</w:t>
            </w: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1,916,587</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140" w:type="dxa"/>
            <w:vAlign w:val="bottom"/>
            <w:gridSpan w:val="2"/>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220" w:type="dxa"/>
            <w:vAlign w:val="bottom"/>
            <w:vMerge w:val="continue"/>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220" w:type="dxa"/>
            <w:vAlign w:val="bottom"/>
            <w:shd w:val="clear" w:color="auto" w:fill="E7E7E8"/>
          </w:tcPr>
          <w:p>
            <w:pPr>
              <w:spacing w:after="0"/>
              <w:rPr>
                <w:sz w:val="8"/>
                <w:szCs w:val="8"/>
                <w:color w:val="auto"/>
              </w:rPr>
            </w:pPr>
          </w:p>
        </w:tc>
        <w:tc>
          <w:tcPr>
            <w:tcW w:w="1020" w:type="dxa"/>
            <w:vAlign w:val="bottom"/>
            <w:shd w:val="clear" w:color="auto" w:fill="E7E7E8"/>
          </w:tcPr>
          <w:p>
            <w:pPr>
              <w:spacing w:after="0"/>
              <w:rPr>
                <w:sz w:val="8"/>
                <w:szCs w:val="8"/>
                <w:color w:val="auto"/>
              </w:rPr>
            </w:pPr>
          </w:p>
        </w:tc>
        <w:tc>
          <w:tcPr>
            <w:tcW w:w="940" w:type="dxa"/>
            <w:vAlign w:val="bottom"/>
            <w:shd w:val="clear" w:color="auto" w:fill="E7E7E8"/>
          </w:tcPr>
          <w:p>
            <w:pPr>
              <w:spacing w:after="0"/>
              <w:rPr>
                <w:sz w:val="8"/>
                <w:szCs w:val="8"/>
                <w:color w:val="auto"/>
              </w:rPr>
            </w:pPr>
          </w:p>
        </w:tc>
        <w:tc>
          <w:tcPr>
            <w:tcW w:w="100" w:type="dxa"/>
            <w:vAlign w:val="bottom"/>
            <w:tcBorders>
              <w:right w:val="single" w:sz="8" w:color="051972"/>
            </w:tcBorders>
            <w:shd w:val="clear" w:color="auto" w:fill="E7E7E8"/>
          </w:tcPr>
          <w:p>
            <w:pPr>
              <w:spacing w:after="0"/>
              <w:rPr>
                <w:sz w:val="8"/>
                <w:szCs w:val="8"/>
                <w:color w:val="auto"/>
              </w:rPr>
            </w:pPr>
          </w:p>
        </w:tc>
        <w:tc>
          <w:tcPr>
            <w:tcW w:w="900" w:type="dxa"/>
            <w:vAlign w:val="bottom"/>
            <w:gridSpan w:val="2"/>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4,797</w:t>
            </w:r>
          </w:p>
        </w:tc>
        <w:tc>
          <w:tcPr>
            <w:tcW w:w="240" w:type="dxa"/>
            <w:vAlign w:val="bottom"/>
            <w:shd w:val="clear" w:color="auto" w:fill="E7E7E8"/>
          </w:tcPr>
          <w:p>
            <w:pPr>
              <w:ind w:left="40"/>
              <w:spacing w:after="0"/>
              <w:rPr>
                <w:sz w:val="20"/>
                <w:szCs w:val="20"/>
                <w:color w:val="auto"/>
              </w:rPr>
            </w:pPr>
            <w:r>
              <w:rPr>
                <w:rFonts w:ascii="Arial" w:cs="Arial" w:eastAsia="Arial" w:hAnsi="Arial"/>
                <w:sz w:val="7"/>
                <w:szCs w:val="7"/>
                <w:color w:val="auto"/>
              </w:rPr>
              <w:t>(8)</w:t>
            </w:r>
          </w:p>
        </w:tc>
        <w:tc>
          <w:tcPr>
            <w:tcW w:w="240" w:type="dxa"/>
            <w:vAlign w:val="bottom"/>
            <w:shd w:val="clear" w:color="auto" w:fill="E7E7E8"/>
          </w:tcPr>
          <w:p>
            <w:pPr>
              <w:spacing w:after="0"/>
              <w:rPr>
                <w:sz w:val="8"/>
                <w:szCs w:val="8"/>
                <w:color w:val="auto"/>
              </w:rPr>
            </w:pPr>
          </w:p>
        </w:tc>
        <w:tc>
          <w:tcPr>
            <w:tcW w:w="110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1,064,598</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shd w:val="clear" w:color="auto" w:fill="E7E7E8"/>
          </w:tcPr>
          <w:p>
            <w:pPr>
              <w:spacing w:after="0"/>
              <w:rPr>
                <w:sz w:val="8"/>
                <w:szCs w:val="8"/>
                <w:color w:val="auto"/>
              </w:rPr>
            </w:pP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220" w:type="dxa"/>
            <w:vAlign w:val="bottom"/>
            <w:shd w:val="clear" w:color="auto" w:fill="E7E7E8"/>
          </w:tcPr>
          <w:p>
            <w:pPr>
              <w:spacing w:after="0"/>
              <w:rPr>
                <w:sz w:val="5"/>
                <w:szCs w:val="5"/>
                <w:color w:val="auto"/>
              </w:rPr>
            </w:pPr>
          </w:p>
        </w:tc>
        <w:tc>
          <w:tcPr>
            <w:tcW w:w="1020" w:type="dxa"/>
            <w:vAlign w:val="bottom"/>
            <w:shd w:val="clear" w:color="auto" w:fill="E7E7E8"/>
          </w:tcPr>
          <w:p>
            <w:pPr>
              <w:spacing w:after="0"/>
              <w:rPr>
                <w:sz w:val="5"/>
                <w:szCs w:val="5"/>
                <w:color w:val="auto"/>
              </w:rPr>
            </w:pPr>
          </w:p>
        </w:tc>
        <w:tc>
          <w:tcPr>
            <w:tcW w:w="940" w:type="dxa"/>
            <w:vAlign w:val="bottom"/>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220" w:type="dxa"/>
            <w:vAlign w:val="bottom"/>
            <w:shd w:val="clear" w:color="auto" w:fill="E7E7E8"/>
          </w:tcPr>
          <w:p>
            <w:pPr>
              <w:spacing w:after="0"/>
              <w:rPr>
                <w:sz w:val="8"/>
                <w:szCs w:val="8"/>
                <w:color w:val="auto"/>
              </w:rPr>
            </w:pPr>
          </w:p>
        </w:tc>
        <w:tc>
          <w:tcPr>
            <w:tcW w:w="1020" w:type="dxa"/>
            <w:vAlign w:val="bottom"/>
            <w:shd w:val="clear" w:color="auto" w:fill="E7E7E8"/>
          </w:tcPr>
          <w:p>
            <w:pPr>
              <w:spacing w:after="0"/>
              <w:rPr>
                <w:sz w:val="8"/>
                <w:szCs w:val="8"/>
                <w:color w:val="auto"/>
              </w:rPr>
            </w:pPr>
          </w:p>
        </w:tc>
        <w:tc>
          <w:tcPr>
            <w:tcW w:w="940" w:type="dxa"/>
            <w:vAlign w:val="bottom"/>
            <w:shd w:val="clear" w:color="auto" w:fill="E7E7E8"/>
          </w:tcPr>
          <w:p>
            <w:pPr>
              <w:spacing w:after="0"/>
              <w:rPr>
                <w:sz w:val="8"/>
                <w:szCs w:val="8"/>
                <w:color w:val="auto"/>
              </w:rPr>
            </w:pPr>
          </w:p>
        </w:tc>
        <w:tc>
          <w:tcPr>
            <w:tcW w:w="10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10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23,714</w:t>
            </w:r>
          </w:p>
        </w:tc>
        <w:tc>
          <w:tcPr>
            <w:tcW w:w="300" w:type="dxa"/>
            <w:vAlign w:val="bottom"/>
            <w:shd w:val="clear" w:color="auto" w:fill="E7E7E8"/>
          </w:tcPr>
          <w:p>
            <w:pPr>
              <w:jc w:val="right"/>
              <w:ind w:right="144"/>
              <w:spacing w:after="0"/>
              <w:rPr>
                <w:sz w:val="20"/>
                <w:szCs w:val="20"/>
                <w:color w:val="auto"/>
              </w:rPr>
            </w:pPr>
            <w:r>
              <w:rPr>
                <w:rFonts w:ascii="Arial" w:cs="Arial" w:eastAsia="Arial" w:hAnsi="Arial"/>
                <w:sz w:val="7"/>
                <w:szCs w:val="7"/>
                <w:color w:val="auto"/>
              </w:rPr>
              <w:t>(9)</w:t>
            </w: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5,262,848</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220" w:type="dxa"/>
            <w:vAlign w:val="bottom"/>
            <w:shd w:val="clear" w:color="auto" w:fill="E7E7E8"/>
          </w:tcPr>
          <w:p>
            <w:pPr>
              <w:spacing w:after="0"/>
              <w:rPr>
                <w:sz w:val="5"/>
                <w:szCs w:val="5"/>
                <w:color w:val="auto"/>
              </w:rPr>
            </w:pPr>
          </w:p>
        </w:tc>
        <w:tc>
          <w:tcPr>
            <w:tcW w:w="1020" w:type="dxa"/>
            <w:vAlign w:val="bottom"/>
            <w:shd w:val="clear" w:color="auto" w:fill="E7E7E8"/>
          </w:tcPr>
          <w:p>
            <w:pPr>
              <w:spacing w:after="0"/>
              <w:rPr>
                <w:sz w:val="5"/>
                <w:szCs w:val="5"/>
                <w:color w:val="auto"/>
              </w:rPr>
            </w:pPr>
          </w:p>
        </w:tc>
        <w:tc>
          <w:tcPr>
            <w:tcW w:w="940" w:type="dxa"/>
            <w:vAlign w:val="bottom"/>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220" w:type="dxa"/>
            <w:vAlign w:val="bottom"/>
            <w:shd w:val="clear" w:color="auto" w:fill="E7E7E8"/>
          </w:tcPr>
          <w:p>
            <w:pPr>
              <w:spacing w:after="0"/>
              <w:rPr>
                <w:sz w:val="8"/>
                <w:szCs w:val="8"/>
                <w:color w:val="auto"/>
              </w:rPr>
            </w:pPr>
          </w:p>
        </w:tc>
        <w:tc>
          <w:tcPr>
            <w:tcW w:w="1020" w:type="dxa"/>
            <w:vAlign w:val="bottom"/>
            <w:shd w:val="clear" w:color="auto" w:fill="E7E7E8"/>
          </w:tcPr>
          <w:p>
            <w:pPr>
              <w:spacing w:after="0"/>
              <w:rPr>
                <w:sz w:val="8"/>
                <w:szCs w:val="8"/>
                <w:color w:val="auto"/>
              </w:rPr>
            </w:pPr>
          </w:p>
        </w:tc>
        <w:tc>
          <w:tcPr>
            <w:tcW w:w="940" w:type="dxa"/>
            <w:vAlign w:val="bottom"/>
            <w:shd w:val="clear" w:color="auto" w:fill="E7E7E8"/>
          </w:tcPr>
          <w:p>
            <w:pPr>
              <w:spacing w:after="0"/>
              <w:rPr>
                <w:sz w:val="8"/>
                <w:szCs w:val="8"/>
                <w:color w:val="auto"/>
              </w:rPr>
            </w:pPr>
          </w:p>
        </w:tc>
        <w:tc>
          <w:tcPr>
            <w:tcW w:w="100" w:type="dxa"/>
            <w:vAlign w:val="bottom"/>
            <w:tcBorders>
              <w:right w:val="single" w:sz="8" w:color="051972"/>
            </w:tcBorders>
            <w:shd w:val="clear" w:color="auto" w:fill="E7E7E8"/>
          </w:tcPr>
          <w:p>
            <w:pPr>
              <w:spacing w:after="0"/>
              <w:rPr>
                <w:sz w:val="8"/>
                <w:szCs w:val="8"/>
                <w:color w:val="auto"/>
              </w:rPr>
            </w:pPr>
          </w:p>
        </w:tc>
        <w:tc>
          <w:tcPr>
            <w:tcW w:w="900" w:type="dxa"/>
            <w:vAlign w:val="bottom"/>
            <w:gridSpan w:val="2"/>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11,857</w:t>
            </w:r>
          </w:p>
        </w:tc>
        <w:tc>
          <w:tcPr>
            <w:tcW w:w="240" w:type="dxa"/>
            <w:vAlign w:val="bottom"/>
            <w:shd w:val="clear" w:color="auto" w:fill="E7E7E8"/>
          </w:tcPr>
          <w:p>
            <w:pPr>
              <w:ind w:left="40"/>
              <w:spacing w:after="0"/>
              <w:rPr>
                <w:sz w:val="20"/>
                <w:szCs w:val="20"/>
                <w:color w:val="auto"/>
              </w:rPr>
            </w:pPr>
            <w:r>
              <w:rPr>
                <w:rFonts w:ascii="Arial" w:cs="Arial" w:eastAsia="Arial" w:hAnsi="Arial"/>
                <w:sz w:val="7"/>
                <w:szCs w:val="7"/>
                <w:color w:val="auto"/>
              </w:rPr>
              <w:t>(10)</w:t>
            </w:r>
          </w:p>
        </w:tc>
        <w:tc>
          <w:tcPr>
            <w:tcW w:w="240" w:type="dxa"/>
            <w:vAlign w:val="bottom"/>
            <w:shd w:val="clear" w:color="auto" w:fill="E7E7E8"/>
          </w:tcPr>
          <w:p>
            <w:pPr>
              <w:spacing w:after="0"/>
              <w:rPr>
                <w:sz w:val="8"/>
                <w:szCs w:val="8"/>
                <w:color w:val="auto"/>
              </w:rPr>
            </w:pPr>
          </w:p>
        </w:tc>
        <w:tc>
          <w:tcPr>
            <w:tcW w:w="110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2,631,424</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shd w:val="clear" w:color="auto" w:fill="E7E7E8"/>
          </w:tcPr>
          <w:p>
            <w:pPr>
              <w:spacing w:after="0"/>
              <w:rPr>
                <w:sz w:val="8"/>
                <w:szCs w:val="8"/>
                <w:color w:val="auto"/>
              </w:rPr>
            </w:pP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220" w:type="dxa"/>
            <w:vAlign w:val="bottom"/>
            <w:shd w:val="clear" w:color="auto" w:fill="E7E7E8"/>
          </w:tcPr>
          <w:p>
            <w:pPr>
              <w:spacing w:after="0"/>
              <w:rPr>
                <w:sz w:val="5"/>
                <w:szCs w:val="5"/>
                <w:color w:val="auto"/>
              </w:rPr>
            </w:pPr>
          </w:p>
        </w:tc>
        <w:tc>
          <w:tcPr>
            <w:tcW w:w="1020" w:type="dxa"/>
            <w:vAlign w:val="bottom"/>
            <w:shd w:val="clear" w:color="auto" w:fill="E7E7E8"/>
          </w:tcPr>
          <w:p>
            <w:pPr>
              <w:spacing w:after="0"/>
              <w:rPr>
                <w:sz w:val="5"/>
                <w:szCs w:val="5"/>
                <w:color w:val="auto"/>
              </w:rPr>
            </w:pPr>
          </w:p>
        </w:tc>
        <w:tc>
          <w:tcPr>
            <w:tcW w:w="940" w:type="dxa"/>
            <w:vAlign w:val="bottom"/>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20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6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980" w:type="dxa"/>
            <w:vAlign w:val="bottom"/>
            <w:shd w:val="clear" w:color="auto" w:fill="E7E7E8"/>
          </w:tcPr>
          <w:p>
            <w:pPr>
              <w:spacing w:after="0"/>
              <w:rPr>
                <w:sz w:val="22"/>
                <w:szCs w:val="22"/>
                <w:color w:val="auto"/>
              </w:rPr>
            </w:pPr>
          </w:p>
        </w:tc>
        <w:tc>
          <w:tcPr>
            <w:tcW w:w="200" w:type="dxa"/>
            <w:vAlign w:val="bottom"/>
            <w:shd w:val="clear" w:color="auto" w:fill="E7E7E8"/>
          </w:tcPr>
          <w:p>
            <w:pPr>
              <w:spacing w:after="0"/>
              <w:rPr>
                <w:sz w:val="22"/>
                <w:szCs w:val="22"/>
                <w:color w:val="auto"/>
              </w:rPr>
            </w:pPr>
          </w:p>
        </w:tc>
        <w:tc>
          <w:tcPr>
            <w:tcW w:w="1220" w:type="dxa"/>
            <w:vAlign w:val="bottom"/>
            <w:shd w:val="clear" w:color="auto" w:fill="E7E7E8"/>
          </w:tcPr>
          <w:p>
            <w:pPr>
              <w:spacing w:after="0"/>
              <w:rPr>
                <w:sz w:val="22"/>
                <w:szCs w:val="22"/>
                <w:color w:val="auto"/>
              </w:rPr>
            </w:pPr>
          </w:p>
        </w:tc>
        <w:tc>
          <w:tcPr>
            <w:tcW w:w="1020" w:type="dxa"/>
            <w:vAlign w:val="bottom"/>
            <w:shd w:val="clear" w:color="auto" w:fill="E7E7E8"/>
          </w:tcPr>
          <w:p>
            <w:pPr>
              <w:spacing w:after="0"/>
              <w:rPr>
                <w:sz w:val="22"/>
                <w:szCs w:val="22"/>
                <w:color w:val="auto"/>
              </w:rPr>
            </w:pPr>
          </w:p>
        </w:tc>
        <w:tc>
          <w:tcPr>
            <w:tcW w:w="940" w:type="dxa"/>
            <w:vAlign w:val="bottom"/>
            <w:shd w:val="clear" w:color="auto" w:fill="E7E7E8"/>
          </w:tcPr>
          <w:p>
            <w:pPr>
              <w:spacing w:after="0"/>
              <w:rPr>
                <w:sz w:val="22"/>
                <w:szCs w:val="22"/>
                <w:color w:val="auto"/>
              </w:rPr>
            </w:pPr>
          </w:p>
        </w:tc>
        <w:tc>
          <w:tcPr>
            <w:tcW w:w="100" w:type="dxa"/>
            <w:vAlign w:val="bottom"/>
            <w:tcBorders>
              <w:right w:val="single" w:sz="8" w:color="051972"/>
            </w:tcBorders>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800" w:type="dxa"/>
            <w:vAlign w:val="bottom"/>
            <w:shd w:val="clear" w:color="auto" w:fill="E7E7E8"/>
          </w:tcPr>
          <w:p>
            <w:pPr>
              <w:spacing w:after="0"/>
              <w:rPr>
                <w:sz w:val="22"/>
                <w:szCs w:val="22"/>
                <w:color w:val="auto"/>
              </w:rPr>
            </w:pPr>
          </w:p>
        </w:tc>
        <w:tc>
          <w:tcPr>
            <w:tcW w:w="240" w:type="dxa"/>
            <w:vAlign w:val="bottom"/>
            <w:shd w:val="clear" w:color="auto" w:fill="E7E7E8"/>
          </w:tcPr>
          <w:p>
            <w:pPr>
              <w:spacing w:after="0"/>
              <w:rPr>
                <w:sz w:val="22"/>
                <w:szCs w:val="22"/>
                <w:color w:val="auto"/>
              </w:rPr>
            </w:pPr>
          </w:p>
        </w:tc>
        <w:tc>
          <w:tcPr>
            <w:tcW w:w="240" w:type="dxa"/>
            <w:vAlign w:val="bottom"/>
            <w:shd w:val="clear" w:color="auto" w:fill="E7E7E8"/>
          </w:tcPr>
          <w:p>
            <w:pPr>
              <w:spacing w:after="0"/>
              <w:rPr>
                <w:sz w:val="22"/>
                <w:szCs w:val="22"/>
                <w:color w:val="auto"/>
              </w:rPr>
            </w:pPr>
          </w:p>
        </w:tc>
        <w:tc>
          <w:tcPr>
            <w:tcW w:w="1100" w:type="dxa"/>
            <w:vAlign w:val="bottom"/>
            <w:shd w:val="clear" w:color="auto" w:fill="E7E7E8"/>
          </w:tcPr>
          <w:p>
            <w:pPr>
              <w:spacing w:after="0"/>
              <w:rPr>
                <w:sz w:val="22"/>
                <w:szCs w:val="22"/>
                <w:color w:val="auto"/>
              </w:rPr>
            </w:pPr>
          </w:p>
        </w:tc>
        <w:tc>
          <w:tcPr>
            <w:tcW w:w="640" w:type="dxa"/>
            <w:vAlign w:val="bottom"/>
            <w:shd w:val="clear" w:color="auto" w:fill="E7E7E8"/>
          </w:tcPr>
          <w:p>
            <w:pPr>
              <w:spacing w:after="0"/>
              <w:rPr>
                <w:sz w:val="22"/>
                <w:szCs w:val="22"/>
                <w:color w:val="auto"/>
              </w:rPr>
            </w:pPr>
          </w:p>
        </w:tc>
        <w:tc>
          <w:tcPr>
            <w:tcW w:w="300" w:type="dxa"/>
            <w:vAlign w:val="bottom"/>
            <w:shd w:val="clear" w:color="auto" w:fill="E7E7E8"/>
          </w:tcPr>
          <w:p>
            <w:pPr>
              <w:spacing w:after="0"/>
              <w:rPr>
                <w:sz w:val="22"/>
                <w:szCs w:val="22"/>
                <w:color w:val="auto"/>
              </w:rPr>
            </w:pPr>
          </w:p>
        </w:tc>
        <w:tc>
          <w:tcPr>
            <w:tcW w:w="102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116"/>
        </w:trPr>
        <w:tc>
          <w:tcPr>
            <w:tcW w:w="1200" w:type="dxa"/>
            <w:vAlign w:val="bottom"/>
            <w:vMerge w:val="restart"/>
          </w:tcPr>
          <w:p>
            <w:pPr>
              <w:ind w:left="20"/>
              <w:spacing w:after="0"/>
              <w:rPr>
                <w:sz w:val="20"/>
                <w:szCs w:val="20"/>
                <w:color w:val="auto"/>
              </w:rPr>
            </w:pPr>
            <w:r>
              <w:rPr>
                <w:rFonts w:ascii="Arial" w:cs="Arial" w:eastAsia="Arial" w:hAnsi="Arial"/>
                <w:sz w:val="11"/>
                <w:szCs w:val="11"/>
                <w:color w:val="auto"/>
              </w:rPr>
              <w:t>D. Craig Kesler</w:t>
            </w:r>
          </w:p>
        </w:tc>
        <w:tc>
          <w:tcPr>
            <w:tcW w:w="860" w:type="dxa"/>
            <w:vAlign w:val="bottom"/>
            <w:gridSpan w:val="3"/>
            <w:vMerge w:val="restart"/>
          </w:tcPr>
          <w:p>
            <w:pPr>
              <w:jc w:val="right"/>
              <w:spacing w:after="0"/>
              <w:rPr>
                <w:sz w:val="20"/>
                <w:szCs w:val="20"/>
                <w:color w:val="auto"/>
              </w:rPr>
            </w:pPr>
            <w:r>
              <w:rPr>
                <w:rFonts w:ascii="Arial" w:cs="Arial" w:eastAsia="Arial" w:hAnsi="Arial"/>
                <w:sz w:val="11"/>
                <w:szCs w:val="11"/>
                <w:color w:val="auto"/>
              </w:rPr>
              <w:t>4,646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220" w:type="dxa"/>
            <w:vAlign w:val="bottom"/>
            <w:vMerge w:val="restart"/>
          </w:tcPr>
          <w:p>
            <w:pPr>
              <w:ind w:left="720"/>
              <w:spacing w:after="0"/>
              <w:rPr>
                <w:sz w:val="20"/>
                <w:szCs w:val="20"/>
                <w:color w:val="auto"/>
              </w:rPr>
            </w:pPr>
            <w:r>
              <w:rPr>
                <w:rFonts w:ascii="Arial" w:cs="Arial" w:eastAsia="Arial" w:hAnsi="Arial"/>
                <w:sz w:val="11"/>
                <w:szCs w:val="11"/>
                <w:color w:val="auto"/>
              </w:rPr>
              <w:t>—</w:t>
            </w:r>
          </w:p>
        </w:tc>
        <w:tc>
          <w:tcPr>
            <w:tcW w:w="1020" w:type="dxa"/>
            <w:vAlign w:val="bottom"/>
            <w:vMerge w:val="restart"/>
          </w:tcPr>
          <w:p>
            <w:pPr>
              <w:jc w:val="right"/>
              <w:ind w:right="226"/>
              <w:spacing w:after="0"/>
              <w:rPr>
                <w:sz w:val="20"/>
                <w:szCs w:val="20"/>
                <w:color w:val="auto"/>
              </w:rPr>
            </w:pPr>
            <w:r>
              <w:rPr>
                <w:rFonts w:ascii="Arial" w:cs="Arial" w:eastAsia="Arial" w:hAnsi="Arial"/>
                <w:sz w:val="11"/>
                <w:szCs w:val="11"/>
                <w:color w:val="auto"/>
              </w:rPr>
              <w:t>91.58</w:t>
            </w:r>
          </w:p>
        </w:tc>
        <w:tc>
          <w:tcPr>
            <w:tcW w:w="940" w:type="dxa"/>
            <w:vAlign w:val="bottom"/>
            <w:vMerge w:val="restart"/>
          </w:tcPr>
          <w:p>
            <w:pPr>
              <w:jc w:val="center"/>
              <w:ind w:left="66"/>
              <w:spacing w:after="0"/>
              <w:rPr>
                <w:sz w:val="20"/>
                <w:szCs w:val="20"/>
                <w:color w:val="auto"/>
              </w:rPr>
            </w:pPr>
            <w:r>
              <w:rPr>
                <w:rFonts w:ascii="Arial" w:cs="Arial" w:eastAsia="Arial" w:hAnsi="Arial"/>
                <w:sz w:val="11"/>
                <w:szCs w:val="11"/>
                <w:color w:val="auto"/>
                <w:w w:val="98"/>
              </w:rPr>
              <w:t>05/16/2029</w:t>
            </w:r>
          </w:p>
        </w:tc>
        <w:tc>
          <w:tcPr>
            <w:tcW w:w="100" w:type="dxa"/>
            <w:vAlign w:val="bottom"/>
            <w:tcBorders>
              <w:right w:val="single" w:sz="8" w:color="051972"/>
            </w:tcBorders>
          </w:tcPr>
          <w:p>
            <w:pPr>
              <w:spacing w:after="0"/>
              <w:rPr>
                <w:sz w:val="10"/>
                <w:szCs w:val="10"/>
                <w:color w:val="auto"/>
              </w:rPr>
            </w:pPr>
          </w:p>
        </w:tc>
        <w:tc>
          <w:tcPr>
            <w:tcW w:w="9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11,667</w:t>
            </w:r>
          </w:p>
        </w:tc>
        <w:tc>
          <w:tcPr>
            <w:tcW w:w="240" w:type="dxa"/>
            <w:vAlign w:val="bottom"/>
          </w:tcPr>
          <w:p>
            <w:pPr>
              <w:ind w:left="40"/>
              <w:spacing w:after="0"/>
              <w:rPr>
                <w:sz w:val="20"/>
                <w:szCs w:val="20"/>
                <w:color w:val="auto"/>
              </w:rPr>
            </w:pPr>
            <w:r>
              <w:rPr>
                <w:rFonts w:ascii="Arial" w:cs="Arial" w:eastAsia="Arial" w:hAnsi="Arial"/>
                <w:sz w:val="7"/>
                <w:szCs w:val="7"/>
                <w:color w:val="auto"/>
              </w:rPr>
              <w:t>(11)</w:t>
            </w:r>
          </w:p>
        </w:tc>
        <w:tc>
          <w:tcPr>
            <w:tcW w:w="240" w:type="dxa"/>
            <w:vAlign w:val="bottom"/>
          </w:tcPr>
          <w:p>
            <w:pPr>
              <w:spacing w:after="0"/>
              <w:rPr>
                <w:sz w:val="10"/>
                <w:szCs w:val="10"/>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2,589,257</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1"/>
                <w:szCs w:val="11"/>
                <w:color w:val="auto"/>
              </w:rPr>
              <w:t>4,135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20" w:type="dxa"/>
            <w:vAlign w:val="bottom"/>
            <w:vMerge w:val="restart"/>
          </w:tcPr>
          <w:p>
            <w:pPr>
              <w:ind w:left="720"/>
              <w:spacing w:after="0"/>
              <w:rPr>
                <w:sz w:val="20"/>
                <w:szCs w:val="20"/>
                <w:color w:val="auto"/>
              </w:rPr>
            </w:pPr>
            <w:r>
              <w:rPr>
                <w:rFonts w:ascii="Arial" w:cs="Arial" w:eastAsia="Arial" w:hAnsi="Arial"/>
                <w:sz w:val="11"/>
                <w:szCs w:val="11"/>
                <w:color w:val="auto"/>
              </w:rPr>
              <w:t>—</w:t>
            </w:r>
          </w:p>
        </w:tc>
        <w:tc>
          <w:tcPr>
            <w:tcW w:w="1020" w:type="dxa"/>
            <w:vAlign w:val="bottom"/>
            <w:vMerge w:val="restart"/>
          </w:tcPr>
          <w:p>
            <w:pPr>
              <w:jc w:val="right"/>
              <w:ind w:right="226"/>
              <w:spacing w:after="0"/>
              <w:rPr>
                <w:sz w:val="20"/>
                <w:szCs w:val="20"/>
                <w:color w:val="auto"/>
              </w:rPr>
            </w:pPr>
            <w:r>
              <w:rPr>
                <w:rFonts w:ascii="Arial" w:cs="Arial" w:eastAsia="Arial" w:hAnsi="Arial"/>
                <w:sz w:val="11"/>
                <w:szCs w:val="11"/>
                <w:color w:val="auto"/>
              </w:rPr>
              <w:t>91.58</w:t>
            </w:r>
          </w:p>
        </w:tc>
        <w:tc>
          <w:tcPr>
            <w:tcW w:w="940" w:type="dxa"/>
            <w:vAlign w:val="bottom"/>
            <w:vMerge w:val="restart"/>
          </w:tcPr>
          <w:p>
            <w:pPr>
              <w:jc w:val="center"/>
              <w:ind w:left="66"/>
              <w:spacing w:after="0"/>
              <w:rPr>
                <w:sz w:val="20"/>
                <w:szCs w:val="20"/>
                <w:color w:val="auto"/>
              </w:rPr>
            </w:pPr>
            <w:r>
              <w:rPr>
                <w:rFonts w:ascii="Arial" w:cs="Arial" w:eastAsia="Arial" w:hAnsi="Arial"/>
                <w:sz w:val="11"/>
                <w:szCs w:val="11"/>
                <w:color w:val="auto"/>
                <w:w w:val="98"/>
              </w:rPr>
              <w:t>05/16/2029</w:t>
            </w:r>
          </w:p>
        </w:tc>
        <w:tc>
          <w:tcPr>
            <w:tcW w:w="100" w:type="dxa"/>
            <w:vAlign w:val="bottom"/>
            <w:tcBorders>
              <w:right w:val="single" w:sz="8" w:color="051972"/>
            </w:tcBorders>
          </w:tcPr>
          <w:p>
            <w:pPr>
              <w:spacing w:after="0"/>
              <w:rPr>
                <w:sz w:val="11"/>
                <w:szCs w:val="11"/>
                <w:color w:val="auto"/>
              </w:rPr>
            </w:pPr>
          </w:p>
        </w:tc>
        <w:tc>
          <w:tcPr>
            <w:tcW w:w="9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891</w:t>
            </w:r>
          </w:p>
        </w:tc>
        <w:tc>
          <w:tcPr>
            <w:tcW w:w="240" w:type="dxa"/>
            <w:vAlign w:val="bottom"/>
          </w:tcPr>
          <w:p>
            <w:pPr>
              <w:ind w:left="40"/>
              <w:spacing w:after="0"/>
              <w:rPr>
                <w:sz w:val="20"/>
                <w:szCs w:val="20"/>
                <w:color w:val="auto"/>
              </w:rPr>
            </w:pPr>
            <w:r>
              <w:rPr>
                <w:rFonts w:ascii="Arial" w:cs="Arial" w:eastAsia="Arial" w:hAnsi="Arial"/>
                <w:sz w:val="7"/>
                <w:szCs w:val="7"/>
                <w:color w:val="auto"/>
              </w:rPr>
              <w:t>(4)</w:t>
            </w:r>
          </w:p>
        </w:tc>
        <w:tc>
          <w:tcPr>
            <w:tcW w:w="240" w:type="dxa"/>
            <w:vAlign w:val="bottom"/>
          </w:tcPr>
          <w:p>
            <w:pPr>
              <w:spacing w:after="0"/>
              <w:rPr>
                <w:sz w:val="11"/>
                <w:szCs w:val="11"/>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197,740</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1"/>
                <w:szCs w:val="11"/>
                <w:color w:val="auto"/>
              </w:rPr>
              <w:t>8,586</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1220" w:type="dxa"/>
            <w:vAlign w:val="bottom"/>
            <w:vMerge w:val="restart"/>
          </w:tcPr>
          <w:p>
            <w:pPr>
              <w:ind w:left="720"/>
              <w:spacing w:after="0"/>
              <w:rPr>
                <w:sz w:val="20"/>
                <w:szCs w:val="20"/>
                <w:color w:val="auto"/>
              </w:rPr>
            </w:pPr>
            <w:r>
              <w:rPr>
                <w:rFonts w:ascii="Arial" w:cs="Arial" w:eastAsia="Arial" w:hAnsi="Arial"/>
                <w:sz w:val="11"/>
                <w:szCs w:val="11"/>
                <w:color w:val="auto"/>
              </w:rPr>
              <w:t>—</w:t>
            </w:r>
          </w:p>
        </w:tc>
        <w:tc>
          <w:tcPr>
            <w:tcW w:w="1020" w:type="dxa"/>
            <w:vAlign w:val="bottom"/>
            <w:vMerge w:val="restart"/>
          </w:tcPr>
          <w:p>
            <w:pPr>
              <w:jc w:val="right"/>
              <w:ind w:right="226"/>
              <w:spacing w:after="0"/>
              <w:rPr>
                <w:sz w:val="20"/>
                <w:szCs w:val="20"/>
                <w:color w:val="auto"/>
              </w:rPr>
            </w:pPr>
            <w:r>
              <w:rPr>
                <w:rFonts w:ascii="Arial" w:cs="Arial" w:eastAsia="Arial" w:hAnsi="Arial"/>
                <w:sz w:val="11"/>
                <w:szCs w:val="11"/>
                <w:color w:val="auto"/>
              </w:rPr>
              <w:t>60.21</w:t>
            </w:r>
          </w:p>
        </w:tc>
        <w:tc>
          <w:tcPr>
            <w:tcW w:w="940" w:type="dxa"/>
            <w:vAlign w:val="bottom"/>
            <w:vMerge w:val="restart"/>
          </w:tcPr>
          <w:p>
            <w:pPr>
              <w:jc w:val="center"/>
              <w:ind w:left="66"/>
              <w:spacing w:after="0"/>
              <w:rPr>
                <w:sz w:val="20"/>
                <w:szCs w:val="20"/>
                <w:color w:val="auto"/>
              </w:rPr>
            </w:pPr>
            <w:r>
              <w:rPr>
                <w:rFonts w:ascii="Arial" w:cs="Arial" w:eastAsia="Arial" w:hAnsi="Arial"/>
                <w:sz w:val="11"/>
                <w:szCs w:val="11"/>
                <w:color w:val="auto"/>
                <w:w w:val="98"/>
              </w:rPr>
              <w:t>05/19/2030</w:t>
            </w:r>
          </w:p>
        </w:tc>
        <w:tc>
          <w:tcPr>
            <w:tcW w:w="100" w:type="dxa"/>
            <w:vAlign w:val="bottom"/>
            <w:tcBorders>
              <w:right w:val="single" w:sz="8" w:color="051972"/>
            </w:tcBorders>
          </w:tcPr>
          <w:p>
            <w:pPr>
              <w:spacing w:after="0"/>
              <w:rPr>
                <w:sz w:val="8"/>
                <w:szCs w:val="8"/>
                <w:color w:val="auto"/>
              </w:rPr>
            </w:pPr>
          </w:p>
        </w:tc>
        <w:tc>
          <w:tcPr>
            <w:tcW w:w="9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743</w:t>
            </w:r>
          </w:p>
        </w:tc>
        <w:tc>
          <w:tcPr>
            <w:tcW w:w="240" w:type="dxa"/>
            <w:vAlign w:val="bottom"/>
          </w:tcPr>
          <w:p>
            <w:pPr>
              <w:ind w:left="40"/>
              <w:spacing w:after="0"/>
              <w:rPr>
                <w:sz w:val="20"/>
                <w:szCs w:val="20"/>
                <w:color w:val="auto"/>
              </w:rPr>
            </w:pPr>
            <w:r>
              <w:rPr>
                <w:rFonts w:ascii="Arial" w:cs="Arial" w:eastAsia="Arial" w:hAnsi="Arial"/>
                <w:sz w:val="7"/>
                <w:szCs w:val="7"/>
                <w:color w:val="auto"/>
              </w:rPr>
              <w:t>(5)</w:t>
            </w:r>
          </w:p>
        </w:tc>
        <w:tc>
          <w:tcPr>
            <w:tcW w:w="240" w:type="dxa"/>
            <w:vAlign w:val="bottom"/>
          </w:tcPr>
          <w:p>
            <w:pPr>
              <w:spacing w:after="0"/>
              <w:rPr>
                <w:sz w:val="8"/>
                <w:szCs w:val="8"/>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164,894</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8"/>
                <w:szCs w:val="8"/>
                <w:color w:val="auto"/>
              </w:rPr>
            </w:pP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1"/>
                <w:szCs w:val="11"/>
                <w:color w:val="auto"/>
              </w:rPr>
              <w:t>11,322</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8"/>
                <w:szCs w:val="8"/>
                <w:color w:val="auto"/>
              </w:rPr>
            </w:pPr>
          </w:p>
        </w:tc>
        <w:tc>
          <w:tcPr>
            <w:tcW w:w="1220" w:type="dxa"/>
            <w:vAlign w:val="bottom"/>
            <w:vMerge w:val="restart"/>
          </w:tcPr>
          <w:p>
            <w:pPr>
              <w:ind w:left="720"/>
              <w:spacing w:after="0"/>
              <w:rPr>
                <w:sz w:val="20"/>
                <w:szCs w:val="20"/>
                <w:color w:val="auto"/>
              </w:rPr>
            </w:pPr>
            <w:r>
              <w:rPr>
                <w:rFonts w:ascii="Arial" w:cs="Arial" w:eastAsia="Arial" w:hAnsi="Arial"/>
                <w:sz w:val="11"/>
                <w:szCs w:val="11"/>
                <w:color w:val="auto"/>
              </w:rPr>
              <w:t>—</w:t>
            </w:r>
          </w:p>
        </w:tc>
        <w:tc>
          <w:tcPr>
            <w:tcW w:w="1020" w:type="dxa"/>
            <w:vAlign w:val="bottom"/>
            <w:vMerge w:val="restart"/>
          </w:tcPr>
          <w:p>
            <w:pPr>
              <w:jc w:val="right"/>
              <w:ind w:right="226"/>
              <w:spacing w:after="0"/>
              <w:rPr>
                <w:sz w:val="20"/>
                <w:szCs w:val="20"/>
                <w:color w:val="auto"/>
              </w:rPr>
            </w:pPr>
            <w:r>
              <w:rPr>
                <w:rFonts w:ascii="Arial" w:cs="Arial" w:eastAsia="Arial" w:hAnsi="Arial"/>
                <w:sz w:val="11"/>
                <w:szCs w:val="11"/>
                <w:color w:val="auto"/>
              </w:rPr>
              <w:t>60.21</w:t>
            </w:r>
          </w:p>
        </w:tc>
        <w:tc>
          <w:tcPr>
            <w:tcW w:w="940" w:type="dxa"/>
            <w:vAlign w:val="bottom"/>
            <w:vMerge w:val="restart"/>
          </w:tcPr>
          <w:p>
            <w:pPr>
              <w:jc w:val="center"/>
              <w:ind w:left="66"/>
              <w:spacing w:after="0"/>
              <w:rPr>
                <w:sz w:val="20"/>
                <w:szCs w:val="20"/>
                <w:color w:val="auto"/>
              </w:rPr>
            </w:pPr>
            <w:r>
              <w:rPr>
                <w:rFonts w:ascii="Arial" w:cs="Arial" w:eastAsia="Arial" w:hAnsi="Arial"/>
                <w:sz w:val="11"/>
                <w:szCs w:val="11"/>
                <w:color w:val="auto"/>
                <w:w w:val="98"/>
              </w:rPr>
              <w:t>05/19/2030</w:t>
            </w: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1,170</w:t>
            </w:r>
          </w:p>
        </w:tc>
        <w:tc>
          <w:tcPr>
            <w:tcW w:w="300" w:type="dxa"/>
            <w:vAlign w:val="bottom"/>
          </w:tcPr>
          <w:p>
            <w:pPr>
              <w:jc w:val="right"/>
              <w:ind w:right="144"/>
              <w:spacing w:after="0"/>
              <w:rPr>
                <w:sz w:val="20"/>
                <w:szCs w:val="20"/>
                <w:color w:val="auto"/>
              </w:rPr>
            </w:pPr>
            <w:r>
              <w:rPr>
                <w:rFonts w:ascii="Arial" w:cs="Arial" w:eastAsia="Arial" w:hAnsi="Arial"/>
                <w:sz w:val="7"/>
                <w:szCs w:val="7"/>
                <w:color w:val="auto"/>
              </w:rPr>
              <w:t>(6)</w:t>
            </w: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259,658</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1"/>
                <w:szCs w:val="11"/>
                <w:color w:val="auto"/>
              </w:rPr>
              <w:t>2,319</w:t>
            </w:r>
          </w:p>
        </w:tc>
        <w:tc>
          <w:tcPr>
            <w:tcW w:w="120" w:type="dxa"/>
            <w:vAlign w:val="bottom"/>
          </w:tcPr>
          <w:p>
            <w:pPr>
              <w:spacing w:after="0"/>
              <w:rPr>
                <w:sz w:val="8"/>
                <w:szCs w:val="8"/>
                <w:color w:val="auto"/>
              </w:rPr>
            </w:pPr>
          </w:p>
        </w:tc>
        <w:tc>
          <w:tcPr>
            <w:tcW w:w="11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772</w:t>
            </w:r>
          </w:p>
        </w:tc>
        <w:tc>
          <w:tcPr>
            <w:tcW w:w="200" w:type="dxa"/>
            <w:vAlign w:val="bottom"/>
          </w:tcPr>
          <w:p>
            <w:pPr>
              <w:jc w:val="right"/>
              <w:ind w:right="64"/>
              <w:spacing w:after="0"/>
              <w:rPr>
                <w:sz w:val="20"/>
                <w:szCs w:val="20"/>
                <w:color w:val="auto"/>
              </w:rPr>
            </w:pPr>
            <w:r>
              <w:rPr>
                <w:rFonts w:ascii="Arial" w:cs="Arial" w:eastAsia="Arial" w:hAnsi="Arial"/>
                <w:sz w:val="7"/>
                <w:szCs w:val="7"/>
                <w:color w:val="auto"/>
                <w:w w:val="92"/>
              </w:rPr>
              <w:t>(2)</w:t>
            </w:r>
          </w:p>
        </w:tc>
        <w:tc>
          <w:tcPr>
            <w:tcW w:w="1220" w:type="dxa"/>
            <w:vAlign w:val="bottom"/>
            <w:vMerge w:val="restart"/>
          </w:tcPr>
          <w:p>
            <w:pPr>
              <w:ind w:left="720"/>
              <w:spacing w:after="0"/>
              <w:rPr>
                <w:sz w:val="20"/>
                <w:szCs w:val="20"/>
                <w:color w:val="auto"/>
              </w:rPr>
            </w:pPr>
            <w:r>
              <w:rPr>
                <w:rFonts w:ascii="Arial" w:cs="Arial" w:eastAsia="Arial" w:hAnsi="Arial"/>
                <w:sz w:val="11"/>
                <w:szCs w:val="11"/>
                <w:color w:val="auto"/>
              </w:rPr>
              <w:t>—</w:t>
            </w:r>
          </w:p>
        </w:tc>
        <w:tc>
          <w:tcPr>
            <w:tcW w:w="1020" w:type="dxa"/>
            <w:vAlign w:val="bottom"/>
            <w:vMerge w:val="restart"/>
          </w:tcPr>
          <w:p>
            <w:pPr>
              <w:jc w:val="right"/>
              <w:ind w:right="226"/>
              <w:spacing w:after="0"/>
              <w:rPr>
                <w:sz w:val="20"/>
                <w:szCs w:val="20"/>
                <w:color w:val="auto"/>
              </w:rPr>
            </w:pPr>
            <w:r>
              <w:rPr>
                <w:rFonts w:ascii="Arial" w:cs="Arial" w:eastAsia="Arial" w:hAnsi="Arial"/>
                <w:sz w:val="11"/>
                <w:szCs w:val="11"/>
                <w:color w:val="auto"/>
              </w:rPr>
              <w:t>126.22</w:t>
            </w:r>
          </w:p>
        </w:tc>
        <w:tc>
          <w:tcPr>
            <w:tcW w:w="940" w:type="dxa"/>
            <w:vAlign w:val="bottom"/>
            <w:vMerge w:val="restart"/>
          </w:tcPr>
          <w:p>
            <w:pPr>
              <w:jc w:val="center"/>
              <w:ind w:left="66"/>
              <w:spacing w:after="0"/>
              <w:rPr>
                <w:sz w:val="20"/>
                <w:szCs w:val="20"/>
                <w:color w:val="auto"/>
              </w:rPr>
            </w:pPr>
            <w:r>
              <w:rPr>
                <w:rFonts w:ascii="Arial" w:cs="Arial" w:eastAsia="Arial" w:hAnsi="Arial"/>
                <w:sz w:val="11"/>
                <w:szCs w:val="11"/>
                <w:color w:val="auto"/>
                <w:w w:val="98"/>
              </w:rPr>
              <w:t>05/19/2032</w:t>
            </w: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2,339</w:t>
            </w:r>
          </w:p>
        </w:tc>
        <w:tc>
          <w:tcPr>
            <w:tcW w:w="300" w:type="dxa"/>
            <w:vAlign w:val="bottom"/>
          </w:tcPr>
          <w:p>
            <w:pPr>
              <w:jc w:val="right"/>
              <w:ind w:right="144"/>
              <w:spacing w:after="0"/>
              <w:rPr>
                <w:sz w:val="20"/>
                <w:szCs w:val="20"/>
                <w:color w:val="auto"/>
              </w:rPr>
            </w:pPr>
            <w:r>
              <w:rPr>
                <w:rFonts w:ascii="Arial" w:cs="Arial" w:eastAsia="Arial" w:hAnsi="Arial"/>
                <w:sz w:val="7"/>
                <w:szCs w:val="7"/>
                <w:color w:val="auto"/>
              </w:rPr>
              <w:t>(7)</w:t>
            </w: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519,094</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1"/>
                <w:szCs w:val="11"/>
                <w:color w:val="auto"/>
              </w:rPr>
              <w:t>1,932</w:t>
            </w:r>
          </w:p>
        </w:tc>
        <w:tc>
          <w:tcPr>
            <w:tcW w:w="120" w:type="dxa"/>
            <w:vAlign w:val="bottom"/>
          </w:tcPr>
          <w:p>
            <w:pPr>
              <w:spacing w:after="0"/>
              <w:rPr>
                <w:sz w:val="8"/>
                <w:szCs w:val="8"/>
                <w:color w:val="auto"/>
              </w:rPr>
            </w:pPr>
          </w:p>
        </w:tc>
        <w:tc>
          <w:tcPr>
            <w:tcW w:w="11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644</w:t>
            </w:r>
          </w:p>
        </w:tc>
        <w:tc>
          <w:tcPr>
            <w:tcW w:w="200" w:type="dxa"/>
            <w:vAlign w:val="bottom"/>
          </w:tcPr>
          <w:p>
            <w:pPr>
              <w:jc w:val="right"/>
              <w:ind w:right="64"/>
              <w:spacing w:after="0"/>
              <w:rPr>
                <w:sz w:val="20"/>
                <w:szCs w:val="20"/>
                <w:color w:val="auto"/>
              </w:rPr>
            </w:pPr>
            <w:r>
              <w:rPr>
                <w:rFonts w:ascii="Arial" w:cs="Arial" w:eastAsia="Arial" w:hAnsi="Arial"/>
                <w:sz w:val="7"/>
                <w:szCs w:val="7"/>
                <w:color w:val="auto"/>
                <w:w w:val="92"/>
              </w:rPr>
              <w:t>(3)</w:t>
            </w:r>
          </w:p>
        </w:tc>
        <w:tc>
          <w:tcPr>
            <w:tcW w:w="1220" w:type="dxa"/>
            <w:vAlign w:val="bottom"/>
            <w:vMerge w:val="restart"/>
          </w:tcPr>
          <w:p>
            <w:pPr>
              <w:ind w:left="720"/>
              <w:spacing w:after="0"/>
              <w:rPr>
                <w:sz w:val="20"/>
                <w:szCs w:val="20"/>
                <w:color w:val="auto"/>
              </w:rPr>
            </w:pPr>
            <w:r>
              <w:rPr>
                <w:rFonts w:ascii="Arial" w:cs="Arial" w:eastAsia="Arial" w:hAnsi="Arial"/>
                <w:sz w:val="11"/>
                <w:szCs w:val="11"/>
                <w:color w:val="auto"/>
              </w:rPr>
              <w:t>—</w:t>
            </w:r>
          </w:p>
        </w:tc>
        <w:tc>
          <w:tcPr>
            <w:tcW w:w="1020" w:type="dxa"/>
            <w:vAlign w:val="bottom"/>
            <w:vMerge w:val="restart"/>
          </w:tcPr>
          <w:p>
            <w:pPr>
              <w:jc w:val="right"/>
              <w:ind w:right="226"/>
              <w:spacing w:after="0"/>
              <w:rPr>
                <w:sz w:val="20"/>
                <w:szCs w:val="20"/>
                <w:color w:val="auto"/>
              </w:rPr>
            </w:pPr>
            <w:r>
              <w:rPr>
                <w:rFonts w:ascii="Arial" w:cs="Arial" w:eastAsia="Arial" w:hAnsi="Arial"/>
                <w:sz w:val="11"/>
                <w:szCs w:val="11"/>
                <w:color w:val="auto"/>
              </w:rPr>
              <w:t>126.22</w:t>
            </w:r>
          </w:p>
        </w:tc>
        <w:tc>
          <w:tcPr>
            <w:tcW w:w="940" w:type="dxa"/>
            <w:vAlign w:val="bottom"/>
            <w:vMerge w:val="restart"/>
          </w:tcPr>
          <w:p>
            <w:pPr>
              <w:jc w:val="center"/>
              <w:ind w:left="66"/>
              <w:spacing w:after="0"/>
              <w:rPr>
                <w:sz w:val="20"/>
                <w:szCs w:val="20"/>
                <w:color w:val="auto"/>
              </w:rPr>
            </w:pPr>
            <w:r>
              <w:rPr>
                <w:rFonts w:ascii="Arial" w:cs="Arial" w:eastAsia="Arial" w:hAnsi="Arial"/>
                <w:sz w:val="11"/>
                <w:szCs w:val="11"/>
                <w:color w:val="auto"/>
                <w:w w:val="98"/>
              </w:rPr>
              <w:t>05/19/2032</w:t>
            </w:r>
          </w:p>
        </w:tc>
        <w:tc>
          <w:tcPr>
            <w:tcW w:w="100" w:type="dxa"/>
            <w:vAlign w:val="bottom"/>
            <w:tcBorders>
              <w:right w:val="single" w:sz="8" w:color="051972"/>
            </w:tcBorders>
          </w:tcPr>
          <w:p>
            <w:pPr>
              <w:spacing w:after="0"/>
              <w:rPr>
                <w:sz w:val="8"/>
                <w:szCs w:val="8"/>
                <w:color w:val="auto"/>
              </w:rPr>
            </w:pPr>
          </w:p>
        </w:tc>
        <w:tc>
          <w:tcPr>
            <w:tcW w:w="9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1,299</w:t>
            </w:r>
          </w:p>
        </w:tc>
        <w:tc>
          <w:tcPr>
            <w:tcW w:w="240" w:type="dxa"/>
            <w:vAlign w:val="bottom"/>
          </w:tcPr>
          <w:p>
            <w:pPr>
              <w:ind w:left="40"/>
              <w:spacing w:after="0"/>
              <w:rPr>
                <w:sz w:val="20"/>
                <w:szCs w:val="20"/>
                <w:color w:val="auto"/>
              </w:rPr>
            </w:pPr>
            <w:r>
              <w:rPr>
                <w:rFonts w:ascii="Arial" w:cs="Arial" w:eastAsia="Arial" w:hAnsi="Arial"/>
                <w:sz w:val="7"/>
                <w:szCs w:val="7"/>
                <w:color w:val="auto"/>
              </w:rPr>
              <w:t>(8)</w:t>
            </w:r>
          </w:p>
        </w:tc>
        <w:tc>
          <w:tcPr>
            <w:tcW w:w="240" w:type="dxa"/>
            <w:vAlign w:val="bottom"/>
          </w:tcPr>
          <w:p>
            <w:pPr>
              <w:spacing w:after="0"/>
              <w:rPr>
                <w:sz w:val="8"/>
                <w:szCs w:val="8"/>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288,287</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8"/>
                <w:szCs w:val="8"/>
                <w:color w:val="auto"/>
              </w:rPr>
            </w:pP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5,666</w:t>
            </w:r>
          </w:p>
        </w:tc>
        <w:tc>
          <w:tcPr>
            <w:tcW w:w="300" w:type="dxa"/>
            <w:vAlign w:val="bottom"/>
          </w:tcPr>
          <w:p>
            <w:pPr>
              <w:jc w:val="right"/>
              <w:ind w:right="144"/>
              <w:spacing w:after="0"/>
              <w:rPr>
                <w:sz w:val="20"/>
                <w:szCs w:val="20"/>
                <w:color w:val="auto"/>
              </w:rPr>
            </w:pPr>
            <w:r>
              <w:rPr>
                <w:rFonts w:ascii="Arial" w:cs="Arial" w:eastAsia="Arial" w:hAnsi="Arial"/>
                <w:sz w:val="7"/>
                <w:szCs w:val="7"/>
                <w:color w:val="auto"/>
              </w:rPr>
              <w:t>(9)</w:t>
            </w: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1,257,455</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right w:val="single" w:sz="8" w:color="051972"/>
            </w:tcBorders>
          </w:tcPr>
          <w:p>
            <w:pPr>
              <w:spacing w:after="0"/>
              <w:rPr>
                <w:sz w:val="8"/>
                <w:szCs w:val="8"/>
                <w:color w:val="auto"/>
              </w:rPr>
            </w:pPr>
          </w:p>
        </w:tc>
        <w:tc>
          <w:tcPr>
            <w:tcW w:w="9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2,833</w:t>
            </w:r>
          </w:p>
        </w:tc>
        <w:tc>
          <w:tcPr>
            <w:tcW w:w="240" w:type="dxa"/>
            <w:vAlign w:val="bottom"/>
          </w:tcPr>
          <w:p>
            <w:pPr>
              <w:ind w:left="40"/>
              <w:spacing w:after="0"/>
              <w:rPr>
                <w:sz w:val="20"/>
                <w:szCs w:val="20"/>
                <w:color w:val="auto"/>
              </w:rPr>
            </w:pPr>
            <w:r>
              <w:rPr>
                <w:rFonts w:ascii="Arial" w:cs="Arial" w:eastAsia="Arial" w:hAnsi="Arial"/>
                <w:sz w:val="7"/>
                <w:szCs w:val="7"/>
                <w:color w:val="auto"/>
              </w:rPr>
              <w:t>(10)</w:t>
            </w:r>
          </w:p>
        </w:tc>
        <w:tc>
          <w:tcPr>
            <w:tcW w:w="240" w:type="dxa"/>
            <w:vAlign w:val="bottom"/>
          </w:tcPr>
          <w:p>
            <w:pPr>
              <w:spacing w:after="0"/>
              <w:rPr>
                <w:sz w:val="8"/>
                <w:szCs w:val="8"/>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628,728</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8"/>
                <w:szCs w:val="8"/>
                <w:color w:val="auto"/>
              </w:rPr>
            </w:pP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Borders>
              <w:right w:val="single" w:sz="8" w:color="051972"/>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120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rPr>
              <w:t>Matt Newby</w:t>
            </w:r>
          </w:p>
        </w:tc>
        <w:tc>
          <w:tcPr>
            <w:tcW w:w="860" w:type="dxa"/>
            <w:vAlign w:val="bottom"/>
            <w:gridSpan w:val="3"/>
            <w:vMerge w:val="restart"/>
            <w:shd w:val="clear" w:color="auto" w:fill="E7E7E8"/>
          </w:tcPr>
          <w:p>
            <w:pPr>
              <w:jc w:val="right"/>
              <w:spacing w:after="0"/>
              <w:rPr>
                <w:sz w:val="20"/>
                <w:szCs w:val="20"/>
                <w:color w:val="auto"/>
              </w:rPr>
            </w:pPr>
            <w:r>
              <w:rPr>
                <w:rFonts w:ascii="Arial" w:cs="Arial" w:eastAsia="Arial" w:hAnsi="Arial"/>
                <w:sz w:val="11"/>
                <w:szCs w:val="11"/>
                <w:color w:val="auto"/>
              </w:rPr>
              <w:t>3,859</w:t>
            </w:r>
          </w:p>
        </w:tc>
        <w:tc>
          <w:tcPr>
            <w:tcW w:w="120" w:type="dxa"/>
            <w:vAlign w:val="bottom"/>
            <w:shd w:val="clear" w:color="auto" w:fill="E7E7E8"/>
          </w:tcPr>
          <w:p>
            <w:pPr>
              <w:spacing w:after="0"/>
              <w:rPr>
                <w:sz w:val="10"/>
                <w:szCs w:val="10"/>
                <w:color w:val="auto"/>
              </w:rPr>
            </w:pPr>
          </w:p>
        </w:tc>
        <w:tc>
          <w:tcPr>
            <w:tcW w:w="160" w:type="dxa"/>
            <w:vAlign w:val="bottom"/>
            <w:shd w:val="clear" w:color="auto" w:fill="E7E7E8"/>
          </w:tcPr>
          <w:p>
            <w:pPr>
              <w:spacing w:after="0"/>
              <w:rPr>
                <w:sz w:val="10"/>
                <w:szCs w:val="10"/>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10"/>
                <w:szCs w:val="10"/>
                <w:color w:val="auto"/>
              </w:rPr>
            </w:pPr>
          </w:p>
        </w:tc>
        <w:tc>
          <w:tcPr>
            <w:tcW w:w="1220" w:type="dxa"/>
            <w:vAlign w:val="bottom"/>
            <w:vMerge w:val="restart"/>
            <w:shd w:val="clear" w:color="auto" w:fill="E7E7E8"/>
          </w:tcPr>
          <w:p>
            <w:pPr>
              <w:ind w:left="720"/>
              <w:spacing w:after="0"/>
              <w:rPr>
                <w:sz w:val="20"/>
                <w:szCs w:val="20"/>
                <w:color w:val="auto"/>
              </w:rPr>
            </w:pPr>
            <w:r>
              <w:rPr>
                <w:rFonts w:ascii="Arial" w:cs="Arial" w:eastAsia="Arial" w:hAnsi="Arial"/>
                <w:sz w:val="11"/>
                <w:szCs w:val="11"/>
                <w:color w:val="auto"/>
              </w:rPr>
              <w:t>—</w:t>
            </w:r>
          </w:p>
        </w:tc>
        <w:tc>
          <w:tcPr>
            <w:tcW w:w="102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91.58</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05/16/2029</w:t>
            </w:r>
          </w:p>
        </w:tc>
        <w:tc>
          <w:tcPr>
            <w:tcW w:w="100" w:type="dxa"/>
            <w:vAlign w:val="bottom"/>
            <w:tcBorders>
              <w:right w:val="single" w:sz="8" w:color="051972"/>
            </w:tcBorders>
            <w:shd w:val="clear" w:color="auto" w:fill="E7E7E8"/>
          </w:tcPr>
          <w:p>
            <w:pPr>
              <w:spacing w:after="0"/>
              <w:rPr>
                <w:sz w:val="10"/>
                <w:szCs w:val="10"/>
                <w:color w:val="auto"/>
              </w:rPr>
            </w:pPr>
          </w:p>
        </w:tc>
        <w:tc>
          <w:tcPr>
            <w:tcW w:w="900" w:type="dxa"/>
            <w:vAlign w:val="bottom"/>
            <w:gridSpan w:val="2"/>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832</w:t>
            </w:r>
          </w:p>
        </w:tc>
        <w:tc>
          <w:tcPr>
            <w:tcW w:w="240" w:type="dxa"/>
            <w:vAlign w:val="bottom"/>
            <w:shd w:val="clear" w:color="auto" w:fill="E7E7E8"/>
          </w:tcPr>
          <w:p>
            <w:pPr>
              <w:ind w:left="40"/>
              <w:spacing w:after="0"/>
              <w:rPr>
                <w:sz w:val="20"/>
                <w:szCs w:val="20"/>
                <w:color w:val="auto"/>
              </w:rPr>
            </w:pPr>
            <w:r>
              <w:rPr>
                <w:rFonts w:ascii="Arial" w:cs="Arial" w:eastAsia="Arial" w:hAnsi="Arial"/>
                <w:sz w:val="7"/>
                <w:szCs w:val="7"/>
                <w:color w:val="auto"/>
              </w:rPr>
              <w:t>(4)</w:t>
            </w:r>
          </w:p>
        </w:tc>
        <w:tc>
          <w:tcPr>
            <w:tcW w:w="240" w:type="dxa"/>
            <w:vAlign w:val="bottom"/>
            <w:shd w:val="clear" w:color="auto" w:fill="E7E7E8"/>
          </w:tcPr>
          <w:p>
            <w:pPr>
              <w:spacing w:after="0"/>
              <w:rPr>
                <w:sz w:val="10"/>
                <w:szCs w:val="10"/>
                <w:color w:val="auto"/>
              </w:rPr>
            </w:pPr>
          </w:p>
        </w:tc>
        <w:tc>
          <w:tcPr>
            <w:tcW w:w="110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184,646</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shd w:val="clear" w:color="auto" w:fill="E7E7E8"/>
          </w:tcPr>
          <w:p>
            <w:pPr>
              <w:spacing w:after="0"/>
              <w:rPr>
                <w:sz w:val="10"/>
                <w:szCs w:val="10"/>
                <w:color w:val="auto"/>
              </w:rPr>
            </w:pP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vMerge w:val="continue"/>
            <w:shd w:val="clear" w:color="auto" w:fill="E7E7E8"/>
          </w:tcPr>
          <w:p>
            <w:pPr>
              <w:spacing w:after="0"/>
              <w:rPr>
                <w:sz w:val="5"/>
                <w:szCs w:val="5"/>
                <w:color w:val="auto"/>
              </w:rPr>
            </w:pPr>
          </w:p>
        </w:tc>
        <w:tc>
          <w:tcPr>
            <w:tcW w:w="860" w:type="dxa"/>
            <w:vAlign w:val="bottom"/>
            <w:gridSpan w:val="3"/>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220" w:type="dxa"/>
            <w:vAlign w:val="bottom"/>
            <w:vMerge w:val="continue"/>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200" w:type="dxa"/>
            <w:vAlign w:val="bottom"/>
            <w:shd w:val="clear" w:color="auto" w:fill="E7E7E8"/>
          </w:tcPr>
          <w:p>
            <w:pPr>
              <w:spacing w:after="0"/>
              <w:rPr>
                <w:sz w:val="11"/>
                <w:szCs w:val="11"/>
                <w:color w:val="auto"/>
              </w:rPr>
            </w:pPr>
          </w:p>
        </w:tc>
        <w:tc>
          <w:tcPr>
            <w:tcW w:w="120" w:type="dxa"/>
            <w:vAlign w:val="bottom"/>
            <w:shd w:val="clear" w:color="auto" w:fill="E7E7E8"/>
          </w:tcPr>
          <w:p>
            <w:pPr>
              <w:spacing w:after="0"/>
              <w:rPr>
                <w:sz w:val="11"/>
                <w:szCs w:val="11"/>
                <w:color w:val="auto"/>
              </w:rPr>
            </w:pPr>
          </w:p>
        </w:tc>
        <w:tc>
          <w:tcPr>
            <w:tcW w:w="740" w:type="dxa"/>
            <w:vAlign w:val="bottom"/>
            <w:gridSpan w:val="2"/>
            <w:vMerge w:val="restart"/>
            <w:shd w:val="clear" w:color="auto" w:fill="E7E7E8"/>
          </w:tcPr>
          <w:p>
            <w:pPr>
              <w:jc w:val="right"/>
              <w:spacing w:after="0"/>
              <w:rPr>
                <w:sz w:val="20"/>
                <w:szCs w:val="20"/>
                <w:color w:val="auto"/>
              </w:rPr>
            </w:pPr>
            <w:r>
              <w:rPr>
                <w:rFonts w:ascii="Arial" w:cs="Arial" w:eastAsia="Arial" w:hAnsi="Arial"/>
                <w:sz w:val="11"/>
                <w:szCs w:val="11"/>
                <w:color w:val="auto"/>
              </w:rPr>
              <w:t>3,654</w:t>
            </w:r>
          </w:p>
        </w:tc>
        <w:tc>
          <w:tcPr>
            <w:tcW w:w="120" w:type="dxa"/>
            <w:vAlign w:val="bottom"/>
            <w:shd w:val="clear" w:color="auto" w:fill="E7E7E8"/>
          </w:tcPr>
          <w:p>
            <w:pPr>
              <w:spacing w:after="0"/>
              <w:rPr>
                <w:sz w:val="11"/>
                <w:szCs w:val="11"/>
                <w:color w:val="auto"/>
              </w:rPr>
            </w:pPr>
          </w:p>
        </w:tc>
        <w:tc>
          <w:tcPr>
            <w:tcW w:w="160" w:type="dxa"/>
            <w:vAlign w:val="bottom"/>
            <w:shd w:val="clear" w:color="auto" w:fill="E7E7E8"/>
          </w:tcPr>
          <w:p>
            <w:pPr>
              <w:spacing w:after="0"/>
              <w:rPr>
                <w:sz w:val="11"/>
                <w:szCs w:val="11"/>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11"/>
                <w:szCs w:val="11"/>
                <w:color w:val="auto"/>
              </w:rPr>
            </w:pPr>
          </w:p>
        </w:tc>
        <w:tc>
          <w:tcPr>
            <w:tcW w:w="1220" w:type="dxa"/>
            <w:vAlign w:val="bottom"/>
            <w:vMerge w:val="restart"/>
            <w:shd w:val="clear" w:color="auto" w:fill="E7E7E8"/>
          </w:tcPr>
          <w:p>
            <w:pPr>
              <w:ind w:left="720"/>
              <w:spacing w:after="0"/>
              <w:rPr>
                <w:sz w:val="20"/>
                <w:szCs w:val="20"/>
                <w:color w:val="auto"/>
              </w:rPr>
            </w:pPr>
            <w:r>
              <w:rPr>
                <w:rFonts w:ascii="Arial" w:cs="Arial" w:eastAsia="Arial" w:hAnsi="Arial"/>
                <w:sz w:val="11"/>
                <w:szCs w:val="11"/>
                <w:color w:val="auto"/>
              </w:rPr>
              <w:t>—</w:t>
            </w:r>
          </w:p>
        </w:tc>
        <w:tc>
          <w:tcPr>
            <w:tcW w:w="102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91.58</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05/16/2029</w:t>
            </w:r>
          </w:p>
        </w:tc>
        <w:tc>
          <w:tcPr>
            <w:tcW w:w="100" w:type="dxa"/>
            <w:vAlign w:val="bottom"/>
            <w:tcBorders>
              <w:right w:val="single" w:sz="8" w:color="051972"/>
            </w:tcBorders>
            <w:shd w:val="clear" w:color="auto" w:fill="E7E7E8"/>
          </w:tcPr>
          <w:p>
            <w:pPr>
              <w:spacing w:after="0"/>
              <w:rPr>
                <w:sz w:val="11"/>
                <w:szCs w:val="11"/>
                <w:color w:val="auto"/>
              </w:rPr>
            </w:pPr>
          </w:p>
        </w:tc>
        <w:tc>
          <w:tcPr>
            <w:tcW w:w="900" w:type="dxa"/>
            <w:vAlign w:val="bottom"/>
            <w:gridSpan w:val="2"/>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693</w:t>
            </w:r>
          </w:p>
        </w:tc>
        <w:tc>
          <w:tcPr>
            <w:tcW w:w="240" w:type="dxa"/>
            <w:vAlign w:val="bottom"/>
            <w:shd w:val="clear" w:color="auto" w:fill="E7E7E8"/>
          </w:tcPr>
          <w:p>
            <w:pPr>
              <w:ind w:left="40"/>
              <w:spacing w:after="0"/>
              <w:rPr>
                <w:sz w:val="20"/>
                <w:szCs w:val="20"/>
                <w:color w:val="auto"/>
              </w:rPr>
            </w:pPr>
            <w:r>
              <w:rPr>
                <w:rFonts w:ascii="Arial" w:cs="Arial" w:eastAsia="Arial" w:hAnsi="Arial"/>
                <w:sz w:val="7"/>
                <w:szCs w:val="7"/>
                <w:color w:val="auto"/>
              </w:rPr>
              <w:t>(5)</w:t>
            </w:r>
          </w:p>
        </w:tc>
        <w:tc>
          <w:tcPr>
            <w:tcW w:w="240" w:type="dxa"/>
            <w:vAlign w:val="bottom"/>
            <w:shd w:val="clear" w:color="auto" w:fill="E7E7E8"/>
          </w:tcPr>
          <w:p>
            <w:pPr>
              <w:spacing w:after="0"/>
              <w:rPr>
                <w:sz w:val="11"/>
                <w:szCs w:val="11"/>
                <w:color w:val="auto"/>
              </w:rPr>
            </w:pPr>
          </w:p>
        </w:tc>
        <w:tc>
          <w:tcPr>
            <w:tcW w:w="110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153,797</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shd w:val="clear" w:color="auto" w:fill="E7E7E8"/>
          </w:tcPr>
          <w:p>
            <w:pPr>
              <w:spacing w:after="0"/>
              <w:rPr>
                <w:sz w:val="11"/>
                <w:szCs w:val="11"/>
                <w:color w:val="auto"/>
              </w:rPr>
            </w:pP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40" w:type="dxa"/>
            <w:vAlign w:val="bottom"/>
            <w:gridSpan w:val="2"/>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220" w:type="dxa"/>
            <w:vAlign w:val="bottom"/>
            <w:vMerge w:val="continue"/>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2,718</w:t>
            </w: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8"/>
                <w:szCs w:val="8"/>
                <w:color w:val="auto"/>
              </w:rPr>
            </w:pPr>
          </w:p>
        </w:tc>
        <w:tc>
          <w:tcPr>
            <w:tcW w:w="1220" w:type="dxa"/>
            <w:vAlign w:val="bottom"/>
            <w:vMerge w:val="restart"/>
            <w:shd w:val="clear" w:color="auto" w:fill="E7E7E8"/>
          </w:tcPr>
          <w:p>
            <w:pPr>
              <w:ind w:left="720"/>
              <w:spacing w:after="0"/>
              <w:rPr>
                <w:sz w:val="20"/>
                <w:szCs w:val="20"/>
                <w:color w:val="auto"/>
              </w:rPr>
            </w:pPr>
            <w:r>
              <w:rPr>
                <w:rFonts w:ascii="Arial" w:cs="Arial" w:eastAsia="Arial" w:hAnsi="Arial"/>
                <w:sz w:val="11"/>
                <w:szCs w:val="11"/>
                <w:color w:val="auto"/>
              </w:rPr>
              <w:t>—</w:t>
            </w:r>
          </w:p>
        </w:tc>
        <w:tc>
          <w:tcPr>
            <w:tcW w:w="102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60.21</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05/19/2030</w:t>
            </w:r>
          </w:p>
        </w:tc>
        <w:tc>
          <w:tcPr>
            <w:tcW w:w="10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10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675</w:t>
            </w:r>
          </w:p>
        </w:tc>
        <w:tc>
          <w:tcPr>
            <w:tcW w:w="300" w:type="dxa"/>
            <w:vAlign w:val="bottom"/>
            <w:shd w:val="clear" w:color="auto" w:fill="E7E7E8"/>
          </w:tcPr>
          <w:p>
            <w:pPr>
              <w:jc w:val="right"/>
              <w:ind w:right="144"/>
              <w:spacing w:after="0"/>
              <w:rPr>
                <w:sz w:val="20"/>
                <w:szCs w:val="20"/>
                <w:color w:val="auto"/>
              </w:rPr>
            </w:pPr>
            <w:r>
              <w:rPr>
                <w:rFonts w:ascii="Arial" w:cs="Arial" w:eastAsia="Arial" w:hAnsi="Arial"/>
                <w:sz w:val="7"/>
                <w:szCs w:val="7"/>
                <w:color w:val="auto"/>
              </w:rPr>
              <w:t>(6)</w:t>
            </w: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149,803</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220" w:type="dxa"/>
            <w:vAlign w:val="bottom"/>
            <w:vMerge w:val="continue"/>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2,265</w:t>
            </w: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vMerge w:val="restart"/>
            <w:shd w:val="clear" w:color="auto" w:fill="E7E7E8"/>
          </w:tcPr>
          <w:p>
            <w:pPr>
              <w:jc w:val="right"/>
              <w:ind w:right="66"/>
              <w:spacing w:after="0"/>
              <w:rPr>
                <w:sz w:val="20"/>
                <w:szCs w:val="20"/>
                <w:color w:val="auto"/>
              </w:rPr>
            </w:pPr>
            <w:r>
              <w:rPr>
                <w:rFonts w:ascii="Arial" w:cs="Arial" w:eastAsia="Arial" w:hAnsi="Arial"/>
                <w:sz w:val="11"/>
                <w:szCs w:val="11"/>
                <w:color w:val="auto"/>
              </w:rPr>
              <w:t>—</w:t>
            </w:r>
          </w:p>
        </w:tc>
        <w:tc>
          <w:tcPr>
            <w:tcW w:w="200" w:type="dxa"/>
            <w:vAlign w:val="bottom"/>
            <w:shd w:val="clear" w:color="auto" w:fill="E7E7E8"/>
          </w:tcPr>
          <w:p>
            <w:pPr>
              <w:spacing w:after="0"/>
              <w:rPr>
                <w:sz w:val="8"/>
                <w:szCs w:val="8"/>
                <w:color w:val="auto"/>
              </w:rPr>
            </w:pPr>
          </w:p>
        </w:tc>
        <w:tc>
          <w:tcPr>
            <w:tcW w:w="1220" w:type="dxa"/>
            <w:vAlign w:val="bottom"/>
            <w:vMerge w:val="restart"/>
            <w:shd w:val="clear" w:color="auto" w:fill="E7E7E8"/>
          </w:tcPr>
          <w:p>
            <w:pPr>
              <w:ind w:left="720"/>
              <w:spacing w:after="0"/>
              <w:rPr>
                <w:sz w:val="20"/>
                <w:szCs w:val="20"/>
                <w:color w:val="auto"/>
              </w:rPr>
            </w:pPr>
            <w:r>
              <w:rPr>
                <w:rFonts w:ascii="Arial" w:cs="Arial" w:eastAsia="Arial" w:hAnsi="Arial"/>
                <w:sz w:val="11"/>
                <w:szCs w:val="11"/>
                <w:color w:val="auto"/>
              </w:rPr>
              <w:t>—</w:t>
            </w:r>
          </w:p>
        </w:tc>
        <w:tc>
          <w:tcPr>
            <w:tcW w:w="1020" w:type="dxa"/>
            <w:vAlign w:val="bottom"/>
            <w:vMerge w:val="restart"/>
            <w:shd w:val="clear" w:color="auto" w:fill="E7E7E8"/>
          </w:tcPr>
          <w:p>
            <w:pPr>
              <w:jc w:val="right"/>
              <w:ind w:right="226"/>
              <w:spacing w:after="0"/>
              <w:rPr>
                <w:sz w:val="20"/>
                <w:szCs w:val="20"/>
                <w:color w:val="auto"/>
              </w:rPr>
            </w:pPr>
            <w:r>
              <w:rPr>
                <w:rFonts w:ascii="Arial" w:cs="Arial" w:eastAsia="Arial" w:hAnsi="Arial"/>
                <w:sz w:val="11"/>
                <w:szCs w:val="11"/>
                <w:color w:val="auto"/>
              </w:rPr>
              <w:t>60.21</w:t>
            </w:r>
          </w:p>
        </w:tc>
        <w:tc>
          <w:tcPr>
            <w:tcW w:w="940" w:type="dxa"/>
            <w:vAlign w:val="bottom"/>
            <w:vMerge w:val="restart"/>
            <w:shd w:val="clear" w:color="auto" w:fill="E7E7E8"/>
          </w:tcPr>
          <w:p>
            <w:pPr>
              <w:jc w:val="center"/>
              <w:ind w:left="66"/>
              <w:spacing w:after="0"/>
              <w:rPr>
                <w:sz w:val="20"/>
                <w:szCs w:val="20"/>
                <w:color w:val="auto"/>
              </w:rPr>
            </w:pPr>
            <w:r>
              <w:rPr>
                <w:rFonts w:ascii="Arial" w:cs="Arial" w:eastAsia="Arial" w:hAnsi="Arial"/>
                <w:sz w:val="11"/>
                <w:szCs w:val="11"/>
                <w:color w:val="auto"/>
                <w:w w:val="98"/>
              </w:rPr>
              <w:t>05/19/2030</w:t>
            </w:r>
          </w:p>
        </w:tc>
        <w:tc>
          <w:tcPr>
            <w:tcW w:w="10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10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1,350</w:t>
            </w:r>
          </w:p>
        </w:tc>
        <w:tc>
          <w:tcPr>
            <w:tcW w:w="300" w:type="dxa"/>
            <w:vAlign w:val="bottom"/>
            <w:shd w:val="clear" w:color="auto" w:fill="E7E7E8"/>
          </w:tcPr>
          <w:p>
            <w:pPr>
              <w:jc w:val="right"/>
              <w:ind w:right="144"/>
              <w:spacing w:after="0"/>
              <w:rPr>
                <w:sz w:val="20"/>
                <w:szCs w:val="20"/>
                <w:color w:val="auto"/>
              </w:rPr>
            </w:pPr>
            <w:r>
              <w:rPr>
                <w:rFonts w:ascii="Arial" w:cs="Arial" w:eastAsia="Arial" w:hAnsi="Arial"/>
                <w:sz w:val="7"/>
                <w:szCs w:val="7"/>
                <w:color w:val="auto"/>
              </w:rPr>
              <w:t>(7)</w:t>
            </w: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299,606</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vMerge w:val="continue"/>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220" w:type="dxa"/>
            <w:vAlign w:val="bottom"/>
            <w:vMerge w:val="continue"/>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940" w:type="dxa"/>
            <w:vAlign w:val="bottom"/>
            <w:vMerge w:val="continue"/>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220" w:type="dxa"/>
            <w:vAlign w:val="bottom"/>
            <w:shd w:val="clear" w:color="auto" w:fill="E7E7E8"/>
          </w:tcPr>
          <w:p>
            <w:pPr>
              <w:spacing w:after="0"/>
              <w:rPr>
                <w:sz w:val="8"/>
                <w:szCs w:val="8"/>
                <w:color w:val="auto"/>
              </w:rPr>
            </w:pPr>
          </w:p>
        </w:tc>
        <w:tc>
          <w:tcPr>
            <w:tcW w:w="1020" w:type="dxa"/>
            <w:vAlign w:val="bottom"/>
            <w:shd w:val="clear" w:color="auto" w:fill="E7E7E8"/>
          </w:tcPr>
          <w:p>
            <w:pPr>
              <w:spacing w:after="0"/>
              <w:rPr>
                <w:sz w:val="8"/>
                <w:szCs w:val="8"/>
                <w:color w:val="auto"/>
              </w:rPr>
            </w:pPr>
          </w:p>
        </w:tc>
        <w:tc>
          <w:tcPr>
            <w:tcW w:w="940" w:type="dxa"/>
            <w:vAlign w:val="bottom"/>
            <w:shd w:val="clear" w:color="auto" w:fill="E7E7E8"/>
          </w:tcPr>
          <w:p>
            <w:pPr>
              <w:spacing w:after="0"/>
              <w:rPr>
                <w:sz w:val="8"/>
                <w:szCs w:val="8"/>
                <w:color w:val="auto"/>
              </w:rPr>
            </w:pPr>
          </w:p>
        </w:tc>
        <w:tc>
          <w:tcPr>
            <w:tcW w:w="100" w:type="dxa"/>
            <w:vAlign w:val="bottom"/>
            <w:tcBorders>
              <w:right w:val="single" w:sz="8" w:color="051972"/>
            </w:tcBorders>
            <w:shd w:val="clear" w:color="auto" w:fill="E7E7E8"/>
          </w:tcPr>
          <w:p>
            <w:pPr>
              <w:spacing w:after="0"/>
              <w:rPr>
                <w:sz w:val="8"/>
                <w:szCs w:val="8"/>
                <w:color w:val="auto"/>
              </w:rPr>
            </w:pPr>
          </w:p>
        </w:tc>
        <w:tc>
          <w:tcPr>
            <w:tcW w:w="900" w:type="dxa"/>
            <w:vAlign w:val="bottom"/>
            <w:gridSpan w:val="2"/>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749</w:t>
            </w:r>
          </w:p>
        </w:tc>
        <w:tc>
          <w:tcPr>
            <w:tcW w:w="240" w:type="dxa"/>
            <w:vAlign w:val="bottom"/>
            <w:shd w:val="clear" w:color="auto" w:fill="E7E7E8"/>
          </w:tcPr>
          <w:p>
            <w:pPr>
              <w:ind w:left="40"/>
              <w:spacing w:after="0"/>
              <w:rPr>
                <w:sz w:val="20"/>
                <w:szCs w:val="20"/>
                <w:color w:val="auto"/>
              </w:rPr>
            </w:pPr>
            <w:r>
              <w:rPr>
                <w:rFonts w:ascii="Arial" w:cs="Arial" w:eastAsia="Arial" w:hAnsi="Arial"/>
                <w:sz w:val="7"/>
                <w:szCs w:val="7"/>
                <w:color w:val="auto"/>
              </w:rPr>
              <w:t>(8)</w:t>
            </w:r>
          </w:p>
        </w:tc>
        <w:tc>
          <w:tcPr>
            <w:tcW w:w="240" w:type="dxa"/>
            <w:vAlign w:val="bottom"/>
            <w:shd w:val="clear" w:color="auto" w:fill="E7E7E8"/>
          </w:tcPr>
          <w:p>
            <w:pPr>
              <w:spacing w:after="0"/>
              <w:rPr>
                <w:sz w:val="8"/>
                <w:szCs w:val="8"/>
                <w:color w:val="auto"/>
              </w:rPr>
            </w:pPr>
          </w:p>
        </w:tc>
        <w:tc>
          <w:tcPr>
            <w:tcW w:w="110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166,226</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shd w:val="clear" w:color="auto" w:fill="E7E7E8"/>
          </w:tcPr>
          <w:p>
            <w:pPr>
              <w:spacing w:after="0"/>
              <w:rPr>
                <w:sz w:val="8"/>
                <w:szCs w:val="8"/>
                <w:color w:val="auto"/>
              </w:rPr>
            </w:pP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220" w:type="dxa"/>
            <w:vAlign w:val="bottom"/>
            <w:shd w:val="clear" w:color="auto" w:fill="E7E7E8"/>
          </w:tcPr>
          <w:p>
            <w:pPr>
              <w:spacing w:after="0"/>
              <w:rPr>
                <w:sz w:val="5"/>
                <w:szCs w:val="5"/>
                <w:color w:val="auto"/>
              </w:rPr>
            </w:pPr>
          </w:p>
        </w:tc>
        <w:tc>
          <w:tcPr>
            <w:tcW w:w="1020" w:type="dxa"/>
            <w:vAlign w:val="bottom"/>
            <w:shd w:val="clear" w:color="auto" w:fill="E7E7E8"/>
          </w:tcPr>
          <w:p>
            <w:pPr>
              <w:spacing w:after="0"/>
              <w:rPr>
                <w:sz w:val="5"/>
                <w:szCs w:val="5"/>
                <w:color w:val="auto"/>
              </w:rPr>
            </w:pPr>
          </w:p>
        </w:tc>
        <w:tc>
          <w:tcPr>
            <w:tcW w:w="940" w:type="dxa"/>
            <w:vAlign w:val="bottom"/>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220" w:type="dxa"/>
            <w:vAlign w:val="bottom"/>
            <w:shd w:val="clear" w:color="auto" w:fill="E7E7E8"/>
          </w:tcPr>
          <w:p>
            <w:pPr>
              <w:spacing w:after="0"/>
              <w:rPr>
                <w:sz w:val="8"/>
                <w:szCs w:val="8"/>
                <w:color w:val="auto"/>
              </w:rPr>
            </w:pPr>
          </w:p>
        </w:tc>
        <w:tc>
          <w:tcPr>
            <w:tcW w:w="1020" w:type="dxa"/>
            <w:vAlign w:val="bottom"/>
            <w:shd w:val="clear" w:color="auto" w:fill="E7E7E8"/>
          </w:tcPr>
          <w:p>
            <w:pPr>
              <w:spacing w:after="0"/>
              <w:rPr>
                <w:sz w:val="8"/>
                <w:szCs w:val="8"/>
                <w:color w:val="auto"/>
              </w:rPr>
            </w:pPr>
          </w:p>
        </w:tc>
        <w:tc>
          <w:tcPr>
            <w:tcW w:w="940" w:type="dxa"/>
            <w:vAlign w:val="bottom"/>
            <w:shd w:val="clear" w:color="auto" w:fill="E7E7E8"/>
          </w:tcPr>
          <w:p>
            <w:pPr>
              <w:spacing w:after="0"/>
              <w:rPr>
                <w:sz w:val="8"/>
                <w:szCs w:val="8"/>
                <w:color w:val="auto"/>
              </w:rPr>
            </w:pPr>
          </w:p>
        </w:tc>
        <w:tc>
          <w:tcPr>
            <w:tcW w:w="10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shd w:val="clear" w:color="auto" w:fill="E7E7E8"/>
          </w:tcPr>
          <w:p>
            <w:pPr>
              <w:spacing w:after="0"/>
              <w:rPr>
                <w:sz w:val="8"/>
                <w:szCs w:val="8"/>
                <w:color w:val="auto"/>
              </w:rPr>
            </w:pPr>
          </w:p>
        </w:tc>
        <w:tc>
          <w:tcPr>
            <w:tcW w:w="240" w:type="dxa"/>
            <w:vAlign w:val="bottom"/>
            <w:shd w:val="clear" w:color="auto" w:fill="E7E7E8"/>
          </w:tcPr>
          <w:p>
            <w:pPr>
              <w:spacing w:after="0"/>
              <w:rPr>
                <w:sz w:val="8"/>
                <w:szCs w:val="8"/>
                <w:color w:val="auto"/>
              </w:rPr>
            </w:pPr>
          </w:p>
        </w:tc>
        <w:tc>
          <w:tcPr>
            <w:tcW w:w="110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3,568</w:t>
            </w:r>
          </w:p>
        </w:tc>
        <w:tc>
          <w:tcPr>
            <w:tcW w:w="300" w:type="dxa"/>
            <w:vAlign w:val="bottom"/>
            <w:shd w:val="clear" w:color="auto" w:fill="E7E7E8"/>
          </w:tcPr>
          <w:p>
            <w:pPr>
              <w:jc w:val="right"/>
              <w:ind w:right="144"/>
              <w:spacing w:after="0"/>
              <w:rPr>
                <w:sz w:val="20"/>
                <w:szCs w:val="20"/>
                <w:color w:val="auto"/>
              </w:rPr>
            </w:pPr>
            <w:r>
              <w:rPr>
                <w:rFonts w:ascii="Arial" w:cs="Arial" w:eastAsia="Arial" w:hAnsi="Arial"/>
                <w:sz w:val="7"/>
                <w:szCs w:val="7"/>
                <w:color w:val="auto"/>
              </w:rPr>
              <w:t>(9)</w:t>
            </w: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791,846</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220" w:type="dxa"/>
            <w:vAlign w:val="bottom"/>
            <w:shd w:val="clear" w:color="auto" w:fill="E7E7E8"/>
          </w:tcPr>
          <w:p>
            <w:pPr>
              <w:spacing w:after="0"/>
              <w:rPr>
                <w:sz w:val="5"/>
                <w:szCs w:val="5"/>
                <w:color w:val="auto"/>
              </w:rPr>
            </w:pPr>
          </w:p>
        </w:tc>
        <w:tc>
          <w:tcPr>
            <w:tcW w:w="1020" w:type="dxa"/>
            <w:vAlign w:val="bottom"/>
            <w:shd w:val="clear" w:color="auto" w:fill="E7E7E8"/>
          </w:tcPr>
          <w:p>
            <w:pPr>
              <w:spacing w:after="0"/>
              <w:rPr>
                <w:sz w:val="5"/>
                <w:szCs w:val="5"/>
                <w:color w:val="auto"/>
              </w:rPr>
            </w:pPr>
          </w:p>
        </w:tc>
        <w:tc>
          <w:tcPr>
            <w:tcW w:w="940" w:type="dxa"/>
            <w:vAlign w:val="bottom"/>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vMerge w:val="continue"/>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6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200" w:type="dxa"/>
            <w:vAlign w:val="bottom"/>
            <w:shd w:val="clear" w:color="auto" w:fill="E7E7E8"/>
          </w:tcPr>
          <w:p>
            <w:pPr>
              <w:spacing w:after="0"/>
              <w:rPr>
                <w:sz w:val="8"/>
                <w:szCs w:val="8"/>
                <w:color w:val="auto"/>
              </w:rPr>
            </w:pPr>
          </w:p>
        </w:tc>
        <w:tc>
          <w:tcPr>
            <w:tcW w:w="1220" w:type="dxa"/>
            <w:vAlign w:val="bottom"/>
            <w:shd w:val="clear" w:color="auto" w:fill="E7E7E8"/>
          </w:tcPr>
          <w:p>
            <w:pPr>
              <w:spacing w:after="0"/>
              <w:rPr>
                <w:sz w:val="8"/>
                <w:szCs w:val="8"/>
                <w:color w:val="auto"/>
              </w:rPr>
            </w:pPr>
          </w:p>
        </w:tc>
        <w:tc>
          <w:tcPr>
            <w:tcW w:w="1020" w:type="dxa"/>
            <w:vAlign w:val="bottom"/>
            <w:shd w:val="clear" w:color="auto" w:fill="E7E7E8"/>
          </w:tcPr>
          <w:p>
            <w:pPr>
              <w:spacing w:after="0"/>
              <w:rPr>
                <w:sz w:val="8"/>
                <w:szCs w:val="8"/>
                <w:color w:val="auto"/>
              </w:rPr>
            </w:pPr>
          </w:p>
        </w:tc>
        <w:tc>
          <w:tcPr>
            <w:tcW w:w="940" w:type="dxa"/>
            <w:vAlign w:val="bottom"/>
            <w:shd w:val="clear" w:color="auto" w:fill="E7E7E8"/>
          </w:tcPr>
          <w:p>
            <w:pPr>
              <w:spacing w:after="0"/>
              <w:rPr>
                <w:sz w:val="8"/>
                <w:szCs w:val="8"/>
                <w:color w:val="auto"/>
              </w:rPr>
            </w:pPr>
          </w:p>
        </w:tc>
        <w:tc>
          <w:tcPr>
            <w:tcW w:w="100" w:type="dxa"/>
            <w:vAlign w:val="bottom"/>
            <w:tcBorders>
              <w:right w:val="single" w:sz="8" w:color="051972"/>
            </w:tcBorders>
            <w:shd w:val="clear" w:color="auto" w:fill="E7E7E8"/>
          </w:tcPr>
          <w:p>
            <w:pPr>
              <w:spacing w:after="0"/>
              <w:rPr>
                <w:sz w:val="8"/>
                <w:szCs w:val="8"/>
                <w:color w:val="auto"/>
              </w:rPr>
            </w:pPr>
          </w:p>
        </w:tc>
        <w:tc>
          <w:tcPr>
            <w:tcW w:w="900" w:type="dxa"/>
            <w:vAlign w:val="bottom"/>
            <w:gridSpan w:val="2"/>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1,784</w:t>
            </w:r>
          </w:p>
        </w:tc>
        <w:tc>
          <w:tcPr>
            <w:tcW w:w="240" w:type="dxa"/>
            <w:vAlign w:val="bottom"/>
            <w:shd w:val="clear" w:color="auto" w:fill="E7E7E8"/>
          </w:tcPr>
          <w:p>
            <w:pPr>
              <w:ind w:left="40"/>
              <w:spacing w:after="0"/>
              <w:rPr>
                <w:sz w:val="20"/>
                <w:szCs w:val="20"/>
                <w:color w:val="auto"/>
              </w:rPr>
            </w:pPr>
            <w:r>
              <w:rPr>
                <w:rFonts w:ascii="Arial" w:cs="Arial" w:eastAsia="Arial" w:hAnsi="Arial"/>
                <w:sz w:val="7"/>
                <w:szCs w:val="7"/>
                <w:color w:val="auto"/>
              </w:rPr>
              <w:t>(10)</w:t>
            </w:r>
          </w:p>
        </w:tc>
        <w:tc>
          <w:tcPr>
            <w:tcW w:w="240" w:type="dxa"/>
            <w:vAlign w:val="bottom"/>
            <w:shd w:val="clear" w:color="auto" w:fill="E7E7E8"/>
          </w:tcPr>
          <w:p>
            <w:pPr>
              <w:spacing w:after="0"/>
              <w:rPr>
                <w:sz w:val="8"/>
                <w:szCs w:val="8"/>
                <w:color w:val="auto"/>
              </w:rPr>
            </w:pPr>
          </w:p>
        </w:tc>
        <w:tc>
          <w:tcPr>
            <w:tcW w:w="1100" w:type="dxa"/>
            <w:vAlign w:val="bottom"/>
            <w:vMerge w:val="restart"/>
            <w:shd w:val="clear" w:color="auto" w:fill="E7E7E8"/>
          </w:tcPr>
          <w:p>
            <w:pPr>
              <w:jc w:val="right"/>
              <w:ind w:right="486"/>
              <w:spacing w:after="0"/>
              <w:rPr>
                <w:sz w:val="20"/>
                <w:szCs w:val="20"/>
                <w:color w:val="auto"/>
              </w:rPr>
            </w:pPr>
            <w:r>
              <w:rPr>
                <w:rFonts w:ascii="Arial" w:cs="Arial" w:eastAsia="Arial" w:hAnsi="Arial"/>
                <w:sz w:val="11"/>
                <w:szCs w:val="11"/>
                <w:color w:val="auto"/>
              </w:rPr>
              <w:t>395,923</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shd w:val="clear" w:color="auto" w:fill="E7E7E8"/>
          </w:tcPr>
          <w:p>
            <w:pPr>
              <w:spacing w:after="0"/>
              <w:rPr>
                <w:sz w:val="8"/>
                <w:szCs w:val="8"/>
                <w:color w:val="auto"/>
              </w:rPr>
            </w:pPr>
          </w:p>
        </w:tc>
        <w:tc>
          <w:tcPr>
            <w:tcW w:w="1020" w:type="dxa"/>
            <w:vAlign w:val="bottom"/>
            <w:vMerge w:val="restart"/>
            <w:shd w:val="clear" w:color="auto" w:fill="E7E7E8"/>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6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200" w:type="dxa"/>
            <w:vAlign w:val="bottom"/>
            <w:shd w:val="clear" w:color="auto" w:fill="E7E7E8"/>
          </w:tcPr>
          <w:p>
            <w:pPr>
              <w:spacing w:after="0"/>
              <w:rPr>
                <w:sz w:val="5"/>
                <w:szCs w:val="5"/>
                <w:color w:val="auto"/>
              </w:rPr>
            </w:pPr>
          </w:p>
        </w:tc>
        <w:tc>
          <w:tcPr>
            <w:tcW w:w="1220" w:type="dxa"/>
            <w:vAlign w:val="bottom"/>
            <w:shd w:val="clear" w:color="auto" w:fill="E7E7E8"/>
          </w:tcPr>
          <w:p>
            <w:pPr>
              <w:spacing w:after="0"/>
              <w:rPr>
                <w:sz w:val="5"/>
                <w:szCs w:val="5"/>
                <w:color w:val="auto"/>
              </w:rPr>
            </w:pPr>
          </w:p>
        </w:tc>
        <w:tc>
          <w:tcPr>
            <w:tcW w:w="1020" w:type="dxa"/>
            <w:vAlign w:val="bottom"/>
            <w:shd w:val="clear" w:color="auto" w:fill="E7E7E8"/>
          </w:tcPr>
          <w:p>
            <w:pPr>
              <w:spacing w:after="0"/>
              <w:rPr>
                <w:sz w:val="5"/>
                <w:szCs w:val="5"/>
                <w:color w:val="auto"/>
              </w:rPr>
            </w:pPr>
          </w:p>
        </w:tc>
        <w:tc>
          <w:tcPr>
            <w:tcW w:w="940" w:type="dxa"/>
            <w:vAlign w:val="bottom"/>
            <w:shd w:val="clear" w:color="auto" w:fill="E7E7E8"/>
          </w:tcPr>
          <w:p>
            <w:pPr>
              <w:spacing w:after="0"/>
              <w:rPr>
                <w:sz w:val="5"/>
                <w:szCs w:val="5"/>
                <w:color w:val="auto"/>
              </w:rPr>
            </w:pPr>
          </w:p>
        </w:tc>
        <w:tc>
          <w:tcPr>
            <w:tcW w:w="10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240" w:type="dxa"/>
            <w:vAlign w:val="bottom"/>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102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20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620" w:type="dxa"/>
            <w:vAlign w:val="bottom"/>
            <w:shd w:val="clear" w:color="auto" w:fill="E7E7E8"/>
          </w:tcPr>
          <w:p>
            <w:pPr>
              <w:spacing w:after="0"/>
              <w:rPr>
                <w:sz w:val="22"/>
                <w:szCs w:val="22"/>
                <w:color w:val="auto"/>
              </w:rPr>
            </w:pPr>
          </w:p>
        </w:tc>
        <w:tc>
          <w:tcPr>
            <w:tcW w:w="120" w:type="dxa"/>
            <w:vAlign w:val="bottom"/>
            <w:shd w:val="clear" w:color="auto" w:fill="E7E7E8"/>
          </w:tcPr>
          <w:p>
            <w:pPr>
              <w:spacing w:after="0"/>
              <w:rPr>
                <w:sz w:val="22"/>
                <w:szCs w:val="22"/>
                <w:color w:val="auto"/>
              </w:rPr>
            </w:pPr>
          </w:p>
        </w:tc>
        <w:tc>
          <w:tcPr>
            <w:tcW w:w="160" w:type="dxa"/>
            <w:vAlign w:val="bottom"/>
            <w:shd w:val="clear" w:color="auto" w:fill="E7E7E8"/>
          </w:tcPr>
          <w:p>
            <w:pPr>
              <w:spacing w:after="0"/>
              <w:rPr>
                <w:sz w:val="22"/>
                <w:szCs w:val="22"/>
                <w:color w:val="auto"/>
              </w:rPr>
            </w:pPr>
          </w:p>
        </w:tc>
        <w:tc>
          <w:tcPr>
            <w:tcW w:w="980" w:type="dxa"/>
            <w:vAlign w:val="bottom"/>
            <w:shd w:val="clear" w:color="auto" w:fill="E7E7E8"/>
          </w:tcPr>
          <w:p>
            <w:pPr>
              <w:spacing w:after="0"/>
              <w:rPr>
                <w:sz w:val="22"/>
                <w:szCs w:val="22"/>
                <w:color w:val="auto"/>
              </w:rPr>
            </w:pPr>
          </w:p>
        </w:tc>
        <w:tc>
          <w:tcPr>
            <w:tcW w:w="200" w:type="dxa"/>
            <w:vAlign w:val="bottom"/>
            <w:shd w:val="clear" w:color="auto" w:fill="E7E7E8"/>
          </w:tcPr>
          <w:p>
            <w:pPr>
              <w:spacing w:after="0"/>
              <w:rPr>
                <w:sz w:val="22"/>
                <w:szCs w:val="22"/>
                <w:color w:val="auto"/>
              </w:rPr>
            </w:pPr>
          </w:p>
        </w:tc>
        <w:tc>
          <w:tcPr>
            <w:tcW w:w="1220" w:type="dxa"/>
            <w:vAlign w:val="bottom"/>
            <w:shd w:val="clear" w:color="auto" w:fill="E7E7E8"/>
          </w:tcPr>
          <w:p>
            <w:pPr>
              <w:spacing w:after="0"/>
              <w:rPr>
                <w:sz w:val="22"/>
                <w:szCs w:val="22"/>
                <w:color w:val="auto"/>
              </w:rPr>
            </w:pPr>
          </w:p>
        </w:tc>
        <w:tc>
          <w:tcPr>
            <w:tcW w:w="1020" w:type="dxa"/>
            <w:vAlign w:val="bottom"/>
            <w:shd w:val="clear" w:color="auto" w:fill="E7E7E8"/>
          </w:tcPr>
          <w:p>
            <w:pPr>
              <w:spacing w:after="0"/>
              <w:rPr>
                <w:sz w:val="22"/>
                <w:szCs w:val="22"/>
                <w:color w:val="auto"/>
              </w:rPr>
            </w:pPr>
          </w:p>
        </w:tc>
        <w:tc>
          <w:tcPr>
            <w:tcW w:w="940" w:type="dxa"/>
            <w:vAlign w:val="bottom"/>
            <w:shd w:val="clear" w:color="auto" w:fill="E7E7E8"/>
          </w:tcPr>
          <w:p>
            <w:pPr>
              <w:spacing w:after="0"/>
              <w:rPr>
                <w:sz w:val="22"/>
                <w:szCs w:val="22"/>
                <w:color w:val="auto"/>
              </w:rPr>
            </w:pPr>
          </w:p>
        </w:tc>
        <w:tc>
          <w:tcPr>
            <w:tcW w:w="100" w:type="dxa"/>
            <w:vAlign w:val="bottom"/>
            <w:tcBorders>
              <w:right w:val="single" w:sz="8" w:color="051972"/>
            </w:tcBorders>
            <w:shd w:val="clear" w:color="auto" w:fill="E7E7E8"/>
          </w:tcPr>
          <w:p>
            <w:pPr>
              <w:spacing w:after="0"/>
              <w:rPr>
                <w:sz w:val="22"/>
                <w:szCs w:val="22"/>
                <w:color w:val="auto"/>
              </w:rPr>
            </w:pPr>
          </w:p>
        </w:tc>
        <w:tc>
          <w:tcPr>
            <w:tcW w:w="100" w:type="dxa"/>
            <w:vAlign w:val="bottom"/>
            <w:shd w:val="clear" w:color="auto" w:fill="E7E7E8"/>
          </w:tcPr>
          <w:p>
            <w:pPr>
              <w:spacing w:after="0"/>
              <w:rPr>
                <w:sz w:val="22"/>
                <w:szCs w:val="22"/>
                <w:color w:val="auto"/>
              </w:rPr>
            </w:pPr>
          </w:p>
        </w:tc>
        <w:tc>
          <w:tcPr>
            <w:tcW w:w="800" w:type="dxa"/>
            <w:vAlign w:val="bottom"/>
            <w:shd w:val="clear" w:color="auto" w:fill="E7E7E8"/>
          </w:tcPr>
          <w:p>
            <w:pPr>
              <w:spacing w:after="0"/>
              <w:rPr>
                <w:sz w:val="22"/>
                <w:szCs w:val="22"/>
                <w:color w:val="auto"/>
              </w:rPr>
            </w:pPr>
          </w:p>
        </w:tc>
        <w:tc>
          <w:tcPr>
            <w:tcW w:w="240" w:type="dxa"/>
            <w:vAlign w:val="bottom"/>
            <w:shd w:val="clear" w:color="auto" w:fill="E7E7E8"/>
          </w:tcPr>
          <w:p>
            <w:pPr>
              <w:spacing w:after="0"/>
              <w:rPr>
                <w:sz w:val="22"/>
                <w:szCs w:val="22"/>
                <w:color w:val="auto"/>
              </w:rPr>
            </w:pPr>
          </w:p>
        </w:tc>
        <w:tc>
          <w:tcPr>
            <w:tcW w:w="240" w:type="dxa"/>
            <w:vAlign w:val="bottom"/>
            <w:shd w:val="clear" w:color="auto" w:fill="E7E7E8"/>
          </w:tcPr>
          <w:p>
            <w:pPr>
              <w:spacing w:after="0"/>
              <w:rPr>
                <w:sz w:val="22"/>
                <w:szCs w:val="22"/>
                <w:color w:val="auto"/>
              </w:rPr>
            </w:pPr>
          </w:p>
        </w:tc>
        <w:tc>
          <w:tcPr>
            <w:tcW w:w="1100" w:type="dxa"/>
            <w:vAlign w:val="bottom"/>
            <w:shd w:val="clear" w:color="auto" w:fill="E7E7E8"/>
          </w:tcPr>
          <w:p>
            <w:pPr>
              <w:spacing w:after="0"/>
              <w:rPr>
                <w:sz w:val="22"/>
                <w:szCs w:val="22"/>
                <w:color w:val="auto"/>
              </w:rPr>
            </w:pPr>
          </w:p>
        </w:tc>
        <w:tc>
          <w:tcPr>
            <w:tcW w:w="640" w:type="dxa"/>
            <w:vAlign w:val="bottom"/>
            <w:shd w:val="clear" w:color="auto" w:fill="E7E7E8"/>
          </w:tcPr>
          <w:p>
            <w:pPr>
              <w:spacing w:after="0"/>
              <w:rPr>
                <w:sz w:val="22"/>
                <w:szCs w:val="22"/>
                <w:color w:val="auto"/>
              </w:rPr>
            </w:pPr>
          </w:p>
        </w:tc>
        <w:tc>
          <w:tcPr>
            <w:tcW w:w="300" w:type="dxa"/>
            <w:vAlign w:val="bottom"/>
            <w:shd w:val="clear" w:color="auto" w:fill="E7E7E8"/>
          </w:tcPr>
          <w:p>
            <w:pPr>
              <w:spacing w:after="0"/>
              <w:rPr>
                <w:sz w:val="22"/>
                <w:szCs w:val="22"/>
                <w:color w:val="auto"/>
              </w:rPr>
            </w:pPr>
          </w:p>
        </w:tc>
        <w:tc>
          <w:tcPr>
            <w:tcW w:w="1020" w:type="dxa"/>
            <w:vAlign w:val="bottom"/>
            <w:shd w:val="clear" w:color="auto" w:fill="E7E7E8"/>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1200" w:type="dxa"/>
            <w:vAlign w:val="bottom"/>
            <w:vMerge w:val="restart"/>
          </w:tcPr>
          <w:p>
            <w:pPr>
              <w:ind w:left="20"/>
              <w:spacing w:after="0"/>
              <w:rPr>
                <w:sz w:val="20"/>
                <w:szCs w:val="20"/>
                <w:color w:val="auto"/>
              </w:rPr>
            </w:pPr>
            <w:r>
              <w:rPr>
                <w:rFonts w:ascii="Arial" w:cs="Arial" w:eastAsia="Arial" w:hAnsi="Arial"/>
                <w:sz w:val="11"/>
                <w:szCs w:val="11"/>
                <w:color w:val="auto"/>
              </w:rPr>
              <w:t>Eric Cribbs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Borders>
              <w:right w:val="single" w:sz="8" w:color="051972"/>
            </w:tcBorders>
          </w:tcPr>
          <w:p>
            <w:pPr>
              <w:spacing w:after="0"/>
              <w:rPr>
                <w:sz w:val="10"/>
                <w:szCs w:val="10"/>
                <w:color w:val="auto"/>
              </w:rPr>
            </w:pPr>
          </w:p>
        </w:tc>
        <w:tc>
          <w:tcPr>
            <w:tcW w:w="9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535</w:t>
            </w:r>
          </w:p>
        </w:tc>
        <w:tc>
          <w:tcPr>
            <w:tcW w:w="240" w:type="dxa"/>
            <w:vAlign w:val="bottom"/>
          </w:tcPr>
          <w:p>
            <w:pPr>
              <w:ind w:left="40"/>
              <w:spacing w:after="0"/>
              <w:rPr>
                <w:sz w:val="20"/>
                <w:szCs w:val="20"/>
                <w:color w:val="auto"/>
              </w:rPr>
            </w:pPr>
            <w:r>
              <w:rPr>
                <w:rFonts w:ascii="Arial" w:cs="Arial" w:eastAsia="Arial" w:hAnsi="Arial"/>
                <w:sz w:val="7"/>
                <w:szCs w:val="7"/>
                <w:color w:val="auto"/>
              </w:rPr>
              <w:t>(4)</w:t>
            </w:r>
          </w:p>
        </w:tc>
        <w:tc>
          <w:tcPr>
            <w:tcW w:w="240" w:type="dxa"/>
            <w:vAlign w:val="bottom"/>
          </w:tcPr>
          <w:p>
            <w:pPr>
              <w:spacing w:after="0"/>
              <w:rPr>
                <w:sz w:val="10"/>
                <w:szCs w:val="10"/>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118,733</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Borders>
              <w:right w:val="single" w:sz="8" w:color="051972"/>
            </w:tcBorders>
          </w:tcPr>
          <w:p>
            <w:pPr>
              <w:spacing w:after="0"/>
              <w:rPr>
                <w:sz w:val="11"/>
                <w:szCs w:val="11"/>
                <w:color w:val="auto"/>
              </w:rPr>
            </w:pPr>
          </w:p>
        </w:tc>
        <w:tc>
          <w:tcPr>
            <w:tcW w:w="9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445</w:t>
            </w:r>
          </w:p>
        </w:tc>
        <w:tc>
          <w:tcPr>
            <w:tcW w:w="240" w:type="dxa"/>
            <w:vAlign w:val="bottom"/>
          </w:tcPr>
          <w:p>
            <w:pPr>
              <w:ind w:left="40"/>
              <w:spacing w:after="0"/>
              <w:rPr>
                <w:sz w:val="20"/>
                <w:szCs w:val="20"/>
                <w:color w:val="auto"/>
              </w:rPr>
            </w:pPr>
            <w:r>
              <w:rPr>
                <w:rFonts w:ascii="Arial" w:cs="Arial" w:eastAsia="Arial" w:hAnsi="Arial"/>
                <w:sz w:val="7"/>
                <w:szCs w:val="7"/>
                <w:color w:val="auto"/>
              </w:rPr>
              <w:t>(5)</w:t>
            </w:r>
          </w:p>
        </w:tc>
        <w:tc>
          <w:tcPr>
            <w:tcW w:w="240" w:type="dxa"/>
            <w:vAlign w:val="bottom"/>
          </w:tcPr>
          <w:p>
            <w:pPr>
              <w:spacing w:after="0"/>
              <w:rPr>
                <w:sz w:val="11"/>
                <w:szCs w:val="11"/>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98,759</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450</w:t>
            </w:r>
          </w:p>
        </w:tc>
        <w:tc>
          <w:tcPr>
            <w:tcW w:w="300" w:type="dxa"/>
            <w:vAlign w:val="bottom"/>
          </w:tcPr>
          <w:p>
            <w:pPr>
              <w:jc w:val="right"/>
              <w:ind w:right="144"/>
              <w:spacing w:after="0"/>
              <w:rPr>
                <w:sz w:val="20"/>
                <w:szCs w:val="20"/>
                <w:color w:val="auto"/>
              </w:rPr>
            </w:pPr>
            <w:r>
              <w:rPr>
                <w:rFonts w:ascii="Arial" w:cs="Arial" w:eastAsia="Arial" w:hAnsi="Arial"/>
                <w:sz w:val="7"/>
                <w:szCs w:val="7"/>
                <w:color w:val="auto"/>
              </w:rPr>
              <w:t>(6)</w:t>
            </w: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99,869</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900</w:t>
            </w:r>
          </w:p>
        </w:tc>
        <w:tc>
          <w:tcPr>
            <w:tcW w:w="300" w:type="dxa"/>
            <w:vAlign w:val="bottom"/>
          </w:tcPr>
          <w:p>
            <w:pPr>
              <w:jc w:val="right"/>
              <w:ind w:right="144"/>
              <w:spacing w:after="0"/>
              <w:rPr>
                <w:sz w:val="20"/>
                <w:szCs w:val="20"/>
                <w:color w:val="auto"/>
              </w:rPr>
            </w:pPr>
            <w:r>
              <w:rPr>
                <w:rFonts w:ascii="Arial" w:cs="Arial" w:eastAsia="Arial" w:hAnsi="Arial"/>
                <w:sz w:val="7"/>
                <w:szCs w:val="7"/>
                <w:color w:val="auto"/>
              </w:rPr>
              <w:t>(7)</w:t>
            </w: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199,737</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right w:val="single" w:sz="8" w:color="051972"/>
            </w:tcBorders>
          </w:tcPr>
          <w:p>
            <w:pPr>
              <w:spacing w:after="0"/>
              <w:rPr>
                <w:sz w:val="8"/>
                <w:szCs w:val="8"/>
                <w:color w:val="auto"/>
              </w:rPr>
            </w:pPr>
          </w:p>
        </w:tc>
        <w:tc>
          <w:tcPr>
            <w:tcW w:w="9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500</w:t>
            </w:r>
          </w:p>
        </w:tc>
        <w:tc>
          <w:tcPr>
            <w:tcW w:w="240" w:type="dxa"/>
            <w:vAlign w:val="bottom"/>
          </w:tcPr>
          <w:p>
            <w:pPr>
              <w:ind w:left="40"/>
              <w:spacing w:after="0"/>
              <w:rPr>
                <w:sz w:val="20"/>
                <w:szCs w:val="20"/>
                <w:color w:val="auto"/>
              </w:rPr>
            </w:pPr>
            <w:r>
              <w:rPr>
                <w:rFonts w:ascii="Arial" w:cs="Arial" w:eastAsia="Arial" w:hAnsi="Arial"/>
                <w:sz w:val="7"/>
                <w:szCs w:val="7"/>
                <w:color w:val="auto"/>
              </w:rPr>
              <w:t>(8)</w:t>
            </w:r>
          </w:p>
        </w:tc>
        <w:tc>
          <w:tcPr>
            <w:tcW w:w="240" w:type="dxa"/>
            <w:vAlign w:val="bottom"/>
          </w:tcPr>
          <w:p>
            <w:pPr>
              <w:spacing w:after="0"/>
              <w:rPr>
                <w:sz w:val="8"/>
                <w:szCs w:val="8"/>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110,965</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8"/>
                <w:szCs w:val="8"/>
                <w:color w:val="auto"/>
              </w:rPr>
            </w:pP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2,728</w:t>
            </w:r>
          </w:p>
        </w:tc>
        <w:tc>
          <w:tcPr>
            <w:tcW w:w="300" w:type="dxa"/>
            <w:vAlign w:val="bottom"/>
          </w:tcPr>
          <w:p>
            <w:pPr>
              <w:jc w:val="right"/>
              <w:ind w:right="144"/>
              <w:spacing w:after="0"/>
              <w:rPr>
                <w:sz w:val="20"/>
                <w:szCs w:val="20"/>
                <w:color w:val="auto"/>
              </w:rPr>
            </w:pPr>
            <w:r>
              <w:rPr>
                <w:rFonts w:ascii="Arial" w:cs="Arial" w:eastAsia="Arial" w:hAnsi="Arial"/>
                <w:sz w:val="7"/>
                <w:szCs w:val="7"/>
                <w:color w:val="auto"/>
              </w:rPr>
              <w:t>(9)</w:t>
            </w: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605,425</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right w:val="single" w:sz="8" w:color="051972"/>
            </w:tcBorders>
          </w:tcPr>
          <w:p>
            <w:pPr>
              <w:spacing w:after="0"/>
              <w:rPr>
                <w:sz w:val="8"/>
                <w:szCs w:val="8"/>
                <w:color w:val="auto"/>
              </w:rPr>
            </w:pPr>
          </w:p>
        </w:tc>
        <w:tc>
          <w:tcPr>
            <w:tcW w:w="900" w:type="dxa"/>
            <w:vAlign w:val="bottom"/>
            <w:gridSpan w:val="2"/>
            <w:vMerge w:val="restart"/>
          </w:tcPr>
          <w:p>
            <w:pPr>
              <w:jc w:val="right"/>
              <w:ind w:right="46"/>
              <w:spacing w:after="0"/>
              <w:rPr>
                <w:sz w:val="20"/>
                <w:szCs w:val="20"/>
                <w:color w:val="auto"/>
              </w:rPr>
            </w:pPr>
            <w:r>
              <w:rPr>
                <w:rFonts w:ascii="Arial" w:cs="Arial" w:eastAsia="Arial" w:hAnsi="Arial"/>
                <w:sz w:val="11"/>
                <w:szCs w:val="11"/>
                <w:color w:val="auto"/>
              </w:rPr>
              <w:t>1,364</w:t>
            </w:r>
          </w:p>
        </w:tc>
        <w:tc>
          <w:tcPr>
            <w:tcW w:w="240" w:type="dxa"/>
            <w:vAlign w:val="bottom"/>
          </w:tcPr>
          <w:p>
            <w:pPr>
              <w:ind w:left="40"/>
              <w:spacing w:after="0"/>
              <w:rPr>
                <w:sz w:val="20"/>
                <w:szCs w:val="20"/>
                <w:color w:val="auto"/>
              </w:rPr>
            </w:pPr>
            <w:r>
              <w:rPr>
                <w:rFonts w:ascii="Arial" w:cs="Arial" w:eastAsia="Arial" w:hAnsi="Arial"/>
                <w:sz w:val="7"/>
                <w:szCs w:val="7"/>
                <w:color w:val="auto"/>
              </w:rPr>
              <w:t>(10)</w:t>
            </w:r>
          </w:p>
        </w:tc>
        <w:tc>
          <w:tcPr>
            <w:tcW w:w="240" w:type="dxa"/>
            <w:vAlign w:val="bottom"/>
          </w:tcPr>
          <w:p>
            <w:pPr>
              <w:spacing w:after="0"/>
              <w:rPr>
                <w:sz w:val="8"/>
                <w:szCs w:val="8"/>
                <w:color w:val="auto"/>
              </w:rPr>
            </w:pPr>
          </w:p>
        </w:tc>
        <w:tc>
          <w:tcPr>
            <w:tcW w:w="1100" w:type="dxa"/>
            <w:vAlign w:val="bottom"/>
            <w:vMerge w:val="restart"/>
          </w:tcPr>
          <w:p>
            <w:pPr>
              <w:jc w:val="right"/>
              <w:ind w:right="486"/>
              <w:spacing w:after="0"/>
              <w:rPr>
                <w:sz w:val="20"/>
                <w:szCs w:val="20"/>
                <w:color w:val="auto"/>
              </w:rPr>
            </w:pPr>
            <w:r>
              <w:rPr>
                <w:rFonts w:ascii="Arial" w:cs="Arial" w:eastAsia="Arial" w:hAnsi="Arial"/>
                <w:sz w:val="11"/>
                <w:szCs w:val="11"/>
                <w:color w:val="auto"/>
              </w:rPr>
              <w:t>302,713</w:t>
            </w:r>
          </w:p>
        </w:tc>
        <w:tc>
          <w:tcPr>
            <w:tcW w:w="64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8"/>
                <w:szCs w:val="8"/>
                <w:color w:val="auto"/>
              </w:rPr>
            </w:pPr>
          </w:p>
        </w:tc>
        <w:tc>
          <w:tcPr>
            <w:tcW w:w="1020" w:type="dxa"/>
            <w:vAlign w:val="bottom"/>
            <w:vMerge w:val="restart"/>
          </w:tcPr>
          <w:p>
            <w:pPr>
              <w:jc w:val="right"/>
              <w:ind w:right="2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Borders>
              <w:right w:val="single" w:sz="8" w:color="051972"/>
            </w:tcBorders>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200" w:type="dxa"/>
            <w:vAlign w:val="bottom"/>
            <w:tcBorders>
              <w:bottom w:val="single" w:sz="8" w:color="051972"/>
            </w:tcBorders>
          </w:tcPr>
          <w:p>
            <w:pPr>
              <w:spacing w:after="0"/>
              <w:rPr>
                <w:sz w:val="24"/>
                <w:szCs w:val="24"/>
                <w:color w:val="auto"/>
              </w:rPr>
            </w:pPr>
          </w:p>
        </w:tc>
        <w:tc>
          <w:tcPr>
            <w:tcW w:w="120" w:type="dxa"/>
            <w:vAlign w:val="bottom"/>
            <w:tcBorders>
              <w:bottom w:val="single" w:sz="8" w:color="051972"/>
            </w:tcBorders>
          </w:tcPr>
          <w:p>
            <w:pPr>
              <w:spacing w:after="0"/>
              <w:rPr>
                <w:sz w:val="24"/>
                <w:szCs w:val="24"/>
                <w:color w:val="auto"/>
              </w:rPr>
            </w:pPr>
          </w:p>
        </w:tc>
        <w:tc>
          <w:tcPr>
            <w:tcW w:w="120" w:type="dxa"/>
            <w:vAlign w:val="bottom"/>
            <w:tcBorders>
              <w:bottom w:val="single" w:sz="8" w:color="051972"/>
            </w:tcBorders>
          </w:tcPr>
          <w:p>
            <w:pPr>
              <w:spacing w:after="0"/>
              <w:rPr>
                <w:sz w:val="24"/>
                <w:szCs w:val="24"/>
                <w:color w:val="auto"/>
              </w:rPr>
            </w:pPr>
          </w:p>
        </w:tc>
        <w:tc>
          <w:tcPr>
            <w:tcW w:w="620" w:type="dxa"/>
            <w:vAlign w:val="bottom"/>
            <w:tcBorders>
              <w:bottom w:val="single" w:sz="8" w:color="051972"/>
            </w:tcBorders>
          </w:tcPr>
          <w:p>
            <w:pPr>
              <w:spacing w:after="0"/>
              <w:rPr>
                <w:sz w:val="24"/>
                <w:szCs w:val="24"/>
                <w:color w:val="auto"/>
              </w:rPr>
            </w:pPr>
          </w:p>
        </w:tc>
        <w:tc>
          <w:tcPr>
            <w:tcW w:w="120" w:type="dxa"/>
            <w:vAlign w:val="bottom"/>
            <w:tcBorders>
              <w:bottom w:val="single" w:sz="8" w:color="051972"/>
            </w:tcBorders>
          </w:tcPr>
          <w:p>
            <w:pPr>
              <w:spacing w:after="0"/>
              <w:rPr>
                <w:sz w:val="24"/>
                <w:szCs w:val="24"/>
                <w:color w:val="auto"/>
              </w:rPr>
            </w:pPr>
          </w:p>
        </w:tc>
        <w:tc>
          <w:tcPr>
            <w:tcW w:w="160" w:type="dxa"/>
            <w:vAlign w:val="bottom"/>
            <w:tcBorders>
              <w:bottom w:val="single" w:sz="8" w:color="051972"/>
            </w:tcBorders>
          </w:tcPr>
          <w:p>
            <w:pPr>
              <w:spacing w:after="0"/>
              <w:rPr>
                <w:sz w:val="24"/>
                <w:szCs w:val="24"/>
                <w:color w:val="auto"/>
              </w:rPr>
            </w:pPr>
          </w:p>
        </w:tc>
        <w:tc>
          <w:tcPr>
            <w:tcW w:w="980" w:type="dxa"/>
            <w:vAlign w:val="bottom"/>
            <w:tcBorders>
              <w:bottom w:val="single" w:sz="8" w:color="051972"/>
            </w:tcBorders>
          </w:tcPr>
          <w:p>
            <w:pPr>
              <w:spacing w:after="0"/>
              <w:rPr>
                <w:sz w:val="24"/>
                <w:szCs w:val="24"/>
                <w:color w:val="auto"/>
              </w:rPr>
            </w:pPr>
          </w:p>
        </w:tc>
        <w:tc>
          <w:tcPr>
            <w:tcW w:w="200" w:type="dxa"/>
            <w:vAlign w:val="bottom"/>
            <w:tcBorders>
              <w:bottom w:val="single" w:sz="8" w:color="051972"/>
            </w:tcBorders>
          </w:tcPr>
          <w:p>
            <w:pPr>
              <w:spacing w:after="0"/>
              <w:rPr>
                <w:sz w:val="24"/>
                <w:szCs w:val="24"/>
                <w:color w:val="auto"/>
              </w:rPr>
            </w:pPr>
          </w:p>
        </w:tc>
        <w:tc>
          <w:tcPr>
            <w:tcW w:w="1220" w:type="dxa"/>
            <w:vAlign w:val="bottom"/>
            <w:tcBorders>
              <w:bottom w:val="single" w:sz="8" w:color="051972"/>
            </w:tcBorders>
          </w:tcPr>
          <w:p>
            <w:pPr>
              <w:spacing w:after="0"/>
              <w:rPr>
                <w:sz w:val="24"/>
                <w:szCs w:val="24"/>
                <w:color w:val="auto"/>
              </w:rPr>
            </w:pPr>
          </w:p>
        </w:tc>
        <w:tc>
          <w:tcPr>
            <w:tcW w:w="1020" w:type="dxa"/>
            <w:vAlign w:val="bottom"/>
            <w:tcBorders>
              <w:bottom w:val="single" w:sz="8" w:color="051972"/>
            </w:tcBorders>
          </w:tcPr>
          <w:p>
            <w:pPr>
              <w:spacing w:after="0"/>
              <w:rPr>
                <w:sz w:val="24"/>
                <w:szCs w:val="24"/>
                <w:color w:val="auto"/>
              </w:rPr>
            </w:pPr>
          </w:p>
        </w:tc>
        <w:tc>
          <w:tcPr>
            <w:tcW w:w="940" w:type="dxa"/>
            <w:vAlign w:val="bottom"/>
            <w:tcBorders>
              <w:bottom w:val="single" w:sz="8" w:color="051972"/>
            </w:tcBorders>
          </w:tcPr>
          <w:p>
            <w:pPr>
              <w:spacing w:after="0"/>
              <w:rPr>
                <w:sz w:val="24"/>
                <w:szCs w:val="24"/>
                <w:color w:val="auto"/>
              </w:rPr>
            </w:pPr>
          </w:p>
        </w:tc>
        <w:tc>
          <w:tcPr>
            <w:tcW w:w="100" w:type="dxa"/>
            <w:vAlign w:val="bottom"/>
            <w:tcBorders>
              <w:bottom w:val="single" w:sz="8" w:color="051972"/>
              <w:right w:val="single" w:sz="8" w:color="051972"/>
            </w:tcBorders>
          </w:tcPr>
          <w:p>
            <w:pPr>
              <w:spacing w:after="0"/>
              <w:rPr>
                <w:sz w:val="24"/>
                <w:szCs w:val="24"/>
                <w:color w:val="auto"/>
              </w:rPr>
            </w:pPr>
          </w:p>
        </w:tc>
        <w:tc>
          <w:tcPr>
            <w:tcW w:w="100" w:type="dxa"/>
            <w:vAlign w:val="bottom"/>
            <w:tcBorders>
              <w:bottom w:val="single" w:sz="8" w:color="051972"/>
            </w:tcBorders>
          </w:tcPr>
          <w:p>
            <w:pPr>
              <w:spacing w:after="0"/>
              <w:rPr>
                <w:sz w:val="24"/>
                <w:szCs w:val="24"/>
                <w:color w:val="auto"/>
              </w:rPr>
            </w:pPr>
          </w:p>
        </w:tc>
        <w:tc>
          <w:tcPr>
            <w:tcW w:w="800" w:type="dxa"/>
            <w:vAlign w:val="bottom"/>
            <w:tcBorders>
              <w:bottom w:val="single" w:sz="8" w:color="051972"/>
            </w:tcBorders>
          </w:tcPr>
          <w:p>
            <w:pPr>
              <w:spacing w:after="0"/>
              <w:rPr>
                <w:sz w:val="24"/>
                <w:szCs w:val="24"/>
                <w:color w:val="auto"/>
              </w:rPr>
            </w:pPr>
          </w:p>
        </w:tc>
        <w:tc>
          <w:tcPr>
            <w:tcW w:w="240" w:type="dxa"/>
            <w:vAlign w:val="bottom"/>
            <w:tcBorders>
              <w:bottom w:val="single" w:sz="8" w:color="051972"/>
            </w:tcBorders>
          </w:tcPr>
          <w:p>
            <w:pPr>
              <w:spacing w:after="0"/>
              <w:rPr>
                <w:sz w:val="24"/>
                <w:szCs w:val="24"/>
                <w:color w:val="auto"/>
              </w:rPr>
            </w:pPr>
          </w:p>
        </w:tc>
        <w:tc>
          <w:tcPr>
            <w:tcW w:w="240" w:type="dxa"/>
            <w:vAlign w:val="bottom"/>
            <w:tcBorders>
              <w:bottom w:val="single" w:sz="8" w:color="051972"/>
            </w:tcBorders>
          </w:tcPr>
          <w:p>
            <w:pPr>
              <w:spacing w:after="0"/>
              <w:rPr>
                <w:sz w:val="24"/>
                <w:szCs w:val="24"/>
                <w:color w:val="auto"/>
              </w:rPr>
            </w:pPr>
          </w:p>
        </w:tc>
        <w:tc>
          <w:tcPr>
            <w:tcW w:w="1100" w:type="dxa"/>
            <w:vAlign w:val="bottom"/>
            <w:tcBorders>
              <w:bottom w:val="single" w:sz="8" w:color="051972"/>
            </w:tcBorders>
          </w:tcPr>
          <w:p>
            <w:pPr>
              <w:spacing w:after="0"/>
              <w:rPr>
                <w:sz w:val="24"/>
                <w:szCs w:val="24"/>
                <w:color w:val="auto"/>
              </w:rPr>
            </w:pPr>
          </w:p>
        </w:tc>
        <w:tc>
          <w:tcPr>
            <w:tcW w:w="640" w:type="dxa"/>
            <w:vAlign w:val="bottom"/>
            <w:tcBorders>
              <w:bottom w:val="single" w:sz="8" w:color="051972"/>
            </w:tcBorders>
          </w:tcPr>
          <w:p>
            <w:pPr>
              <w:spacing w:after="0"/>
              <w:rPr>
                <w:sz w:val="24"/>
                <w:szCs w:val="24"/>
                <w:color w:val="auto"/>
              </w:rPr>
            </w:pPr>
          </w:p>
        </w:tc>
        <w:tc>
          <w:tcPr>
            <w:tcW w:w="300" w:type="dxa"/>
            <w:vAlign w:val="bottom"/>
            <w:tcBorders>
              <w:bottom w:val="single" w:sz="8" w:color="051972"/>
            </w:tcBorders>
          </w:tcPr>
          <w:p>
            <w:pPr>
              <w:spacing w:after="0"/>
              <w:rPr>
                <w:sz w:val="24"/>
                <w:szCs w:val="24"/>
                <w:color w:val="auto"/>
              </w:rPr>
            </w:pPr>
          </w:p>
        </w:tc>
        <w:tc>
          <w:tcPr>
            <w:tcW w:w="1020" w:type="dxa"/>
            <w:vAlign w:val="bottom"/>
            <w:tcBorders>
              <w:bottom w:val="single" w:sz="8" w:color="051972"/>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53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8" w:name="page59"/>
    <w:bookmarkEnd w:id="58"/>
    <w:p>
      <w:pPr>
        <w:ind w:left="82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34235" cy="171450"/>
                    </a:xfrm>
                    <a:prstGeom prst="rect">
                      <a:avLst/>
                    </a:prstGeom>
                    <a:noFill/>
                  </pic:spPr>
                </pic:pic>
              </a:graphicData>
            </a:graphic>
          </wp:anchor>
        </w:drawing>
        <w:t>EXECUTIVE COMPENSATION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bottom w:val="single" w:sz="8" w:color="051972"/>
            </w:tcBorders>
          </w:tcPr>
          <w:p>
            <w:pPr>
              <w:spacing w:after="0"/>
              <w:rPr>
                <w:sz w:val="11"/>
                <w:szCs w:val="11"/>
                <w:color w:val="auto"/>
              </w:rPr>
            </w:pPr>
          </w:p>
        </w:tc>
        <w:tc>
          <w:tcPr>
            <w:tcW w:w="120" w:type="dxa"/>
            <w:vAlign w:val="bottom"/>
            <w:tcBorders>
              <w:bottom w:val="single" w:sz="8" w:color="051972"/>
            </w:tcBorders>
          </w:tcPr>
          <w:p>
            <w:pPr>
              <w:spacing w:after="0"/>
              <w:rPr>
                <w:sz w:val="11"/>
                <w:szCs w:val="11"/>
                <w:color w:val="auto"/>
              </w:rPr>
            </w:pPr>
          </w:p>
        </w:tc>
        <w:tc>
          <w:tcPr>
            <w:tcW w:w="1040" w:type="dxa"/>
            <w:vAlign w:val="bottom"/>
            <w:tcBorders>
              <w:bottom w:val="single" w:sz="8" w:color="051972"/>
            </w:tcBorders>
          </w:tcPr>
          <w:p>
            <w:pPr>
              <w:spacing w:after="0"/>
              <w:rPr>
                <w:sz w:val="11"/>
                <w:szCs w:val="11"/>
                <w:color w:val="auto"/>
              </w:rPr>
            </w:pPr>
          </w:p>
        </w:tc>
        <w:tc>
          <w:tcPr>
            <w:tcW w:w="120" w:type="dxa"/>
            <w:vAlign w:val="bottom"/>
            <w:tcBorders>
              <w:bottom w:val="single" w:sz="8" w:color="051972"/>
            </w:tcBorders>
          </w:tcPr>
          <w:p>
            <w:pPr>
              <w:spacing w:after="0"/>
              <w:rPr>
                <w:sz w:val="11"/>
                <w:szCs w:val="11"/>
                <w:color w:val="auto"/>
              </w:rPr>
            </w:pPr>
          </w:p>
        </w:tc>
        <w:tc>
          <w:tcPr>
            <w:tcW w:w="160" w:type="dxa"/>
            <w:vAlign w:val="bottom"/>
            <w:tcBorders>
              <w:bottom w:val="single" w:sz="8" w:color="051972"/>
            </w:tcBorders>
          </w:tcPr>
          <w:p>
            <w:pPr>
              <w:spacing w:after="0"/>
              <w:rPr>
                <w:sz w:val="11"/>
                <w:szCs w:val="11"/>
                <w:color w:val="auto"/>
              </w:rPr>
            </w:pPr>
          </w:p>
        </w:tc>
        <w:tc>
          <w:tcPr>
            <w:tcW w:w="1280" w:type="dxa"/>
            <w:vAlign w:val="bottom"/>
            <w:tcBorders>
              <w:bottom w:val="single" w:sz="8" w:color="051972"/>
            </w:tcBorders>
          </w:tcPr>
          <w:p>
            <w:pPr>
              <w:ind w:left="160"/>
              <w:spacing w:after="0"/>
              <w:rPr>
                <w:sz w:val="20"/>
                <w:szCs w:val="20"/>
                <w:color w:val="auto"/>
              </w:rPr>
            </w:pPr>
            <w:r>
              <w:rPr>
                <w:rFonts w:ascii="Arial" w:cs="Arial" w:eastAsia="Arial" w:hAnsi="Arial"/>
                <w:sz w:val="11"/>
                <w:szCs w:val="11"/>
                <w:b w:val="1"/>
                <w:bCs w:val="1"/>
                <w:color w:val="051972"/>
              </w:rPr>
              <w:t>Option Awards</w:t>
            </w:r>
          </w:p>
        </w:tc>
        <w:tc>
          <w:tcPr>
            <w:tcW w:w="1060" w:type="dxa"/>
            <w:vAlign w:val="bottom"/>
            <w:tcBorders>
              <w:bottom w:val="single" w:sz="8" w:color="051972"/>
            </w:tcBorders>
          </w:tcPr>
          <w:p>
            <w:pPr>
              <w:spacing w:after="0"/>
              <w:rPr>
                <w:sz w:val="11"/>
                <w:szCs w:val="11"/>
                <w:color w:val="auto"/>
              </w:rPr>
            </w:pPr>
          </w:p>
        </w:tc>
        <w:tc>
          <w:tcPr>
            <w:tcW w:w="960" w:type="dxa"/>
            <w:vAlign w:val="bottom"/>
            <w:tcBorders>
              <w:bottom w:val="single" w:sz="8" w:color="051972"/>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bottom w:val="single" w:sz="8" w:color="051972"/>
            </w:tcBorders>
          </w:tcPr>
          <w:p>
            <w:pPr>
              <w:spacing w:after="0"/>
              <w:rPr>
                <w:sz w:val="11"/>
                <w:szCs w:val="11"/>
                <w:color w:val="auto"/>
              </w:rPr>
            </w:pPr>
          </w:p>
        </w:tc>
        <w:tc>
          <w:tcPr>
            <w:tcW w:w="360" w:type="dxa"/>
            <w:vAlign w:val="bottom"/>
            <w:tcBorders>
              <w:bottom w:val="single" w:sz="8" w:color="051972"/>
            </w:tcBorders>
          </w:tcPr>
          <w:p>
            <w:pPr>
              <w:spacing w:after="0"/>
              <w:rPr>
                <w:sz w:val="11"/>
                <w:szCs w:val="11"/>
                <w:color w:val="auto"/>
              </w:rPr>
            </w:pPr>
          </w:p>
        </w:tc>
        <w:tc>
          <w:tcPr>
            <w:tcW w:w="1260" w:type="dxa"/>
            <w:vAlign w:val="bottom"/>
            <w:tcBorders>
              <w:bottom w:val="single" w:sz="8" w:color="051972"/>
            </w:tcBorders>
          </w:tcPr>
          <w:p>
            <w:pPr>
              <w:jc w:val="right"/>
              <w:spacing w:after="0"/>
              <w:rPr>
                <w:sz w:val="20"/>
                <w:szCs w:val="20"/>
                <w:color w:val="auto"/>
              </w:rPr>
            </w:pPr>
            <w:r>
              <w:rPr>
                <w:rFonts w:ascii="Arial" w:cs="Arial" w:eastAsia="Arial" w:hAnsi="Arial"/>
                <w:sz w:val="11"/>
                <w:szCs w:val="11"/>
                <w:b w:val="1"/>
                <w:bCs w:val="1"/>
                <w:color w:val="051972"/>
              </w:rPr>
              <w:t>Stock Awards</w:t>
            </w:r>
          </w:p>
        </w:tc>
        <w:tc>
          <w:tcPr>
            <w:tcW w:w="640" w:type="dxa"/>
            <w:vAlign w:val="bottom"/>
            <w:tcBorders>
              <w:bottom w:val="single" w:sz="8" w:color="051972"/>
            </w:tcBorders>
          </w:tcPr>
          <w:p>
            <w:pPr>
              <w:spacing w:after="0"/>
              <w:rPr>
                <w:sz w:val="11"/>
                <w:szCs w:val="11"/>
                <w:color w:val="auto"/>
              </w:rPr>
            </w:pPr>
          </w:p>
        </w:tc>
        <w:tc>
          <w:tcPr>
            <w:tcW w:w="260" w:type="dxa"/>
            <w:vAlign w:val="bottom"/>
            <w:tcBorders>
              <w:bottom w:val="single" w:sz="8" w:color="051972"/>
            </w:tcBorders>
          </w:tcPr>
          <w:p>
            <w:pPr>
              <w:spacing w:after="0"/>
              <w:rPr>
                <w:sz w:val="11"/>
                <w:szCs w:val="11"/>
                <w:color w:val="auto"/>
              </w:rPr>
            </w:pPr>
          </w:p>
        </w:tc>
        <w:tc>
          <w:tcPr>
            <w:tcW w:w="860" w:type="dxa"/>
            <w:vAlign w:val="bottom"/>
            <w:tcBorders>
              <w:bottom w:val="single" w:sz="8" w:color="051972"/>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Borders>
              <w:right w:val="single" w:sz="8" w:color="051972"/>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jc w:val="center"/>
              <w:ind w:right="47"/>
              <w:spacing w:after="0" w:line="102" w:lineRule="exact"/>
              <w:rPr>
                <w:sz w:val="20"/>
                <w:szCs w:val="20"/>
                <w:color w:val="auto"/>
              </w:rPr>
            </w:pPr>
            <w:r>
              <w:rPr>
                <w:rFonts w:ascii="Arial" w:cs="Arial" w:eastAsia="Arial" w:hAnsi="Arial"/>
                <w:sz w:val="11"/>
                <w:szCs w:val="11"/>
                <w:b w:val="1"/>
                <w:bCs w:val="1"/>
                <w:color w:val="051972"/>
                <w:w w:val="95"/>
              </w:rPr>
              <w:t>Equity</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051972"/>
              </w:rPr>
              <w:t>Incentive</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051972"/>
              </w:rPr>
              <w:t>Plan</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Equity</w:t>
            </w:r>
          </w:p>
        </w:tc>
        <w:tc>
          <w:tcPr>
            <w:tcW w:w="260" w:type="dxa"/>
            <w:vAlign w:val="bottom"/>
          </w:tcPr>
          <w:p>
            <w:pPr>
              <w:spacing w:after="0"/>
              <w:rPr>
                <w:sz w:val="10"/>
                <w:szCs w:val="10"/>
                <w:color w:val="auto"/>
              </w:rPr>
            </w:pPr>
          </w:p>
        </w:tc>
        <w:tc>
          <w:tcPr>
            <w:tcW w:w="86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051972"/>
              </w:rPr>
              <w:t>Awards:</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Incentive</w:t>
            </w:r>
          </w:p>
        </w:tc>
        <w:tc>
          <w:tcPr>
            <w:tcW w:w="260" w:type="dxa"/>
            <w:vAlign w:val="bottom"/>
          </w:tcPr>
          <w:p>
            <w:pPr>
              <w:spacing w:after="0"/>
              <w:rPr>
                <w:sz w:val="10"/>
                <w:szCs w:val="10"/>
                <w:color w:val="auto"/>
              </w:rPr>
            </w:pPr>
          </w:p>
        </w:tc>
        <w:tc>
          <w:tcPr>
            <w:tcW w:w="86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051972"/>
                <w:w w:val="96"/>
              </w:rPr>
              <w:t>Market or</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Equity</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Plan</w:t>
            </w:r>
          </w:p>
        </w:tc>
        <w:tc>
          <w:tcPr>
            <w:tcW w:w="260" w:type="dxa"/>
            <w:vAlign w:val="bottom"/>
          </w:tcPr>
          <w:p>
            <w:pPr>
              <w:spacing w:after="0"/>
              <w:rPr>
                <w:sz w:val="10"/>
                <w:szCs w:val="10"/>
                <w:color w:val="auto"/>
              </w:rPr>
            </w:pPr>
          </w:p>
        </w:tc>
        <w:tc>
          <w:tcPr>
            <w:tcW w:w="86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051972"/>
                <w:w w:val="98"/>
              </w:rPr>
              <w:t>Payout</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Incentive</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Awards:</w:t>
            </w:r>
          </w:p>
        </w:tc>
        <w:tc>
          <w:tcPr>
            <w:tcW w:w="260" w:type="dxa"/>
            <w:vAlign w:val="bottom"/>
          </w:tcPr>
          <w:p>
            <w:pPr>
              <w:spacing w:after="0"/>
              <w:rPr>
                <w:sz w:val="10"/>
                <w:szCs w:val="10"/>
                <w:color w:val="auto"/>
              </w:rPr>
            </w:pPr>
          </w:p>
        </w:tc>
        <w:tc>
          <w:tcPr>
            <w:tcW w:w="86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1972"/>
                <w:w w:val="98"/>
              </w:rPr>
              <w:t>Value of</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Plan</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jc w:val="center"/>
              <w:ind w:right="307"/>
              <w:spacing w:after="0" w:line="122" w:lineRule="exact"/>
              <w:rPr>
                <w:sz w:val="20"/>
                <w:szCs w:val="20"/>
                <w:color w:val="auto"/>
              </w:rPr>
            </w:pPr>
            <w:r>
              <w:rPr>
                <w:rFonts w:ascii="Arial" w:cs="Arial" w:eastAsia="Arial" w:hAnsi="Arial"/>
                <w:sz w:val="11"/>
                <w:szCs w:val="11"/>
                <w:b w:val="1"/>
                <w:bCs w:val="1"/>
                <w:color w:val="051972"/>
                <w:w w:val="95"/>
              </w:rPr>
              <w:t>Market</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Number of</w:t>
            </w:r>
          </w:p>
        </w:tc>
        <w:tc>
          <w:tcPr>
            <w:tcW w:w="260" w:type="dxa"/>
            <w:vAlign w:val="bottom"/>
          </w:tcPr>
          <w:p>
            <w:pPr>
              <w:spacing w:after="0"/>
              <w:rPr>
                <w:sz w:val="10"/>
                <w:szCs w:val="10"/>
                <w:color w:val="auto"/>
              </w:rPr>
            </w:pPr>
          </w:p>
        </w:tc>
        <w:tc>
          <w:tcPr>
            <w:tcW w:w="860" w:type="dxa"/>
            <w:vAlign w:val="bottom"/>
          </w:tcPr>
          <w:p>
            <w:pPr>
              <w:jc w:val="center"/>
              <w:ind w:right="27"/>
              <w:spacing w:after="0" w:line="122" w:lineRule="exact"/>
              <w:rPr>
                <w:sz w:val="20"/>
                <w:szCs w:val="20"/>
                <w:color w:val="auto"/>
              </w:rPr>
            </w:pPr>
            <w:r>
              <w:rPr>
                <w:rFonts w:ascii="Arial" w:cs="Arial" w:eastAsia="Arial" w:hAnsi="Arial"/>
                <w:sz w:val="11"/>
                <w:szCs w:val="11"/>
                <w:b w:val="1"/>
                <w:bCs w:val="1"/>
                <w:color w:val="051972"/>
                <w:w w:val="98"/>
              </w:rPr>
              <w:t>Unearned</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Awards:</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jc w:val="center"/>
              <w:ind w:right="307"/>
              <w:spacing w:after="0" w:line="122" w:lineRule="exact"/>
              <w:rPr>
                <w:sz w:val="20"/>
                <w:szCs w:val="20"/>
                <w:color w:val="auto"/>
              </w:rPr>
            </w:pPr>
            <w:r>
              <w:rPr>
                <w:rFonts w:ascii="Arial" w:cs="Arial" w:eastAsia="Arial" w:hAnsi="Arial"/>
                <w:sz w:val="11"/>
                <w:szCs w:val="11"/>
                <w:b w:val="1"/>
                <w:bCs w:val="1"/>
                <w:color w:val="051972"/>
                <w:w w:val="98"/>
              </w:rPr>
              <w:t>Value of</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Unearned</w:t>
            </w:r>
          </w:p>
        </w:tc>
        <w:tc>
          <w:tcPr>
            <w:tcW w:w="260" w:type="dxa"/>
            <w:vAlign w:val="bottom"/>
          </w:tcPr>
          <w:p>
            <w:pPr>
              <w:spacing w:after="0"/>
              <w:rPr>
                <w:sz w:val="10"/>
                <w:szCs w:val="10"/>
                <w:color w:val="auto"/>
              </w:rPr>
            </w:pPr>
          </w:p>
        </w:tc>
        <w:tc>
          <w:tcPr>
            <w:tcW w:w="86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051972"/>
              </w:rPr>
              <w:t>Shares,</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86"/>
              <w:spacing w:after="0" w:line="122" w:lineRule="exact"/>
              <w:rPr>
                <w:sz w:val="20"/>
                <w:szCs w:val="20"/>
                <w:color w:val="auto"/>
              </w:rPr>
            </w:pPr>
            <w:r>
              <w:rPr>
                <w:rFonts w:ascii="Arial" w:cs="Arial" w:eastAsia="Arial" w:hAnsi="Arial"/>
                <w:sz w:val="11"/>
                <w:szCs w:val="11"/>
                <w:b w:val="1"/>
                <w:bCs w:val="1"/>
                <w:color w:val="051972"/>
                <w:w w:val="98"/>
              </w:rPr>
              <w:t>Number of</w:t>
            </w:r>
          </w:p>
        </w:tc>
        <w:tc>
          <w:tcPr>
            <w:tcW w:w="1160" w:type="dxa"/>
            <w:vAlign w:val="bottom"/>
            <w:gridSpan w:val="2"/>
          </w:tcPr>
          <w:p>
            <w:pPr>
              <w:jc w:val="center"/>
              <w:ind w:left="366"/>
              <w:spacing w:after="0" w:line="122" w:lineRule="exact"/>
              <w:rPr>
                <w:sz w:val="20"/>
                <w:szCs w:val="20"/>
                <w:color w:val="auto"/>
              </w:rPr>
            </w:pPr>
            <w:r>
              <w:rPr>
                <w:rFonts w:ascii="Arial" w:cs="Arial" w:eastAsia="Arial" w:hAnsi="Arial"/>
                <w:sz w:val="11"/>
                <w:szCs w:val="11"/>
                <w:b w:val="1"/>
                <w:bCs w:val="1"/>
                <w:color w:val="051972"/>
                <w:w w:val="98"/>
              </w:rPr>
              <w:t>Number of</w:t>
            </w:r>
          </w:p>
        </w:tc>
        <w:tc>
          <w:tcPr>
            <w:tcW w:w="16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Number of</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26"/>
              <w:spacing w:after="0" w:line="122" w:lineRule="exact"/>
              <w:rPr>
                <w:sz w:val="20"/>
                <w:szCs w:val="20"/>
                <w:color w:val="auto"/>
              </w:rPr>
            </w:pPr>
            <w:r>
              <w:rPr>
                <w:rFonts w:ascii="Arial" w:cs="Arial" w:eastAsia="Arial" w:hAnsi="Arial"/>
                <w:sz w:val="11"/>
                <w:szCs w:val="11"/>
                <w:b w:val="1"/>
                <w:bCs w:val="1"/>
                <w:color w:val="051972"/>
                <w:w w:val="98"/>
              </w:rPr>
              <w:t>Number of</w:t>
            </w:r>
          </w:p>
        </w:tc>
        <w:tc>
          <w:tcPr>
            <w:tcW w:w="360" w:type="dxa"/>
            <w:vAlign w:val="bottom"/>
          </w:tcPr>
          <w:p>
            <w:pPr>
              <w:spacing w:after="0"/>
              <w:rPr>
                <w:sz w:val="10"/>
                <w:szCs w:val="10"/>
                <w:color w:val="auto"/>
              </w:rPr>
            </w:pPr>
          </w:p>
        </w:tc>
        <w:tc>
          <w:tcPr>
            <w:tcW w:w="1260" w:type="dxa"/>
            <w:vAlign w:val="bottom"/>
          </w:tcPr>
          <w:p>
            <w:pPr>
              <w:jc w:val="center"/>
              <w:ind w:right="327"/>
              <w:spacing w:after="0" w:line="122" w:lineRule="exact"/>
              <w:rPr>
                <w:sz w:val="20"/>
                <w:szCs w:val="20"/>
                <w:color w:val="auto"/>
              </w:rPr>
            </w:pPr>
            <w:r>
              <w:rPr>
                <w:rFonts w:ascii="Arial" w:cs="Arial" w:eastAsia="Arial" w:hAnsi="Arial"/>
                <w:sz w:val="11"/>
                <w:szCs w:val="11"/>
                <w:b w:val="1"/>
                <w:bCs w:val="1"/>
                <w:color w:val="051972"/>
                <w:w w:val="97"/>
              </w:rPr>
              <w:t>Shares</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Shares,</w:t>
            </w:r>
          </w:p>
        </w:tc>
        <w:tc>
          <w:tcPr>
            <w:tcW w:w="260" w:type="dxa"/>
            <w:vAlign w:val="bottom"/>
          </w:tcPr>
          <w:p>
            <w:pPr>
              <w:spacing w:after="0"/>
              <w:rPr>
                <w:sz w:val="10"/>
                <w:szCs w:val="10"/>
                <w:color w:val="auto"/>
              </w:rPr>
            </w:pPr>
          </w:p>
        </w:tc>
        <w:tc>
          <w:tcPr>
            <w:tcW w:w="86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051972"/>
              </w:rPr>
              <w:t>Units</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106"/>
              <w:spacing w:after="0" w:line="122" w:lineRule="exact"/>
              <w:rPr>
                <w:sz w:val="20"/>
                <w:szCs w:val="20"/>
                <w:color w:val="auto"/>
              </w:rPr>
            </w:pPr>
            <w:r>
              <w:rPr>
                <w:rFonts w:ascii="Arial" w:cs="Arial" w:eastAsia="Arial" w:hAnsi="Arial"/>
                <w:sz w:val="11"/>
                <w:szCs w:val="11"/>
                <w:b w:val="1"/>
                <w:bCs w:val="1"/>
                <w:color w:val="051972"/>
                <w:w w:val="98"/>
              </w:rPr>
              <w:t>Securities</w:t>
            </w:r>
          </w:p>
        </w:tc>
        <w:tc>
          <w:tcPr>
            <w:tcW w:w="1160" w:type="dxa"/>
            <w:vAlign w:val="bottom"/>
            <w:gridSpan w:val="2"/>
          </w:tcPr>
          <w:p>
            <w:pPr>
              <w:jc w:val="center"/>
              <w:ind w:left="386"/>
              <w:spacing w:after="0" w:line="122" w:lineRule="exact"/>
              <w:rPr>
                <w:sz w:val="20"/>
                <w:szCs w:val="20"/>
                <w:color w:val="auto"/>
              </w:rPr>
            </w:pPr>
            <w:r>
              <w:rPr>
                <w:rFonts w:ascii="Arial" w:cs="Arial" w:eastAsia="Arial" w:hAnsi="Arial"/>
                <w:sz w:val="11"/>
                <w:szCs w:val="11"/>
                <w:b w:val="1"/>
                <w:bCs w:val="1"/>
                <w:color w:val="051972"/>
                <w:w w:val="98"/>
              </w:rPr>
              <w:t>Securities</w:t>
            </w:r>
          </w:p>
        </w:tc>
        <w:tc>
          <w:tcPr>
            <w:tcW w:w="16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Securities</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26"/>
              <w:spacing w:after="0" w:line="122" w:lineRule="exact"/>
              <w:rPr>
                <w:sz w:val="20"/>
                <w:szCs w:val="20"/>
                <w:color w:val="auto"/>
              </w:rPr>
            </w:pPr>
            <w:r>
              <w:rPr>
                <w:rFonts w:ascii="Arial" w:cs="Arial" w:eastAsia="Arial" w:hAnsi="Arial"/>
                <w:sz w:val="11"/>
                <w:szCs w:val="11"/>
                <w:b w:val="1"/>
                <w:bCs w:val="1"/>
                <w:color w:val="051972"/>
                <w:w w:val="98"/>
              </w:rPr>
              <w:t>Shares or</w:t>
            </w:r>
          </w:p>
        </w:tc>
        <w:tc>
          <w:tcPr>
            <w:tcW w:w="360" w:type="dxa"/>
            <w:vAlign w:val="bottom"/>
          </w:tcPr>
          <w:p>
            <w:pPr>
              <w:spacing w:after="0"/>
              <w:rPr>
                <w:sz w:val="10"/>
                <w:szCs w:val="10"/>
                <w:color w:val="auto"/>
              </w:rPr>
            </w:pPr>
          </w:p>
        </w:tc>
        <w:tc>
          <w:tcPr>
            <w:tcW w:w="1260" w:type="dxa"/>
            <w:vAlign w:val="bottom"/>
          </w:tcPr>
          <w:p>
            <w:pPr>
              <w:jc w:val="center"/>
              <w:ind w:right="307"/>
              <w:spacing w:after="0" w:line="122" w:lineRule="exact"/>
              <w:rPr>
                <w:sz w:val="20"/>
                <w:szCs w:val="20"/>
                <w:color w:val="auto"/>
              </w:rPr>
            </w:pPr>
            <w:r>
              <w:rPr>
                <w:rFonts w:ascii="Arial" w:cs="Arial" w:eastAsia="Arial" w:hAnsi="Arial"/>
                <w:sz w:val="11"/>
                <w:szCs w:val="11"/>
                <w:b w:val="1"/>
                <w:bCs w:val="1"/>
                <w:color w:val="051972"/>
              </w:rPr>
              <w:t>or Units</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Units</w:t>
            </w:r>
          </w:p>
        </w:tc>
        <w:tc>
          <w:tcPr>
            <w:tcW w:w="260" w:type="dxa"/>
            <w:vAlign w:val="bottom"/>
          </w:tcPr>
          <w:p>
            <w:pPr>
              <w:spacing w:after="0"/>
              <w:rPr>
                <w:sz w:val="10"/>
                <w:szCs w:val="10"/>
                <w:color w:val="auto"/>
              </w:rPr>
            </w:pPr>
          </w:p>
        </w:tc>
        <w:tc>
          <w:tcPr>
            <w:tcW w:w="86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051972"/>
              </w:rPr>
              <w:t>or Other</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106"/>
              <w:spacing w:after="0" w:line="122" w:lineRule="exact"/>
              <w:rPr>
                <w:sz w:val="20"/>
                <w:szCs w:val="20"/>
                <w:color w:val="auto"/>
              </w:rPr>
            </w:pPr>
            <w:r>
              <w:rPr>
                <w:rFonts w:ascii="Arial" w:cs="Arial" w:eastAsia="Arial" w:hAnsi="Arial"/>
                <w:sz w:val="11"/>
                <w:szCs w:val="11"/>
                <w:b w:val="1"/>
                <w:bCs w:val="1"/>
                <w:color w:val="051972"/>
                <w:w w:val="97"/>
              </w:rPr>
              <w:t>Underlying</w:t>
            </w:r>
          </w:p>
        </w:tc>
        <w:tc>
          <w:tcPr>
            <w:tcW w:w="1160" w:type="dxa"/>
            <w:vAlign w:val="bottom"/>
            <w:gridSpan w:val="2"/>
          </w:tcPr>
          <w:p>
            <w:pPr>
              <w:jc w:val="center"/>
              <w:ind w:left="386"/>
              <w:spacing w:after="0" w:line="122" w:lineRule="exact"/>
              <w:rPr>
                <w:sz w:val="20"/>
                <w:szCs w:val="20"/>
                <w:color w:val="auto"/>
              </w:rPr>
            </w:pPr>
            <w:r>
              <w:rPr>
                <w:rFonts w:ascii="Arial" w:cs="Arial" w:eastAsia="Arial" w:hAnsi="Arial"/>
                <w:sz w:val="11"/>
                <w:szCs w:val="11"/>
                <w:b w:val="1"/>
                <w:bCs w:val="1"/>
                <w:color w:val="051972"/>
                <w:w w:val="97"/>
              </w:rPr>
              <w:t>Underlying</w:t>
            </w:r>
          </w:p>
        </w:tc>
        <w:tc>
          <w:tcPr>
            <w:tcW w:w="16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Underlying</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051972"/>
                <w:w w:val="97"/>
              </w:rPr>
              <w:t>Units of</w:t>
            </w:r>
          </w:p>
        </w:tc>
        <w:tc>
          <w:tcPr>
            <w:tcW w:w="360" w:type="dxa"/>
            <w:vAlign w:val="bottom"/>
          </w:tcPr>
          <w:p>
            <w:pPr>
              <w:spacing w:after="0"/>
              <w:rPr>
                <w:sz w:val="10"/>
                <w:szCs w:val="10"/>
                <w:color w:val="auto"/>
              </w:rPr>
            </w:pPr>
          </w:p>
        </w:tc>
        <w:tc>
          <w:tcPr>
            <w:tcW w:w="1260" w:type="dxa"/>
            <w:vAlign w:val="bottom"/>
          </w:tcPr>
          <w:p>
            <w:pPr>
              <w:jc w:val="center"/>
              <w:ind w:right="307"/>
              <w:spacing w:after="0" w:line="122" w:lineRule="exact"/>
              <w:rPr>
                <w:sz w:val="20"/>
                <w:szCs w:val="20"/>
                <w:color w:val="auto"/>
              </w:rPr>
            </w:pPr>
            <w:r>
              <w:rPr>
                <w:rFonts w:ascii="Arial" w:cs="Arial" w:eastAsia="Arial" w:hAnsi="Arial"/>
                <w:sz w:val="11"/>
                <w:szCs w:val="11"/>
                <w:b w:val="1"/>
                <w:bCs w:val="1"/>
                <w:color w:val="051972"/>
                <w:w w:val="96"/>
              </w:rPr>
              <w:t>of Stock</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or Other</w:t>
            </w:r>
          </w:p>
        </w:tc>
        <w:tc>
          <w:tcPr>
            <w:tcW w:w="260" w:type="dxa"/>
            <w:vAlign w:val="bottom"/>
          </w:tcPr>
          <w:p>
            <w:pPr>
              <w:spacing w:after="0"/>
              <w:rPr>
                <w:sz w:val="10"/>
                <w:szCs w:val="10"/>
                <w:color w:val="auto"/>
              </w:rPr>
            </w:pPr>
          </w:p>
        </w:tc>
        <w:tc>
          <w:tcPr>
            <w:tcW w:w="86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051972"/>
                <w:w w:val="93"/>
              </w:rPr>
              <w:t>Rights</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106"/>
              <w:spacing w:after="0" w:line="122" w:lineRule="exact"/>
              <w:rPr>
                <w:sz w:val="20"/>
                <w:szCs w:val="20"/>
                <w:color w:val="auto"/>
              </w:rPr>
            </w:pPr>
            <w:r>
              <w:rPr>
                <w:rFonts w:ascii="Arial" w:cs="Arial" w:eastAsia="Arial" w:hAnsi="Arial"/>
                <w:sz w:val="11"/>
                <w:szCs w:val="11"/>
                <w:b w:val="1"/>
                <w:bCs w:val="1"/>
                <w:color w:val="051972"/>
                <w:w w:val="97"/>
              </w:rPr>
              <w:t>Unexercised</w:t>
            </w:r>
          </w:p>
        </w:tc>
        <w:tc>
          <w:tcPr>
            <w:tcW w:w="1160" w:type="dxa"/>
            <w:vAlign w:val="bottom"/>
            <w:gridSpan w:val="2"/>
          </w:tcPr>
          <w:p>
            <w:pPr>
              <w:jc w:val="center"/>
              <w:ind w:left="386"/>
              <w:spacing w:after="0" w:line="122" w:lineRule="exact"/>
              <w:rPr>
                <w:sz w:val="20"/>
                <w:szCs w:val="20"/>
                <w:color w:val="auto"/>
              </w:rPr>
            </w:pPr>
            <w:r>
              <w:rPr>
                <w:rFonts w:ascii="Arial" w:cs="Arial" w:eastAsia="Arial" w:hAnsi="Arial"/>
                <w:sz w:val="11"/>
                <w:szCs w:val="11"/>
                <w:b w:val="1"/>
                <w:bCs w:val="1"/>
                <w:color w:val="051972"/>
                <w:w w:val="97"/>
              </w:rPr>
              <w:t>Unexercised</w:t>
            </w:r>
          </w:p>
        </w:tc>
        <w:tc>
          <w:tcPr>
            <w:tcW w:w="16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Unexercised</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Option</w:t>
            </w:r>
          </w:p>
        </w:tc>
        <w:tc>
          <w:tcPr>
            <w:tcW w:w="960" w:type="dxa"/>
            <w:vAlign w:val="bottom"/>
          </w:tcPr>
          <w:p>
            <w:pPr>
              <w:spacing w:after="0"/>
              <w:rPr>
                <w:sz w:val="10"/>
                <w:szCs w:val="10"/>
                <w:color w:val="auto"/>
              </w:rPr>
            </w:pP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051972"/>
                <w:w w:val="99"/>
              </w:rPr>
              <w:t>Stock That</w:t>
            </w:r>
          </w:p>
        </w:tc>
        <w:tc>
          <w:tcPr>
            <w:tcW w:w="360" w:type="dxa"/>
            <w:vAlign w:val="bottom"/>
          </w:tcPr>
          <w:p>
            <w:pPr>
              <w:spacing w:after="0"/>
              <w:rPr>
                <w:sz w:val="10"/>
                <w:szCs w:val="10"/>
                <w:color w:val="auto"/>
              </w:rPr>
            </w:pPr>
          </w:p>
        </w:tc>
        <w:tc>
          <w:tcPr>
            <w:tcW w:w="1260" w:type="dxa"/>
            <w:vAlign w:val="bottom"/>
          </w:tcPr>
          <w:p>
            <w:pPr>
              <w:jc w:val="center"/>
              <w:ind w:right="307"/>
              <w:spacing w:after="0" w:line="122" w:lineRule="exact"/>
              <w:rPr>
                <w:sz w:val="20"/>
                <w:szCs w:val="20"/>
                <w:color w:val="auto"/>
              </w:rPr>
            </w:pPr>
            <w:r>
              <w:rPr>
                <w:rFonts w:ascii="Arial" w:cs="Arial" w:eastAsia="Arial" w:hAnsi="Arial"/>
                <w:sz w:val="11"/>
                <w:szCs w:val="11"/>
                <w:b w:val="1"/>
                <w:bCs w:val="1"/>
                <w:color w:val="051972"/>
                <w:w w:val="94"/>
              </w:rPr>
              <w:t>That</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Rights That</w:t>
            </w:r>
          </w:p>
        </w:tc>
        <w:tc>
          <w:tcPr>
            <w:tcW w:w="260" w:type="dxa"/>
            <w:vAlign w:val="bottom"/>
          </w:tcPr>
          <w:p>
            <w:pPr>
              <w:spacing w:after="0"/>
              <w:rPr>
                <w:sz w:val="10"/>
                <w:szCs w:val="10"/>
                <w:color w:val="auto"/>
              </w:rPr>
            </w:pPr>
          </w:p>
        </w:tc>
        <w:tc>
          <w:tcPr>
            <w:tcW w:w="86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051972"/>
              </w:rPr>
              <w:t>That</w:t>
            </w:r>
          </w:p>
        </w:tc>
        <w:tc>
          <w:tcPr>
            <w:tcW w:w="0" w:type="dxa"/>
            <w:vAlign w:val="bottom"/>
          </w:tcPr>
          <w:p>
            <w:pPr>
              <w:spacing w:after="0"/>
              <w:rPr>
                <w:sz w:val="1"/>
                <w:szCs w:val="1"/>
                <w:color w:val="auto"/>
              </w:rPr>
            </w:pPr>
          </w:p>
        </w:tc>
      </w:tr>
      <w:tr>
        <w:trPr>
          <w:trHeight w:val="122"/>
        </w:trPr>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left="106"/>
              <w:spacing w:after="0" w:line="122" w:lineRule="exact"/>
              <w:rPr>
                <w:sz w:val="20"/>
                <w:szCs w:val="20"/>
                <w:color w:val="auto"/>
              </w:rPr>
            </w:pPr>
            <w:r>
              <w:rPr>
                <w:rFonts w:ascii="Arial" w:cs="Arial" w:eastAsia="Arial" w:hAnsi="Arial"/>
                <w:sz w:val="11"/>
                <w:szCs w:val="11"/>
                <w:b w:val="1"/>
                <w:bCs w:val="1"/>
                <w:color w:val="051972"/>
                <w:w w:val="96"/>
              </w:rPr>
              <w:t>Options</w:t>
            </w:r>
          </w:p>
        </w:tc>
        <w:tc>
          <w:tcPr>
            <w:tcW w:w="1160" w:type="dxa"/>
            <w:vAlign w:val="bottom"/>
            <w:gridSpan w:val="2"/>
          </w:tcPr>
          <w:p>
            <w:pPr>
              <w:jc w:val="center"/>
              <w:ind w:left="386"/>
              <w:spacing w:after="0" w:line="122" w:lineRule="exact"/>
              <w:rPr>
                <w:sz w:val="20"/>
                <w:szCs w:val="20"/>
                <w:color w:val="auto"/>
              </w:rPr>
            </w:pPr>
            <w:r>
              <w:rPr>
                <w:rFonts w:ascii="Arial" w:cs="Arial" w:eastAsia="Arial" w:hAnsi="Arial"/>
                <w:sz w:val="11"/>
                <w:szCs w:val="11"/>
                <w:b w:val="1"/>
                <w:bCs w:val="1"/>
                <w:color w:val="051972"/>
                <w:w w:val="96"/>
              </w:rPr>
              <w:t>Options</w:t>
            </w:r>
          </w:p>
        </w:tc>
        <w:tc>
          <w:tcPr>
            <w:tcW w:w="160" w:type="dxa"/>
            <w:vAlign w:val="bottom"/>
          </w:tcPr>
          <w:p>
            <w:pPr>
              <w:spacing w:after="0"/>
              <w:rPr>
                <w:sz w:val="10"/>
                <w:szCs w:val="10"/>
                <w:color w:val="auto"/>
              </w:rPr>
            </w:pPr>
          </w:p>
        </w:tc>
        <w:tc>
          <w:tcPr>
            <w:tcW w:w="128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Unearned</w:t>
            </w:r>
          </w:p>
        </w:tc>
        <w:tc>
          <w:tcPr>
            <w:tcW w:w="10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Exercise</w:t>
            </w:r>
          </w:p>
        </w:tc>
        <w:tc>
          <w:tcPr>
            <w:tcW w:w="96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051972"/>
              </w:rPr>
              <w:t>Option</w:t>
            </w:r>
          </w:p>
        </w:tc>
        <w:tc>
          <w:tcPr>
            <w:tcW w:w="120" w:type="dxa"/>
            <w:vAlign w:val="bottom"/>
            <w:tcBorders>
              <w:right w:val="single" w:sz="8" w:color="051972"/>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051972"/>
              </w:rPr>
              <w:t>Have Not</w:t>
            </w:r>
          </w:p>
        </w:tc>
        <w:tc>
          <w:tcPr>
            <w:tcW w:w="360" w:type="dxa"/>
            <w:vAlign w:val="bottom"/>
          </w:tcPr>
          <w:p>
            <w:pPr>
              <w:spacing w:after="0"/>
              <w:rPr>
                <w:sz w:val="10"/>
                <w:szCs w:val="10"/>
                <w:color w:val="auto"/>
              </w:rPr>
            </w:pPr>
          </w:p>
        </w:tc>
        <w:tc>
          <w:tcPr>
            <w:tcW w:w="1260" w:type="dxa"/>
            <w:vAlign w:val="bottom"/>
          </w:tcPr>
          <w:p>
            <w:pPr>
              <w:jc w:val="center"/>
              <w:ind w:right="307"/>
              <w:spacing w:after="0" w:line="122" w:lineRule="exact"/>
              <w:rPr>
                <w:sz w:val="20"/>
                <w:szCs w:val="20"/>
                <w:color w:val="auto"/>
              </w:rPr>
            </w:pPr>
            <w:r>
              <w:rPr>
                <w:rFonts w:ascii="Arial" w:cs="Arial" w:eastAsia="Arial" w:hAnsi="Arial"/>
                <w:sz w:val="11"/>
                <w:szCs w:val="11"/>
                <w:b w:val="1"/>
                <w:bCs w:val="1"/>
                <w:color w:val="051972"/>
                <w:w w:val="96"/>
              </w:rPr>
              <w:t>Have Not</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Have Not</w:t>
            </w:r>
          </w:p>
        </w:tc>
        <w:tc>
          <w:tcPr>
            <w:tcW w:w="260" w:type="dxa"/>
            <w:vAlign w:val="bottom"/>
          </w:tcPr>
          <w:p>
            <w:pPr>
              <w:spacing w:after="0"/>
              <w:rPr>
                <w:sz w:val="10"/>
                <w:szCs w:val="10"/>
                <w:color w:val="auto"/>
              </w:rPr>
            </w:pPr>
          </w:p>
        </w:tc>
        <w:tc>
          <w:tcPr>
            <w:tcW w:w="86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051972"/>
              </w:rPr>
              <w:t>Have Not</w:t>
            </w: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left="106"/>
              <w:spacing w:after="0" w:line="108" w:lineRule="exact"/>
              <w:rPr>
                <w:sz w:val="20"/>
                <w:szCs w:val="20"/>
                <w:color w:val="auto"/>
              </w:rPr>
            </w:pPr>
            <w:r>
              <w:rPr>
                <w:rFonts w:ascii="Arial" w:cs="Arial" w:eastAsia="Arial" w:hAnsi="Arial"/>
                <w:sz w:val="11"/>
                <w:szCs w:val="11"/>
                <w:b w:val="1"/>
                <w:bCs w:val="1"/>
                <w:color w:val="051972"/>
                <w:w w:val="98"/>
              </w:rPr>
              <w:t>Exercisable</w:t>
            </w:r>
          </w:p>
        </w:tc>
        <w:tc>
          <w:tcPr>
            <w:tcW w:w="1160" w:type="dxa"/>
            <w:vAlign w:val="bottom"/>
            <w:gridSpan w:val="2"/>
          </w:tcPr>
          <w:p>
            <w:pPr>
              <w:jc w:val="center"/>
              <w:ind w:left="386"/>
              <w:spacing w:after="0" w:line="108" w:lineRule="exact"/>
              <w:rPr>
                <w:sz w:val="20"/>
                <w:szCs w:val="20"/>
                <w:color w:val="auto"/>
              </w:rPr>
            </w:pPr>
            <w:r>
              <w:rPr>
                <w:rFonts w:ascii="Arial" w:cs="Arial" w:eastAsia="Arial" w:hAnsi="Arial"/>
                <w:sz w:val="11"/>
                <w:szCs w:val="11"/>
                <w:b w:val="1"/>
                <w:bCs w:val="1"/>
                <w:color w:val="051972"/>
                <w:w w:val="96"/>
              </w:rPr>
              <w:t>Unexercisable</w:t>
            </w:r>
          </w:p>
        </w:tc>
        <w:tc>
          <w:tcPr>
            <w:tcW w:w="160" w:type="dxa"/>
            <w:vAlign w:val="bottom"/>
          </w:tcPr>
          <w:p>
            <w:pPr>
              <w:spacing w:after="0"/>
              <w:rPr>
                <w:sz w:val="9"/>
                <w:szCs w:val="9"/>
                <w:color w:val="auto"/>
              </w:rPr>
            </w:pPr>
          </w:p>
        </w:tc>
        <w:tc>
          <w:tcPr>
            <w:tcW w:w="128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6"/>
              </w:rPr>
              <w:t>Options</w:t>
            </w:r>
          </w:p>
        </w:tc>
        <w:tc>
          <w:tcPr>
            <w:tcW w:w="106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6"/>
              </w:rPr>
              <w:t>Price</w:t>
            </w:r>
          </w:p>
        </w:tc>
        <w:tc>
          <w:tcPr>
            <w:tcW w:w="960" w:type="dxa"/>
            <w:vAlign w:val="bottom"/>
          </w:tcPr>
          <w:p>
            <w:pPr>
              <w:jc w:val="center"/>
              <w:ind w:left="106"/>
              <w:spacing w:after="0" w:line="108" w:lineRule="exact"/>
              <w:rPr>
                <w:sz w:val="20"/>
                <w:szCs w:val="20"/>
                <w:color w:val="auto"/>
              </w:rPr>
            </w:pPr>
            <w:r>
              <w:rPr>
                <w:rFonts w:ascii="Arial" w:cs="Arial" w:eastAsia="Arial" w:hAnsi="Arial"/>
                <w:sz w:val="11"/>
                <w:szCs w:val="11"/>
                <w:b w:val="1"/>
                <w:bCs w:val="1"/>
                <w:color w:val="051972"/>
                <w:w w:val="96"/>
              </w:rPr>
              <w:t>Expiration</w:t>
            </w:r>
          </w:p>
        </w:tc>
        <w:tc>
          <w:tcPr>
            <w:tcW w:w="120" w:type="dxa"/>
            <w:vAlign w:val="bottom"/>
            <w:tcBorders>
              <w:right w:val="single" w:sz="8" w:color="051972"/>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left="106"/>
              <w:spacing w:after="0" w:line="108" w:lineRule="exact"/>
              <w:rPr>
                <w:sz w:val="20"/>
                <w:szCs w:val="20"/>
                <w:color w:val="auto"/>
              </w:rPr>
            </w:pPr>
            <w:r>
              <w:rPr>
                <w:rFonts w:ascii="Arial" w:cs="Arial" w:eastAsia="Arial" w:hAnsi="Arial"/>
                <w:sz w:val="11"/>
                <w:szCs w:val="11"/>
                <w:b w:val="1"/>
                <w:bCs w:val="1"/>
                <w:color w:val="051972"/>
                <w:w w:val="99"/>
              </w:rPr>
              <w:t>Vested</w:t>
            </w:r>
          </w:p>
        </w:tc>
        <w:tc>
          <w:tcPr>
            <w:tcW w:w="360" w:type="dxa"/>
            <w:vAlign w:val="bottom"/>
          </w:tcPr>
          <w:p>
            <w:pPr>
              <w:spacing w:after="0"/>
              <w:rPr>
                <w:sz w:val="9"/>
                <w:szCs w:val="9"/>
                <w:color w:val="auto"/>
              </w:rPr>
            </w:pPr>
          </w:p>
        </w:tc>
        <w:tc>
          <w:tcPr>
            <w:tcW w:w="1260" w:type="dxa"/>
            <w:vAlign w:val="bottom"/>
          </w:tcPr>
          <w:p>
            <w:pPr>
              <w:jc w:val="center"/>
              <w:ind w:right="307"/>
              <w:spacing w:after="0" w:line="108" w:lineRule="exact"/>
              <w:rPr>
                <w:sz w:val="20"/>
                <w:szCs w:val="20"/>
                <w:color w:val="auto"/>
              </w:rPr>
            </w:pPr>
            <w:r>
              <w:rPr>
                <w:rFonts w:ascii="Arial" w:cs="Arial" w:eastAsia="Arial" w:hAnsi="Arial"/>
                <w:sz w:val="11"/>
                <w:szCs w:val="11"/>
                <w:b w:val="1"/>
                <w:bCs w:val="1"/>
                <w:color w:val="051972"/>
                <w:w w:val="94"/>
              </w:rPr>
              <w:t>Vested</w:t>
            </w:r>
          </w:p>
        </w:tc>
        <w:tc>
          <w:tcPr>
            <w:tcW w:w="64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9"/>
              </w:rPr>
              <w:t>Vested</w:t>
            </w:r>
          </w:p>
        </w:tc>
        <w:tc>
          <w:tcPr>
            <w:tcW w:w="260" w:type="dxa"/>
            <w:vAlign w:val="bottom"/>
          </w:tcPr>
          <w:p>
            <w:pPr>
              <w:spacing w:after="0"/>
              <w:rPr>
                <w:sz w:val="9"/>
                <w:szCs w:val="9"/>
                <w:color w:val="auto"/>
              </w:rPr>
            </w:pPr>
          </w:p>
        </w:tc>
        <w:tc>
          <w:tcPr>
            <w:tcW w:w="860" w:type="dxa"/>
            <w:vAlign w:val="bottom"/>
          </w:tcPr>
          <w:p>
            <w:pPr>
              <w:jc w:val="center"/>
              <w:ind w:right="47"/>
              <w:spacing w:after="0" w:line="108" w:lineRule="exact"/>
              <w:rPr>
                <w:sz w:val="20"/>
                <w:szCs w:val="20"/>
                <w:color w:val="auto"/>
              </w:rPr>
            </w:pPr>
            <w:r>
              <w:rPr>
                <w:rFonts w:ascii="Arial" w:cs="Arial" w:eastAsia="Arial" w:hAnsi="Arial"/>
                <w:sz w:val="11"/>
                <w:szCs w:val="11"/>
                <w:b w:val="1"/>
                <w:bCs w:val="1"/>
                <w:color w:val="051972"/>
                <w:w w:val="99"/>
              </w:rPr>
              <w:t>Vested</w:t>
            </w:r>
          </w:p>
        </w:tc>
        <w:tc>
          <w:tcPr>
            <w:tcW w:w="0" w:type="dxa"/>
            <w:vAlign w:val="bottom"/>
          </w:tcPr>
          <w:p>
            <w:pPr>
              <w:spacing w:after="0"/>
              <w:rPr>
                <w:sz w:val="1"/>
                <w:szCs w:val="1"/>
                <w:color w:val="auto"/>
              </w:rPr>
            </w:pPr>
          </w:p>
        </w:tc>
      </w:tr>
      <w:tr>
        <w:trPr>
          <w:trHeight w:val="162"/>
        </w:trPr>
        <w:tc>
          <w:tcPr>
            <w:tcW w:w="1220" w:type="dxa"/>
            <w:vAlign w:val="bottom"/>
            <w:tcBorders>
              <w:bottom w:val="single" w:sz="8" w:color="051972"/>
            </w:tcBorders>
          </w:tcPr>
          <w:p>
            <w:pPr>
              <w:ind w:left="20"/>
              <w:spacing w:after="0"/>
              <w:rPr>
                <w:sz w:val="20"/>
                <w:szCs w:val="20"/>
                <w:color w:val="auto"/>
              </w:rPr>
            </w:pPr>
            <w:r>
              <w:rPr>
                <w:rFonts w:ascii="Arial" w:cs="Arial" w:eastAsia="Arial" w:hAnsi="Arial"/>
                <w:sz w:val="11"/>
                <w:szCs w:val="11"/>
                <w:b w:val="1"/>
                <w:bCs w:val="1"/>
                <w:color w:val="051972"/>
              </w:rPr>
              <w:t>Name</w:t>
            </w:r>
          </w:p>
        </w:tc>
        <w:tc>
          <w:tcPr>
            <w:tcW w:w="880" w:type="dxa"/>
            <w:vAlign w:val="bottom"/>
            <w:tcBorders>
              <w:bottom w:val="single" w:sz="8" w:color="051972"/>
            </w:tcBorders>
            <w:gridSpan w:val="2"/>
          </w:tcPr>
          <w:p>
            <w:pPr>
              <w:jc w:val="center"/>
              <w:ind w:left="346"/>
              <w:spacing w:after="0"/>
              <w:rPr>
                <w:sz w:val="20"/>
                <w:szCs w:val="20"/>
                <w:color w:val="auto"/>
              </w:rPr>
            </w:pPr>
            <w:r>
              <w:rPr>
                <w:rFonts w:ascii="Arial" w:cs="Arial" w:eastAsia="Arial" w:hAnsi="Arial"/>
                <w:sz w:val="11"/>
                <w:szCs w:val="11"/>
                <w:b w:val="1"/>
                <w:bCs w:val="1"/>
                <w:color w:val="051972"/>
                <w:w w:val="88"/>
              </w:rPr>
              <w:t>(#)</w:t>
            </w:r>
          </w:p>
        </w:tc>
        <w:tc>
          <w:tcPr>
            <w:tcW w:w="120" w:type="dxa"/>
            <w:vAlign w:val="bottom"/>
            <w:tcBorders>
              <w:bottom w:val="single" w:sz="8" w:color="051972"/>
            </w:tcBorders>
          </w:tcPr>
          <w:p>
            <w:pPr>
              <w:spacing w:after="0"/>
              <w:rPr>
                <w:sz w:val="14"/>
                <w:szCs w:val="14"/>
                <w:color w:val="auto"/>
              </w:rPr>
            </w:pPr>
          </w:p>
        </w:tc>
        <w:tc>
          <w:tcPr>
            <w:tcW w:w="1040" w:type="dxa"/>
            <w:vAlign w:val="bottom"/>
            <w:tcBorders>
              <w:bottom w:val="single" w:sz="8" w:color="051972"/>
            </w:tcBorders>
          </w:tcPr>
          <w:p>
            <w:pPr>
              <w:jc w:val="center"/>
              <w:ind w:left="506"/>
              <w:spacing w:after="0"/>
              <w:rPr>
                <w:sz w:val="20"/>
                <w:szCs w:val="20"/>
                <w:color w:val="auto"/>
              </w:rPr>
            </w:pPr>
            <w:r>
              <w:rPr>
                <w:rFonts w:ascii="Arial" w:cs="Arial" w:eastAsia="Arial" w:hAnsi="Arial"/>
                <w:sz w:val="11"/>
                <w:szCs w:val="11"/>
                <w:b w:val="1"/>
                <w:bCs w:val="1"/>
                <w:color w:val="051972"/>
                <w:w w:val="88"/>
              </w:rPr>
              <w:t>(#)</w:t>
            </w:r>
          </w:p>
        </w:tc>
        <w:tc>
          <w:tcPr>
            <w:tcW w:w="120" w:type="dxa"/>
            <w:vAlign w:val="bottom"/>
            <w:tcBorders>
              <w:bottom w:val="single" w:sz="8" w:color="051972"/>
            </w:tcBorders>
          </w:tcPr>
          <w:p>
            <w:pPr>
              <w:spacing w:after="0"/>
              <w:rPr>
                <w:sz w:val="14"/>
                <w:szCs w:val="14"/>
                <w:color w:val="auto"/>
              </w:rPr>
            </w:pPr>
          </w:p>
        </w:tc>
        <w:tc>
          <w:tcPr>
            <w:tcW w:w="160" w:type="dxa"/>
            <w:vAlign w:val="bottom"/>
            <w:tcBorders>
              <w:bottom w:val="single" w:sz="8" w:color="051972"/>
            </w:tcBorders>
          </w:tcPr>
          <w:p>
            <w:pPr>
              <w:spacing w:after="0"/>
              <w:rPr>
                <w:sz w:val="14"/>
                <w:szCs w:val="14"/>
                <w:color w:val="auto"/>
              </w:rPr>
            </w:pPr>
          </w:p>
        </w:tc>
        <w:tc>
          <w:tcPr>
            <w:tcW w:w="128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p>
        </w:tc>
        <w:tc>
          <w:tcPr>
            <w:tcW w:w="10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960" w:type="dxa"/>
            <w:vAlign w:val="bottom"/>
            <w:tcBorders>
              <w:bottom w:val="single" w:sz="8" w:color="051972"/>
            </w:tcBorders>
          </w:tcPr>
          <w:p>
            <w:pPr>
              <w:jc w:val="center"/>
              <w:ind w:left="106"/>
              <w:spacing w:after="0"/>
              <w:rPr>
                <w:sz w:val="20"/>
                <w:szCs w:val="20"/>
                <w:color w:val="auto"/>
              </w:rPr>
            </w:pPr>
            <w:r>
              <w:rPr>
                <w:rFonts w:ascii="Arial" w:cs="Arial" w:eastAsia="Arial" w:hAnsi="Arial"/>
                <w:sz w:val="11"/>
                <w:szCs w:val="11"/>
                <w:b w:val="1"/>
                <w:bCs w:val="1"/>
                <w:color w:val="051972"/>
              </w:rPr>
              <w:t>Date</w:t>
            </w:r>
          </w:p>
        </w:tc>
        <w:tc>
          <w:tcPr>
            <w:tcW w:w="120" w:type="dxa"/>
            <w:vAlign w:val="bottom"/>
            <w:tcBorders>
              <w:bottom w:val="single" w:sz="8" w:color="051972"/>
              <w:right w:val="single" w:sz="8" w:color="051972"/>
            </w:tcBorders>
          </w:tcPr>
          <w:p>
            <w:pPr>
              <w:spacing w:after="0"/>
              <w:rPr>
                <w:sz w:val="14"/>
                <w:szCs w:val="14"/>
                <w:color w:val="auto"/>
              </w:rPr>
            </w:pPr>
          </w:p>
        </w:tc>
        <w:tc>
          <w:tcPr>
            <w:tcW w:w="900" w:type="dxa"/>
            <w:vAlign w:val="bottom"/>
            <w:tcBorders>
              <w:bottom w:val="single" w:sz="8" w:color="051972"/>
            </w:tcBorders>
            <w:gridSpan w:val="2"/>
          </w:tcPr>
          <w:p>
            <w:pPr>
              <w:jc w:val="center"/>
              <w:ind w:left="206"/>
              <w:spacing w:after="0"/>
              <w:rPr>
                <w:sz w:val="20"/>
                <w:szCs w:val="20"/>
                <w:color w:val="auto"/>
              </w:rPr>
            </w:pPr>
            <w:r>
              <w:rPr>
                <w:rFonts w:ascii="Arial" w:cs="Arial" w:eastAsia="Arial" w:hAnsi="Arial"/>
                <w:sz w:val="11"/>
                <w:szCs w:val="11"/>
                <w:b w:val="1"/>
                <w:bCs w:val="1"/>
                <w:color w:val="051972"/>
                <w:w w:val="88"/>
              </w:rPr>
              <w:t>(#)</w:t>
            </w:r>
          </w:p>
        </w:tc>
        <w:tc>
          <w:tcPr>
            <w:tcW w:w="360" w:type="dxa"/>
            <w:vAlign w:val="bottom"/>
            <w:tcBorders>
              <w:bottom w:val="single" w:sz="8" w:color="051972"/>
            </w:tcBorders>
          </w:tcPr>
          <w:p>
            <w:pPr>
              <w:spacing w:after="0"/>
              <w:rPr>
                <w:sz w:val="14"/>
                <w:szCs w:val="14"/>
                <w:color w:val="auto"/>
              </w:rPr>
            </w:pPr>
          </w:p>
        </w:tc>
        <w:tc>
          <w:tcPr>
            <w:tcW w:w="1260" w:type="dxa"/>
            <w:vAlign w:val="bottom"/>
            <w:tcBorders>
              <w:bottom w:val="single" w:sz="8" w:color="051972"/>
            </w:tcBorders>
          </w:tcPr>
          <w:p>
            <w:pPr>
              <w:jc w:val="center"/>
              <w:ind w:right="307"/>
              <w:spacing w:after="0" w:line="162" w:lineRule="exact"/>
              <w:rPr>
                <w:sz w:val="20"/>
                <w:szCs w:val="20"/>
                <w:color w:val="auto"/>
              </w:rPr>
            </w:pPr>
            <w:r>
              <w:rPr>
                <w:rFonts w:ascii="Arial" w:cs="Arial" w:eastAsia="Arial" w:hAnsi="Arial"/>
                <w:sz w:val="18"/>
                <w:szCs w:val="18"/>
                <w:b w:val="1"/>
                <w:bCs w:val="1"/>
                <w:color w:val="051972"/>
                <w:w w:val="94"/>
                <w:vertAlign w:val="subscript"/>
              </w:rPr>
              <w:t>($)</w:t>
            </w:r>
            <w:r>
              <w:rPr>
                <w:rFonts w:ascii="Arial" w:cs="Arial" w:eastAsia="Arial" w:hAnsi="Arial"/>
                <w:sz w:val="7"/>
                <w:szCs w:val="7"/>
                <w:b w:val="1"/>
                <w:bCs w:val="1"/>
                <w:color w:val="051972"/>
                <w:w w:val="94"/>
              </w:rPr>
              <w:t>(1)</w:t>
            </w:r>
          </w:p>
        </w:tc>
        <w:tc>
          <w:tcPr>
            <w:tcW w:w="64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260" w:type="dxa"/>
            <w:vAlign w:val="bottom"/>
            <w:tcBorders>
              <w:bottom w:val="single" w:sz="8" w:color="051972"/>
            </w:tcBorders>
          </w:tcPr>
          <w:p>
            <w:pPr>
              <w:spacing w:after="0"/>
              <w:rPr>
                <w:sz w:val="14"/>
                <w:szCs w:val="14"/>
                <w:color w:val="auto"/>
              </w:rPr>
            </w:pPr>
          </w:p>
        </w:tc>
        <w:tc>
          <w:tcPr>
            <w:tcW w:w="860" w:type="dxa"/>
            <w:vAlign w:val="bottom"/>
            <w:tcBorders>
              <w:bottom w:val="single" w:sz="8" w:color="051972"/>
            </w:tcBorders>
          </w:tcPr>
          <w:p>
            <w:pPr>
              <w:jc w:val="center"/>
              <w:ind w:right="27"/>
              <w:spacing w:after="0" w:line="162" w:lineRule="exact"/>
              <w:rPr>
                <w:sz w:val="20"/>
                <w:szCs w:val="20"/>
                <w:color w:val="auto"/>
              </w:rPr>
            </w:pPr>
            <w:r>
              <w:rPr>
                <w:rFonts w:ascii="Arial" w:cs="Arial" w:eastAsia="Arial" w:hAnsi="Arial"/>
                <w:sz w:val="18"/>
                <w:szCs w:val="18"/>
                <w:b w:val="1"/>
                <w:bCs w:val="1"/>
                <w:color w:val="051972"/>
                <w:w w:val="94"/>
                <w:vertAlign w:val="subscript"/>
              </w:rPr>
              <w:t>($)</w:t>
            </w:r>
            <w:r>
              <w:rPr>
                <w:rFonts w:ascii="Arial" w:cs="Arial" w:eastAsia="Arial" w:hAnsi="Arial"/>
                <w:sz w:val="7"/>
                <w:szCs w:val="7"/>
                <w:b w:val="1"/>
                <w:bCs w:val="1"/>
                <w:color w:val="051972"/>
                <w:w w:val="94"/>
              </w:rPr>
              <w:t>(1)</w:t>
            </w:r>
          </w:p>
        </w:tc>
        <w:tc>
          <w:tcPr>
            <w:tcW w:w="0" w:type="dxa"/>
            <w:vAlign w:val="bottom"/>
          </w:tcPr>
          <w:p>
            <w:pPr>
              <w:spacing w:after="0"/>
              <w:rPr>
                <w:sz w:val="1"/>
                <w:szCs w:val="1"/>
                <w:color w:val="auto"/>
              </w:rPr>
            </w:pPr>
          </w:p>
        </w:tc>
      </w:tr>
      <w:tr>
        <w:trPr>
          <w:trHeight w:val="87"/>
        </w:trPr>
        <w:tc>
          <w:tcPr>
            <w:tcW w:w="1220" w:type="dxa"/>
            <w:vAlign w:val="bottom"/>
            <w:vMerge w:val="restart"/>
            <w:shd w:val="clear" w:color="auto" w:fill="E7E7E8"/>
          </w:tcPr>
          <w:p>
            <w:pPr>
              <w:ind w:left="20"/>
              <w:spacing w:after="0"/>
              <w:rPr>
                <w:sz w:val="20"/>
                <w:szCs w:val="20"/>
                <w:color w:val="auto"/>
              </w:rPr>
            </w:pPr>
            <w:r>
              <w:rPr>
                <w:rFonts w:ascii="Arial" w:cs="Arial" w:eastAsia="Arial" w:hAnsi="Arial"/>
                <w:sz w:val="11"/>
                <w:szCs w:val="11"/>
                <w:color w:val="auto"/>
              </w:rPr>
              <w:t>Tony Thompson</w:t>
            </w:r>
          </w:p>
        </w:tc>
        <w:tc>
          <w:tcPr>
            <w:tcW w:w="120" w:type="dxa"/>
            <w:vAlign w:val="bottom"/>
            <w:shd w:val="clear" w:color="auto" w:fill="E7E7E8"/>
          </w:tcPr>
          <w:p>
            <w:pPr>
              <w:spacing w:after="0"/>
              <w:rPr>
                <w:sz w:val="7"/>
                <w:szCs w:val="7"/>
                <w:color w:val="auto"/>
              </w:rPr>
            </w:pP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696</w:t>
            </w:r>
          </w:p>
        </w:tc>
        <w:tc>
          <w:tcPr>
            <w:tcW w:w="120" w:type="dxa"/>
            <w:vAlign w:val="bottom"/>
            <w:shd w:val="clear" w:color="auto" w:fill="E7E7E8"/>
          </w:tcPr>
          <w:p>
            <w:pPr>
              <w:spacing w:after="0"/>
              <w:rPr>
                <w:sz w:val="7"/>
                <w:szCs w:val="7"/>
                <w:color w:val="auto"/>
              </w:rPr>
            </w:pPr>
          </w:p>
        </w:tc>
        <w:tc>
          <w:tcPr>
            <w:tcW w:w="104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347</w:t>
            </w:r>
          </w:p>
        </w:tc>
        <w:tc>
          <w:tcPr>
            <w:tcW w:w="120" w:type="dxa"/>
            <w:vAlign w:val="bottom"/>
            <w:shd w:val="clear" w:color="auto" w:fill="E7E7E8"/>
          </w:tcPr>
          <w:p>
            <w:pPr>
              <w:spacing w:after="0"/>
              <w:rPr>
                <w:sz w:val="7"/>
                <w:szCs w:val="7"/>
                <w:color w:val="auto"/>
              </w:rPr>
            </w:pPr>
          </w:p>
        </w:tc>
        <w:tc>
          <w:tcPr>
            <w:tcW w:w="160" w:type="dxa"/>
            <w:vAlign w:val="bottom"/>
            <w:shd w:val="clear" w:color="auto" w:fill="E7E7E8"/>
          </w:tcPr>
          <w:p>
            <w:pPr>
              <w:jc w:val="right"/>
              <w:ind w:right="24"/>
              <w:spacing w:after="0"/>
              <w:rPr>
                <w:sz w:val="20"/>
                <w:szCs w:val="20"/>
                <w:color w:val="auto"/>
              </w:rPr>
            </w:pPr>
            <w:r>
              <w:rPr>
                <w:rFonts w:ascii="Arial" w:cs="Arial" w:eastAsia="Arial" w:hAnsi="Arial"/>
                <w:sz w:val="7"/>
                <w:szCs w:val="7"/>
                <w:color w:val="auto"/>
                <w:w w:val="92"/>
              </w:rPr>
              <w:t>(2)</w:t>
            </w:r>
          </w:p>
        </w:tc>
        <w:tc>
          <w:tcPr>
            <w:tcW w:w="1280" w:type="dxa"/>
            <w:vAlign w:val="bottom"/>
            <w:vMerge w:val="restart"/>
            <w:shd w:val="clear" w:color="auto" w:fill="E7E7E8"/>
          </w:tcPr>
          <w:p>
            <w:pPr>
              <w:ind w:left="760"/>
              <w:spacing w:after="0"/>
              <w:rPr>
                <w:sz w:val="20"/>
                <w:szCs w:val="20"/>
                <w:color w:val="auto"/>
              </w:rPr>
            </w:pPr>
            <w:r>
              <w:rPr>
                <w:rFonts w:ascii="Arial" w:cs="Arial" w:eastAsia="Arial" w:hAnsi="Arial"/>
                <w:sz w:val="11"/>
                <w:szCs w:val="11"/>
                <w:color w:val="auto"/>
              </w:rPr>
              <w:t>—</w:t>
            </w:r>
          </w:p>
        </w:tc>
        <w:tc>
          <w:tcPr>
            <w:tcW w:w="1060" w:type="dxa"/>
            <w:vAlign w:val="bottom"/>
            <w:vMerge w:val="restart"/>
            <w:shd w:val="clear" w:color="auto" w:fill="E7E7E8"/>
          </w:tcPr>
          <w:p>
            <w:pPr>
              <w:jc w:val="right"/>
              <w:ind w:right="246"/>
              <w:spacing w:after="0"/>
              <w:rPr>
                <w:sz w:val="20"/>
                <w:szCs w:val="20"/>
                <w:color w:val="auto"/>
              </w:rPr>
            </w:pPr>
            <w:r>
              <w:rPr>
                <w:rFonts w:ascii="Arial" w:cs="Arial" w:eastAsia="Arial" w:hAnsi="Arial"/>
                <w:sz w:val="11"/>
                <w:szCs w:val="11"/>
                <w:color w:val="auto"/>
              </w:rPr>
              <w:t>126.22</w:t>
            </w:r>
          </w:p>
        </w:tc>
        <w:tc>
          <w:tcPr>
            <w:tcW w:w="960" w:type="dxa"/>
            <w:vAlign w:val="bottom"/>
            <w:vMerge w:val="restart"/>
            <w:shd w:val="clear" w:color="auto" w:fill="E7E7E8"/>
          </w:tcPr>
          <w:p>
            <w:pPr>
              <w:jc w:val="center"/>
              <w:ind w:left="126"/>
              <w:spacing w:after="0"/>
              <w:rPr>
                <w:sz w:val="20"/>
                <w:szCs w:val="20"/>
                <w:color w:val="auto"/>
              </w:rPr>
            </w:pPr>
            <w:r>
              <w:rPr>
                <w:rFonts w:ascii="Arial" w:cs="Arial" w:eastAsia="Arial" w:hAnsi="Arial"/>
                <w:sz w:val="11"/>
                <w:szCs w:val="11"/>
                <w:color w:val="auto"/>
                <w:w w:val="98"/>
              </w:rPr>
              <w:t>05/19/2032</w:t>
            </w:r>
          </w:p>
        </w:tc>
        <w:tc>
          <w:tcPr>
            <w:tcW w:w="120" w:type="dxa"/>
            <w:vAlign w:val="bottom"/>
            <w:tcBorders>
              <w:right w:val="single" w:sz="8" w:color="051972"/>
            </w:tcBorders>
            <w:shd w:val="clear" w:color="auto" w:fill="E7E7E8"/>
          </w:tcPr>
          <w:p>
            <w:pPr>
              <w:spacing w:after="0"/>
              <w:rPr>
                <w:sz w:val="7"/>
                <w:szCs w:val="7"/>
                <w:color w:val="auto"/>
              </w:rPr>
            </w:pPr>
          </w:p>
        </w:tc>
        <w:tc>
          <w:tcPr>
            <w:tcW w:w="900" w:type="dxa"/>
            <w:vAlign w:val="bottom"/>
            <w:gridSpan w:val="2"/>
            <w:vMerge w:val="restart"/>
            <w:shd w:val="clear" w:color="auto" w:fill="E7E7E8"/>
          </w:tcPr>
          <w:p>
            <w:pPr>
              <w:jc w:val="right"/>
              <w:ind w:right="26"/>
              <w:spacing w:after="0"/>
              <w:rPr>
                <w:sz w:val="20"/>
                <w:szCs w:val="20"/>
                <w:color w:val="auto"/>
              </w:rPr>
            </w:pPr>
            <w:r>
              <w:rPr>
                <w:rFonts w:ascii="Arial" w:cs="Arial" w:eastAsia="Arial" w:hAnsi="Arial"/>
                <w:sz w:val="11"/>
                <w:szCs w:val="11"/>
                <w:color w:val="auto"/>
              </w:rPr>
              <w:t>401</w:t>
            </w:r>
          </w:p>
        </w:tc>
        <w:tc>
          <w:tcPr>
            <w:tcW w:w="360" w:type="dxa"/>
            <w:vAlign w:val="bottom"/>
            <w:shd w:val="clear" w:color="auto" w:fill="E7E7E8"/>
          </w:tcPr>
          <w:p>
            <w:pPr>
              <w:ind w:left="40"/>
              <w:spacing w:after="0"/>
              <w:rPr>
                <w:sz w:val="20"/>
                <w:szCs w:val="20"/>
                <w:color w:val="auto"/>
              </w:rPr>
            </w:pPr>
            <w:r>
              <w:rPr>
                <w:rFonts w:ascii="Arial" w:cs="Arial" w:eastAsia="Arial" w:hAnsi="Arial"/>
                <w:sz w:val="7"/>
                <w:szCs w:val="7"/>
                <w:color w:val="auto"/>
              </w:rPr>
              <w:t>(4)</w:t>
            </w:r>
          </w:p>
        </w:tc>
        <w:tc>
          <w:tcPr>
            <w:tcW w:w="1260" w:type="dxa"/>
            <w:vAlign w:val="bottom"/>
            <w:vMerge w:val="restart"/>
            <w:shd w:val="clear" w:color="auto" w:fill="E7E7E8"/>
          </w:tcPr>
          <w:p>
            <w:pPr>
              <w:jc w:val="right"/>
              <w:ind w:right="487"/>
              <w:spacing w:after="0"/>
              <w:rPr>
                <w:sz w:val="20"/>
                <w:szCs w:val="20"/>
                <w:color w:val="auto"/>
              </w:rPr>
            </w:pPr>
            <w:r>
              <w:rPr>
                <w:rFonts w:ascii="Arial" w:cs="Arial" w:eastAsia="Arial" w:hAnsi="Arial"/>
                <w:sz w:val="11"/>
                <w:szCs w:val="11"/>
                <w:color w:val="auto"/>
              </w:rPr>
              <w:t>88,994</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shd w:val="clear" w:color="auto" w:fill="E7E7E8"/>
          </w:tcPr>
          <w:p>
            <w:pPr>
              <w:spacing w:after="0"/>
              <w:rPr>
                <w:sz w:val="7"/>
                <w:szCs w:val="7"/>
                <w:color w:val="auto"/>
              </w:rPr>
            </w:pPr>
          </w:p>
        </w:tc>
        <w:tc>
          <w:tcPr>
            <w:tcW w:w="860" w:type="dxa"/>
            <w:vAlign w:val="bottom"/>
            <w:vMerge w:val="restart"/>
            <w:shd w:val="clear" w:color="auto" w:fill="E7E7E8"/>
          </w:tcPr>
          <w:p>
            <w:pPr>
              <w:jc w:val="right"/>
              <w:ind w:right="6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2"/>
        </w:trPr>
        <w:tc>
          <w:tcPr>
            <w:tcW w:w="122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6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04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1280" w:type="dxa"/>
            <w:vAlign w:val="bottom"/>
            <w:vMerge w:val="continue"/>
            <w:shd w:val="clear" w:color="auto" w:fill="E7E7E8"/>
          </w:tcPr>
          <w:p>
            <w:pPr>
              <w:spacing w:after="0"/>
              <w:rPr>
                <w:sz w:val="5"/>
                <w:szCs w:val="5"/>
                <w:color w:val="auto"/>
              </w:rPr>
            </w:pPr>
          </w:p>
        </w:tc>
        <w:tc>
          <w:tcPr>
            <w:tcW w:w="1060" w:type="dxa"/>
            <w:vAlign w:val="bottom"/>
            <w:vMerge w:val="continue"/>
            <w:shd w:val="clear" w:color="auto" w:fill="E7E7E8"/>
          </w:tcPr>
          <w:p>
            <w:pPr>
              <w:spacing w:after="0"/>
              <w:rPr>
                <w:sz w:val="5"/>
                <w:szCs w:val="5"/>
                <w:color w:val="auto"/>
              </w:rPr>
            </w:pPr>
          </w:p>
        </w:tc>
        <w:tc>
          <w:tcPr>
            <w:tcW w:w="960" w:type="dxa"/>
            <w:vAlign w:val="bottom"/>
            <w:vMerge w:val="continue"/>
            <w:shd w:val="clear" w:color="auto" w:fill="E7E7E8"/>
          </w:tcPr>
          <w:p>
            <w:pPr>
              <w:spacing w:after="0"/>
              <w:rPr>
                <w:sz w:val="5"/>
                <w:szCs w:val="5"/>
                <w:color w:val="auto"/>
              </w:rPr>
            </w:pPr>
          </w:p>
        </w:tc>
        <w:tc>
          <w:tcPr>
            <w:tcW w:w="12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126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260" w:type="dxa"/>
            <w:vAlign w:val="bottom"/>
            <w:shd w:val="clear" w:color="auto" w:fill="E7E7E8"/>
          </w:tcPr>
          <w:p>
            <w:pPr>
              <w:spacing w:after="0"/>
              <w:rPr>
                <w:sz w:val="5"/>
                <w:szCs w:val="5"/>
                <w:color w:val="auto"/>
              </w:rPr>
            </w:pPr>
          </w:p>
        </w:tc>
        <w:tc>
          <w:tcPr>
            <w:tcW w:w="86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76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580</w:t>
            </w:r>
          </w:p>
        </w:tc>
        <w:tc>
          <w:tcPr>
            <w:tcW w:w="120" w:type="dxa"/>
            <w:vAlign w:val="bottom"/>
            <w:shd w:val="clear" w:color="auto" w:fill="E7E7E8"/>
          </w:tcPr>
          <w:p>
            <w:pPr>
              <w:spacing w:after="0"/>
              <w:rPr>
                <w:sz w:val="8"/>
                <w:szCs w:val="8"/>
                <w:color w:val="auto"/>
              </w:rPr>
            </w:pPr>
          </w:p>
        </w:tc>
        <w:tc>
          <w:tcPr>
            <w:tcW w:w="1040" w:type="dxa"/>
            <w:vAlign w:val="bottom"/>
            <w:vMerge w:val="restart"/>
            <w:shd w:val="clear" w:color="auto" w:fill="E7E7E8"/>
          </w:tcPr>
          <w:p>
            <w:pPr>
              <w:jc w:val="right"/>
              <w:spacing w:after="0"/>
              <w:rPr>
                <w:sz w:val="20"/>
                <w:szCs w:val="20"/>
                <w:color w:val="auto"/>
              </w:rPr>
            </w:pPr>
            <w:r>
              <w:rPr>
                <w:rFonts w:ascii="Arial" w:cs="Arial" w:eastAsia="Arial" w:hAnsi="Arial"/>
                <w:sz w:val="11"/>
                <w:szCs w:val="11"/>
                <w:color w:val="auto"/>
              </w:rPr>
              <w:t>289</w:t>
            </w: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jc w:val="right"/>
              <w:ind w:right="24"/>
              <w:spacing w:after="0"/>
              <w:rPr>
                <w:sz w:val="20"/>
                <w:szCs w:val="20"/>
                <w:color w:val="auto"/>
              </w:rPr>
            </w:pPr>
            <w:r>
              <w:rPr>
                <w:rFonts w:ascii="Arial" w:cs="Arial" w:eastAsia="Arial" w:hAnsi="Arial"/>
                <w:sz w:val="7"/>
                <w:szCs w:val="7"/>
                <w:color w:val="auto"/>
                <w:w w:val="92"/>
              </w:rPr>
              <w:t>(3)</w:t>
            </w:r>
          </w:p>
        </w:tc>
        <w:tc>
          <w:tcPr>
            <w:tcW w:w="1280" w:type="dxa"/>
            <w:vAlign w:val="bottom"/>
            <w:vMerge w:val="restart"/>
            <w:shd w:val="clear" w:color="auto" w:fill="E7E7E8"/>
          </w:tcPr>
          <w:p>
            <w:pPr>
              <w:ind w:left="760"/>
              <w:spacing w:after="0"/>
              <w:rPr>
                <w:sz w:val="20"/>
                <w:szCs w:val="20"/>
                <w:color w:val="auto"/>
              </w:rPr>
            </w:pPr>
            <w:r>
              <w:rPr>
                <w:rFonts w:ascii="Arial" w:cs="Arial" w:eastAsia="Arial" w:hAnsi="Arial"/>
                <w:sz w:val="11"/>
                <w:szCs w:val="11"/>
                <w:color w:val="auto"/>
              </w:rPr>
              <w:t>—</w:t>
            </w:r>
          </w:p>
        </w:tc>
        <w:tc>
          <w:tcPr>
            <w:tcW w:w="1060" w:type="dxa"/>
            <w:vAlign w:val="bottom"/>
            <w:vMerge w:val="restart"/>
            <w:shd w:val="clear" w:color="auto" w:fill="E7E7E8"/>
          </w:tcPr>
          <w:p>
            <w:pPr>
              <w:jc w:val="right"/>
              <w:ind w:right="246"/>
              <w:spacing w:after="0"/>
              <w:rPr>
                <w:sz w:val="20"/>
                <w:szCs w:val="20"/>
                <w:color w:val="auto"/>
              </w:rPr>
            </w:pPr>
            <w:r>
              <w:rPr>
                <w:rFonts w:ascii="Arial" w:cs="Arial" w:eastAsia="Arial" w:hAnsi="Arial"/>
                <w:sz w:val="11"/>
                <w:szCs w:val="11"/>
                <w:color w:val="auto"/>
              </w:rPr>
              <w:t>126.22</w:t>
            </w:r>
          </w:p>
        </w:tc>
        <w:tc>
          <w:tcPr>
            <w:tcW w:w="960" w:type="dxa"/>
            <w:vAlign w:val="bottom"/>
            <w:vMerge w:val="restart"/>
            <w:shd w:val="clear" w:color="auto" w:fill="E7E7E8"/>
          </w:tcPr>
          <w:p>
            <w:pPr>
              <w:jc w:val="center"/>
              <w:ind w:left="126"/>
              <w:spacing w:after="0"/>
              <w:rPr>
                <w:sz w:val="20"/>
                <w:szCs w:val="20"/>
                <w:color w:val="auto"/>
              </w:rPr>
            </w:pPr>
            <w:r>
              <w:rPr>
                <w:rFonts w:ascii="Arial" w:cs="Arial" w:eastAsia="Arial" w:hAnsi="Arial"/>
                <w:sz w:val="11"/>
                <w:szCs w:val="11"/>
                <w:color w:val="auto"/>
                <w:w w:val="98"/>
              </w:rPr>
              <w:t>05/19/2032</w:t>
            </w:r>
          </w:p>
        </w:tc>
        <w:tc>
          <w:tcPr>
            <w:tcW w:w="120" w:type="dxa"/>
            <w:vAlign w:val="bottom"/>
            <w:tcBorders>
              <w:right w:val="single" w:sz="8" w:color="051972"/>
            </w:tcBorders>
            <w:shd w:val="clear" w:color="auto" w:fill="E7E7E8"/>
          </w:tcPr>
          <w:p>
            <w:pPr>
              <w:spacing w:after="0"/>
              <w:rPr>
                <w:sz w:val="8"/>
                <w:szCs w:val="8"/>
                <w:color w:val="auto"/>
              </w:rPr>
            </w:pPr>
          </w:p>
        </w:tc>
        <w:tc>
          <w:tcPr>
            <w:tcW w:w="900" w:type="dxa"/>
            <w:vAlign w:val="bottom"/>
            <w:gridSpan w:val="2"/>
            <w:vMerge w:val="restart"/>
            <w:shd w:val="clear" w:color="auto" w:fill="E7E7E8"/>
          </w:tcPr>
          <w:p>
            <w:pPr>
              <w:jc w:val="right"/>
              <w:ind w:right="26"/>
              <w:spacing w:after="0"/>
              <w:rPr>
                <w:sz w:val="20"/>
                <w:szCs w:val="20"/>
                <w:color w:val="auto"/>
              </w:rPr>
            </w:pPr>
            <w:r>
              <w:rPr>
                <w:rFonts w:ascii="Arial" w:cs="Arial" w:eastAsia="Arial" w:hAnsi="Arial"/>
                <w:sz w:val="11"/>
                <w:szCs w:val="11"/>
                <w:color w:val="auto"/>
              </w:rPr>
              <w:t>334</w:t>
            </w:r>
          </w:p>
        </w:tc>
        <w:tc>
          <w:tcPr>
            <w:tcW w:w="360" w:type="dxa"/>
            <w:vAlign w:val="bottom"/>
            <w:shd w:val="clear" w:color="auto" w:fill="E7E7E8"/>
          </w:tcPr>
          <w:p>
            <w:pPr>
              <w:ind w:left="40"/>
              <w:spacing w:after="0"/>
              <w:rPr>
                <w:sz w:val="20"/>
                <w:szCs w:val="20"/>
                <w:color w:val="auto"/>
              </w:rPr>
            </w:pPr>
            <w:r>
              <w:rPr>
                <w:rFonts w:ascii="Arial" w:cs="Arial" w:eastAsia="Arial" w:hAnsi="Arial"/>
                <w:sz w:val="7"/>
                <w:szCs w:val="7"/>
                <w:color w:val="auto"/>
              </w:rPr>
              <w:t>(5)</w:t>
            </w:r>
          </w:p>
        </w:tc>
        <w:tc>
          <w:tcPr>
            <w:tcW w:w="1260" w:type="dxa"/>
            <w:vAlign w:val="bottom"/>
            <w:vMerge w:val="restart"/>
            <w:shd w:val="clear" w:color="auto" w:fill="E7E7E8"/>
          </w:tcPr>
          <w:p>
            <w:pPr>
              <w:jc w:val="right"/>
              <w:ind w:right="487"/>
              <w:spacing w:after="0"/>
              <w:rPr>
                <w:sz w:val="20"/>
                <w:szCs w:val="20"/>
                <w:color w:val="auto"/>
              </w:rPr>
            </w:pPr>
            <w:r>
              <w:rPr>
                <w:rFonts w:ascii="Arial" w:cs="Arial" w:eastAsia="Arial" w:hAnsi="Arial"/>
                <w:sz w:val="11"/>
                <w:szCs w:val="11"/>
                <w:color w:val="auto"/>
              </w:rPr>
              <w:t>74,125</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shd w:val="clear" w:color="auto" w:fill="E7E7E8"/>
          </w:tcPr>
          <w:p>
            <w:pPr>
              <w:spacing w:after="0"/>
              <w:rPr>
                <w:sz w:val="8"/>
                <w:szCs w:val="8"/>
                <w:color w:val="auto"/>
              </w:rPr>
            </w:pPr>
          </w:p>
        </w:tc>
        <w:tc>
          <w:tcPr>
            <w:tcW w:w="860" w:type="dxa"/>
            <w:vAlign w:val="bottom"/>
            <w:vMerge w:val="restart"/>
            <w:shd w:val="clear" w:color="auto" w:fill="E7E7E8"/>
          </w:tcPr>
          <w:p>
            <w:pPr>
              <w:jc w:val="right"/>
              <w:ind w:right="6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6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040" w:type="dxa"/>
            <w:vAlign w:val="bottom"/>
            <w:vMerge w:val="continue"/>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1280" w:type="dxa"/>
            <w:vAlign w:val="bottom"/>
            <w:vMerge w:val="continue"/>
            <w:shd w:val="clear" w:color="auto" w:fill="E7E7E8"/>
          </w:tcPr>
          <w:p>
            <w:pPr>
              <w:spacing w:after="0"/>
              <w:rPr>
                <w:sz w:val="5"/>
                <w:szCs w:val="5"/>
                <w:color w:val="auto"/>
              </w:rPr>
            </w:pPr>
          </w:p>
        </w:tc>
        <w:tc>
          <w:tcPr>
            <w:tcW w:w="1060" w:type="dxa"/>
            <w:vAlign w:val="bottom"/>
            <w:vMerge w:val="continue"/>
            <w:shd w:val="clear" w:color="auto" w:fill="E7E7E8"/>
          </w:tcPr>
          <w:p>
            <w:pPr>
              <w:spacing w:after="0"/>
              <w:rPr>
                <w:sz w:val="5"/>
                <w:szCs w:val="5"/>
                <w:color w:val="auto"/>
              </w:rPr>
            </w:pPr>
          </w:p>
        </w:tc>
        <w:tc>
          <w:tcPr>
            <w:tcW w:w="960" w:type="dxa"/>
            <w:vAlign w:val="bottom"/>
            <w:vMerge w:val="continue"/>
            <w:shd w:val="clear" w:color="auto" w:fill="E7E7E8"/>
          </w:tcPr>
          <w:p>
            <w:pPr>
              <w:spacing w:after="0"/>
              <w:rPr>
                <w:sz w:val="5"/>
                <w:szCs w:val="5"/>
                <w:color w:val="auto"/>
              </w:rPr>
            </w:pPr>
          </w:p>
        </w:tc>
        <w:tc>
          <w:tcPr>
            <w:tcW w:w="12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126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260" w:type="dxa"/>
            <w:vAlign w:val="bottom"/>
            <w:shd w:val="clear" w:color="auto" w:fill="E7E7E8"/>
          </w:tcPr>
          <w:p>
            <w:pPr>
              <w:spacing w:after="0"/>
              <w:rPr>
                <w:sz w:val="5"/>
                <w:szCs w:val="5"/>
                <w:color w:val="auto"/>
              </w:rPr>
            </w:pPr>
          </w:p>
        </w:tc>
        <w:tc>
          <w:tcPr>
            <w:tcW w:w="86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76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128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960" w:type="dxa"/>
            <w:vAlign w:val="bottom"/>
            <w:shd w:val="clear" w:color="auto" w:fill="E7E7E8"/>
          </w:tcPr>
          <w:p>
            <w:pPr>
              <w:spacing w:after="0"/>
              <w:rPr>
                <w:sz w:val="8"/>
                <w:szCs w:val="8"/>
                <w:color w:val="auto"/>
              </w:rPr>
            </w:pPr>
          </w:p>
        </w:tc>
        <w:tc>
          <w:tcPr>
            <w:tcW w:w="12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360" w:type="dxa"/>
            <w:vAlign w:val="bottom"/>
            <w:shd w:val="clear" w:color="auto" w:fill="E7E7E8"/>
          </w:tcPr>
          <w:p>
            <w:pPr>
              <w:spacing w:after="0"/>
              <w:rPr>
                <w:sz w:val="8"/>
                <w:szCs w:val="8"/>
                <w:color w:val="auto"/>
              </w:rPr>
            </w:pPr>
          </w:p>
        </w:tc>
        <w:tc>
          <w:tcPr>
            <w:tcW w:w="1260" w:type="dxa"/>
            <w:vAlign w:val="bottom"/>
            <w:vMerge w:val="restart"/>
            <w:shd w:val="clear" w:color="auto" w:fill="E7E7E8"/>
          </w:tcPr>
          <w:p>
            <w:pPr>
              <w:jc w:val="right"/>
              <w:ind w:right="487"/>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405</w:t>
            </w:r>
          </w:p>
        </w:tc>
        <w:tc>
          <w:tcPr>
            <w:tcW w:w="260" w:type="dxa"/>
            <w:vAlign w:val="bottom"/>
            <w:shd w:val="clear" w:color="auto" w:fill="E7E7E8"/>
          </w:tcPr>
          <w:p>
            <w:pPr>
              <w:jc w:val="right"/>
              <w:ind w:right="104"/>
              <w:spacing w:after="0"/>
              <w:rPr>
                <w:sz w:val="20"/>
                <w:szCs w:val="20"/>
                <w:color w:val="auto"/>
              </w:rPr>
            </w:pPr>
            <w:r>
              <w:rPr>
                <w:rFonts w:ascii="Arial" w:cs="Arial" w:eastAsia="Arial" w:hAnsi="Arial"/>
                <w:sz w:val="7"/>
                <w:szCs w:val="7"/>
                <w:color w:val="auto"/>
              </w:rPr>
              <w:t>(6)</w:t>
            </w:r>
          </w:p>
        </w:tc>
        <w:tc>
          <w:tcPr>
            <w:tcW w:w="860" w:type="dxa"/>
            <w:vAlign w:val="bottom"/>
            <w:vMerge w:val="restart"/>
            <w:shd w:val="clear" w:color="auto" w:fill="E7E7E8"/>
          </w:tcPr>
          <w:p>
            <w:pPr>
              <w:jc w:val="right"/>
              <w:ind w:right="67"/>
              <w:spacing w:after="0"/>
              <w:rPr>
                <w:sz w:val="20"/>
                <w:szCs w:val="20"/>
                <w:color w:val="auto"/>
              </w:rPr>
            </w:pPr>
            <w:r>
              <w:rPr>
                <w:rFonts w:ascii="Arial" w:cs="Arial" w:eastAsia="Arial" w:hAnsi="Arial"/>
                <w:sz w:val="11"/>
                <w:szCs w:val="11"/>
                <w:color w:val="auto"/>
              </w:rPr>
              <w:t>89,882</w:t>
            </w:r>
          </w:p>
        </w:tc>
        <w:tc>
          <w:tcPr>
            <w:tcW w:w="0" w:type="dxa"/>
            <w:vAlign w:val="bottom"/>
          </w:tcPr>
          <w:p>
            <w:pPr>
              <w:spacing w:after="0"/>
              <w:rPr>
                <w:sz w:val="1"/>
                <w:szCs w:val="1"/>
                <w:color w:val="auto"/>
              </w:rPr>
            </w:pPr>
          </w:p>
        </w:tc>
      </w:tr>
      <w:tr>
        <w:trPr>
          <w:trHeight w:val="66"/>
        </w:trPr>
        <w:tc>
          <w:tcPr>
            <w:tcW w:w="12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6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0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1280" w:type="dxa"/>
            <w:vAlign w:val="bottom"/>
            <w:shd w:val="clear" w:color="auto" w:fill="E7E7E8"/>
          </w:tcPr>
          <w:p>
            <w:pPr>
              <w:spacing w:after="0"/>
              <w:rPr>
                <w:sz w:val="5"/>
                <w:szCs w:val="5"/>
                <w:color w:val="auto"/>
              </w:rPr>
            </w:pPr>
          </w:p>
        </w:tc>
        <w:tc>
          <w:tcPr>
            <w:tcW w:w="1060" w:type="dxa"/>
            <w:vAlign w:val="bottom"/>
            <w:shd w:val="clear" w:color="auto" w:fill="E7E7E8"/>
          </w:tcPr>
          <w:p>
            <w:pPr>
              <w:spacing w:after="0"/>
              <w:rPr>
                <w:sz w:val="5"/>
                <w:szCs w:val="5"/>
                <w:color w:val="auto"/>
              </w:rPr>
            </w:pPr>
          </w:p>
        </w:tc>
        <w:tc>
          <w:tcPr>
            <w:tcW w:w="960" w:type="dxa"/>
            <w:vAlign w:val="bottom"/>
            <w:shd w:val="clear" w:color="auto" w:fill="E7E7E8"/>
          </w:tcPr>
          <w:p>
            <w:pPr>
              <w:spacing w:after="0"/>
              <w:rPr>
                <w:sz w:val="5"/>
                <w:szCs w:val="5"/>
                <w:color w:val="auto"/>
              </w:rPr>
            </w:pPr>
          </w:p>
        </w:tc>
        <w:tc>
          <w:tcPr>
            <w:tcW w:w="12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126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260" w:type="dxa"/>
            <w:vAlign w:val="bottom"/>
            <w:shd w:val="clear" w:color="auto" w:fill="E7E7E8"/>
          </w:tcPr>
          <w:p>
            <w:pPr>
              <w:spacing w:after="0"/>
              <w:rPr>
                <w:sz w:val="5"/>
                <w:szCs w:val="5"/>
                <w:color w:val="auto"/>
              </w:rPr>
            </w:pPr>
          </w:p>
        </w:tc>
        <w:tc>
          <w:tcPr>
            <w:tcW w:w="86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76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128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960" w:type="dxa"/>
            <w:vAlign w:val="bottom"/>
            <w:shd w:val="clear" w:color="auto" w:fill="E7E7E8"/>
          </w:tcPr>
          <w:p>
            <w:pPr>
              <w:spacing w:after="0"/>
              <w:rPr>
                <w:sz w:val="8"/>
                <w:szCs w:val="8"/>
                <w:color w:val="auto"/>
              </w:rPr>
            </w:pPr>
          </w:p>
        </w:tc>
        <w:tc>
          <w:tcPr>
            <w:tcW w:w="12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360" w:type="dxa"/>
            <w:vAlign w:val="bottom"/>
            <w:shd w:val="clear" w:color="auto" w:fill="E7E7E8"/>
          </w:tcPr>
          <w:p>
            <w:pPr>
              <w:spacing w:after="0"/>
              <w:rPr>
                <w:sz w:val="8"/>
                <w:szCs w:val="8"/>
                <w:color w:val="auto"/>
              </w:rPr>
            </w:pPr>
          </w:p>
        </w:tc>
        <w:tc>
          <w:tcPr>
            <w:tcW w:w="1260" w:type="dxa"/>
            <w:vAlign w:val="bottom"/>
            <w:vMerge w:val="restart"/>
            <w:shd w:val="clear" w:color="auto" w:fill="E7E7E8"/>
          </w:tcPr>
          <w:p>
            <w:pPr>
              <w:jc w:val="right"/>
              <w:ind w:right="487"/>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810</w:t>
            </w:r>
          </w:p>
        </w:tc>
        <w:tc>
          <w:tcPr>
            <w:tcW w:w="260" w:type="dxa"/>
            <w:vAlign w:val="bottom"/>
            <w:shd w:val="clear" w:color="auto" w:fill="E7E7E8"/>
          </w:tcPr>
          <w:p>
            <w:pPr>
              <w:jc w:val="right"/>
              <w:ind w:right="104"/>
              <w:spacing w:after="0"/>
              <w:rPr>
                <w:sz w:val="20"/>
                <w:szCs w:val="20"/>
                <w:color w:val="auto"/>
              </w:rPr>
            </w:pPr>
            <w:r>
              <w:rPr>
                <w:rFonts w:ascii="Arial" w:cs="Arial" w:eastAsia="Arial" w:hAnsi="Arial"/>
                <w:sz w:val="7"/>
                <w:szCs w:val="7"/>
                <w:color w:val="auto"/>
              </w:rPr>
              <w:t>(7)</w:t>
            </w:r>
          </w:p>
        </w:tc>
        <w:tc>
          <w:tcPr>
            <w:tcW w:w="860" w:type="dxa"/>
            <w:vAlign w:val="bottom"/>
            <w:vMerge w:val="restart"/>
            <w:shd w:val="clear" w:color="auto" w:fill="E7E7E8"/>
          </w:tcPr>
          <w:p>
            <w:pPr>
              <w:jc w:val="right"/>
              <w:ind w:right="67"/>
              <w:spacing w:after="0"/>
              <w:rPr>
                <w:sz w:val="20"/>
                <w:szCs w:val="20"/>
                <w:color w:val="auto"/>
              </w:rPr>
            </w:pPr>
            <w:r>
              <w:rPr>
                <w:rFonts w:ascii="Arial" w:cs="Arial" w:eastAsia="Arial" w:hAnsi="Arial"/>
                <w:sz w:val="11"/>
                <w:szCs w:val="11"/>
                <w:color w:val="auto"/>
              </w:rPr>
              <w:t>179,763</w:t>
            </w:r>
          </w:p>
        </w:tc>
        <w:tc>
          <w:tcPr>
            <w:tcW w:w="0" w:type="dxa"/>
            <w:vAlign w:val="bottom"/>
          </w:tcPr>
          <w:p>
            <w:pPr>
              <w:spacing w:after="0"/>
              <w:rPr>
                <w:sz w:val="1"/>
                <w:szCs w:val="1"/>
                <w:color w:val="auto"/>
              </w:rPr>
            </w:pPr>
          </w:p>
        </w:tc>
      </w:tr>
      <w:tr>
        <w:trPr>
          <w:trHeight w:val="66"/>
        </w:trPr>
        <w:tc>
          <w:tcPr>
            <w:tcW w:w="12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6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0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1280" w:type="dxa"/>
            <w:vAlign w:val="bottom"/>
            <w:shd w:val="clear" w:color="auto" w:fill="E7E7E8"/>
          </w:tcPr>
          <w:p>
            <w:pPr>
              <w:spacing w:after="0"/>
              <w:rPr>
                <w:sz w:val="5"/>
                <w:szCs w:val="5"/>
                <w:color w:val="auto"/>
              </w:rPr>
            </w:pPr>
          </w:p>
        </w:tc>
        <w:tc>
          <w:tcPr>
            <w:tcW w:w="1060" w:type="dxa"/>
            <w:vAlign w:val="bottom"/>
            <w:shd w:val="clear" w:color="auto" w:fill="E7E7E8"/>
          </w:tcPr>
          <w:p>
            <w:pPr>
              <w:spacing w:after="0"/>
              <w:rPr>
                <w:sz w:val="5"/>
                <w:szCs w:val="5"/>
                <w:color w:val="auto"/>
              </w:rPr>
            </w:pPr>
          </w:p>
        </w:tc>
        <w:tc>
          <w:tcPr>
            <w:tcW w:w="960" w:type="dxa"/>
            <w:vAlign w:val="bottom"/>
            <w:shd w:val="clear" w:color="auto" w:fill="E7E7E8"/>
          </w:tcPr>
          <w:p>
            <w:pPr>
              <w:spacing w:after="0"/>
              <w:rPr>
                <w:sz w:val="5"/>
                <w:szCs w:val="5"/>
                <w:color w:val="auto"/>
              </w:rPr>
            </w:pPr>
          </w:p>
        </w:tc>
        <w:tc>
          <w:tcPr>
            <w:tcW w:w="12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126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260" w:type="dxa"/>
            <w:vAlign w:val="bottom"/>
            <w:shd w:val="clear" w:color="auto" w:fill="E7E7E8"/>
          </w:tcPr>
          <w:p>
            <w:pPr>
              <w:spacing w:after="0"/>
              <w:rPr>
                <w:sz w:val="5"/>
                <w:szCs w:val="5"/>
                <w:color w:val="auto"/>
              </w:rPr>
            </w:pPr>
          </w:p>
        </w:tc>
        <w:tc>
          <w:tcPr>
            <w:tcW w:w="86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76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128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960" w:type="dxa"/>
            <w:vAlign w:val="bottom"/>
            <w:shd w:val="clear" w:color="auto" w:fill="E7E7E8"/>
          </w:tcPr>
          <w:p>
            <w:pPr>
              <w:spacing w:after="0"/>
              <w:rPr>
                <w:sz w:val="8"/>
                <w:szCs w:val="8"/>
                <w:color w:val="auto"/>
              </w:rPr>
            </w:pPr>
          </w:p>
        </w:tc>
        <w:tc>
          <w:tcPr>
            <w:tcW w:w="120" w:type="dxa"/>
            <w:vAlign w:val="bottom"/>
            <w:tcBorders>
              <w:right w:val="single" w:sz="8" w:color="051972"/>
            </w:tcBorders>
            <w:shd w:val="clear" w:color="auto" w:fill="E7E7E8"/>
          </w:tcPr>
          <w:p>
            <w:pPr>
              <w:spacing w:after="0"/>
              <w:rPr>
                <w:sz w:val="8"/>
                <w:szCs w:val="8"/>
                <w:color w:val="auto"/>
              </w:rPr>
            </w:pPr>
          </w:p>
        </w:tc>
        <w:tc>
          <w:tcPr>
            <w:tcW w:w="900" w:type="dxa"/>
            <w:vAlign w:val="bottom"/>
            <w:gridSpan w:val="2"/>
            <w:vMerge w:val="restart"/>
            <w:shd w:val="clear" w:color="auto" w:fill="E7E7E8"/>
          </w:tcPr>
          <w:p>
            <w:pPr>
              <w:jc w:val="right"/>
              <w:ind w:right="26"/>
              <w:spacing w:after="0"/>
              <w:rPr>
                <w:sz w:val="20"/>
                <w:szCs w:val="20"/>
                <w:color w:val="auto"/>
              </w:rPr>
            </w:pPr>
            <w:r>
              <w:rPr>
                <w:rFonts w:ascii="Arial" w:cs="Arial" w:eastAsia="Arial" w:hAnsi="Arial"/>
                <w:sz w:val="11"/>
                <w:szCs w:val="11"/>
                <w:color w:val="auto"/>
              </w:rPr>
              <w:t>450</w:t>
            </w:r>
          </w:p>
        </w:tc>
        <w:tc>
          <w:tcPr>
            <w:tcW w:w="360" w:type="dxa"/>
            <w:vAlign w:val="bottom"/>
            <w:shd w:val="clear" w:color="auto" w:fill="E7E7E8"/>
          </w:tcPr>
          <w:p>
            <w:pPr>
              <w:ind w:left="40"/>
              <w:spacing w:after="0"/>
              <w:rPr>
                <w:sz w:val="20"/>
                <w:szCs w:val="20"/>
                <w:color w:val="auto"/>
              </w:rPr>
            </w:pPr>
            <w:r>
              <w:rPr>
                <w:rFonts w:ascii="Arial" w:cs="Arial" w:eastAsia="Arial" w:hAnsi="Arial"/>
                <w:sz w:val="7"/>
                <w:szCs w:val="7"/>
                <w:color w:val="auto"/>
              </w:rPr>
              <w:t>(8)</w:t>
            </w:r>
          </w:p>
        </w:tc>
        <w:tc>
          <w:tcPr>
            <w:tcW w:w="1260" w:type="dxa"/>
            <w:vAlign w:val="bottom"/>
            <w:vMerge w:val="restart"/>
            <w:shd w:val="clear" w:color="auto" w:fill="E7E7E8"/>
          </w:tcPr>
          <w:p>
            <w:pPr>
              <w:jc w:val="right"/>
              <w:ind w:right="487"/>
              <w:spacing w:after="0"/>
              <w:rPr>
                <w:sz w:val="20"/>
                <w:szCs w:val="20"/>
                <w:color w:val="auto"/>
              </w:rPr>
            </w:pPr>
            <w:r>
              <w:rPr>
                <w:rFonts w:ascii="Arial" w:cs="Arial" w:eastAsia="Arial" w:hAnsi="Arial"/>
                <w:sz w:val="11"/>
                <w:szCs w:val="11"/>
                <w:color w:val="auto"/>
              </w:rPr>
              <w:t>99,869</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shd w:val="clear" w:color="auto" w:fill="E7E7E8"/>
          </w:tcPr>
          <w:p>
            <w:pPr>
              <w:spacing w:after="0"/>
              <w:rPr>
                <w:sz w:val="8"/>
                <w:szCs w:val="8"/>
                <w:color w:val="auto"/>
              </w:rPr>
            </w:pPr>
          </w:p>
        </w:tc>
        <w:tc>
          <w:tcPr>
            <w:tcW w:w="860" w:type="dxa"/>
            <w:vAlign w:val="bottom"/>
            <w:vMerge w:val="restart"/>
            <w:shd w:val="clear" w:color="auto" w:fill="E7E7E8"/>
          </w:tcPr>
          <w:p>
            <w:pPr>
              <w:jc w:val="right"/>
              <w:ind w:right="6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6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0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1280" w:type="dxa"/>
            <w:vAlign w:val="bottom"/>
            <w:shd w:val="clear" w:color="auto" w:fill="E7E7E8"/>
          </w:tcPr>
          <w:p>
            <w:pPr>
              <w:spacing w:after="0"/>
              <w:rPr>
                <w:sz w:val="5"/>
                <w:szCs w:val="5"/>
                <w:color w:val="auto"/>
              </w:rPr>
            </w:pPr>
          </w:p>
        </w:tc>
        <w:tc>
          <w:tcPr>
            <w:tcW w:w="1060" w:type="dxa"/>
            <w:vAlign w:val="bottom"/>
            <w:shd w:val="clear" w:color="auto" w:fill="E7E7E8"/>
          </w:tcPr>
          <w:p>
            <w:pPr>
              <w:spacing w:after="0"/>
              <w:rPr>
                <w:sz w:val="5"/>
                <w:szCs w:val="5"/>
                <w:color w:val="auto"/>
              </w:rPr>
            </w:pPr>
          </w:p>
        </w:tc>
        <w:tc>
          <w:tcPr>
            <w:tcW w:w="960" w:type="dxa"/>
            <w:vAlign w:val="bottom"/>
            <w:shd w:val="clear" w:color="auto" w:fill="E7E7E8"/>
          </w:tcPr>
          <w:p>
            <w:pPr>
              <w:spacing w:after="0"/>
              <w:rPr>
                <w:sz w:val="5"/>
                <w:szCs w:val="5"/>
                <w:color w:val="auto"/>
              </w:rPr>
            </w:pPr>
          </w:p>
        </w:tc>
        <w:tc>
          <w:tcPr>
            <w:tcW w:w="12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126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260" w:type="dxa"/>
            <w:vAlign w:val="bottom"/>
            <w:shd w:val="clear" w:color="auto" w:fill="E7E7E8"/>
          </w:tcPr>
          <w:p>
            <w:pPr>
              <w:spacing w:after="0"/>
              <w:rPr>
                <w:sz w:val="5"/>
                <w:szCs w:val="5"/>
                <w:color w:val="auto"/>
              </w:rPr>
            </w:pPr>
          </w:p>
        </w:tc>
        <w:tc>
          <w:tcPr>
            <w:tcW w:w="86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76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128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960" w:type="dxa"/>
            <w:vAlign w:val="bottom"/>
            <w:shd w:val="clear" w:color="auto" w:fill="E7E7E8"/>
          </w:tcPr>
          <w:p>
            <w:pPr>
              <w:spacing w:after="0"/>
              <w:rPr>
                <w:sz w:val="8"/>
                <w:szCs w:val="8"/>
                <w:color w:val="auto"/>
              </w:rPr>
            </w:pPr>
          </w:p>
        </w:tc>
        <w:tc>
          <w:tcPr>
            <w:tcW w:w="120" w:type="dxa"/>
            <w:vAlign w:val="bottom"/>
            <w:tcBorders>
              <w:right w:val="single" w:sz="8" w:color="051972"/>
            </w:tcBorders>
            <w:shd w:val="clear" w:color="auto" w:fill="E7E7E8"/>
          </w:tcPr>
          <w:p>
            <w:pPr>
              <w:spacing w:after="0"/>
              <w:rPr>
                <w:sz w:val="8"/>
                <w:szCs w:val="8"/>
                <w:color w:val="auto"/>
              </w:rPr>
            </w:pPr>
          </w:p>
        </w:tc>
        <w:tc>
          <w:tcPr>
            <w:tcW w:w="10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360" w:type="dxa"/>
            <w:vAlign w:val="bottom"/>
            <w:shd w:val="clear" w:color="auto" w:fill="E7E7E8"/>
          </w:tcPr>
          <w:p>
            <w:pPr>
              <w:spacing w:after="0"/>
              <w:rPr>
                <w:sz w:val="8"/>
                <w:szCs w:val="8"/>
                <w:color w:val="auto"/>
              </w:rPr>
            </w:pPr>
          </w:p>
        </w:tc>
        <w:tc>
          <w:tcPr>
            <w:tcW w:w="1260" w:type="dxa"/>
            <w:vAlign w:val="bottom"/>
            <w:vMerge w:val="restart"/>
            <w:shd w:val="clear" w:color="auto" w:fill="E7E7E8"/>
          </w:tcPr>
          <w:p>
            <w:pPr>
              <w:jc w:val="right"/>
              <w:ind w:right="487"/>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1,890</w:t>
            </w:r>
          </w:p>
        </w:tc>
        <w:tc>
          <w:tcPr>
            <w:tcW w:w="260" w:type="dxa"/>
            <w:vAlign w:val="bottom"/>
            <w:shd w:val="clear" w:color="auto" w:fill="E7E7E8"/>
          </w:tcPr>
          <w:p>
            <w:pPr>
              <w:jc w:val="right"/>
              <w:ind w:right="104"/>
              <w:spacing w:after="0"/>
              <w:rPr>
                <w:sz w:val="20"/>
                <w:szCs w:val="20"/>
                <w:color w:val="auto"/>
              </w:rPr>
            </w:pPr>
            <w:r>
              <w:rPr>
                <w:rFonts w:ascii="Arial" w:cs="Arial" w:eastAsia="Arial" w:hAnsi="Arial"/>
                <w:sz w:val="7"/>
                <w:szCs w:val="7"/>
                <w:color w:val="auto"/>
              </w:rPr>
              <w:t>(9)</w:t>
            </w:r>
          </w:p>
        </w:tc>
        <w:tc>
          <w:tcPr>
            <w:tcW w:w="860" w:type="dxa"/>
            <w:vAlign w:val="bottom"/>
            <w:vMerge w:val="restart"/>
            <w:shd w:val="clear" w:color="auto" w:fill="E7E7E8"/>
          </w:tcPr>
          <w:p>
            <w:pPr>
              <w:jc w:val="right"/>
              <w:ind w:right="67"/>
              <w:spacing w:after="0"/>
              <w:rPr>
                <w:sz w:val="20"/>
                <w:szCs w:val="20"/>
                <w:color w:val="auto"/>
              </w:rPr>
            </w:pPr>
            <w:r>
              <w:rPr>
                <w:rFonts w:ascii="Arial" w:cs="Arial" w:eastAsia="Arial" w:hAnsi="Arial"/>
                <w:sz w:val="11"/>
                <w:szCs w:val="11"/>
                <w:color w:val="auto"/>
              </w:rPr>
              <w:t>419,448</w:t>
            </w:r>
          </w:p>
        </w:tc>
        <w:tc>
          <w:tcPr>
            <w:tcW w:w="0" w:type="dxa"/>
            <w:vAlign w:val="bottom"/>
          </w:tcPr>
          <w:p>
            <w:pPr>
              <w:spacing w:after="0"/>
              <w:rPr>
                <w:sz w:val="1"/>
                <w:szCs w:val="1"/>
                <w:color w:val="auto"/>
              </w:rPr>
            </w:pPr>
          </w:p>
        </w:tc>
      </w:tr>
      <w:tr>
        <w:trPr>
          <w:trHeight w:val="66"/>
        </w:trPr>
        <w:tc>
          <w:tcPr>
            <w:tcW w:w="12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6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0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1280" w:type="dxa"/>
            <w:vAlign w:val="bottom"/>
            <w:shd w:val="clear" w:color="auto" w:fill="E7E7E8"/>
          </w:tcPr>
          <w:p>
            <w:pPr>
              <w:spacing w:after="0"/>
              <w:rPr>
                <w:sz w:val="5"/>
                <w:szCs w:val="5"/>
                <w:color w:val="auto"/>
              </w:rPr>
            </w:pPr>
          </w:p>
        </w:tc>
        <w:tc>
          <w:tcPr>
            <w:tcW w:w="1060" w:type="dxa"/>
            <w:vAlign w:val="bottom"/>
            <w:shd w:val="clear" w:color="auto" w:fill="E7E7E8"/>
          </w:tcPr>
          <w:p>
            <w:pPr>
              <w:spacing w:after="0"/>
              <w:rPr>
                <w:sz w:val="5"/>
                <w:szCs w:val="5"/>
                <w:color w:val="auto"/>
              </w:rPr>
            </w:pPr>
          </w:p>
        </w:tc>
        <w:tc>
          <w:tcPr>
            <w:tcW w:w="960" w:type="dxa"/>
            <w:vAlign w:val="bottom"/>
            <w:shd w:val="clear" w:color="auto" w:fill="E7E7E8"/>
          </w:tcPr>
          <w:p>
            <w:pPr>
              <w:spacing w:after="0"/>
              <w:rPr>
                <w:sz w:val="5"/>
                <w:szCs w:val="5"/>
                <w:color w:val="auto"/>
              </w:rPr>
            </w:pPr>
          </w:p>
        </w:tc>
        <w:tc>
          <w:tcPr>
            <w:tcW w:w="120" w:type="dxa"/>
            <w:vAlign w:val="bottom"/>
            <w:tcBorders>
              <w:right w:val="single" w:sz="8" w:color="051972"/>
            </w:tcBorders>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126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260" w:type="dxa"/>
            <w:vAlign w:val="bottom"/>
            <w:shd w:val="clear" w:color="auto" w:fill="E7E7E8"/>
          </w:tcPr>
          <w:p>
            <w:pPr>
              <w:spacing w:after="0"/>
              <w:rPr>
                <w:sz w:val="5"/>
                <w:szCs w:val="5"/>
                <w:color w:val="auto"/>
              </w:rPr>
            </w:pPr>
          </w:p>
        </w:tc>
        <w:tc>
          <w:tcPr>
            <w:tcW w:w="86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122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76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040" w:type="dxa"/>
            <w:vAlign w:val="bottom"/>
            <w:shd w:val="clear" w:color="auto" w:fill="E7E7E8"/>
          </w:tcPr>
          <w:p>
            <w:pPr>
              <w:spacing w:after="0"/>
              <w:rPr>
                <w:sz w:val="8"/>
                <w:szCs w:val="8"/>
                <w:color w:val="auto"/>
              </w:rPr>
            </w:pPr>
          </w:p>
        </w:tc>
        <w:tc>
          <w:tcPr>
            <w:tcW w:w="12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1280" w:type="dxa"/>
            <w:vAlign w:val="bottom"/>
            <w:shd w:val="clear" w:color="auto" w:fill="E7E7E8"/>
          </w:tcPr>
          <w:p>
            <w:pPr>
              <w:spacing w:after="0"/>
              <w:rPr>
                <w:sz w:val="8"/>
                <w:szCs w:val="8"/>
                <w:color w:val="auto"/>
              </w:rPr>
            </w:pPr>
          </w:p>
        </w:tc>
        <w:tc>
          <w:tcPr>
            <w:tcW w:w="1060" w:type="dxa"/>
            <w:vAlign w:val="bottom"/>
            <w:shd w:val="clear" w:color="auto" w:fill="E7E7E8"/>
          </w:tcPr>
          <w:p>
            <w:pPr>
              <w:spacing w:after="0"/>
              <w:rPr>
                <w:sz w:val="8"/>
                <w:szCs w:val="8"/>
                <w:color w:val="auto"/>
              </w:rPr>
            </w:pPr>
          </w:p>
        </w:tc>
        <w:tc>
          <w:tcPr>
            <w:tcW w:w="960" w:type="dxa"/>
            <w:vAlign w:val="bottom"/>
            <w:shd w:val="clear" w:color="auto" w:fill="E7E7E8"/>
          </w:tcPr>
          <w:p>
            <w:pPr>
              <w:spacing w:after="0"/>
              <w:rPr>
                <w:sz w:val="8"/>
                <w:szCs w:val="8"/>
                <w:color w:val="auto"/>
              </w:rPr>
            </w:pPr>
          </w:p>
        </w:tc>
        <w:tc>
          <w:tcPr>
            <w:tcW w:w="120" w:type="dxa"/>
            <w:vAlign w:val="bottom"/>
            <w:tcBorders>
              <w:right w:val="single" w:sz="8" w:color="051972"/>
            </w:tcBorders>
            <w:shd w:val="clear" w:color="auto" w:fill="E7E7E8"/>
          </w:tcPr>
          <w:p>
            <w:pPr>
              <w:spacing w:after="0"/>
              <w:rPr>
                <w:sz w:val="8"/>
                <w:szCs w:val="8"/>
                <w:color w:val="auto"/>
              </w:rPr>
            </w:pPr>
          </w:p>
        </w:tc>
        <w:tc>
          <w:tcPr>
            <w:tcW w:w="900" w:type="dxa"/>
            <w:vAlign w:val="bottom"/>
            <w:gridSpan w:val="2"/>
            <w:vMerge w:val="restart"/>
            <w:shd w:val="clear" w:color="auto" w:fill="E7E7E8"/>
          </w:tcPr>
          <w:p>
            <w:pPr>
              <w:jc w:val="right"/>
              <w:ind w:right="26"/>
              <w:spacing w:after="0"/>
              <w:rPr>
                <w:sz w:val="20"/>
                <w:szCs w:val="20"/>
                <w:color w:val="auto"/>
              </w:rPr>
            </w:pPr>
            <w:r>
              <w:rPr>
                <w:rFonts w:ascii="Arial" w:cs="Arial" w:eastAsia="Arial" w:hAnsi="Arial"/>
                <w:sz w:val="11"/>
                <w:szCs w:val="11"/>
                <w:color w:val="auto"/>
              </w:rPr>
              <w:t>945</w:t>
            </w:r>
          </w:p>
        </w:tc>
        <w:tc>
          <w:tcPr>
            <w:tcW w:w="360" w:type="dxa"/>
            <w:vAlign w:val="bottom"/>
            <w:shd w:val="clear" w:color="auto" w:fill="E7E7E8"/>
          </w:tcPr>
          <w:p>
            <w:pPr>
              <w:ind w:left="40"/>
              <w:spacing w:after="0"/>
              <w:rPr>
                <w:sz w:val="20"/>
                <w:szCs w:val="20"/>
                <w:color w:val="auto"/>
              </w:rPr>
            </w:pPr>
            <w:r>
              <w:rPr>
                <w:rFonts w:ascii="Arial" w:cs="Arial" w:eastAsia="Arial" w:hAnsi="Arial"/>
                <w:sz w:val="7"/>
                <w:szCs w:val="7"/>
                <w:color w:val="auto"/>
              </w:rPr>
              <w:t>(10)</w:t>
            </w:r>
          </w:p>
        </w:tc>
        <w:tc>
          <w:tcPr>
            <w:tcW w:w="1260" w:type="dxa"/>
            <w:vAlign w:val="bottom"/>
            <w:vMerge w:val="restart"/>
            <w:shd w:val="clear" w:color="auto" w:fill="E7E7E8"/>
          </w:tcPr>
          <w:p>
            <w:pPr>
              <w:jc w:val="right"/>
              <w:ind w:right="487"/>
              <w:spacing w:after="0"/>
              <w:rPr>
                <w:sz w:val="20"/>
                <w:szCs w:val="20"/>
                <w:color w:val="auto"/>
              </w:rPr>
            </w:pPr>
            <w:r>
              <w:rPr>
                <w:rFonts w:ascii="Arial" w:cs="Arial" w:eastAsia="Arial" w:hAnsi="Arial"/>
                <w:sz w:val="11"/>
                <w:szCs w:val="11"/>
                <w:color w:val="auto"/>
              </w:rPr>
              <w:t>209,724</w:t>
            </w:r>
          </w:p>
        </w:tc>
        <w:tc>
          <w:tcPr>
            <w:tcW w:w="640" w:type="dxa"/>
            <w:vAlign w:val="bottom"/>
            <w:vMerge w:val="restart"/>
            <w:shd w:val="clear" w:color="auto" w:fill="E7E7E8"/>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shd w:val="clear" w:color="auto" w:fill="E7E7E8"/>
          </w:tcPr>
          <w:p>
            <w:pPr>
              <w:spacing w:after="0"/>
              <w:rPr>
                <w:sz w:val="8"/>
                <w:szCs w:val="8"/>
                <w:color w:val="auto"/>
              </w:rPr>
            </w:pPr>
          </w:p>
        </w:tc>
        <w:tc>
          <w:tcPr>
            <w:tcW w:w="860" w:type="dxa"/>
            <w:vAlign w:val="bottom"/>
            <w:vMerge w:val="restart"/>
            <w:shd w:val="clear" w:color="auto" w:fill="E7E7E8"/>
          </w:tcPr>
          <w:p>
            <w:pPr>
              <w:jc w:val="right"/>
              <w:ind w:right="6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2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76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040" w:type="dxa"/>
            <w:vAlign w:val="bottom"/>
            <w:shd w:val="clear" w:color="auto" w:fill="E7E7E8"/>
          </w:tcPr>
          <w:p>
            <w:pPr>
              <w:spacing w:after="0"/>
              <w:rPr>
                <w:sz w:val="5"/>
                <w:szCs w:val="5"/>
                <w:color w:val="auto"/>
              </w:rPr>
            </w:pPr>
          </w:p>
        </w:tc>
        <w:tc>
          <w:tcPr>
            <w:tcW w:w="12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1280" w:type="dxa"/>
            <w:vAlign w:val="bottom"/>
            <w:shd w:val="clear" w:color="auto" w:fill="E7E7E8"/>
          </w:tcPr>
          <w:p>
            <w:pPr>
              <w:spacing w:after="0"/>
              <w:rPr>
                <w:sz w:val="5"/>
                <w:szCs w:val="5"/>
                <w:color w:val="auto"/>
              </w:rPr>
            </w:pPr>
          </w:p>
        </w:tc>
        <w:tc>
          <w:tcPr>
            <w:tcW w:w="1060" w:type="dxa"/>
            <w:vAlign w:val="bottom"/>
            <w:shd w:val="clear" w:color="auto" w:fill="E7E7E8"/>
          </w:tcPr>
          <w:p>
            <w:pPr>
              <w:spacing w:after="0"/>
              <w:rPr>
                <w:sz w:val="5"/>
                <w:szCs w:val="5"/>
                <w:color w:val="auto"/>
              </w:rPr>
            </w:pPr>
          </w:p>
        </w:tc>
        <w:tc>
          <w:tcPr>
            <w:tcW w:w="960" w:type="dxa"/>
            <w:vAlign w:val="bottom"/>
            <w:shd w:val="clear" w:color="auto" w:fill="E7E7E8"/>
          </w:tcPr>
          <w:p>
            <w:pPr>
              <w:spacing w:after="0"/>
              <w:rPr>
                <w:sz w:val="5"/>
                <w:szCs w:val="5"/>
                <w:color w:val="auto"/>
              </w:rPr>
            </w:pPr>
          </w:p>
        </w:tc>
        <w:tc>
          <w:tcPr>
            <w:tcW w:w="120" w:type="dxa"/>
            <w:vAlign w:val="bottom"/>
            <w:tcBorders>
              <w:right w:val="single" w:sz="8" w:color="051972"/>
            </w:tcBorders>
            <w:shd w:val="clear" w:color="auto" w:fill="E7E7E8"/>
          </w:tcPr>
          <w:p>
            <w:pPr>
              <w:spacing w:after="0"/>
              <w:rPr>
                <w:sz w:val="5"/>
                <w:szCs w:val="5"/>
                <w:color w:val="auto"/>
              </w:rPr>
            </w:pPr>
          </w:p>
        </w:tc>
        <w:tc>
          <w:tcPr>
            <w:tcW w:w="900" w:type="dxa"/>
            <w:vAlign w:val="bottom"/>
            <w:gridSpan w:val="2"/>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1260" w:type="dxa"/>
            <w:vAlign w:val="bottom"/>
            <w:vMerge w:val="continue"/>
            <w:shd w:val="clear" w:color="auto" w:fill="E7E7E8"/>
          </w:tcPr>
          <w:p>
            <w:pPr>
              <w:spacing w:after="0"/>
              <w:rPr>
                <w:sz w:val="5"/>
                <w:szCs w:val="5"/>
                <w:color w:val="auto"/>
              </w:rPr>
            </w:pPr>
          </w:p>
        </w:tc>
        <w:tc>
          <w:tcPr>
            <w:tcW w:w="640" w:type="dxa"/>
            <w:vAlign w:val="bottom"/>
            <w:vMerge w:val="continue"/>
            <w:shd w:val="clear" w:color="auto" w:fill="E7E7E8"/>
          </w:tcPr>
          <w:p>
            <w:pPr>
              <w:spacing w:after="0"/>
              <w:rPr>
                <w:sz w:val="5"/>
                <w:szCs w:val="5"/>
                <w:color w:val="auto"/>
              </w:rPr>
            </w:pPr>
          </w:p>
        </w:tc>
        <w:tc>
          <w:tcPr>
            <w:tcW w:w="260" w:type="dxa"/>
            <w:vAlign w:val="bottom"/>
            <w:shd w:val="clear" w:color="auto" w:fill="E7E7E8"/>
          </w:tcPr>
          <w:p>
            <w:pPr>
              <w:spacing w:after="0"/>
              <w:rPr>
                <w:sz w:val="5"/>
                <w:szCs w:val="5"/>
                <w:color w:val="auto"/>
              </w:rPr>
            </w:pPr>
          </w:p>
        </w:tc>
        <w:tc>
          <w:tcPr>
            <w:tcW w:w="860" w:type="dxa"/>
            <w:vAlign w:val="bottom"/>
            <w:vMerge w:val="continue"/>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20" w:type="dxa"/>
            <w:vAlign w:val="bottom"/>
            <w:tcBorders>
              <w:bottom w:val="single" w:sz="8" w:color="051972"/>
            </w:tcBorders>
            <w:shd w:val="clear" w:color="auto" w:fill="E7E7E8"/>
          </w:tcPr>
          <w:p>
            <w:pPr>
              <w:spacing w:after="0"/>
              <w:rPr>
                <w:sz w:val="18"/>
                <w:szCs w:val="18"/>
                <w:color w:val="auto"/>
              </w:rPr>
            </w:pPr>
          </w:p>
        </w:tc>
        <w:tc>
          <w:tcPr>
            <w:tcW w:w="120" w:type="dxa"/>
            <w:vAlign w:val="bottom"/>
            <w:tcBorders>
              <w:bottom w:val="single" w:sz="8" w:color="051972"/>
            </w:tcBorders>
            <w:shd w:val="clear" w:color="auto" w:fill="E7E7E8"/>
          </w:tcPr>
          <w:p>
            <w:pPr>
              <w:spacing w:after="0"/>
              <w:rPr>
                <w:sz w:val="18"/>
                <w:szCs w:val="18"/>
                <w:color w:val="auto"/>
              </w:rPr>
            </w:pPr>
          </w:p>
        </w:tc>
        <w:tc>
          <w:tcPr>
            <w:tcW w:w="760" w:type="dxa"/>
            <w:vAlign w:val="bottom"/>
            <w:tcBorders>
              <w:bottom w:val="single" w:sz="8" w:color="051972"/>
            </w:tcBorders>
            <w:shd w:val="clear" w:color="auto" w:fill="E7E7E8"/>
          </w:tcPr>
          <w:p>
            <w:pPr>
              <w:spacing w:after="0"/>
              <w:rPr>
                <w:sz w:val="18"/>
                <w:szCs w:val="18"/>
                <w:color w:val="auto"/>
              </w:rPr>
            </w:pPr>
          </w:p>
        </w:tc>
        <w:tc>
          <w:tcPr>
            <w:tcW w:w="120" w:type="dxa"/>
            <w:vAlign w:val="bottom"/>
            <w:tcBorders>
              <w:bottom w:val="single" w:sz="8" w:color="051972"/>
            </w:tcBorders>
            <w:shd w:val="clear" w:color="auto" w:fill="E7E7E8"/>
          </w:tcPr>
          <w:p>
            <w:pPr>
              <w:spacing w:after="0"/>
              <w:rPr>
                <w:sz w:val="18"/>
                <w:szCs w:val="18"/>
                <w:color w:val="auto"/>
              </w:rPr>
            </w:pPr>
          </w:p>
        </w:tc>
        <w:tc>
          <w:tcPr>
            <w:tcW w:w="1040" w:type="dxa"/>
            <w:vAlign w:val="bottom"/>
            <w:tcBorders>
              <w:bottom w:val="single" w:sz="8" w:color="051972"/>
            </w:tcBorders>
            <w:shd w:val="clear" w:color="auto" w:fill="E7E7E8"/>
          </w:tcPr>
          <w:p>
            <w:pPr>
              <w:spacing w:after="0"/>
              <w:rPr>
                <w:sz w:val="18"/>
                <w:szCs w:val="18"/>
                <w:color w:val="auto"/>
              </w:rPr>
            </w:pPr>
          </w:p>
        </w:tc>
        <w:tc>
          <w:tcPr>
            <w:tcW w:w="120" w:type="dxa"/>
            <w:vAlign w:val="bottom"/>
            <w:tcBorders>
              <w:bottom w:val="single" w:sz="8" w:color="051972"/>
            </w:tcBorders>
            <w:shd w:val="clear" w:color="auto" w:fill="E7E7E8"/>
          </w:tcPr>
          <w:p>
            <w:pPr>
              <w:spacing w:after="0"/>
              <w:rPr>
                <w:sz w:val="18"/>
                <w:szCs w:val="18"/>
                <w:color w:val="auto"/>
              </w:rPr>
            </w:pPr>
          </w:p>
        </w:tc>
        <w:tc>
          <w:tcPr>
            <w:tcW w:w="160" w:type="dxa"/>
            <w:vAlign w:val="bottom"/>
            <w:tcBorders>
              <w:bottom w:val="single" w:sz="8" w:color="051972"/>
            </w:tcBorders>
            <w:shd w:val="clear" w:color="auto" w:fill="E7E7E8"/>
          </w:tcPr>
          <w:p>
            <w:pPr>
              <w:spacing w:after="0"/>
              <w:rPr>
                <w:sz w:val="18"/>
                <w:szCs w:val="18"/>
                <w:color w:val="auto"/>
              </w:rPr>
            </w:pPr>
          </w:p>
        </w:tc>
        <w:tc>
          <w:tcPr>
            <w:tcW w:w="1280" w:type="dxa"/>
            <w:vAlign w:val="bottom"/>
            <w:tcBorders>
              <w:bottom w:val="single" w:sz="8" w:color="051972"/>
            </w:tcBorders>
            <w:shd w:val="clear" w:color="auto" w:fill="E7E7E8"/>
          </w:tcPr>
          <w:p>
            <w:pPr>
              <w:spacing w:after="0"/>
              <w:rPr>
                <w:sz w:val="18"/>
                <w:szCs w:val="18"/>
                <w:color w:val="auto"/>
              </w:rPr>
            </w:pPr>
          </w:p>
        </w:tc>
        <w:tc>
          <w:tcPr>
            <w:tcW w:w="1060" w:type="dxa"/>
            <w:vAlign w:val="bottom"/>
            <w:tcBorders>
              <w:bottom w:val="single" w:sz="8" w:color="051972"/>
            </w:tcBorders>
            <w:shd w:val="clear" w:color="auto" w:fill="E7E7E8"/>
          </w:tcPr>
          <w:p>
            <w:pPr>
              <w:spacing w:after="0"/>
              <w:rPr>
                <w:sz w:val="18"/>
                <w:szCs w:val="18"/>
                <w:color w:val="auto"/>
              </w:rPr>
            </w:pPr>
          </w:p>
        </w:tc>
        <w:tc>
          <w:tcPr>
            <w:tcW w:w="960" w:type="dxa"/>
            <w:vAlign w:val="bottom"/>
            <w:tcBorders>
              <w:bottom w:val="single" w:sz="8" w:color="051972"/>
            </w:tcBorders>
            <w:shd w:val="clear" w:color="auto" w:fill="E7E7E8"/>
          </w:tcPr>
          <w:p>
            <w:pPr>
              <w:spacing w:after="0"/>
              <w:rPr>
                <w:sz w:val="18"/>
                <w:szCs w:val="18"/>
                <w:color w:val="auto"/>
              </w:rPr>
            </w:pPr>
          </w:p>
        </w:tc>
        <w:tc>
          <w:tcPr>
            <w:tcW w:w="120" w:type="dxa"/>
            <w:vAlign w:val="bottom"/>
            <w:tcBorders>
              <w:bottom w:val="single" w:sz="8" w:color="051972"/>
              <w:right w:val="single" w:sz="8" w:color="051972"/>
            </w:tcBorders>
            <w:shd w:val="clear" w:color="auto" w:fill="E7E7E8"/>
          </w:tcPr>
          <w:p>
            <w:pPr>
              <w:spacing w:after="0"/>
              <w:rPr>
                <w:sz w:val="18"/>
                <w:szCs w:val="18"/>
                <w:color w:val="auto"/>
              </w:rPr>
            </w:pPr>
          </w:p>
        </w:tc>
        <w:tc>
          <w:tcPr>
            <w:tcW w:w="100" w:type="dxa"/>
            <w:vAlign w:val="bottom"/>
            <w:tcBorders>
              <w:bottom w:val="single" w:sz="8" w:color="051972"/>
            </w:tcBorders>
            <w:shd w:val="clear" w:color="auto" w:fill="E7E7E8"/>
          </w:tcPr>
          <w:p>
            <w:pPr>
              <w:spacing w:after="0"/>
              <w:rPr>
                <w:sz w:val="18"/>
                <w:szCs w:val="18"/>
                <w:color w:val="auto"/>
              </w:rPr>
            </w:pPr>
          </w:p>
        </w:tc>
        <w:tc>
          <w:tcPr>
            <w:tcW w:w="800" w:type="dxa"/>
            <w:vAlign w:val="bottom"/>
            <w:tcBorders>
              <w:bottom w:val="single" w:sz="8" w:color="051972"/>
            </w:tcBorders>
            <w:shd w:val="clear" w:color="auto" w:fill="E7E7E8"/>
          </w:tcPr>
          <w:p>
            <w:pPr>
              <w:spacing w:after="0"/>
              <w:rPr>
                <w:sz w:val="18"/>
                <w:szCs w:val="18"/>
                <w:color w:val="auto"/>
              </w:rPr>
            </w:pPr>
          </w:p>
        </w:tc>
        <w:tc>
          <w:tcPr>
            <w:tcW w:w="360" w:type="dxa"/>
            <w:vAlign w:val="bottom"/>
            <w:tcBorders>
              <w:bottom w:val="single" w:sz="8" w:color="051972"/>
            </w:tcBorders>
            <w:shd w:val="clear" w:color="auto" w:fill="E7E7E8"/>
          </w:tcPr>
          <w:p>
            <w:pPr>
              <w:spacing w:after="0"/>
              <w:rPr>
                <w:sz w:val="18"/>
                <w:szCs w:val="18"/>
                <w:color w:val="auto"/>
              </w:rPr>
            </w:pPr>
          </w:p>
        </w:tc>
        <w:tc>
          <w:tcPr>
            <w:tcW w:w="1260" w:type="dxa"/>
            <w:vAlign w:val="bottom"/>
            <w:tcBorders>
              <w:bottom w:val="single" w:sz="8" w:color="051972"/>
            </w:tcBorders>
            <w:shd w:val="clear" w:color="auto" w:fill="E7E7E8"/>
          </w:tcPr>
          <w:p>
            <w:pPr>
              <w:spacing w:after="0"/>
              <w:rPr>
                <w:sz w:val="18"/>
                <w:szCs w:val="18"/>
                <w:color w:val="auto"/>
              </w:rPr>
            </w:pPr>
          </w:p>
        </w:tc>
        <w:tc>
          <w:tcPr>
            <w:tcW w:w="640" w:type="dxa"/>
            <w:vAlign w:val="bottom"/>
            <w:tcBorders>
              <w:bottom w:val="single" w:sz="8" w:color="051972"/>
            </w:tcBorders>
            <w:shd w:val="clear" w:color="auto" w:fill="E7E7E8"/>
          </w:tcPr>
          <w:p>
            <w:pPr>
              <w:spacing w:after="0"/>
              <w:rPr>
                <w:sz w:val="18"/>
                <w:szCs w:val="18"/>
                <w:color w:val="auto"/>
              </w:rPr>
            </w:pPr>
          </w:p>
        </w:tc>
        <w:tc>
          <w:tcPr>
            <w:tcW w:w="260" w:type="dxa"/>
            <w:vAlign w:val="bottom"/>
            <w:tcBorders>
              <w:bottom w:val="single" w:sz="8" w:color="051972"/>
            </w:tcBorders>
            <w:shd w:val="clear" w:color="auto" w:fill="E7E7E8"/>
          </w:tcPr>
          <w:p>
            <w:pPr>
              <w:spacing w:after="0"/>
              <w:rPr>
                <w:sz w:val="18"/>
                <w:szCs w:val="18"/>
                <w:color w:val="auto"/>
              </w:rPr>
            </w:pPr>
          </w:p>
        </w:tc>
        <w:tc>
          <w:tcPr>
            <w:tcW w:w="860" w:type="dxa"/>
            <w:vAlign w:val="bottom"/>
            <w:tcBorders>
              <w:bottom w:val="single" w:sz="8" w:color="051972"/>
            </w:tcBorders>
            <w:shd w:val="clear" w:color="auto" w:fill="E7E7E8"/>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80" w:hanging="372"/>
        <w:spacing w:after="0"/>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Based on the closing price per share of Common Stock on the NYSE on March 31, 2025 ($221.93).</w:t>
      </w:r>
    </w:p>
    <w:p>
      <w:pPr>
        <w:spacing w:after="0" w:line="108"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performance-based stock options granted on May 19, 2022 under our 2013 Incentive Plan. The remaining earned stock options will vest on March 31, 2026.</w:t>
      </w:r>
    </w:p>
    <w:p>
      <w:pPr>
        <w:spacing w:after="0" w:line="108"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time-vesting stock options granted on May 19, 2022 under our 2013 Incentive Plan. The remaining stock options will vest on March 31, 2026.</w:t>
      </w:r>
    </w:p>
    <w:p>
      <w:pPr>
        <w:spacing w:after="0" w:line="108" w:lineRule="exact"/>
        <w:rPr>
          <w:rFonts w:ascii="Times New Roman" w:cs="Times New Roman" w:eastAsia="Times New Roman" w:hAnsi="Times New Roman"/>
          <w:sz w:val="14"/>
          <w:szCs w:val="14"/>
          <w:color w:val="auto"/>
        </w:rPr>
      </w:pPr>
    </w:p>
    <w:p>
      <w:pPr>
        <w:ind w:left="380" w:right="60" w:hanging="372"/>
        <w:spacing w:after="0" w:line="284"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performance-based restricted stock granted on May 19, 2022 under our 2013 Incentive Plan. Restrictions on the remaining earned shares will lapse on March 31, 2026.</w:t>
      </w:r>
    </w:p>
    <w:p>
      <w:pPr>
        <w:spacing w:after="0" w:line="50"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time-vesting restricted stock granted on May 19, 2022 under our 2013 Incentive Plan. Restrictions will lapse on March 31, 2026.</w:t>
      </w:r>
    </w:p>
    <w:p>
      <w:pPr>
        <w:spacing w:after="0" w:line="108" w:lineRule="exact"/>
        <w:rPr>
          <w:rFonts w:ascii="Times New Roman" w:cs="Times New Roman" w:eastAsia="Times New Roman" w:hAnsi="Times New Roman"/>
          <w:sz w:val="14"/>
          <w:szCs w:val="14"/>
          <w:color w:val="auto"/>
        </w:rPr>
      </w:pPr>
    </w:p>
    <w:p>
      <w:pPr>
        <w:ind w:left="380" w:right="60" w:hanging="372"/>
        <w:spacing w:after="0" w:line="262"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the maximum number (120% of target) of two-year performance-based restricted stock granted on May 23, 2023 under our 2013 Incentive Plan. The Compensation Committee determined in May 2025 (i.e., after the end of fiscal 2025) that 120% of the target award was earned. The earned restricted shares were paid to the Named Executive Officer on May 15, 2025.</w:t>
      </w:r>
    </w:p>
    <w:p>
      <w:pPr>
        <w:spacing w:after="0" w:line="66" w:lineRule="exact"/>
        <w:rPr>
          <w:rFonts w:ascii="Times New Roman" w:cs="Times New Roman" w:eastAsia="Times New Roman" w:hAnsi="Times New Roman"/>
          <w:sz w:val="14"/>
          <w:szCs w:val="14"/>
          <w:color w:val="auto"/>
        </w:rPr>
      </w:pPr>
    </w:p>
    <w:p>
      <w:pPr>
        <w:ind w:left="380" w:right="280" w:hanging="372"/>
        <w:spacing w:after="0" w:line="262"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the maximum number (120% of target) of three-year performance-based restricted stock granted on May 23, 2023 under our 2013 Incentive Plan. The Compensation Committee will determine in May 2026 (i.e., after the end of fiscal 2026) if any of the award was earned. Any earned restricted shares will be paid to the Named Executive Officer promptly thereafter.</w:t>
      </w:r>
    </w:p>
    <w:p>
      <w:pPr>
        <w:spacing w:after="0" w:line="66"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time-vesting restricted stock granted on May 23, 2023 under our 2013 Incentive Plan. Restrictions on the remaining shares will lapse on March 31, 2026.</w:t>
      </w:r>
    </w:p>
    <w:p>
      <w:pPr>
        <w:spacing w:after="0" w:line="108" w:lineRule="exact"/>
        <w:rPr>
          <w:rFonts w:ascii="Times New Roman" w:cs="Times New Roman" w:eastAsia="Times New Roman" w:hAnsi="Times New Roman"/>
          <w:sz w:val="14"/>
          <w:szCs w:val="14"/>
          <w:color w:val="auto"/>
        </w:rPr>
      </w:pPr>
    </w:p>
    <w:p>
      <w:pPr>
        <w:ind w:left="380" w:right="180" w:hanging="372"/>
        <w:spacing w:after="0" w:line="262"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the maximum number (200% of target) of three-year performance-based PSUs granted on May 24, 2024 under our 2023 Incentive Plan. The Compensation Committee will determine in May 2027 (i.e., after the end of fiscal 2027) if any of the award was earned. Any earned PSUs will be paid in Common Stock to the Named Executive Officer promptly thereafter.</w:t>
      </w:r>
    </w:p>
    <w:p>
      <w:pPr>
        <w:spacing w:after="0" w:line="66" w:lineRule="exact"/>
        <w:rPr>
          <w:rFonts w:ascii="Times New Roman" w:cs="Times New Roman" w:eastAsia="Times New Roman" w:hAnsi="Times New Roman"/>
          <w:sz w:val="14"/>
          <w:szCs w:val="14"/>
          <w:color w:val="auto"/>
        </w:rPr>
      </w:pPr>
    </w:p>
    <w:p>
      <w:pPr>
        <w:ind w:left="380" w:right="240" w:hanging="372"/>
        <w:spacing w:after="0" w:line="284"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time-vesting RSUs granted on May 24, 2024 under our 2023 Incentive Plan. One-third of the award vested on May 24, 2025. The remaining RSUs will vest ratably on March 31 of 2026 and 2027.</w:t>
      </w:r>
    </w:p>
    <w:p>
      <w:pPr>
        <w:spacing w:after="0" w:line="50" w:lineRule="exact"/>
        <w:rPr>
          <w:rFonts w:ascii="Times New Roman" w:cs="Times New Roman" w:eastAsia="Times New Roman" w:hAnsi="Times New Roman"/>
          <w:sz w:val="14"/>
          <w:szCs w:val="14"/>
          <w:color w:val="auto"/>
        </w:rPr>
      </w:pPr>
    </w:p>
    <w:p>
      <w:pPr>
        <w:ind w:left="380" w:right="20" w:hanging="372"/>
        <w:spacing w:after="0" w:line="284" w:lineRule="auto"/>
        <w:tabs>
          <w:tab w:leader="none" w:pos="38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restricted stock granted on May 18, 2010 under our 2013 Incentive Plan. Restrictions have now lapsed, and the restricted stock was paid to Mr. Kesler on May 18, 2025.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54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59" w:name="page60"/>
    <w:bookmarkEnd w:id="59"/>
    <w:p>
      <w:pPr>
        <w:ind w:left="82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34235" cy="171450"/>
                    </a:xfrm>
                    <a:prstGeom prst="rect">
                      <a:avLst/>
                    </a:prstGeom>
                    <a:noFill/>
                  </pic:spPr>
                </pic:pic>
              </a:graphicData>
            </a:graphic>
          </wp:anchor>
        </w:drawing>
        <w:t>EXECUTIVE COMPENSATION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Option Exercises and Stock Vested in Fiscal 2025</w:t>
      </w:r>
    </w:p>
    <w:p>
      <w:pPr>
        <w:spacing w:after="0" w:line="15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table sets forth information regarding the exercise of stock options and the vesting of restricted stock during fiscal 2025 for each of our Named Executive Officers.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Borders>
              <w:bottom w:val="single" w:sz="8" w:color="051972"/>
            </w:tcBorders>
            <w:gridSpan w:val="2"/>
          </w:tcPr>
          <w:p>
            <w:pPr>
              <w:jc w:val="right"/>
              <w:ind w:right="977"/>
              <w:spacing w:after="0"/>
              <w:rPr>
                <w:sz w:val="20"/>
                <w:szCs w:val="20"/>
                <w:color w:val="auto"/>
              </w:rPr>
            </w:pPr>
            <w:r>
              <w:rPr>
                <w:rFonts w:ascii="Arial" w:cs="Arial" w:eastAsia="Arial" w:hAnsi="Arial"/>
                <w:sz w:val="14"/>
                <w:szCs w:val="14"/>
                <w:b w:val="1"/>
                <w:bCs w:val="1"/>
                <w:color w:val="051972"/>
              </w:rPr>
              <w:t>Option Awards</w:t>
            </w:r>
          </w:p>
        </w:tc>
        <w:tc>
          <w:tcPr>
            <w:tcW w:w="120" w:type="dxa"/>
            <w:vAlign w:val="bottom"/>
          </w:tcPr>
          <w:p>
            <w:pPr>
              <w:spacing w:after="0"/>
              <w:rPr>
                <w:sz w:val="14"/>
                <w:szCs w:val="14"/>
                <w:color w:val="auto"/>
              </w:rPr>
            </w:pPr>
          </w:p>
        </w:tc>
        <w:tc>
          <w:tcPr>
            <w:tcW w:w="2760" w:type="dxa"/>
            <w:vAlign w:val="bottom"/>
            <w:tcBorders>
              <w:bottom w:val="single" w:sz="8" w:color="051972"/>
            </w:tcBorders>
            <w:gridSpan w:val="2"/>
          </w:tcPr>
          <w:p>
            <w:pPr>
              <w:jc w:val="right"/>
              <w:ind w:right="837"/>
              <w:spacing w:after="0"/>
              <w:rPr>
                <w:sz w:val="20"/>
                <w:szCs w:val="20"/>
                <w:color w:val="auto"/>
              </w:rPr>
            </w:pPr>
            <w:r>
              <w:rPr>
                <w:rFonts w:ascii="Arial" w:cs="Arial" w:eastAsia="Arial" w:hAnsi="Arial"/>
                <w:sz w:val="14"/>
                <w:szCs w:val="14"/>
                <w:b w:val="1"/>
                <w:bCs w:val="1"/>
                <w:color w:val="051972"/>
              </w:rPr>
              <w:t>Stock Awards</w:t>
            </w:r>
          </w:p>
        </w:tc>
      </w:tr>
      <w:tr>
        <w:trPr>
          <w:trHeight w:val="146"/>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051972"/>
              </w:rPr>
              <w:t>Number of</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51972"/>
              </w:rPr>
              <w:t>Shares</w:t>
            </w: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88"/>
              <w:spacing w:after="0"/>
              <w:rPr>
                <w:sz w:val="20"/>
                <w:szCs w:val="20"/>
                <w:color w:val="auto"/>
              </w:rPr>
            </w:pPr>
            <w:r>
              <w:rPr>
                <w:rFonts w:ascii="Arial" w:cs="Arial" w:eastAsia="Arial" w:hAnsi="Arial"/>
                <w:sz w:val="14"/>
                <w:szCs w:val="14"/>
                <w:b w:val="1"/>
                <w:bCs w:val="1"/>
                <w:color w:val="051972"/>
              </w:rPr>
              <w:t>Number of</w:t>
            </w:r>
          </w:p>
        </w:tc>
        <w:tc>
          <w:tcPr>
            <w:tcW w:w="1400" w:type="dxa"/>
            <w:vAlign w:val="bottom"/>
          </w:tcPr>
          <w:p>
            <w:pPr>
              <w:spacing w:after="0"/>
              <w:rPr>
                <w:sz w:val="14"/>
                <w:szCs w:val="14"/>
                <w:color w:val="auto"/>
              </w:rPr>
            </w:pPr>
          </w:p>
        </w:tc>
      </w:tr>
      <w:tr>
        <w:trPr>
          <w:trHeight w:val="144"/>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Acquired on</w:t>
            </w:r>
          </w:p>
        </w:tc>
        <w:tc>
          <w:tcPr>
            <w:tcW w:w="150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Value Realized</w:t>
            </w:r>
          </w:p>
        </w:tc>
        <w:tc>
          <w:tcPr>
            <w:tcW w:w="120" w:type="dxa"/>
            <w:vAlign w:val="bottom"/>
          </w:tcPr>
          <w:p>
            <w:pPr>
              <w:spacing w:after="0"/>
              <w:rPr>
                <w:sz w:val="12"/>
                <w:szCs w:val="12"/>
                <w:color w:val="auto"/>
              </w:rPr>
            </w:pPr>
          </w:p>
        </w:tc>
        <w:tc>
          <w:tcPr>
            <w:tcW w:w="136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051972"/>
              </w:rPr>
              <w:t>Shares Acquired</w:t>
            </w: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Value Realized</w:t>
            </w:r>
          </w:p>
        </w:tc>
      </w:tr>
      <w:tr>
        <w:trPr>
          <w:trHeight w:val="180"/>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051972"/>
              </w:rPr>
              <w:t>Exercise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51972"/>
              </w:rPr>
              <w:t>on Exercise</w:t>
            </w:r>
          </w:p>
        </w:tc>
        <w:tc>
          <w:tcPr>
            <w:tcW w:w="120" w:type="dxa"/>
            <w:vAlign w:val="bottom"/>
          </w:tcPr>
          <w:p>
            <w:pPr>
              <w:spacing w:after="0"/>
              <w:rPr>
                <w:sz w:val="15"/>
                <w:szCs w:val="15"/>
                <w:color w:val="auto"/>
              </w:rPr>
            </w:pPr>
          </w:p>
        </w:tc>
        <w:tc>
          <w:tcPr>
            <w:tcW w:w="1360" w:type="dxa"/>
            <w:vAlign w:val="bottom"/>
          </w:tcPr>
          <w:p>
            <w:pPr>
              <w:jc w:val="center"/>
              <w:ind w:right="68"/>
              <w:spacing w:after="0" w:line="180" w:lineRule="exact"/>
              <w:rPr>
                <w:sz w:val="20"/>
                <w:szCs w:val="20"/>
                <w:color w:val="auto"/>
              </w:rPr>
            </w:pPr>
            <w:r>
              <w:rPr>
                <w:rFonts w:ascii="Arial" w:cs="Arial" w:eastAsia="Arial" w:hAnsi="Arial"/>
                <w:sz w:val="14"/>
                <w:szCs w:val="14"/>
                <w:b w:val="1"/>
                <w:bCs w:val="1"/>
                <w:color w:val="051972"/>
                <w:w w:val="98"/>
              </w:rPr>
              <w:t>on Vesting</w:t>
            </w:r>
            <w:r>
              <w:rPr>
                <w:rFonts w:ascii="Arial" w:cs="Arial" w:eastAsia="Arial" w:hAnsi="Arial"/>
                <w:sz w:val="19"/>
                <w:szCs w:val="19"/>
                <w:b w:val="1"/>
                <w:bCs w:val="1"/>
                <w:color w:val="051972"/>
                <w:w w:val="98"/>
                <w:vertAlign w:val="superscript"/>
              </w:rPr>
              <w:t>(1)</w:t>
            </w:r>
          </w:p>
        </w:tc>
        <w:tc>
          <w:tcPr>
            <w:tcW w:w="1400" w:type="dxa"/>
            <w:vAlign w:val="bottom"/>
          </w:tcPr>
          <w:p>
            <w:pPr>
              <w:jc w:val="center"/>
              <w:spacing w:after="0" w:line="180" w:lineRule="exact"/>
              <w:rPr>
                <w:sz w:val="20"/>
                <w:szCs w:val="20"/>
                <w:color w:val="auto"/>
              </w:rPr>
            </w:pPr>
            <w:r>
              <w:rPr>
                <w:rFonts w:ascii="Arial" w:cs="Arial" w:eastAsia="Arial" w:hAnsi="Arial"/>
                <w:sz w:val="14"/>
                <w:szCs w:val="14"/>
                <w:b w:val="1"/>
                <w:bCs w:val="1"/>
                <w:color w:val="051972"/>
                <w:w w:val="98"/>
              </w:rPr>
              <w:t>on Vesting</w:t>
            </w:r>
            <w:r>
              <w:rPr>
                <w:rFonts w:ascii="Arial" w:cs="Arial" w:eastAsia="Arial" w:hAnsi="Arial"/>
                <w:sz w:val="19"/>
                <w:szCs w:val="19"/>
                <w:b w:val="1"/>
                <w:bCs w:val="1"/>
                <w:color w:val="051972"/>
                <w:w w:val="98"/>
                <w:vertAlign w:val="superscript"/>
              </w:rPr>
              <w:t>(2)</w:t>
            </w:r>
          </w:p>
        </w:tc>
      </w:tr>
      <w:tr>
        <w:trPr>
          <w:trHeight w:val="185"/>
        </w:trPr>
        <w:tc>
          <w:tcPr>
            <w:tcW w:w="5400" w:type="dxa"/>
            <w:vAlign w:val="bottom"/>
            <w:tcBorders>
              <w:bottom w:val="single" w:sz="8" w:color="051972"/>
            </w:tcBorders>
          </w:tcPr>
          <w:p>
            <w:pPr>
              <w:ind w:left="60"/>
              <w:spacing w:after="0"/>
              <w:rPr>
                <w:sz w:val="20"/>
                <w:szCs w:val="20"/>
                <w:color w:val="auto"/>
              </w:rPr>
            </w:pPr>
            <w:r>
              <w:rPr>
                <w:rFonts w:ascii="Arial" w:cs="Arial" w:eastAsia="Arial" w:hAnsi="Arial"/>
                <w:sz w:val="14"/>
                <w:szCs w:val="14"/>
                <w:b w:val="1"/>
                <w:bCs w:val="1"/>
                <w:color w:val="051972"/>
              </w:rPr>
              <w:t>Name</w:t>
            </w:r>
          </w:p>
        </w:tc>
        <w:tc>
          <w:tcPr>
            <w:tcW w:w="1460" w:type="dxa"/>
            <w:vAlign w:val="bottom"/>
            <w:tcBorders>
              <w:bottom w:val="single" w:sz="8" w:color="051972"/>
            </w:tcBorders>
            <w:gridSpan w:val="2"/>
          </w:tcPr>
          <w:p>
            <w:pPr>
              <w:jc w:val="center"/>
              <w:spacing w:after="0"/>
              <w:rPr>
                <w:sz w:val="20"/>
                <w:szCs w:val="20"/>
                <w:color w:val="auto"/>
              </w:rPr>
            </w:pPr>
            <w:r>
              <w:rPr>
                <w:rFonts w:ascii="Arial" w:cs="Arial" w:eastAsia="Arial" w:hAnsi="Arial"/>
                <w:sz w:val="14"/>
                <w:szCs w:val="14"/>
                <w:b w:val="1"/>
                <w:bCs w:val="1"/>
                <w:color w:val="051972"/>
              </w:rPr>
              <w:t>(#)</w:t>
            </w:r>
          </w:p>
        </w:tc>
        <w:tc>
          <w:tcPr>
            <w:tcW w:w="150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1480" w:type="dxa"/>
            <w:vAlign w:val="bottom"/>
            <w:tcBorders>
              <w:bottom w:val="single" w:sz="8" w:color="051972"/>
            </w:tcBorders>
            <w:gridSpan w:val="2"/>
          </w:tcPr>
          <w:p>
            <w:pPr>
              <w:jc w:val="center"/>
              <w:spacing w:after="0"/>
              <w:rPr>
                <w:sz w:val="20"/>
                <w:szCs w:val="20"/>
                <w:color w:val="auto"/>
              </w:rPr>
            </w:pPr>
            <w:r>
              <w:rPr>
                <w:rFonts w:ascii="Arial" w:cs="Arial" w:eastAsia="Arial" w:hAnsi="Arial"/>
                <w:sz w:val="14"/>
                <w:szCs w:val="14"/>
                <w:b w:val="1"/>
                <w:bCs w:val="1"/>
                <w:color w:val="051972"/>
              </w:rPr>
              <w:t>(#)</w:t>
            </w:r>
          </w:p>
        </w:tc>
        <w:tc>
          <w:tcPr>
            <w:tcW w:w="140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r>
      <w:tr>
        <w:trPr>
          <w:trHeight w:val="284"/>
        </w:trPr>
        <w:tc>
          <w:tcPr>
            <w:tcW w:w="540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Michael R. Haack</w:t>
            </w:r>
          </w:p>
        </w:tc>
        <w:tc>
          <w:tcPr>
            <w:tcW w:w="1460" w:type="dxa"/>
            <w:vAlign w:val="bottom"/>
            <w:tcBorders>
              <w:bottom w:val="single" w:sz="8" w:color="E7E7E8"/>
            </w:tcBorders>
            <w:gridSpan w:val="2"/>
            <w:shd w:val="clear" w:color="auto" w:fill="E7E7E8"/>
          </w:tcPr>
          <w:p>
            <w:pPr>
              <w:jc w:val="right"/>
              <w:ind w:right="445"/>
              <w:spacing w:after="0"/>
              <w:rPr>
                <w:sz w:val="20"/>
                <w:szCs w:val="20"/>
                <w:color w:val="auto"/>
              </w:rPr>
            </w:pPr>
            <w:r>
              <w:rPr>
                <w:rFonts w:ascii="Arial" w:cs="Arial" w:eastAsia="Arial" w:hAnsi="Arial"/>
                <w:sz w:val="18"/>
                <w:szCs w:val="18"/>
                <w:color w:val="auto"/>
              </w:rPr>
              <w:t>32,867</w:t>
            </w:r>
          </w:p>
        </w:tc>
        <w:tc>
          <w:tcPr>
            <w:tcW w:w="1500" w:type="dxa"/>
            <w:vAlign w:val="bottom"/>
            <w:tcBorders>
              <w:bottom w:val="single" w:sz="8" w:color="E7E7E8"/>
            </w:tcBorders>
            <w:shd w:val="clear" w:color="auto" w:fill="E7E7E8"/>
          </w:tcPr>
          <w:p>
            <w:pPr>
              <w:jc w:val="right"/>
              <w:ind w:right="217"/>
              <w:spacing w:after="0"/>
              <w:rPr>
                <w:sz w:val="20"/>
                <w:szCs w:val="20"/>
                <w:color w:val="auto"/>
              </w:rPr>
            </w:pPr>
            <w:r>
              <w:rPr>
                <w:rFonts w:ascii="Arial" w:cs="Arial" w:eastAsia="Arial" w:hAnsi="Arial"/>
                <w:sz w:val="18"/>
                <w:szCs w:val="18"/>
                <w:color w:val="auto"/>
              </w:rPr>
              <w:t>7,503,885</w:t>
            </w:r>
          </w:p>
        </w:tc>
        <w:tc>
          <w:tcPr>
            <w:tcW w:w="1480" w:type="dxa"/>
            <w:vAlign w:val="bottom"/>
            <w:tcBorders>
              <w:bottom w:val="single" w:sz="8" w:color="E7E7E8"/>
            </w:tcBorders>
            <w:gridSpan w:val="2"/>
            <w:shd w:val="clear" w:color="auto" w:fill="E7E7E8"/>
          </w:tcPr>
          <w:p>
            <w:pPr>
              <w:jc w:val="right"/>
              <w:ind w:right="428"/>
              <w:spacing w:after="0"/>
              <w:rPr>
                <w:sz w:val="20"/>
                <w:szCs w:val="20"/>
                <w:color w:val="auto"/>
              </w:rPr>
            </w:pPr>
            <w:r>
              <w:rPr>
                <w:rFonts w:ascii="Arial" w:cs="Arial" w:eastAsia="Arial" w:hAnsi="Arial"/>
                <w:sz w:val="18"/>
                <w:szCs w:val="18"/>
                <w:color w:val="auto"/>
              </w:rPr>
              <w:t>24,368</w:t>
            </w:r>
          </w:p>
        </w:tc>
        <w:tc>
          <w:tcPr>
            <w:tcW w:w="1400" w:type="dxa"/>
            <w:vAlign w:val="bottom"/>
            <w:tcBorders>
              <w:bottom w:val="single" w:sz="8" w:color="E7E7E8"/>
            </w:tcBorders>
            <w:shd w:val="clear" w:color="auto" w:fill="E7E7E8"/>
          </w:tcPr>
          <w:p>
            <w:pPr>
              <w:jc w:val="right"/>
              <w:ind w:right="237"/>
              <w:spacing w:after="0"/>
              <w:rPr>
                <w:sz w:val="20"/>
                <w:szCs w:val="20"/>
                <w:color w:val="auto"/>
              </w:rPr>
            </w:pPr>
            <w:r>
              <w:rPr>
                <w:rFonts w:ascii="Arial" w:cs="Arial" w:eastAsia="Arial" w:hAnsi="Arial"/>
                <w:sz w:val="18"/>
                <w:szCs w:val="18"/>
                <w:color w:val="auto"/>
              </w:rPr>
              <w:t>5,584,564</w:t>
            </w:r>
          </w:p>
        </w:tc>
      </w:tr>
      <w:tr>
        <w:trPr>
          <w:trHeight w:val="261"/>
        </w:trPr>
        <w:tc>
          <w:tcPr>
            <w:tcW w:w="5400" w:type="dxa"/>
            <w:vAlign w:val="bottom"/>
          </w:tcPr>
          <w:p>
            <w:pPr>
              <w:ind w:left="60"/>
              <w:spacing w:after="0"/>
              <w:rPr>
                <w:sz w:val="20"/>
                <w:szCs w:val="20"/>
                <w:color w:val="auto"/>
              </w:rPr>
            </w:pPr>
            <w:r>
              <w:rPr>
                <w:rFonts w:ascii="Arial" w:cs="Arial" w:eastAsia="Arial" w:hAnsi="Arial"/>
                <w:sz w:val="18"/>
                <w:szCs w:val="18"/>
                <w:color w:val="auto"/>
              </w:rPr>
              <w:t>D. Craig Kesler</w:t>
            </w:r>
          </w:p>
        </w:tc>
        <w:tc>
          <w:tcPr>
            <w:tcW w:w="1460" w:type="dxa"/>
            <w:vAlign w:val="bottom"/>
            <w:gridSpan w:val="2"/>
          </w:tcPr>
          <w:p>
            <w:pPr>
              <w:jc w:val="right"/>
              <w:ind w:right="445"/>
              <w:spacing w:after="0"/>
              <w:rPr>
                <w:sz w:val="20"/>
                <w:szCs w:val="20"/>
                <w:color w:val="auto"/>
              </w:rPr>
            </w:pPr>
            <w:r>
              <w:rPr>
                <w:rFonts w:ascii="Arial" w:cs="Arial" w:eastAsia="Arial" w:hAnsi="Arial"/>
                <w:sz w:val="18"/>
                <w:szCs w:val="18"/>
                <w:color w:val="auto"/>
              </w:rPr>
              <w:t>10,000</w:t>
            </w:r>
          </w:p>
        </w:tc>
        <w:tc>
          <w:tcPr>
            <w:tcW w:w="1500" w:type="dxa"/>
            <w:vAlign w:val="bottom"/>
          </w:tcPr>
          <w:p>
            <w:pPr>
              <w:jc w:val="right"/>
              <w:ind w:right="217"/>
              <w:spacing w:after="0"/>
              <w:rPr>
                <w:sz w:val="20"/>
                <w:szCs w:val="20"/>
                <w:color w:val="auto"/>
              </w:rPr>
            </w:pPr>
            <w:r>
              <w:rPr>
                <w:rFonts w:ascii="Arial" w:cs="Arial" w:eastAsia="Arial" w:hAnsi="Arial"/>
                <w:sz w:val="18"/>
                <w:szCs w:val="18"/>
                <w:color w:val="auto"/>
              </w:rPr>
              <w:t>1,968,193</w:t>
            </w:r>
          </w:p>
        </w:tc>
        <w:tc>
          <w:tcPr>
            <w:tcW w:w="1480" w:type="dxa"/>
            <w:vAlign w:val="bottom"/>
            <w:gridSpan w:val="2"/>
          </w:tcPr>
          <w:p>
            <w:pPr>
              <w:jc w:val="right"/>
              <w:ind w:right="428"/>
              <w:spacing w:after="0"/>
              <w:rPr>
                <w:sz w:val="20"/>
                <w:szCs w:val="20"/>
                <w:color w:val="auto"/>
              </w:rPr>
            </w:pPr>
            <w:r>
              <w:rPr>
                <w:rFonts w:ascii="Arial" w:cs="Arial" w:eastAsia="Arial" w:hAnsi="Arial"/>
                <w:sz w:val="18"/>
                <w:szCs w:val="18"/>
                <w:color w:val="auto"/>
              </w:rPr>
              <w:t>6,078</w:t>
            </w:r>
          </w:p>
        </w:tc>
        <w:tc>
          <w:tcPr>
            <w:tcW w:w="1400" w:type="dxa"/>
            <w:vAlign w:val="bottom"/>
          </w:tcPr>
          <w:p>
            <w:pPr>
              <w:jc w:val="right"/>
              <w:ind w:right="237"/>
              <w:spacing w:after="0"/>
              <w:rPr>
                <w:sz w:val="20"/>
                <w:szCs w:val="20"/>
                <w:color w:val="auto"/>
              </w:rPr>
            </w:pPr>
            <w:r>
              <w:rPr>
                <w:rFonts w:ascii="Arial" w:cs="Arial" w:eastAsia="Arial" w:hAnsi="Arial"/>
                <w:sz w:val="18"/>
                <w:szCs w:val="18"/>
                <w:color w:val="auto"/>
              </w:rPr>
              <w:t>1,397,239</w:t>
            </w:r>
          </w:p>
        </w:tc>
      </w:tr>
      <w:tr>
        <w:trPr>
          <w:trHeight w:val="37"/>
        </w:trPr>
        <w:tc>
          <w:tcPr>
            <w:tcW w:w="5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77"/>
        </w:trPr>
        <w:tc>
          <w:tcPr>
            <w:tcW w:w="540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Matt Newby</w:t>
            </w:r>
          </w:p>
        </w:tc>
        <w:tc>
          <w:tcPr>
            <w:tcW w:w="120" w:type="dxa"/>
            <w:vAlign w:val="bottom"/>
            <w:tcBorders>
              <w:bottom w:val="single" w:sz="8" w:color="E7E7E8"/>
            </w:tcBorders>
            <w:shd w:val="clear" w:color="auto" w:fill="E7E7E8"/>
          </w:tcPr>
          <w:p>
            <w:pPr>
              <w:spacing w:after="0"/>
              <w:rPr>
                <w:sz w:val="24"/>
                <w:szCs w:val="24"/>
                <w:color w:val="auto"/>
              </w:rPr>
            </w:pPr>
          </w:p>
        </w:tc>
        <w:tc>
          <w:tcPr>
            <w:tcW w:w="1340" w:type="dxa"/>
            <w:vAlign w:val="bottom"/>
            <w:tcBorders>
              <w:bottom w:val="single" w:sz="8" w:color="E7E7E8"/>
            </w:tcBorders>
            <w:shd w:val="clear" w:color="auto" w:fill="E7E7E8"/>
          </w:tcPr>
          <w:p>
            <w:pPr>
              <w:jc w:val="right"/>
              <w:ind w:right="445"/>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E7E7E8"/>
            </w:tcBorders>
            <w:shd w:val="clear" w:color="auto" w:fill="E7E7E8"/>
          </w:tcPr>
          <w:p>
            <w:pPr>
              <w:jc w:val="right"/>
              <w:ind w:right="217"/>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E7E7E8"/>
            </w:tcBorders>
            <w:gridSpan w:val="2"/>
            <w:shd w:val="clear" w:color="auto" w:fill="E7E7E8"/>
          </w:tcPr>
          <w:p>
            <w:pPr>
              <w:jc w:val="right"/>
              <w:ind w:right="428"/>
              <w:spacing w:after="0"/>
              <w:rPr>
                <w:sz w:val="20"/>
                <w:szCs w:val="20"/>
                <w:color w:val="auto"/>
              </w:rPr>
            </w:pPr>
            <w:r>
              <w:rPr>
                <w:rFonts w:ascii="Arial" w:cs="Arial" w:eastAsia="Arial" w:hAnsi="Arial"/>
                <w:sz w:val="18"/>
                <w:szCs w:val="18"/>
                <w:color w:val="auto"/>
              </w:rPr>
              <w:t>3,740</w:t>
            </w:r>
          </w:p>
        </w:tc>
        <w:tc>
          <w:tcPr>
            <w:tcW w:w="1400" w:type="dxa"/>
            <w:vAlign w:val="bottom"/>
            <w:tcBorders>
              <w:bottom w:val="single" w:sz="8" w:color="E7E7E8"/>
            </w:tcBorders>
            <w:shd w:val="clear" w:color="auto" w:fill="E7E7E8"/>
          </w:tcPr>
          <w:p>
            <w:pPr>
              <w:jc w:val="right"/>
              <w:ind w:right="237"/>
              <w:spacing w:after="0"/>
              <w:rPr>
                <w:sz w:val="20"/>
                <w:szCs w:val="20"/>
                <w:color w:val="auto"/>
              </w:rPr>
            </w:pPr>
            <w:r>
              <w:rPr>
                <w:rFonts w:ascii="Arial" w:cs="Arial" w:eastAsia="Arial" w:hAnsi="Arial"/>
                <w:sz w:val="18"/>
                <w:szCs w:val="18"/>
                <w:color w:val="auto"/>
              </w:rPr>
              <w:t>857,688</w:t>
            </w:r>
          </w:p>
        </w:tc>
      </w:tr>
      <w:tr>
        <w:trPr>
          <w:trHeight w:val="261"/>
        </w:trPr>
        <w:tc>
          <w:tcPr>
            <w:tcW w:w="5400" w:type="dxa"/>
            <w:vAlign w:val="bottom"/>
          </w:tcPr>
          <w:p>
            <w:pPr>
              <w:ind w:left="60"/>
              <w:spacing w:after="0"/>
              <w:rPr>
                <w:sz w:val="20"/>
                <w:szCs w:val="20"/>
                <w:color w:val="auto"/>
              </w:rPr>
            </w:pPr>
            <w:r>
              <w:rPr>
                <w:rFonts w:ascii="Arial" w:cs="Arial" w:eastAsia="Arial" w:hAnsi="Arial"/>
                <w:sz w:val="18"/>
                <w:szCs w:val="18"/>
                <w:color w:val="auto"/>
              </w:rPr>
              <w:t>Eric Cribbs</w:t>
            </w:r>
          </w:p>
        </w:tc>
        <w:tc>
          <w:tcPr>
            <w:tcW w:w="1460" w:type="dxa"/>
            <w:vAlign w:val="bottom"/>
            <w:gridSpan w:val="2"/>
          </w:tcPr>
          <w:p>
            <w:pPr>
              <w:jc w:val="right"/>
              <w:ind w:right="445"/>
              <w:spacing w:after="0"/>
              <w:rPr>
                <w:sz w:val="20"/>
                <w:szCs w:val="20"/>
                <w:color w:val="auto"/>
              </w:rPr>
            </w:pPr>
            <w:r>
              <w:rPr>
                <w:rFonts w:ascii="Arial" w:cs="Arial" w:eastAsia="Arial" w:hAnsi="Arial"/>
                <w:sz w:val="18"/>
                <w:szCs w:val="18"/>
                <w:color w:val="auto"/>
              </w:rPr>
              <w:t>1,401</w:t>
            </w:r>
          </w:p>
        </w:tc>
        <w:tc>
          <w:tcPr>
            <w:tcW w:w="1500" w:type="dxa"/>
            <w:vAlign w:val="bottom"/>
          </w:tcPr>
          <w:p>
            <w:pPr>
              <w:jc w:val="right"/>
              <w:ind w:right="217"/>
              <w:spacing w:after="0"/>
              <w:rPr>
                <w:sz w:val="20"/>
                <w:szCs w:val="20"/>
                <w:color w:val="auto"/>
              </w:rPr>
            </w:pPr>
            <w:r>
              <w:rPr>
                <w:rFonts w:ascii="Arial" w:cs="Arial" w:eastAsia="Arial" w:hAnsi="Arial"/>
                <w:sz w:val="18"/>
                <w:szCs w:val="18"/>
                <w:color w:val="auto"/>
              </w:rPr>
              <w:t>303,863</w:t>
            </w:r>
          </w:p>
        </w:tc>
        <w:tc>
          <w:tcPr>
            <w:tcW w:w="1480" w:type="dxa"/>
            <w:vAlign w:val="bottom"/>
            <w:gridSpan w:val="2"/>
          </w:tcPr>
          <w:p>
            <w:pPr>
              <w:jc w:val="right"/>
              <w:ind w:right="428"/>
              <w:spacing w:after="0"/>
              <w:rPr>
                <w:sz w:val="20"/>
                <w:szCs w:val="20"/>
                <w:color w:val="auto"/>
              </w:rPr>
            </w:pPr>
            <w:r>
              <w:rPr>
                <w:rFonts w:ascii="Arial" w:cs="Arial" w:eastAsia="Arial" w:hAnsi="Arial"/>
                <w:sz w:val="18"/>
                <w:szCs w:val="18"/>
                <w:color w:val="auto"/>
              </w:rPr>
              <w:t>2,819</w:t>
            </w:r>
          </w:p>
        </w:tc>
        <w:tc>
          <w:tcPr>
            <w:tcW w:w="1400" w:type="dxa"/>
            <w:vAlign w:val="bottom"/>
          </w:tcPr>
          <w:p>
            <w:pPr>
              <w:jc w:val="right"/>
              <w:ind w:right="237"/>
              <w:spacing w:after="0"/>
              <w:rPr>
                <w:sz w:val="20"/>
                <w:szCs w:val="20"/>
                <w:color w:val="auto"/>
              </w:rPr>
            </w:pPr>
            <w:r>
              <w:rPr>
                <w:rFonts w:ascii="Arial" w:cs="Arial" w:eastAsia="Arial" w:hAnsi="Arial"/>
                <w:sz w:val="18"/>
                <w:szCs w:val="18"/>
                <w:color w:val="auto"/>
              </w:rPr>
              <w:t>643,754</w:t>
            </w:r>
          </w:p>
        </w:tc>
      </w:tr>
      <w:tr>
        <w:trPr>
          <w:trHeight w:val="36"/>
        </w:trPr>
        <w:tc>
          <w:tcPr>
            <w:tcW w:w="5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91"/>
        </w:trPr>
        <w:tc>
          <w:tcPr>
            <w:tcW w:w="5400" w:type="dxa"/>
            <w:vAlign w:val="bottom"/>
            <w:tcBorders>
              <w:bottom w:val="single" w:sz="8" w:color="E7E7E8"/>
            </w:tcBorders>
            <w:shd w:val="clear" w:color="auto" w:fill="E7E7E8"/>
          </w:tcPr>
          <w:p>
            <w:pPr>
              <w:ind w:left="60"/>
              <w:spacing w:after="0"/>
              <w:rPr>
                <w:sz w:val="20"/>
                <w:szCs w:val="20"/>
                <w:color w:val="auto"/>
              </w:rPr>
            </w:pPr>
            <w:r>
              <w:rPr>
                <w:rFonts w:ascii="Arial" w:cs="Arial" w:eastAsia="Arial" w:hAnsi="Arial"/>
                <w:sz w:val="18"/>
                <w:szCs w:val="18"/>
                <w:color w:val="auto"/>
              </w:rPr>
              <w:t>Tony Thompson</w:t>
            </w:r>
          </w:p>
        </w:tc>
        <w:tc>
          <w:tcPr>
            <w:tcW w:w="1460" w:type="dxa"/>
            <w:vAlign w:val="bottom"/>
            <w:tcBorders>
              <w:bottom w:val="single" w:sz="8" w:color="E7E7E8"/>
            </w:tcBorders>
            <w:gridSpan w:val="2"/>
            <w:shd w:val="clear" w:color="auto" w:fill="E7E7E8"/>
          </w:tcPr>
          <w:p>
            <w:pPr>
              <w:jc w:val="right"/>
              <w:ind w:right="445"/>
              <w:spacing w:after="0"/>
              <w:rPr>
                <w:sz w:val="20"/>
                <w:szCs w:val="20"/>
                <w:color w:val="auto"/>
              </w:rPr>
            </w:pPr>
            <w:r>
              <w:rPr>
                <w:rFonts w:ascii="Arial" w:cs="Arial" w:eastAsia="Arial" w:hAnsi="Arial"/>
                <w:sz w:val="18"/>
                <w:szCs w:val="18"/>
                <w:color w:val="auto"/>
              </w:rPr>
              <w:t>1,401</w:t>
            </w:r>
          </w:p>
        </w:tc>
        <w:tc>
          <w:tcPr>
            <w:tcW w:w="1500" w:type="dxa"/>
            <w:vAlign w:val="bottom"/>
            <w:tcBorders>
              <w:bottom w:val="single" w:sz="8" w:color="E7E7E8"/>
            </w:tcBorders>
            <w:shd w:val="clear" w:color="auto" w:fill="E7E7E8"/>
          </w:tcPr>
          <w:p>
            <w:pPr>
              <w:jc w:val="right"/>
              <w:ind w:right="217"/>
              <w:spacing w:after="0"/>
              <w:rPr>
                <w:sz w:val="20"/>
                <w:szCs w:val="20"/>
                <w:color w:val="auto"/>
              </w:rPr>
            </w:pPr>
            <w:r>
              <w:rPr>
                <w:rFonts w:ascii="Arial" w:cs="Arial" w:eastAsia="Arial" w:hAnsi="Arial"/>
                <w:sz w:val="18"/>
                <w:szCs w:val="18"/>
                <w:color w:val="auto"/>
              </w:rPr>
              <w:t>355,560</w:t>
            </w:r>
          </w:p>
        </w:tc>
        <w:tc>
          <w:tcPr>
            <w:tcW w:w="1480" w:type="dxa"/>
            <w:vAlign w:val="bottom"/>
            <w:tcBorders>
              <w:bottom w:val="single" w:sz="8" w:color="E7E7E8"/>
            </w:tcBorders>
            <w:gridSpan w:val="2"/>
            <w:shd w:val="clear" w:color="auto" w:fill="E7E7E8"/>
          </w:tcPr>
          <w:p>
            <w:pPr>
              <w:jc w:val="right"/>
              <w:ind w:right="428"/>
              <w:spacing w:after="0"/>
              <w:rPr>
                <w:sz w:val="20"/>
                <w:szCs w:val="20"/>
                <w:color w:val="auto"/>
              </w:rPr>
            </w:pPr>
            <w:r>
              <w:rPr>
                <w:rFonts w:ascii="Arial" w:cs="Arial" w:eastAsia="Arial" w:hAnsi="Arial"/>
                <w:sz w:val="18"/>
                <w:szCs w:val="18"/>
                <w:color w:val="auto"/>
              </w:rPr>
              <w:t>2,478</w:t>
            </w:r>
          </w:p>
        </w:tc>
        <w:tc>
          <w:tcPr>
            <w:tcW w:w="1400" w:type="dxa"/>
            <w:vAlign w:val="bottom"/>
            <w:tcBorders>
              <w:bottom w:val="single" w:sz="8" w:color="E7E7E8"/>
            </w:tcBorders>
            <w:shd w:val="clear" w:color="auto" w:fill="E7E7E8"/>
          </w:tcPr>
          <w:p>
            <w:pPr>
              <w:jc w:val="right"/>
              <w:ind w:right="237"/>
              <w:spacing w:after="0"/>
              <w:rPr>
                <w:sz w:val="20"/>
                <w:szCs w:val="20"/>
                <w:color w:val="auto"/>
              </w:rPr>
            </w:pPr>
            <w:r>
              <w:rPr>
                <w:rFonts w:ascii="Arial" w:cs="Arial" w:eastAsia="Arial" w:hAnsi="Arial"/>
                <w:sz w:val="18"/>
                <w:szCs w:val="18"/>
                <w:color w:val="auto"/>
              </w:rPr>
              <w:t>566,320</w:t>
            </w:r>
          </w:p>
        </w:tc>
      </w:tr>
      <w:tr>
        <w:trPr>
          <w:trHeight w:val="41"/>
        </w:trPr>
        <w:tc>
          <w:tcPr>
            <w:tcW w:w="5400" w:type="dxa"/>
            <w:vAlign w:val="bottom"/>
            <w:shd w:val="clear" w:color="auto" w:fill="051972"/>
          </w:tcPr>
          <w:p>
            <w:pPr>
              <w:spacing w:after="0"/>
              <w:rPr>
                <w:sz w:val="3"/>
                <w:szCs w:val="3"/>
                <w:color w:val="auto"/>
              </w:rPr>
            </w:pPr>
          </w:p>
        </w:tc>
        <w:tc>
          <w:tcPr>
            <w:tcW w:w="120" w:type="dxa"/>
            <w:vAlign w:val="bottom"/>
            <w:shd w:val="clear" w:color="auto" w:fill="051972"/>
          </w:tcPr>
          <w:p>
            <w:pPr>
              <w:spacing w:after="0"/>
              <w:rPr>
                <w:sz w:val="3"/>
                <w:szCs w:val="3"/>
                <w:color w:val="auto"/>
              </w:rPr>
            </w:pPr>
          </w:p>
        </w:tc>
        <w:tc>
          <w:tcPr>
            <w:tcW w:w="1340" w:type="dxa"/>
            <w:vAlign w:val="bottom"/>
            <w:shd w:val="clear" w:color="auto" w:fill="051972"/>
          </w:tcPr>
          <w:p>
            <w:pPr>
              <w:spacing w:after="0"/>
              <w:rPr>
                <w:sz w:val="3"/>
                <w:szCs w:val="3"/>
                <w:color w:val="auto"/>
              </w:rPr>
            </w:pPr>
          </w:p>
        </w:tc>
        <w:tc>
          <w:tcPr>
            <w:tcW w:w="1500" w:type="dxa"/>
            <w:vAlign w:val="bottom"/>
            <w:shd w:val="clear" w:color="auto" w:fill="051972"/>
          </w:tcPr>
          <w:p>
            <w:pPr>
              <w:spacing w:after="0"/>
              <w:rPr>
                <w:sz w:val="3"/>
                <w:szCs w:val="3"/>
                <w:color w:val="auto"/>
              </w:rPr>
            </w:pPr>
          </w:p>
        </w:tc>
        <w:tc>
          <w:tcPr>
            <w:tcW w:w="120" w:type="dxa"/>
            <w:vAlign w:val="bottom"/>
            <w:shd w:val="clear" w:color="auto" w:fill="051972"/>
          </w:tcPr>
          <w:p>
            <w:pPr>
              <w:spacing w:after="0"/>
              <w:rPr>
                <w:sz w:val="3"/>
                <w:szCs w:val="3"/>
                <w:color w:val="auto"/>
              </w:rPr>
            </w:pPr>
          </w:p>
        </w:tc>
        <w:tc>
          <w:tcPr>
            <w:tcW w:w="1360" w:type="dxa"/>
            <w:vAlign w:val="bottom"/>
            <w:shd w:val="clear" w:color="auto" w:fill="051972"/>
          </w:tcPr>
          <w:p>
            <w:pPr>
              <w:spacing w:after="0"/>
              <w:rPr>
                <w:sz w:val="3"/>
                <w:szCs w:val="3"/>
                <w:color w:val="auto"/>
              </w:rPr>
            </w:pPr>
          </w:p>
        </w:tc>
        <w:tc>
          <w:tcPr>
            <w:tcW w:w="1400" w:type="dxa"/>
            <w:vAlign w:val="bottom"/>
            <w:shd w:val="clear" w:color="auto" w:fill="051972"/>
          </w:tcPr>
          <w:p>
            <w:pPr>
              <w:spacing w:after="0"/>
              <w:rPr>
                <w:sz w:val="3"/>
                <w:szCs w:val="3"/>
                <w:color w:val="auto"/>
              </w:rPr>
            </w:pPr>
          </w:p>
        </w:tc>
      </w:tr>
    </w:tbl>
    <w:p>
      <w:pPr>
        <w:spacing w:after="0" w:line="234" w:lineRule="exact"/>
        <w:rPr>
          <w:sz w:val="20"/>
          <w:szCs w:val="20"/>
          <w:color w:val="auto"/>
        </w:rPr>
      </w:pPr>
    </w:p>
    <w:p>
      <w:pPr>
        <w:ind w:left="380" w:right="200" w:hanging="372"/>
        <w:spacing w:after="0" w:line="284" w:lineRule="auto"/>
        <w:tabs>
          <w:tab w:leader="none" w:pos="380" w:val="left"/>
        </w:tabs>
        <w:numPr>
          <w:ilvl w:val="0"/>
          <w:numId w:val="83"/>
        </w:numPr>
        <w:rPr>
          <w:rFonts w:ascii="Times New Roman" w:cs="Times New Roman" w:eastAsia="Times New Roman" w:hAnsi="Times New Roman"/>
          <w:sz w:val="14"/>
          <w:szCs w:val="14"/>
          <w:color w:val="auto"/>
        </w:rPr>
      </w:pPr>
      <w:r>
        <w:rPr>
          <w:rFonts w:ascii="Arial" w:cs="Arial" w:eastAsia="Arial" w:hAnsi="Arial"/>
          <w:sz w:val="14"/>
          <w:szCs w:val="14"/>
          <w:color w:val="auto"/>
        </w:rPr>
        <w:t>All of the amounts in this column represent shares of Common Stock received by the Named Executive Officer in connection with the lapsing of restrictions on restricted stock previously granted to the Named Executive Officers.</w:t>
      </w:r>
    </w:p>
    <w:p>
      <w:pPr>
        <w:spacing w:after="0" w:line="50"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83"/>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 in this column represents the dollar amount realized by the Named Executive Officer valued at the time of the vesting of such shares of Common Stock.</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55</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0" w:name="page61"/>
    <w:bookmarkEnd w:id="60"/>
    <w:p>
      <w:pPr>
        <w:ind w:left="82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5205730</wp:posOffset>
            </wp:positionH>
            <wp:positionV relativeFrom="page">
              <wp:posOffset>526415</wp:posOffset>
            </wp:positionV>
            <wp:extent cx="2134235"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34235" cy="171450"/>
                    </a:xfrm>
                    <a:prstGeom prst="rect">
                      <a:avLst/>
                    </a:prstGeom>
                    <a:noFill/>
                  </pic:spPr>
                </pic:pic>
              </a:graphicData>
            </a:graphic>
          </wp:anchor>
        </w:drawing>
        <w:t>EXECUTIVE COMPENSATION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Nonqualified Deferred Compensation in FY 2025</w:t>
      </w:r>
    </w:p>
    <w:p>
      <w:pPr>
        <w:spacing w:after="0" w:line="156" w:lineRule="exact"/>
        <w:rPr>
          <w:sz w:val="20"/>
          <w:szCs w:val="20"/>
          <w:color w:val="auto"/>
        </w:rPr>
      </w:pPr>
    </w:p>
    <w:p>
      <w:pPr>
        <w:jc w:val="both"/>
        <w:ind w:right="140"/>
        <w:spacing w:after="0" w:line="259" w:lineRule="auto"/>
        <w:rPr>
          <w:sz w:val="20"/>
          <w:szCs w:val="20"/>
          <w:color w:val="auto"/>
        </w:rPr>
      </w:pPr>
      <w:r>
        <w:rPr>
          <w:rFonts w:ascii="Arial" w:cs="Arial" w:eastAsia="Arial" w:hAnsi="Arial"/>
          <w:sz w:val="16"/>
          <w:szCs w:val="16"/>
          <w:color w:val="auto"/>
        </w:rPr>
        <w:t>The following table sets forth contributions made by the Company for the account of the Named Executive Officers during fiscal 2025 under our SERP. The SERP is an unfunded, non-qualified plan for certain executives of the Company. Under the SERP, the Company makes contributions to the account of the executive in an amount substantially equal to the additional contributions he would have received under the Retirement Plan had 100% of his annual salary been eligible for a profit-sharing contribution. The SERP is described in greater detail under “SERP” in Compensation Discussion &amp; Analysis above.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51972"/>
              </w:rPr>
              <w:t>Executive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51972"/>
              </w:rPr>
              <w:t>Registrant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51972"/>
              </w:rPr>
              <w:t>Aggregate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51972"/>
              </w:rPr>
              <w:t>Aggregate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51972"/>
              </w:rPr>
              <w:t>Aggregate</w:t>
            </w:r>
          </w:p>
        </w:tc>
      </w:tr>
      <w:tr>
        <w:trPr>
          <w:trHeight w:val="144"/>
        </w:trPr>
        <w:tc>
          <w:tcPr>
            <w:tcW w:w="426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Contributions</w:t>
            </w:r>
          </w:p>
        </w:tc>
        <w:tc>
          <w:tcPr>
            <w:tcW w:w="136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Contributions</w:t>
            </w: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Earnings in</w:t>
            </w:r>
          </w:p>
        </w:tc>
        <w:tc>
          <w:tcPr>
            <w:tcW w:w="154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Withdrawals/</w:t>
            </w:r>
          </w:p>
        </w:tc>
        <w:tc>
          <w:tcPr>
            <w:tcW w:w="140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Balance at</w:t>
            </w:r>
          </w:p>
        </w:tc>
      </w:tr>
      <w:tr>
        <w:trPr>
          <w:trHeight w:val="180"/>
        </w:trPr>
        <w:tc>
          <w:tcPr>
            <w:tcW w:w="42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051972"/>
              </w:rPr>
              <w:t>in Last FY</w:t>
            </w:r>
          </w:p>
        </w:tc>
        <w:tc>
          <w:tcPr>
            <w:tcW w:w="1360" w:type="dxa"/>
            <w:vAlign w:val="bottom"/>
          </w:tcPr>
          <w:p>
            <w:pPr>
              <w:jc w:val="center"/>
              <w:spacing w:after="0" w:line="180" w:lineRule="exact"/>
              <w:rPr>
                <w:sz w:val="20"/>
                <w:szCs w:val="20"/>
                <w:color w:val="auto"/>
              </w:rPr>
            </w:pPr>
            <w:r>
              <w:rPr>
                <w:rFonts w:ascii="Arial" w:cs="Arial" w:eastAsia="Arial" w:hAnsi="Arial"/>
                <w:sz w:val="14"/>
                <w:szCs w:val="14"/>
                <w:b w:val="1"/>
                <w:bCs w:val="1"/>
                <w:color w:val="051972"/>
                <w:w w:val="97"/>
              </w:rPr>
              <w:t>in Last FY</w:t>
            </w:r>
            <w:r>
              <w:rPr>
                <w:rFonts w:ascii="Arial" w:cs="Arial" w:eastAsia="Arial" w:hAnsi="Arial"/>
                <w:sz w:val="19"/>
                <w:szCs w:val="19"/>
                <w:b w:val="1"/>
                <w:bCs w:val="1"/>
                <w:color w:val="051972"/>
                <w:w w:val="97"/>
                <w:vertAlign w:val="superscript"/>
              </w:rPr>
              <w:t>(1)</w:t>
            </w:r>
          </w:p>
        </w:tc>
        <w:tc>
          <w:tcPr>
            <w:tcW w:w="1320" w:type="dxa"/>
            <w:vAlign w:val="bottom"/>
          </w:tcPr>
          <w:p>
            <w:pPr>
              <w:jc w:val="center"/>
              <w:spacing w:after="0" w:line="180" w:lineRule="exact"/>
              <w:rPr>
                <w:sz w:val="20"/>
                <w:szCs w:val="20"/>
                <w:color w:val="auto"/>
              </w:rPr>
            </w:pPr>
            <w:r>
              <w:rPr>
                <w:rFonts w:ascii="Arial" w:cs="Arial" w:eastAsia="Arial" w:hAnsi="Arial"/>
                <w:sz w:val="14"/>
                <w:szCs w:val="14"/>
                <w:b w:val="1"/>
                <w:bCs w:val="1"/>
                <w:color w:val="051972"/>
                <w:w w:val="96"/>
              </w:rPr>
              <w:t>Last FY</w:t>
            </w:r>
            <w:r>
              <w:rPr>
                <w:rFonts w:ascii="Arial" w:cs="Arial" w:eastAsia="Arial" w:hAnsi="Arial"/>
                <w:sz w:val="19"/>
                <w:szCs w:val="19"/>
                <w:b w:val="1"/>
                <w:bCs w:val="1"/>
                <w:color w:val="051972"/>
                <w:w w:val="96"/>
                <w:vertAlign w:val="superscript"/>
              </w:rPr>
              <w:t>(2)</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51972"/>
              </w:rPr>
              <w:t>Distributions</w:t>
            </w:r>
          </w:p>
        </w:tc>
        <w:tc>
          <w:tcPr>
            <w:tcW w:w="1400" w:type="dxa"/>
            <w:vAlign w:val="bottom"/>
          </w:tcPr>
          <w:p>
            <w:pPr>
              <w:jc w:val="center"/>
              <w:spacing w:after="0" w:line="180" w:lineRule="exact"/>
              <w:rPr>
                <w:sz w:val="20"/>
                <w:szCs w:val="20"/>
                <w:color w:val="auto"/>
              </w:rPr>
            </w:pPr>
            <w:r>
              <w:rPr>
                <w:rFonts w:ascii="Arial" w:cs="Arial" w:eastAsia="Arial" w:hAnsi="Arial"/>
                <w:sz w:val="14"/>
                <w:szCs w:val="14"/>
                <w:b w:val="1"/>
                <w:bCs w:val="1"/>
                <w:color w:val="051972"/>
                <w:w w:val="95"/>
              </w:rPr>
              <w:t>Last FYE</w:t>
            </w:r>
            <w:r>
              <w:rPr>
                <w:rFonts w:ascii="Arial" w:cs="Arial" w:eastAsia="Arial" w:hAnsi="Arial"/>
                <w:sz w:val="19"/>
                <w:szCs w:val="19"/>
                <w:b w:val="1"/>
                <w:bCs w:val="1"/>
                <w:color w:val="051972"/>
                <w:w w:val="95"/>
                <w:vertAlign w:val="superscript"/>
              </w:rPr>
              <w:t>(3)</w:t>
            </w:r>
          </w:p>
        </w:tc>
      </w:tr>
      <w:tr>
        <w:trPr>
          <w:trHeight w:val="185"/>
        </w:trPr>
        <w:tc>
          <w:tcPr>
            <w:tcW w:w="4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051972"/>
              </w:rPr>
              <w:t>Name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1972"/>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1972"/>
                <w:w w:val="93"/>
              </w:rPr>
              <w: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1972"/>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1972"/>
              </w:rPr>
              <w: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51972"/>
                <w:w w:val="93"/>
              </w:rPr>
              <w:t>($)</w:t>
            </w:r>
          </w:p>
        </w:tc>
      </w:tr>
      <w:tr>
        <w:trPr>
          <w:trHeight w:val="191"/>
        </w:trPr>
        <w:tc>
          <w:tcPr>
            <w:tcW w:w="4260" w:type="dxa"/>
            <w:vAlign w:val="bottom"/>
            <w:shd w:val="clear" w:color="auto" w:fill="E7E7E8"/>
          </w:tcPr>
          <w:p>
            <w:pPr>
              <w:ind w:left="40"/>
              <w:spacing w:after="0" w:line="191" w:lineRule="exact"/>
              <w:rPr>
                <w:sz w:val="20"/>
                <w:szCs w:val="20"/>
                <w:color w:val="auto"/>
              </w:rPr>
            </w:pPr>
            <w:r>
              <w:rPr>
                <w:rFonts w:ascii="Arial" w:cs="Arial" w:eastAsia="Arial" w:hAnsi="Arial"/>
                <w:sz w:val="18"/>
                <w:szCs w:val="18"/>
                <w:color w:val="auto"/>
              </w:rPr>
              <w:t>Michael R. Haack</w:t>
            </w:r>
          </w:p>
        </w:tc>
        <w:tc>
          <w:tcPr>
            <w:tcW w:w="1360" w:type="dxa"/>
            <w:vAlign w:val="bottom"/>
            <w:shd w:val="clear" w:color="auto" w:fill="E7E7E8"/>
          </w:tcPr>
          <w:p>
            <w:pPr>
              <w:spacing w:after="0"/>
              <w:rPr>
                <w:sz w:val="16"/>
                <w:szCs w:val="16"/>
                <w:color w:val="auto"/>
              </w:rPr>
            </w:pPr>
          </w:p>
        </w:tc>
        <w:tc>
          <w:tcPr>
            <w:tcW w:w="1360" w:type="dxa"/>
            <w:vAlign w:val="bottom"/>
            <w:shd w:val="clear" w:color="auto" w:fill="E7E7E8"/>
          </w:tcPr>
          <w:p>
            <w:pPr>
              <w:spacing w:after="0"/>
              <w:rPr>
                <w:sz w:val="16"/>
                <w:szCs w:val="16"/>
                <w:color w:val="auto"/>
              </w:rPr>
            </w:pPr>
          </w:p>
        </w:tc>
        <w:tc>
          <w:tcPr>
            <w:tcW w:w="1320" w:type="dxa"/>
            <w:vAlign w:val="bottom"/>
            <w:shd w:val="clear" w:color="auto" w:fill="E7E7E8"/>
          </w:tcPr>
          <w:p>
            <w:pPr>
              <w:spacing w:after="0"/>
              <w:rPr>
                <w:sz w:val="16"/>
                <w:szCs w:val="16"/>
                <w:color w:val="auto"/>
              </w:rPr>
            </w:pPr>
          </w:p>
        </w:tc>
        <w:tc>
          <w:tcPr>
            <w:tcW w:w="1540" w:type="dxa"/>
            <w:vAlign w:val="bottom"/>
            <w:shd w:val="clear" w:color="auto" w:fill="E7E7E8"/>
          </w:tcPr>
          <w:p>
            <w:pPr>
              <w:spacing w:after="0"/>
              <w:rPr>
                <w:sz w:val="16"/>
                <w:szCs w:val="16"/>
                <w:color w:val="auto"/>
              </w:rPr>
            </w:pPr>
          </w:p>
        </w:tc>
        <w:tc>
          <w:tcPr>
            <w:tcW w:w="1400" w:type="dxa"/>
            <w:vAlign w:val="bottom"/>
            <w:shd w:val="clear" w:color="auto" w:fill="E7E7E8"/>
          </w:tcPr>
          <w:p>
            <w:pPr>
              <w:spacing w:after="0"/>
              <w:rPr>
                <w:sz w:val="16"/>
                <w:szCs w:val="16"/>
                <w:color w:val="auto"/>
              </w:rPr>
            </w:pPr>
          </w:p>
        </w:tc>
      </w:tr>
      <w:tr>
        <w:trPr>
          <w:trHeight w:val="242"/>
        </w:trPr>
        <w:tc>
          <w:tcPr>
            <w:tcW w:w="4260" w:type="dxa"/>
            <w:vAlign w:val="bottom"/>
            <w:tcBorders>
              <w:bottom w:val="single" w:sz="8" w:color="E7E7E8"/>
            </w:tcBorders>
            <w:shd w:val="clear" w:color="auto" w:fill="E7E7E8"/>
          </w:tcPr>
          <w:p>
            <w:pPr>
              <w:ind w:left="120"/>
              <w:spacing w:after="0"/>
              <w:rPr>
                <w:sz w:val="20"/>
                <w:szCs w:val="20"/>
                <w:color w:val="auto"/>
              </w:rPr>
            </w:pPr>
            <w:r>
              <w:rPr>
                <w:rFonts w:ascii="Arial" w:cs="Arial" w:eastAsia="Arial" w:hAnsi="Arial"/>
                <w:sz w:val="18"/>
                <w:szCs w:val="18"/>
                <w:color w:val="auto"/>
              </w:rPr>
              <w:t>SERP Plan</w:t>
            </w:r>
          </w:p>
        </w:tc>
        <w:tc>
          <w:tcPr>
            <w:tcW w:w="1360" w:type="dxa"/>
            <w:vAlign w:val="bottom"/>
            <w:tcBorders>
              <w:bottom w:val="single" w:sz="8" w:color="E7E7E8"/>
            </w:tcBorders>
            <w:shd w:val="clear" w:color="auto" w:fill="E7E7E8"/>
          </w:tcPr>
          <w:p>
            <w:pPr>
              <w:ind w:left="7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7E7E8"/>
            </w:tcBorders>
            <w:shd w:val="clear" w:color="auto" w:fill="E7E7E8"/>
          </w:tcPr>
          <w:p>
            <w:pPr>
              <w:jc w:val="right"/>
              <w:ind w:right="378"/>
              <w:spacing w:after="0"/>
              <w:rPr>
                <w:sz w:val="20"/>
                <w:szCs w:val="20"/>
                <w:color w:val="auto"/>
              </w:rPr>
            </w:pPr>
            <w:r>
              <w:rPr>
                <w:rFonts w:ascii="Arial" w:cs="Arial" w:eastAsia="Arial" w:hAnsi="Arial"/>
                <w:sz w:val="18"/>
                <w:szCs w:val="18"/>
                <w:color w:val="auto"/>
              </w:rPr>
              <w:t>72,620</w:t>
            </w:r>
          </w:p>
        </w:tc>
        <w:tc>
          <w:tcPr>
            <w:tcW w:w="1320" w:type="dxa"/>
            <w:vAlign w:val="bottom"/>
            <w:tcBorders>
              <w:bottom w:val="single" w:sz="8" w:color="E7E7E8"/>
            </w:tcBorders>
            <w:shd w:val="clear" w:color="auto" w:fill="E7E7E8"/>
          </w:tcPr>
          <w:p>
            <w:pPr>
              <w:jc w:val="right"/>
              <w:ind w:right="238"/>
              <w:spacing w:after="0"/>
              <w:rPr>
                <w:sz w:val="20"/>
                <w:szCs w:val="20"/>
                <w:color w:val="auto"/>
              </w:rPr>
            </w:pPr>
            <w:r>
              <w:rPr>
                <w:rFonts w:ascii="Arial" w:cs="Arial" w:eastAsia="Arial" w:hAnsi="Arial"/>
                <w:sz w:val="18"/>
                <w:szCs w:val="18"/>
                <w:color w:val="auto"/>
              </w:rPr>
              <w:t>46,301</w:t>
            </w:r>
          </w:p>
        </w:tc>
        <w:tc>
          <w:tcPr>
            <w:tcW w:w="1540" w:type="dxa"/>
            <w:vAlign w:val="bottom"/>
            <w:tcBorders>
              <w:bottom w:val="single" w:sz="8" w:color="E7E7E8"/>
            </w:tcBorders>
            <w:shd w:val="clear" w:color="auto" w:fill="E7E7E8"/>
          </w:tcPr>
          <w:p>
            <w:pPr>
              <w:ind w:left="9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E7E7E8"/>
            </w:tcBorders>
            <w:shd w:val="clear" w:color="auto" w:fill="E7E7E8"/>
          </w:tcPr>
          <w:p>
            <w:pPr>
              <w:jc w:val="right"/>
              <w:ind w:right="298"/>
              <w:spacing w:after="0"/>
              <w:rPr>
                <w:sz w:val="20"/>
                <w:szCs w:val="20"/>
                <w:color w:val="auto"/>
              </w:rPr>
            </w:pPr>
            <w:r>
              <w:rPr>
                <w:rFonts w:ascii="Arial" w:cs="Arial" w:eastAsia="Arial" w:hAnsi="Arial"/>
                <w:sz w:val="18"/>
                <w:szCs w:val="18"/>
                <w:color w:val="auto"/>
              </w:rPr>
              <w:t>736,491</w:t>
            </w:r>
          </w:p>
        </w:tc>
      </w:tr>
      <w:tr>
        <w:trPr>
          <w:trHeight w:val="224"/>
        </w:trPr>
        <w:tc>
          <w:tcPr>
            <w:tcW w:w="4260" w:type="dxa"/>
            <w:vAlign w:val="bottom"/>
          </w:tcPr>
          <w:p>
            <w:pPr>
              <w:ind w:left="40"/>
              <w:spacing w:after="0"/>
              <w:rPr>
                <w:sz w:val="20"/>
                <w:szCs w:val="20"/>
                <w:color w:val="auto"/>
              </w:rPr>
            </w:pPr>
            <w:r>
              <w:rPr>
                <w:rFonts w:ascii="Arial" w:cs="Arial" w:eastAsia="Arial" w:hAnsi="Arial"/>
                <w:sz w:val="18"/>
                <w:szCs w:val="18"/>
                <w:color w:val="auto"/>
              </w:rPr>
              <w:t>D. Craig Kesler</w:t>
            </w: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9"/>
        </w:trPr>
        <w:tc>
          <w:tcPr>
            <w:tcW w:w="4260" w:type="dxa"/>
            <w:vAlign w:val="bottom"/>
          </w:tcPr>
          <w:p>
            <w:pPr>
              <w:ind w:left="120"/>
              <w:spacing w:after="0"/>
              <w:rPr>
                <w:sz w:val="20"/>
                <w:szCs w:val="20"/>
                <w:color w:val="auto"/>
              </w:rPr>
            </w:pPr>
            <w:r>
              <w:rPr>
                <w:rFonts w:ascii="Arial" w:cs="Arial" w:eastAsia="Arial" w:hAnsi="Arial"/>
                <w:sz w:val="18"/>
                <w:szCs w:val="18"/>
                <w:color w:val="auto"/>
              </w:rPr>
              <w:t>SERP Plan</w:t>
            </w:r>
          </w:p>
        </w:tc>
        <w:tc>
          <w:tcPr>
            <w:tcW w:w="1360" w:type="dxa"/>
            <w:vAlign w:val="bottom"/>
          </w:tcPr>
          <w:p>
            <w:pPr>
              <w:ind w:left="7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8"/>
              <w:spacing w:after="0"/>
              <w:rPr>
                <w:sz w:val="20"/>
                <w:szCs w:val="20"/>
                <w:color w:val="auto"/>
              </w:rPr>
            </w:pPr>
            <w:r>
              <w:rPr>
                <w:rFonts w:ascii="Arial" w:cs="Arial" w:eastAsia="Arial" w:hAnsi="Arial"/>
                <w:sz w:val="18"/>
                <w:szCs w:val="18"/>
                <w:color w:val="auto"/>
              </w:rPr>
              <w:t>26,270</w:t>
            </w:r>
          </w:p>
        </w:tc>
        <w:tc>
          <w:tcPr>
            <w:tcW w:w="1320" w:type="dxa"/>
            <w:vAlign w:val="bottom"/>
          </w:tcPr>
          <w:p>
            <w:pPr>
              <w:jc w:val="right"/>
              <w:ind w:right="238"/>
              <w:spacing w:after="0"/>
              <w:rPr>
                <w:sz w:val="20"/>
                <w:szCs w:val="20"/>
                <w:color w:val="auto"/>
              </w:rPr>
            </w:pPr>
            <w:r>
              <w:rPr>
                <w:rFonts w:ascii="Arial" w:cs="Arial" w:eastAsia="Arial" w:hAnsi="Arial"/>
                <w:sz w:val="18"/>
                <w:szCs w:val="18"/>
                <w:color w:val="auto"/>
              </w:rPr>
              <w:t>29,977</w:t>
            </w:r>
          </w:p>
        </w:tc>
        <w:tc>
          <w:tcPr>
            <w:tcW w:w="1540" w:type="dxa"/>
            <w:vAlign w:val="bottom"/>
          </w:tcPr>
          <w:p>
            <w:pPr>
              <w:ind w:left="9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98"/>
              <w:spacing w:after="0"/>
              <w:rPr>
                <w:sz w:val="20"/>
                <w:szCs w:val="20"/>
                <w:color w:val="auto"/>
              </w:rPr>
            </w:pPr>
            <w:r>
              <w:rPr>
                <w:rFonts w:ascii="Arial" w:cs="Arial" w:eastAsia="Arial" w:hAnsi="Arial"/>
                <w:sz w:val="18"/>
                <w:szCs w:val="18"/>
                <w:color w:val="auto"/>
              </w:rPr>
              <w:t>441,461</w:t>
            </w:r>
          </w:p>
        </w:tc>
      </w:tr>
      <w:tr>
        <w:trPr>
          <w:trHeight w:val="23"/>
        </w:trPr>
        <w:tc>
          <w:tcPr>
            <w:tcW w:w="4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4"/>
        </w:trPr>
        <w:tc>
          <w:tcPr>
            <w:tcW w:w="4260" w:type="dxa"/>
            <w:vAlign w:val="bottom"/>
            <w:shd w:val="clear" w:color="auto" w:fill="E7E7E8"/>
          </w:tcPr>
          <w:p>
            <w:pPr>
              <w:ind w:left="40"/>
              <w:spacing w:after="0"/>
              <w:rPr>
                <w:sz w:val="20"/>
                <w:szCs w:val="20"/>
                <w:color w:val="auto"/>
              </w:rPr>
            </w:pPr>
            <w:r>
              <w:rPr>
                <w:rFonts w:ascii="Arial" w:cs="Arial" w:eastAsia="Arial" w:hAnsi="Arial"/>
                <w:sz w:val="18"/>
                <w:szCs w:val="18"/>
                <w:color w:val="auto"/>
              </w:rPr>
              <w:t>Matt Newby</w:t>
            </w:r>
          </w:p>
        </w:tc>
        <w:tc>
          <w:tcPr>
            <w:tcW w:w="136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1540" w:type="dxa"/>
            <w:vAlign w:val="bottom"/>
            <w:shd w:val="clear" w:color="auto" w:fill="E7E7E8"/>
          </w:tcPr>
          <w:p>
            <w:pPr>
              <w:spacing w:after="0"/>
              <w:rPr>
                <w:sz w:val="19"/>
                <w:szCs w:val="19"/>
                <w:color w:val="auto"/>
              </w:rPr>
            </w:pPr>
          </w:p>
        </w:tc>
        <w:tc>
          <w:tcPr>
            <w:tcW w:w="1400" w:type="dxa"/>
            <w:vAlign w:val="bottom"/>
            <w:shd w:val="clear" w:color="auto" w:fill="E7E7E8"/>
          </w:tcPr>
          <w:p>
            <w:pPr>
              <w:spacing w:after="0"/>
              <w:rPr>
                <w:sz w:val="19"/>
                <w:szCs w:val="19"/>
                <w:color w:val="auto"/>
              </w:rPr>
            </w:pPr>
          </w:p>
        </w:tc>
      </w:tr>
      <w:tr>
        <w:trPr>
          <w:trHeight w:val="242"/>
        </w:trPr>
        <w:tc>
          <w:tcPr>
            <w:tcW w:w="4260" w:type="dxa"/>
            <w:vAlign w:val="bottom"/>
            <w:tcBorders>
              <w:bottom w:val="single" w:sz="8" w:color="E7E7E8"/>
            </w:tcBorders>
            <w:shd w:val="clear" w:color="auto" w:fill="E7E7E8"/>
          </w:tcPr>
          <w:p>
            <w:pPr>
              <w:ind w:left="120"/>
              <w:spacing w:after="0"/>
              <w:rPr>
                <w:sz w:val="20"/>
                <w:szCs w:val="20"/>
                <w:color w:val="auto"/>
              </w:rPr>
            </w:pPr>
            <w:r>
              <w:rPr>
                <w:rFonts w:ascii="Arial" w:cs="Arial" w:eastAsia="Arial" w:hAnsi="Arial"/>
                <w:sz w:val="18"/>
                <w:szCs w:val="18"/>
                <w:color w:val="auto"/>
              </w:rPr>
              <w:t>SERP Plan</w:t>
            </w:r>
          </w:p>
        </w:tc>
        <w:tc>
          <w:tcPr>
            <w:tcW w:w="1360" w:type="dxa"/>
            <w:vAlign w:val="bottom"/>
            <w:tcBorders>
              <w:bottom w:val="single" w:sz="8" w:color="E7E7E8"/>
            </w:tcBorders>
            <w:shd w:val="clear" w:color="auto" w:fill="E7E7E8"/>
          </w:tcPr>
          <w:p>
            <w:pPr>
              <w:ind w:left="7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7E7E8"/>
            </w:tcBorders>
            <w:shd w:val="clear" w:color="auto" w:fill="E7E7E8"/>
          </w:tcPr>
          <w:p>
            <w:pPr>
              <w:jc w:val="right"/>
              <w:ind w:right="378"/>
              <w:spacing w:after="0"/>
              <w:rPr>
                <w:sz w:val="20"/>
                <w:szCs w:val="20"/>
                <w:color w:val="auto"/>
              </w:rPr>
            </w:pPr>
            <w:r>
              <w:rPr>
                <w:rFonts w:ascii="Arial" w:cs="Arial" w:eastAsia="Arial" w:hAnsi="Arial"/>
                <w:sz w:val="18"/>
                <w:szCs w:val="18"/>
                <w:color w:val="auto"/>
              </w:rPr>
              <w:t>16,563</w:t>
            </w:r>
          </w:p>
        </w:tc>
        <w:tc>
          <w:tcPr>
            <w:tcW w:w="1320" w:type="dxa"/>
            <w:vAlign w:val="bottom"/>
            <w:tcBorders>
              <w:bottom w:val="single" w:sz="8" w:color="E7E7E8"/>
            </w:tcBorders>
            <w:shd w:val="clear" w:color="auto" w:fill="E7E7E8"/>
          </w:tcPr>
          <w:p>
            <w:pPr>
              <w:jc w:val="right"/>
              <w:ind w:right="238"/>
              <w:spacing w:after="0"/>
              <w:rPr>
                <w:sz w:val="20"/>
                <w:szCs w:val="20"/>
                <w:color w:val="auto"/>
              </w:rPr>
            </w:pPr>
            <w:r>
              <w:rPr>
                <w:rFonts w:ascii="Arial" w:cs="Arial" w:eastAsia="Arial" w:hAnsi="Arial"/>
                <w:sz w:val="18"/>
                <w:szCs w:val="18"/>
                <w:color w:val="auto"/>
              </w:rPr>
              <w:t>594</w:t>
            </w:r>
          </w:p>
        </w:tc>
        <w:tc>
          <w:tcPr>
            <w:tcW w:w="1540" w:type="dxa"/>
            <w:vAlign w:val="bottom"/>
            <w:tcBorders>
              <w:bottom w:val="single" w:sz="8" w:color="E7E7E8"/>
            </w:tcBorders>
            <w:shd w:val="clear" w:color="auto" w:fill="E7E7E8"/>
          </w:tcPr>
          <w:p>
            <w:pPr>
              <w:ind w:left="9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E7E7E8"/>
            </w:tcBorders>
            <w:shd w:val="clear" w:color="auto" w:fill="E7E7E8"/>
          </w:tcPr>
          <w:p>
            <w:pPr>
              <w:jc w:val="right"/>
              <w:ind w:right="298"/>
              <w:spacing w:after="0"/>
              <w:rPr>
                <w:sz w:val="20"/>
                <w:szCs w:val="20"/>
                <w:color w:val="auto"/>
              </w:rPr>
            </w:pPr>
            <w:r>
              <w:rPr>
                <w:rFonts w:ascii="Arial" w:cs="Arial" w:eastAsia="Arial" w:hAnsi="Arial"/>
                <w:sz w:val="18"/>
                <w:szCs w:val="18"/>
                <w:color w:val="auto"/>
              </w:rPr>
              <w:t>36,893</w:t>
            </w:r>
          </w:p>
        </w:tc>
      </w:tr>
      <w:tr>
        <w:trPr>
          <w:trHeight w:val="224"/>
        </w:trPr>
        <w:tc>
          <w:tcPr>
            <w:tcW w:w="4260" w:type="dxa"/>
            <w:vAlign w:val="bottom"/>
          </w:tcPr>
          <w:p>
            <w:pPr>
              <w:ind w:left="40"/>
              <w:spacing w:after="0"/>
              <w:rPr>
                <w:sz w:val="20"/>
                <w:szCs w:val="20"/>
                <w:color w:val="auto"/>
              </w:rPr>
            </w:pPr>
            <w:r>
              <w:rPr>
                <w:rFonts w:ascii="Arial" w:cs="Arial" w:eastAsia="Arial" w:hAnsi="Arial"/>
                <w:sz w:val="18"/>
                <w:szCs w:val="18"/>
                <w:color w:val="auto"/>
              </w:rPr>
              <w:t>Eric Cribbs</w:t>
            </w: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9"/>
        </w:trPr>
        <w:tc>
          <w:tcPr>
            <w:tcW w:w="4260" w:type="dxa"/>
            <w:vAlign w:val="bottom"/>
          </w:tcPr>
          <w:p>
            <w:pPr>
              <w:ind w:left="120"/>
              <w:spacing w:after="0"/>
              <w:rPr>
                <w:sz w:val="20"/>
                <w:szCs w:val="20"/>
                <w:color w:val="auto"/>
              </w:rPr>
            </w:pPr>
            <w:r>
              <w:rPr>
                <w:rFonts w:ascii="Arial" w:cs="Arial" w:eastAsia="Arial" w:hAnsi="Arial"/>
                <w:sz w:val="18"/>
                <w:szCs w:val="18"/>
                <w:color w:val="auto"/>
              </w:rPr>
              <w:t>SERP Plan</w:t>
            </w:r>
          </w:p>
        </w:tc>
        <w:tc>
          <w:tcPr>
            <w:tcW w:w="1360" w:type="dxa"/>
            <w:vAlign w:val="bottom"/>
          </w:tcPr>
          <w:p>
            <w:pPr>
              <w:ind w:left="7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78"/>
              <w:spacing w:after="0"/>
              <w:rPr>
                <w:sz w:val="20"/>
                <w:szCs w:val="20"/>
                <w:color w:val="auto"/>
              </w:rPr>
            </w:pPr>
            <w:r>
              <w:rPr>
                <w:rFonts w:ascii="Arial" w:cs="Arial" w:eastAsia="Arial" w:hAnsi="Arial"/>
                <w:sz w:val="18"/>
                <w:szCs w:val="18"/>
                <w:color w:val="auto"/>
              </w:rPr>
              <w:t>4,284</w:t>
            </w:r>
          </w:p>
        </w:tc>
        <w:tc>
          <w:tcPr>
            <w:tcW w:w="1320" w:type="dxa"/>
            <w:vAlign w:val="bottom"/>
          </w:tcPr>
          <w:p>
            <w:pPr>
              <w:jc w:val="right"/>
              <w:ind w:right="238"/>
              <w:spacing w:after="0"/>
              <w:rPr>
                <w:sz w:val="20"/>
                <w:szCs w:val="20"/>
                <w:color w:val="auto"/>
              </w:rPr>
            </w:pPr>
            <w:r>
              <w:rPr>
                <w:rFonts w:ascii="Arial" w:cs="Arial" w:eastAsia="Arial" w:hAnsi="Arial"/>
                <w:sz w:val="18"/>
                <w:szCs w:val="18"/>
                <w:color w:val="auto"/>
              </w:rPr>
              <w:t>1,920</w:t>
            </w:r>
          </w:p>
        </w:tc>
        <w:tc>
          <w:tcPr>
            <w:tcW w:w="1540" w:type="dxa"/>
            <w:vAlign w:val="bottom"/>
          </w:tcPr>
          <w:p>
            <w:pPr>
              <w:ind w:left="9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98"/>
              <w:spacing w:after="0"/>
              <w:rPr>
                <w:sz w:val="20"/>
                <w:szCs w:val="20"/>
                <w:color w:val="auto"/>
              </w:rPr>
            </w:pPr>
            <w:r>
              <w:rPr>
                <w:rFonts w:ascii="Arial" w:cs="Arial" w:eastAsia="Arial" w:hAnsi="Arial"/>
                <w:sz w:val="18"/>
                <w:szCs w:val="18"/>
                <w:color w:val="auto"/>
              </w:rPr>
              <w:t>39,011</w:t>
            </w:r>
          </w:p>
        </w:tc>
      </w:tr>
      <w:tr>
        <w:trPr>
          <w:trHeight w:val="23"/>
        </w:trPr>
        <w:tc>
          <w:tcPr>
            <w:tcW w:w="4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4"/>
        </w:trPr>
        <w:tc>
          <w:tcPr>
            <w:tcW w:w="4260" w:type="dxa"/>
            <w:vAlign w:val="bottom"/>
            <w:shd w:val="clear" w:color="auto" w:fill="E7E7E8"/>
          </w:tcPr>
          <w:p>
            <w:pPr>
              <w:ind w:left="40"/>
              <w:spacing w:after="0"/>
              <w:rPr>
                <w:sz w:val="20"/>
                <w:szCs w:val="20"/>
                <w:color w:val="auto"/>
              </w:rPr>
            </w:pPr>
            <w:r>
              <w:rPr>
                <w:rFonts w:ascii="Arial" w:cs="Arial" w:eastAsia="Arial" w:hAnsi="Arial"/>
                <w:sz w:val="18"/>
                <w:szCs w:val="18"/>
                <w:color w:val="auto"/>
              </w:rPr>
              <w:t>Tony Thompson</w:t>
            </w:r>
          </w:p>
        </w:tc>
        <w:tc>
          <w:tcPr>
            <w:tcW w:w="1360" w:type="dxa"/>
            <w:vAlign w:val="bottom"/>
            <w:shd w:val="clear" w:color="auto" w:fill="E7E7E8"/>
          </w:tcPr>
          <w:p>
            <w:pPr>
              <w:spacing w:after="0"/>
              <w:rPr>
                <w:sz w:val="19"/>
                <w:szCs w:val="19"/>
                <w:color w:val="auto"/>
              </w:rPr>
            </w:pPr>
          </w:p>
        </w:tc>
        <w:tc>
          <w:tcPr>
            <w:tcW w:w="1360" w:type="dxa"/>
            <w:vAlign w:val="bottom"/>
            <w:shd w:val="clear" w:color="auto" w:fill="E7E7E8"/>
          </w:tcPr>
          <w:p>
            <w:pPr>
              <w:spacing w:after="0"/>
              <w:rPr>
                <w:sz w:val="19"/>
                <w:szCs w:val="19"/>
                <w:color w:val="auto"/>
              </w:rPr>
            </w:pPr>
          </w:p>
        </w:tc>
        <w:tc>
          <w:tcPr>
            <w:tcW w:w="1320" w:type="dxa"/>
            <w:vAlign w:val="bottom"/>
            <w:shd w:val="clear" w:color="auto" w:fill="E7E7E8"/>
          </w:tcPr>
          <w:p>
            <w:pPr>
              <w:spacing w:after="0"/>
              <w:rPr>
                <w:sz w:val="19"/>
                <w:szCs w:val="19"/>
                <w:color w:val="auto"/>
              </w:rPr>
            </w:pPr>
          </w:p>
        </w:tc>
        <w:tc>
          <w:tcPr>
            <w:tcW w:w="1540" w:type="dxa"/>
            <w:vAlign w:val="bottom"/>
            <w:shd w:val="clear" w:color="auto" w:fill="E7E7E8"/>
          </w:tcPr>
          <w:p>
            <w:pPr>
              <w:spacing w:after="0"/>
              <w:rPr>
                <w:sz w:val="19"/>
                <w:szCs w:val="19"/>
                <w:color w:val="auto"/>
              </w:rPr>
            </w:pPr>
          </w:p>
        </w:tc>
        <w:tc>
          <w:tcPr>
            <w:tcW w:w="1400" w:type="dxa"/>
            <w:vAlign w:val="bottom"/>
            <w:shd w:val="clear" w:color="auto" w:fill="E7E7E8"/>
          </w:tcPr>
          <w:p>
            <w:pPr>
              <w:spacing w:after="0"/>
              <w:rPr>
                <w:sz w:val="19"/>
                <w:szCs w:val="19"/>
                <w:color w:val="auto"/>
              </w:rPr>
            </w:pPr>
          </w:p>
        </w:tc>
      </w:tr>
      <w:tr>
        <w:trPr>
          <w:trHeight w:val="221"/>
        </w:trPr>
        <w:tc>
          <w:tcPr>
            <w:tcW w:w="4260" w:type="dxa"/>
            <w:vAlign w:val="bottom"/>
            <w:shd w:val="clear" w:color="auto" w:fill="E7E7E8"/>
          </w:tcPr>
          <w:p>
            <w:pPr>
              <w:ind w:left="120"/>
              <w:spacing w:after="0"/>
              <w:rPr>
                <w:sz w:val="20"/>
                <w:szCs w:val="20"/>
                <w:color w:val="auto"/>
              </w:rPr>
            </w:pPr>
            <w:r>
              <w:rPr>
                <w:rFonts w:ascii="Arial" w:cs="Arial" w:eastAsia="Arial" w:hAnsi="Arial"/>
                <w:sz w:val="18"/>
                <w:szCs w:val="18"/>
                <w:color w:val="auto"/>
              </w:rPr>
              <w:t>SERP Plan</w:t>
            </w:r>
          </w:p>
        </w:tc>
        <w:tc>
          <w:tcPr>
            <w:tcW w:w="1360" w:type="dxa"/>
            <w:vAlign w:val="bottom"/>
            <w:shd w:val="clear" w:color="auto" w:fill="E7E7E8"/>
          </w:tcPr>
          <w:p>
            <w:pPr>
              <w:ind w:left="7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E7E7E8"/>
          </w:tcPr>
          <w:p>
            <w:pPr>
              <w:jc w:val="right"/>
              <w:ind w:right="378"/>
              <w:spacing w:after="0"/>
              <w:rPr>
                <w:sz w:val="20"/>
                <w:szCs w:val="20"/>
                <w:color w:val="auto"/>
              </w:rPr>
            </w:pPr>
            <w:r>
              <w:rPr>
                <w:rFonts w:ascii="Arial" w:cs="Arial" w:eastAsia="Arial" w:hAnsi="Arial"/>
                <w:sz w:val="18"/>
                <w:szCs w:val="18"/>
                <w:color w:val="auto"/>
              </w:rPr>
              <w:t>—</w:t>
            </w:r>
          </w:p>
        </w:tc>
        <w:tc>
          <w:tcPr>
            <w:tcW w:w="1320" w:type="dxa"/>
            <w:vAlign w:val="bottom"/>
            <w:shd w:val="clear" w:color="auto" w:fill="E7E7E8"/>
          </w:tcPr>
          <w:p>
            <w:pPr>
              <w:jc w:val="right"/>
              <w:ind w:right="238"/>
              <w:spacing w:after="0"/>
              <w:rPr>
                <w:sz w:val="20"/>
                <w:szCs w:val="20"/>
                <w:color w:val="auto"/>
              </w:rPr>
            </w:pPr>
            <w:r>
              <w:rPr>
                <w:rFonts w:ascii="Arial" w:cs="Arial" w:eastAsia="Arial" w:hAnsi="Arial"/>
                <w:sz w:val="18"/>
                <w:szCs w:val="18"/>
                <w:color w:val="auto"/>
              </w:rPr>
              <w:t>—</w:t>
            </w:r>
          </w:p>
        </w:tc>
        <w:tc>
          <w:tcPr>
            <w:tcW w:w="1540" w:type="dxa"/>
            <w:vAlign w:val="bottom"/>
            <w:shd w:val="clear" w:color="auto" w:fill="E7E7E8"/>
          </w:tcPr>
          <w:p>
            <w:pPr>
              <w:ind w:left="9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7E7E8"/>
          </w:tcPr>
          <w:p>
            <w:pPr>
              <w:jc w:val="right"/>
              <w:ind w:right="298"/>
              <w:spacing w:after="0"/>
              <w:rPr>
                <w:sz w:val="20"/>
                <w:szCs w:val="20"/>
                <w:color w:val="auto"/>
              </w:rPr>
            </w:pPr>
            <w:r>
              <w:rPr>
                <w:rFonts w:ascii="Arial" w:cs="Arial" w:eastAsia="Arial" w:hAnsi="Arial"/>
                <w:sz w:val="18"/>
                <w:szCs w:val="18"/>
                <w:color w:val="auto"/>
              </w:rPr>
              <w:t>—</w:t>
            </w:r>
          </w:p>
        </w:tc>
      </w:tr>
      <w:tr>
        <w:trPr>
          <w:trHeight w:val="101"/>
        </w:trPr>
        <w:tc>
          <w:tcPr>
            <w:tcW w:w="4260" w:type="dxa"/>
            <w:vAlign w:val="bottom"/>
            <w:tcBorders>
              <w:bottom w:val="single" w:sz="8" w:color="051972"/>
            </w:tcBorders>
            <w:shd w:val="clear" w:color="auto" w:fill="E7E7E8"/>
          </w:tcPr>
          <w:p>
            <w:pPr>
              <w:spacing w:after="0"/>
              <w:rPr>
                <w:sz w:val="8"/>
                <w:szCs w:val="8"/>
                <w:color w:val="auto"/>
              </w:rPr>
            </w:pPr>
          </w:p>
        </w:tc>
        <w:tc>
          <w:tcPr>
            <w:tcW w:w="1360" w:type="dxa"/>
            <w:vAlign w:val="bottom"/>
            <w:tcBorders>
              <w:bottom w:val="single" w:sz="8" w:color="051972"/>
            </w:tcBorders>
            <w:shd w:val="clear" w:color="auto" w:fill="E7E7E8"/>
          </w:tcPr>
          <w:p>
            <w:pPr>
              <w:spacing w:after="0"/>
              <w:rPr>
                <w:sz w:val="8"/>
                <w:szCs w:val="8"/>
                <w:color w:val="auto"/>
              </w:rPr>
            </w:pPr>
          </w:p>
        </w:tc>
        <w:tc>
          <w:tcPr>
            <w:tcW w:w="1360" w:type="dxa"/>
            <w:vAlign w:val="bottom"/>
            <w:tcBorders>
              <w:bottom w:val="single" w:sz="8" w:color="051972"/>
            </w:tcBorders>
            <w:shd w:val="clear" w:color="auto" w:fill="E7E7E8"/>
          </w:tcPr>
          <w:p>
            <w:pPr>
              <w:spacing w:after="0"/>
              <w:rPr>
                <w:sz w:val="8"/>
                <w:szCs w:val="8"/>
                <w:color w:val="auto"/>
              </w:rPr>
            </w:pPr>
          </w:p>
        </w:tc>
        <w:tc>
          <w:tcPr>
            <w:tcW w:w="1320" w:type="dxa"/>
            <w:vAlign w:val="bottom"/>
            <w:tcBorders>
              <w:bottom w:val="single" w:sz="8" w:color="051972"/>
            </w:tcBorders>
            <w:shd w:val="clear" w:color="auto" w:fill="E7E7E8"/>
          </w:tcPr>
          <w:p>
            <w:pPr>
              <w:spacing w:after="0"/>
              <w:rPr>
                <w:sz w:val="8"/>
                <w:szCs w:val="8"/>
                <w:color w:val="auto"/>
              </w:rPr>
            </w:pPr>
          </w:p>
        </w:tc>
        <w:tc>
          <w:tcPr>
            <w:tcW w:w="1540" w:type="dxa"/>
            <w:vAlign w:val="bottom"/>
            <w:tcBorders>
              <w:bottom w:val="single" w:sz="8" w:color="051972"/>
            </w:tcBorders>
            <w:shd w:val="clear" w:color="auto" w:fill="E7E7E8"/>
          </w:tcPr>
          <w:p>
            <w:pPr>
              <w:spacing w:after="0"/>
              <w:rPr>
                <w:sz w:val="8"/>
                <w:szCs w:val="8"/>
                <w:color w:val="auto"/>
              </w:rPr>
            </w:pPr>
          </w:p>
        </w:tc>
        <w:tc>
          <w:tcPr>
            <w:tcW w:w="1400" w:type="dxa"/>
            <w:vAlign w:val="bottom"/>
            <w:tcBorders>
              <w:bottom w:val="single" w:sz="8" w:color="051972"/>
            </w:tcBorders>
            <w:shd w:val="clear" w:color="auto" w:fill="E7E7E8"/>
          </w:tcPr>
          <w:p>
            <w:pPr>
              <w:spacing w:after="0"/>
              <w:rPr>
                <w:sz w:val="8"/>
                <w:szCs w:val="8"/>
                <w:color w:val="auto"/>
              </w:rPr>
            </w:pPr>
          </w:p>
        </w:tc>
      </w:tr>
    </w:tbl>
    <w:p>
      <w:pPr>
        <w:spacing w:after="0" w:line="234" w:lineRule="exact"/>
        <w:rPr>
          <w:sz w:val="20"/>
          <w:szCs w:val="20"/>
          <w:color w:val="auto"/>
        </w:rPr>
      </w:pPr>
    </w:p>
    <w:p>
      <w:pPr>
        <w:ind w:left="380" w:hanging="372"/>
        <w:spacing w:after="0"/>
        <w:tabs>
          <w:tab w:leader="none" w:pos="380" w:val="left"/>
        </w:tabs>
        <w:numPr>
          <w:ilvl w:val="0"/>
          <w:numId w:val="84"/>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in this column are reflected in the “All Other Compensation” column of the Summary Compensation Table of this Proxy Statement.</w:t>
      </w:r>
    </w:p>
    <w:p>
      <w:pPr>
        <w:spacing w:after="0" w:line="108" w:lineRule="exact"/>
        <w:rPr>
          <w:rFonts w:ascii="Times New Roman" w:cs="Times New Roman" w:eastAsia="Times New Roman" w:hAnsi="Times New Roman"/>
          <w:sz w:val="14"/>
          <w:szCs w:val="14"/>
          <w:color w:val="auto"/>
        </w:rPr>
      </w:pPr>
    </w:p>
    <w:p>
      <w:pPr>
        <w:ind w:left="380" w:right="20" w:hanging="372"/>
        <w:spacing w:after="0" w:line="252" w:lineRule="auto"/>
        <w:tabs>
          <w:tab w:leader="none" w:pos="380" w:val="left"/>
        </w:tabs>
        <w:numPr>
          <w:ilvl w:val="0"/>
          <w:numId w:val="84"/>
        </w:numPr>
        <w:rPr>
          <w:rFonts w:ascii="Times New Roman" w:cs="Times New Roman" w:eastAsia="Times New Roman" w:hAnsi="Times New Roman"/>
          <w:sz w:val="14"/>
          <w:szCs w:val="14"/>
          <w:color w:val="auto"/>
        </w:rPr>
      </w:pPr>
      <w:r>
        <w:rPr>
          <w:rFonts w:ascii="Arial" w:cs="Arial" w:eastAsia="Arial" w:hAnsi="Arial"/>
          <w:sz w:val="14"/>
          <w:szCs w:val="14"/>
          <w:color w:val="auto"/>
        </w:rPr>
        <w:t>The earnings in this column reflect earnings or losses on balances in the Named Executive Officer’s SERP account. A Named Executive Officer may designate how his account balance is to be invested by selecting among the investment options available under our Retirement Plan, with the exception of the Common Stock fund. Because these earnings are not “above market,” they are not included in the Summary Compensation Table of this Proxy Statement. The table below shows the investment options available under our Retirement Plan (other than the Common Stock fund) and the annual rate of return for the 12-month period ended March 31, 2025, as reported to us by the administrator of the plan.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56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70"/>
        </w:trPr>
        <w:tc>
          <w:tcPr>
            <w:tcW w:w="7880" w:type="dxa"/>
            <w:vAlign w:val="bottom"/>
          </w:tcPr>
          <w:p>
            <w:pPr>
              <w:spacing w:after="0"/>
              <w:rPr>
                <w:sz w:val="23"/>
                <w:szCs w:val="23"/>
                <w:color w:val="auto"/>
              </w:rPr>
            </w:pPr>
          </w:p>
        </w:tc>
        <w:tc>
          <w:tcPr>
            <w:tcW w:w="3360" w:type="dxa"/>
            <w:vAlign w:val="bottom"/>
            <w:shd w:val="clear" w:color="auto" w:fill="051972"/>
          </w:tcPr>
          <w:p>
            <w:pPr>
              <w:jc w:val="right"/>
              <w:ind w:right="331"/>
              <w:spacing w:after="0"/>
              <w:rPr>
                <w:sz w:val="20"/>
                <w:szCs w:val="20"/>
                <w:color w:val="auto"/>
              </w:rPr>
            </w:pPr>
            <w:r>
              <w:rPr>
                <w:rFonts w:ascii="Arial" w:cs="Arial" w:eastAsia="Arial" w:hAnsi="Arial"/>
                <w:sz w:val="18"/>
                <w:szCs w:val="18"/>
                <w:b w:val="1"/>
                <w:bCs w:val="1"/>
                <w:color w:val="FFFFFF"/>
              </w:rPr>
              <w:t>EXECUTIVE COMPENSATION</w:t>
            </w:r>
          </w:p>
        </w:tc>
      </w:tr>
      <w:tr>
        <w:trPr>
          <w:trHeight w:val="274"/>
        </w:trPr>
        <w:tc>
          <w:tcPr>
            <w:tcW w:w="7880" w:type="dxa"/>
            <w:vAlign w:val="bottom"/>
          </w:tcPr>
          <w:p>
            <w:pPr>
              <w:spacing w:after="0"/>
              <w:rPr>
                <w:sz w:val="23"/>
                <w:szCs w:val="23"/>
                <w:color w:val="auto"/>
              </w:rPr>
            </w:pPr>
          </w:p>
        </w:tc>
        <w:tc>
          <w:tcPr>
            <w:tcW w:w="3360" w:type="dxa"/>
            <w:vAlign w:val="bottom"/>
          </w:tcPr>
          <w:p>
            <w:pPr>
              <w:jc w:val="right"/>
              <w:ind w:right="771"/>
              <w:spacing w:after="0"/>
              <w:rPr>
                <w:sz w:val="20"/>
                <w:szCs w:val="20"/>
                <w:color w:val="auto"/>
              </w:rPr>
            </w:pPr>
            <w:r>
              <w:rPr>
                <w:rFonts w:ascii="Arial" w:cs="Arial" w:eastAsia="Arial" w:hAnsi="Arial"/>
                <w:sz w:val="14"/>
                <w:szCs w:val="14"/>
                <w:b w:val="1"/>
                <w:bCs w:val="1"/>
                <w:color w:val="051972"/>
              </w:rPr>
              <w:t>Rate of</w:t>
            </w:r>
          </w:p>
        </w:tc>
      </w:tr>
      <w:tr>
        <w:trPr>
          <w:trHeight w:val="185"/>
        </w:trPr>
        <w:tc>
          <w:tcPr>
            <w:tcW w:w="7880" w:type="dxa"/>
            <w:vAlign w:val="bottom"/>
            <w:tcBorders>
              <w:bottom w:val="single" w:sz="8" w:color="051972"/>
            </w:tcBorders>
          </w:tcPr>
          <w:p>
            <w:pPr>
              <w:ind w:left="80"/>
              <w:spacing w:after="0"/>
              <w:rPr>
                <w:sz w:val="20"/>
                <w:szCs w:val="20"/>
                <w:color w:val="auto"/>
              </w:rPr>
            </w:pPr>
            <w:r>
              <w:rPr>
                <w:rFonts w:ascii="Arial" w:cs="Arial" w:eastAsia="Arial" w:hAnsi="Arial"/>
                <w:sz w:val="14"/>
                <w:szCs w:val="14"/>
                <w:b w:val="1"/>
                <w:bCs w:val="1"/>
                <w:color w:val="051972"/>
              </w:rPr>
              <w:t>Fund</w:t>
            </w:r>
          </w:p>
        </w:tc>
        <w:tc>
          <w:tcPr>
            <w:tcW w:w="3360" w:type="dxa"/>
            <w:vAlign w:val="bottom"/>
            <w:tcBorders>
              <w:bottom w:val="single" w:sz="8" w:color="051972"/>
            </w:tcBorders>
          </w:tcPr>
          <w:p>
            <w:pPr>
              <w:jc w:val="right"/>
              <w:ind w:right="791"/>
              <w:spacing w:after="0"/>
              <w:rPr>
                <w:sz w:val="20"/>
                <w:szCs w:val="20"/>
                <w:color w:val="auto"/>
              </w:rPr>
            </w:pPr>
            <w:r>
              <w:rPr>
                <w:rFonts w:ascii="Arial" w:cs="Arial" w:eastAsia="Arial" w:hAnsi="Arial"/>
                <w:sz w:val="14"/>
                <w:szCs w:val="14"/>
                <w:b w:val="1"/>
                <w:bCs w:val="1"/>
                <w:color w:val="051972"/>
              </w:rPr>
              <w:t>Return</w:t>
            </w:r>
          </w:p>
        </w:tc>
      </w:tr>
      <w:tr>
        <w:trPr>
          <w:trHeight w:val="284"/>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Harbor Capital Appreciation Ret</w:t>
            </w:r>
          </w:p>
        </w:tc>
        <w:tc>
          <w:tcPr>
            <w:tcW w:w="3360" w:type="dxa"/>
            <w:vAlign w:val="bottom"/>
            <w:tcBorders>
              <w:bottom w:val="single" w:sz="8" w:color="E7E7E8"/>
            </w:tcBorders>
            <w:shd w:val="clear" w:color="auto" w:fill="E7E7E8"/>
          </w:tcPr>
          <w:p>
            <w:pPr>
              <w:jc w:val="right"/>
              <w:ind w:right="311"/>
              <w:spacing w:after="0"/>
              <w:rPr>
                <w:sz w:val="20"/>
                <w:szCs w:val="20"/>
                <w:color w:val="auto"/>
              </w:rPr>
            </w:pPr>
            <w:r>
              <w:rPr>
                <w:rFonts w:ascii="Arial" w:cs="Arial" w:eastAsia="Arial" w:hAnsi="Arial"/>
                <w:sz w:val="18"/>
                <w:szCs w:val="18"/>
                <w:color w:val="auto"/>
              </w:rPr>
              <w:t>3.62%</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Northern Trust S&amp;P 500 Index</w:t>
            </w:r>
          </w:p>
        </w:tc>
        <w:tc>
          <w:tcPr>
            <w:tcW w:w="3360" w:type="dxa"/>
            <w:vAlign w:val="bottom"/>
          </w:tcPr>
          <w:p>
            <w:pPr>
              <w:jc w:val="right"/>
              <w:ind w:right="311"/>
              <w:spacing w:after="0"/>
              <w:rPr>
                <w:sz w:val="20"/>
                <w:szCs w:val="20"/>
                <w:color w:val="auto"/>
              </w:rPr>
            </w:pPr>
            <w:r>
              <w:rPr>
                <w:rFonts w:ascii="Arial" w:cs="Arial" w:eastAsia="Arial" w:hAnsi="Arial"/>
                <w:sz w:val="18"/>
                <w:szCs w:val="18"/>
                <w:color w:val="auto"/>
              </w:rPr>
              <w:t>8.24%</w:t>
            </w:r>
          </w:p>
        </w:tc>
      </w:tr>
      <w:tr>
        <w:trPr>
          <w:trHeight w:val="36"/>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MFS Mid Cap Growth</w:t>
            </w:r>
          </w:p>
        </w:tc>
        <w:tc>
          <w:tcPr>
            <w:tcW w:w="3360" w:type="dxa"/>
            <w:vAlign w:val="bottom"/>
            <w:tcBorders>
              <w:bottom w:val="single" w:sz="8" w:color="E7E7E8"/>
            </w:tcBorders>
            <w:shd w:val="clear" w:color="auto" w:fill="E7E7E8"/>
          </w:tcPr>
          <w:p>
            <w:pPr>
              <w:jc w:val="right"/>
              <w:ind w:right="251"/>
              <w:spacing w:after="0"/>
              <w:rPr>
                <w:sz w:val="20"/>
                <w:szCs w:val="20"/>
                <w:color w:val="auto"/>
              </w:rPr>
            </w:pPr>
            <w:r>
              <w:rPr>
                <w:rFonts w:ascii="Arial" w:cs="Arial" w:eastAsia="Arial" w:hAnsi="Arial"/>
                <w:sz w:val="18"/>
                <w:szCs w:val="18"/>
                <w:color w:val="auto"/>
              </w:rPr>
              <w:t>(2.42%)</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Northern Trust Ext Equity Mkt Idx</w:t>
            </w:r>
          </w:p>
        </w:tc>
        <w:tc>
          <w:tcPr>
            <w:tcW w:w="3360" w:type="dxa"/>
            <w:vAlign w:val="bottom"/>
          </w:tcPr>
          <w:p>
            <w:pPr>
              <w:jc w:val="right"/>
              <w:ind w:right="251"/>
              <w:spacing w:after="0"/>
              <w:rPr>
                <w:sz w:val="20"/>
                <w:szCs w:val="20"/>
                <w:color w:val="auto"/>
              </w:rPr>
            </w:pPr>
            <w:r>
              <w:rPr>
                <w:rFonts w:ascii="Arial" w:cs="Arial" w:eastAsia="Arial" w:hAnsi="Arial"/>
                <w:sz w:val="18"/>
                <w:szCs w:val="18"/>
                <w:color w:val="auto"/>
              </w:rPr>
              <w:t>(0.50%)</w:t>
            </w:r>
          </w:p>
        </w:tc>
      </w:tr>
      <w:tr>
        <w:trPr>
          <w:trHeight w:val="37"/>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AS SPL Small Cap Value R6</w:t>
            </w:r>
          </w:p>
        </w:tc>
        <w:tc>
          <w:tcPr>
            <w:tcW w:w="3360" w:type="dxa"/>
            <w:vAlign w:val="bottom"/>
            <w:tcBorders>
              <w:bottom w:val="single" w:sz="8" w:color="E7E7E8"/>
            </w:tcBorders>
            <w:shd w:val="clear" w:color="auto" w:fill="E7E7E8"/>
          </w:tcPr>
          <w:p>
            <w:pPr>
              <w:jc w:val="right"/>
              <w:ind w:right="251"/>
              <w:spacing w:after="0"/>
              <w:rPr>
                <w:sz w:val="20"/>
                <w:szCs w:val="20"/>
                <w:color w:val="auto"/>
              </w:rPr>
            </w:pPr>
            <w:r>
              <w:rPr>
                <w:rFonts w:ascii="Arial" w:cs="Arial" w:eastAsia="Arial" w:hAnsi="Arial"/>
                <w:sz w:val="18"/>
                <w:szCs w:val="18"/>
                <w:color w:val="auto"/>
              </w:rPr>
              <w:t>(6.53%)</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PIF Small Cap Growth R6</w:t>
            </w:r>
          </w:p>
        </w:tc>
        <w:tc>
          <w:tcPr>
            <w:tcW w:w="3360" w:type="dxa"/>
            <w:vAlign w:val="bottom"/>
          </w:tcPr>
          <w:p>
            <w:pPr>
              <w:jc w:val="right"/>
              <w:ind w:right="251"/>
              <w:spacing w:after="0"/>
              <w:rPr>
                <w:sz w:val="20"/>
                <w:szCs w:val="20"/>
                <w:color w:val="auto"/>
              </w:rPr>
            </w:pPr>
            <w:r>
              <w:rPr>
                <w:rFonts w:ascii="Arial" w:cs="Arial" w:eastAsia="Arial" w:hAnsi="Arial"/>
                <w:sz w:val="18"/>
                <w:szCs w:val="18"/>
                <w:color w:val="auto"/>
              </w:rPr>
              <w:t>(5.73%)</w:t>
            </w:r>
          </w:p>
        </w:tc>
      </w:tr>
      <w:tr>
        <w:trPr>
          <w:trHeight w:val="36"/>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GG Europac Growth</w:t>
            </w:r>
          </w:p>
        </w:tc>
        <w:tc>
          <w:tcPr>
            <w:tcW w:w="3360" w:type="dxa"/>
            <w:vAlign w:val="bottom"/>
            <w:tcBorders>
              <w:bottom w:val="single" w:sz="8" w:color="E7E7E8"/>
            </w:tcBorders>
            <w:shd w:val="clear" w:color="auto" w:fill="E7E7E8"/>
          </w:tcPr>
          <w:p>
            <w:pPr>
              <w:jc w:val="right"/>
              <w:ind w:right="311"/>
              <w:spacing w:after="0"/>
              <w:rPr>
                <w:sz w:val="20"/>
                <w:szCs w:val="20"/>
                <w:color w:val="auto"/>
              </w:rPr>
            </w:pPr>
            <w:r>
              <w:rPr>
                <w:rFonts w:ascii="Arial" w:cs="Arial" w:eastAsia="Arial" w:hAnsi="Arial"/>
                <w:sz w:val="18"/>
                <w:szCs w:val="18"/>
                <w:color w:val="auto"/>
              </w:rPr>
              <w:t>0.56%</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Northern Trust ACWI Ex-US Index</w:t>
            </w:r>
          </w:p>
        </w:tc>
        <w:tc>
          <w:tcPr>
            <w:tcW w:w="3360" w:type="dxa"/>
            <w:vAlign w:val="bottom"/>
          </w:tcPr>
          <w:p>
            <w:pPr>
              <w:jc w:val="right"/>
              <w:ind w:right="311"/>
              <w:spacing w:after="0"/>
              <w:rPr>
                <w:sz w:val="20"/>
                <w:szCs w:val="20"/>
                <w:color w:val="auto"/>
              </w:rPr>
            </w:pPr>
            <w:r>
              <w:rPr>
                <w:rFonts w:ascii="Arial" w:cs="Arial" w:eastAsia="Arial" w:hAnsi="Arial"/>
                <w:sz w:val="18"/>
                <w:szCs w:val="18"/>
                <w:color w:val="auto"/>
              </w:rPr>
              <w:t>6.03%</w:t>
            </w:r>
          </w:p>
        </w:tc>
      </w:tr>
      <w:tr>
        <w:trPr>
          <w:trHeight w:val="36"/>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Vanguard Target Ret 2020</w:t>
            </w:r>
          </w:p>
        </w:tc>
        <w:tc>
          <w:tcPr>
            <w:tcW w:w="3360" w:type="dxa"/>
            <w:vAlign w:val="bottom"/>
            <w:tcBorders>
              <w:bottom w:val="single" w:sz="8" w:color="E7E7E8"/>
            </w:tcBorders>
            <w:shd w:val="clear" w:color="auto" w:fill="E7E7E8"/>
          </w:tcPr>
          <w:p>
            <w:pPr>
              <w:jc w:val="right"/>
              <w:ind w:right="311"/>
              <w:spacing w:after="0"/>
              <w:rPr>
                <w:sz w:val="20"/>
                <w:szCs w:val="20"/>
                <w:color w:val="auto"/>
              </w:rPr>
            </w:pPr>
            <w:r>
              <w:rPr>
                <w:rFonts w:ascii="Arial" w:cs="Arial" w:eastAsia="Arial" w:hAnsi="Arial"/>
                <w:sz w:val="18"/>
                <w:szCs w:val="18"/>
                <w:color w:val="auto"/>
              </w:rPr>
              <w:t>6.01%</w:t>
            </w:r>
          </w:p>
        </w:tc>
      </w:tr>
      <w:tr>
        <w:trPr>
          <w:trHeight w:val="260"/>
        </w:trPr>
        <w:tc>
          <w:tcPr>
            <w:tcW w:w="7880" w:type="dxa"/>
            <w:vAlign w:val="bottom"/>
          </w:tcPr>
          <w:p>
            <w:pPr>
              <w:ind w:left="80"/>
              <w:spacing w:after="0"/>
              <w:rPr>
                <w:sz w:val="20"/>
                <w:szCs w:val="20"/>
                <w:color w:val="auto"/>
              </w:rPr>
            </w:pPr>
            <w:r>
              <w:rPr>
                <w:rFonts w:ascii="Arial" w:cs="Arial" w:eastAsia="Arial" w:hAnsi="Arial"/>
                <w:sz w:val="18"/>
                <w:szCs w:val="18"/>
                <w:color w:val="auto"/>
              </w:rPr>
              <w:t>Vanguard Target Ret 2025</w:t>
            </w:r>
          </w:p>
        </w:tc>
        <w:tc>
          <w:tcPr>
            <w:tcW w:w="3360" w:type="dxa"/>
            <w:vAlign w:val="bottom"/>
          </w:tcPr>
          <w:p>
            <w:pPr>
              <w:jc w:val="right"/>
              <w:ind w:right="311"/>
              <w:spacing w:after="0"/>
              <w:rPr>
                <w:sz w:val="20"/>
                <w:szCs w:val="20"/>
                <w:color w:val="auto"/>
              </w:rPr>
            </w:pPr>
            <w:r>
              <w:rPr>
                <w:rFonts w:ascii="Arial" w:cs="Arial" w:eastAsia="Arial" w:hAnsi="Arial"/>
                <w:sz w:val="18"/>
                <w:szCs w:val="18"/>
                <w:color w:val="auto"/>
              </w:rPr>
              <w:t>6.12%</w:t>
            </w:r>
          </w:p>
        </w:tc>
      </w:tr>
      <w:tr>
        <w:trPr>
          <w:trHeight w:val="37"/>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Vanguard Target Ret 2030</w:t>
            </w:r>
          </w:p>
        </w:tc>
        <w:tc>
          <w:tcPr>
            <w:tcW w:w="3360" w:type="dxa"/>
            <w:vAlign w:val="bottom"/>
            <w:tcBorders>
              <w:bottom w:val="single" w:sz="8" w:color="E7E7E8"/>
            </w:tcBorders>
            <w:shd w:val="clear" w:color="auto" w:fill="E7E7E8"/>
          </w:tcPr>
          <w:p>
            <w:pPr>
              <w:jc w:val="right"/>
              <w:ind w:right="311"/>
              <w:spacing w:after="0"/>
              <w:rPr>
                <w:sz w:val="20"/>
                <w:szCs w:val="20"/>
                <w:color w:val="auto"/>
              </w:rPr>
            </w:pPr>
            <w:r>
              <w:rPr>
                <w:rFonts w:ascii="Arial" w:cs="Arial" w:eastAsia="Arial" w:hAnsi="Arial"/>
                <w:sz w:val="18"/>
                <w:szCs w:val="18"/>
                <w:color w:val="auto"/>
              </w:rPr>
              <w:t>6.09%</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Vanguard Target Ret 2035</w:t>
            </w:r>
          </w:p>
        </w:tc>
        <w:tc>
          <w:tcPr>
            <w:tcW w:w="3360" w:type="dxa"/>
            <w:vAlign w:val="bottom"/>
          </w:tcPr>
          <w:p>
            <w:pPr>
              <w:jc w:val="right"/>
              <w:ind w:right="311"/>
              <w:spacing w:after="0"/>
              <w:rPr>
                <w:sz w:val="20"/>
                <w:szCs w:val="20"/>
                <w:color w:val="auto"/>
              </w:rPr>
            </w:pPr>
            <w:r>
              <w:rPr>
                <w:rFonts w:ascii="Arial" w:cs="Arial" w:eastAsia="Arial" w:hAnsi="Arial"/>
                <w:sz w:val="18"/>
                <w:szCs w:val="18"/>
                <w:color w:val="auto"/>
              </w:rPr>
              <w:t>6.26%</w:t>
            </w:r>
          </w:p>
        </w:tc>
      </w:tr>
      <w:tr>
        <w:trPr>
          <w:trHeight w:val="37"/>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Vanguard Target Ret 2040</w:t>
            </w:r>
          </w:p>
        </w:tc>
        <w:tc>
          <w:tcPr>
            <w:tcW w:w="3360" w:type="dxa"/>
            <w:vAlign w:val="bottom"/>
            <w:tcBorders>
              <w:bottom w:val="single" w:sz="8" w:color="E7E7E8"/>
            </w:tcBorders>
            <w:shd w:val="clear" w:color="auto" w:fill="E7E7E8"/>
          </w:tcPr>
          <w:p>
            <w:pPr>
              <w:jc w:val="right"/>
              <w:ind w:right="311"/>
              <w:spacing w:after="0"/>
              <w:rPr>
                <w:sz w:val="20"/>
                <w:szCs w:val="20"/>
                <w:color w:val="auto"/>
              </w:rPr>
            </w:pPr>
            <w:r>
              <w:rPr>
                <w:rFonts w:ascii="Arial" w:cs="Arial" w:eastAsia="Arial" w:hAnsi="Arial"/>
                <w:sz w:val="18"/>
                <w:szCs w:val="18"/>
                <w:color w:val="auto"/>
              </w:rPr>
              <w:t>6.45%</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Vanguard Target Ret 2045</w:t>
            </w:r>
          </w:p>
        </w:tc>
        <w:tc>
          <w:tcPr>
            <w:tcW w:w="3360" w:type="dxa"/>
            <w:vAlign w:val="bottom"/>
          </w:tcPr>
          <w:p>
            <w:pPr>
              <w:jc w:val="right"/>
              <w:ind w:right="311"/>
              <w:spacing w:after="0"/>
              <w:rPr>
                <w:sz w:val="20"/>
                <w:szCs w:val="20"/>
                <w:color w:val="auto"/>
              </w:rPr>
            </w:pPr>
            <w:r>
              <w:rPr>
                <w:rFonts w:ascii="Arial" w:cs="Arial" w:eastAsia="Arial" w:hAnsi="Arial"/>
                <w:sz w:val="18"/>
                <w:szCs w:val="18"/>
                <w:color w:val="auto"/>
              </w:rPr>
              <w:t>6.59%</w:t>
            </w:r>
          </w:p>
        </w:tc>
      </w:tr>
      <w:tr>
        <w:trPr>
          <w:trHeight w:val="36"/>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Vanguard Target Ret 2050</w:t>
            </w:r>
          </w:p>
        </w:tc>
        <w:tc>
          <w:tcPr>
            <w:tcW w:w="3360" w:type="dxa"/>
            <w:vAlign w:val="bottom"/>
            <w:tcBorders>
              <w:bottom w:val="single" w:sz="8" w:color="E7E7E8"/>
            </w:tcBorders>
            <w:shd w:val="clear" w:color="auto" w:fill="E7E7E8"/>
          </w:tcPr>
          <w:p>
            <w:pPr>
              <w:jc w:val="right"/>
              <w:ind w:right="311"/>
              <w:spacing w:after="0"/>
              <w:rPr>
                <w:sz w:val="20"/>
                <w:szCs w:val="20"/>
                <w:color w:val="auto"/>
              </w:rPr>
            </w:pPr>
            <w:r>
              <w:rPr>
                <w:rFonts w:ascii="Arial" w:cs="Arial" w:eastAsia="Arial" w:hAnsi="Arial"/>
                <w:sz w:val="18"/>
                <w:szCs w:val="18"/>
                <w:color w:val="auto"/>
              </w:rPr>
              <w:t>6.70%</w:t>
            </w:r>
          </w:p>
        </w:tc>
      </w:tr>
      <w:tr>
        <w:trPr>
          <w:trHeight w:val="261"/>
        </w:trPr>
        <w:tc>
          <w:tcPr>
            <w:tcW w:w="7880" w:type="dxa"/>
            <w:vAlign w:val="bottom"/>
          </w:tcPr>
          <w:p>
            <w:pPr>
              <w:ind w:left="80"/>
              <w:spacing w:after="0"/>
              <w:rPr>
                <w:sz w:val="20"/>
                <w:szCs w:val="20"/>
                <w:color w:val="auto"/>
              </w:rPr>
            </w:pPr>
            <w:r>
              <w:rPr>
                <w:rFonts w:ascii="Arial" w:cs="Arial" w:eastAsia="Arial" w:hAnsi="Arial"/>
                <w:sz w:val="18"/>
                <w:szCs w:val="18"/>
                <w:color w:val="auto"/>
              </w:rPr>
              <w:t>Vanguard Target Ret 2055</w:t>
            </w:r>
          </w:p>
        </w:tc>
        <w:tc>
          <w:tcPr>
            <w:tcW w:w="3360" w:type="dxa"/>
            <w:vAlign w:val="bottom"/>
          </w:tcPr>
          <w:p>
            <w:pPr>
              <w:jc w:val="right"/>
              <w:ind w:right="311"/>
              <w:spacing w:after="0"/>
              <w:rPr>
                <w:sz w:val="20"/>
                <w:szCs w:val="20"/>
                <w:color w:val="auto"/>
              </w:rPr>
            </w:pPr>
            <w:r>
              <w:rPr>
                <w:rFonts w:ascii="Arial" w:cs="Arial" w:eastAsia="Arial" w:hAnsi="Arial"/>
                <w:sz w:val="18"/>
                <w:szCs w:val="18"/>
                <w:color w:val="auto"/>
              </w:rPr>
              <w:t>6.70%</w:t>
            </w:r>
          </w:p>
        </w:tc>
      </w:tr>
      <w:tr>
        <w:trPr>
          <w:trHeight w:val="36"/>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Vanguard Target Ret 2060</w:t>
            </w:r>
          </w:p>
        </w:tc>
        <w:tc>
          <w:tcPr>
            <w:tcW w:w="3360" w:type="dxa"/>
            <w:vAlign w:val="bottom"/>
            <w:tcBorders>
              <w:bottom w:val="single" w:sz="8" w:color="E7E7E8"/>
            </w:tcBorders>
            <w:shd w:val="clear" w:color="auto" w:fill="E7E7E8"/>
          </w:tcPr>
          <w:p>
            <w:pPr>
              <w:jc w:val="right"/>
              <w:ind w:right="311"/>
              <w:spacing w:after="0"/>
              <w:rPr>
                <w:sz w:val="20"/>
                <w:szCs w:val="20"/>
                <w:color w:val="auto"/>
              </w:rPr>
            </w:pPr>
            <w:r>
              <w:rPr>
                <w:rFonts w:ascii="Arial" w:cs="Arial" w:eastAsia="Arial" w:hAnsi="Arial"/>
                <w:sz w:val="18"/>
                <w:szCs w:val="18"/>
                <w:color w:val="auto"/>
              </w:rPr>
              <w:t>6.72%</w:t>
            </w:r>
          </w:p>
        </w:tc>
      </w:tr>
      <w:tr>
        <w:trPr>
          <w:trHeight w:val="260"/>
        </w:trPr>
        <w:tc>
          <w:tcPr>
            <w:tcW w:w="7880" w:type="dxa"/>
            <w:vAlign w:val="bottom"/>
          </w:tcPr>
          <w:p>
            <w:pPr>
              <w:ind w:left="80"/>
              <w:spacing w:after="0"/>
              <w:rPr>
                <w:sz w:val="20"/>
                <w:szCs w:val="20"/>
                <w:color w:val="auto"/>
              </w:rPr>
            </w:pPr>
            <w:r>
              <w:rPr>
                <w:rFonts w:ascii="Arial" w:cs="Arial" w:eastAsia="Arial" w:hAnsi="Arial"/>
                <w:sz w:val="18"/>
                <w:szCs w:val="18"/>
                <w:color w:val="auto"/>
              </w:rPr>
              <w:t>Vanguard Target Ret 2065</w:t>
            </w:r>
          </w:p>
        </w:tc>
        <w:tc>
          <w:tcPr>
            <w:tcW w:w="3360" w:type="dxa"/>
            <w:vAlign w:val="bottom"/>
          </w:tcPr>
          <w:p>
            <w:pPr>
              <w:jc w:val="right"/>
              <w:ind w:right="311"/>
              <w:spacing w:after="0"/>
              <w:rPr>
                <w:sz w:val="20"/>
                <w:szCs w:val="20"/>
                <w:color w:val="auto"/>
              </w:rPr>
            </w:pPr>
            <w:r>
              <w:rPr>
                <w:rFonts w:ascii="Arial" w:cs="Arial" w:eastAsia="Arial" w:hAnsi="Arial"/>
                <w:sz w:val="18"/>
                <w:szCs w:val="18"/>
                <w:color w:val="auto"/>
              </w:rPr>
              <w:t>6.69%</w:t>
            </w:r>
          </w:p>
        </w:tc>
      </w:tr>
      <w:tr>
        <w:trPr>
          <w:trHeight w:val="37"/>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Vanguard Target Ret 2070</w:t>
            </w:r>
          </w:p>
        </w:tc>
        <w:tc>
          <w:tcPr>
            <w:tcW w:w="3360" w:type="dxa"/>
            <w:vAlign w:val="bottom"/>
            <w:tcBorders>
              <w:bottom w:val="single" w:sz="8" w:color="E7E7E8"/>
            </w:tcBorders>
            <w:shd w:val="clear" w:color="auto" w:fill="E7E7E8"/>
          </w:tcPr>
          <w:p>
            <w:pPr>
              <w:jc w:val="right"/>
              <w:ind w:right="311"/>
              <w:spacing w:after="0"/>
              <w:rPr>
                <w:sz w:val="20"/>
                <w:szCs w:val="20"/>
                <w:color w:val="auto"/>
              </w:rPr>
            </w:pPr>
            <w:r>
              <w:rPr>
                <w:rFonts w:ascii="Arial" w:cs="Arial" w:eastAsia="Arial" w:hAnsi="Arial"/>
                <w:sz w:val="18"/>
                <w:szCs w:val="18"/>
                <w:color w:val="auto"/>
              </w:rPr>
              <w:t>6.71%</w:t>
            </w:r>
          </w:p>
        </w:tc>
      </w:tr>
      <w:tr>
        <w:trPr>
          <w:trHeight w:val="260"/>
        </w:trPr>
        <w:tc>
          <w:tcPr>
            <w:tcW w:w="7880" w:type="dxa"/>
            <w:vAlign w:val="bottom"/>
          </w:tcPr>
          <w:p>
            <w:pPr>
              <w:ind w:left="80"/>
              <w:spacing w:after="0"/>
              <w:rPr>
                <w:sz w:val="20"/>
                <w:szCs w:val="20"/>
                <w:color w:val="auto"/>
              </w:rPr>
            </w:pPr>
            <w:r>
              <w:rPr>
                <w:rFonts w:ascii="Arial" w:cs="Arial" w:eastAsia="Arial" w:hAnsi="Arial"/>
                <w:sz w:val="18"/>
                <w:szCs w:val="18"/>
                <w:color w:val="auto"/>
              </w:rPr>
              <w:t>Vanguard Target Inc</w:t>
            </w:r>
          </w:p>
        </w:tc>
        <w:tc>
          <w:tcPr>
            <w:tcW w:w="3360" w:type="dxa"/>
            <w:vAlign w:val="bottom"/>
          </w:tcPr>
          <w:p>
            <w:pPr>
              <w:jc w:val="right"/>
              <w:ind w:right="311"/>
              <w:spacing w:after="0"/>
              <w:rPr>
                <w:sz w:val="20"/>
                <w:szCs w:val="20"/>
                <w:color w:val="auto"/>
              </w:rPr>
            </w:pPr>
            <w:r>
              <w:rPr>
                <w:rFonts w:ascii="Arial" w:cs="Arial" w:eastAsia="Arial" w:hAnsi="Arial"/>
                <w:sz w:val="18"/>
                <w:szCs w:val="18"/>
                <w:color w:val="auto"/>
              </w:rPr>
              <w:t>5.82%</w:t>
            </w:r>
          </w:p>
        </w:tc>
      </w:tr>
      <w:tr>
        <w:trPr>
          <w:trHeight w:val="37"/>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77"/>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Northern Trust Aggreg Bond Index</w:t>
            </w:r>
          </w:p>
        </w:tc>
        <w:tc>
          <w:tcPr>
            <w:tcW w:w="3360" w:type="dxa"/>
            <w:vAlign w:val="bottom"/>
            <w:tcBorders>
              <w:bottom w:val="single" w:sz="8" w:color="E7E7E8"/>
            </w:tcBorders>
            <w:shd w:val="clear" w:color="auto" w:fill="E7E7E8"/>
          </w:tcPr>
          <w:p>
            <w:pPr>
              <w:jc w:val="right"/>
              <w:ind w:right="311"/>
              <w:spacing w:after="0"/>
              <w:rPr>
                <w:sz w:val="20"/>
                <w:szCs w:val="20"/>
                <w:color w:val="auto"/>
              </w:rPr>
            </w:pPr>
            <w:r>
              <w:rPr>
                <w:rFonts w:ascii="Arial" w:cs="Arial" w:eastAsia="Arial" w:hAnsi="Arial"/>
                <w:sz w:val="18"/>
                <w:szCs w:val="18"/>
                <w:color w:val="auto"/>
              </w:rPr>
              <w:t>4.86%</w:t>
            </w:r>
          </w:p>
        </w:tc>
      </w:tr>
      <w:tr>
        <w:trPr>
          <w:trHeight w:val="260"/>
        </w:trPr>
        <w:tc>
          <w:tcPr>
            <w:tcW w:w="7880" w:type="dxa"/>
            <w:vAlign w:val="bottom"/>
          </w:tcPr>
          <w:p>
            <w:pPr>
              <w:ind w:left="80"/>
              <w:spacing w:after="0"/>
              <w:rPr>
                <w:sz w:val="20"/>
                <w:szCs w:val="20"/>
                <w:color w:val="auto"/>
              </w:rPr>
            </w:pPr>
            <w:r>
              <w:rPr>
                <w:rFonts w:ascii="Arial" w:cs="Arial" w:eastAsia="Arial" w:hAnsi="Arial"/>
                <w:sz w:val="18"/>
                <w:szCs w:val="18"/>
                <w:color w:val="auto"/>
              </w:rPr>
              <w:t>FIAM Core Plus CL I</w:t>
            </w:r>
          </w:p>
        </w:tc>
        <w:tc>
          <w:tcPr>
            <w:tcW w:w="3360" w:type="dxa"/>
            <w:vAlign w:val="bottom"/>
          </w:tcPr>
          <w:p>
            <w:pPr>
              <w:jc w:val="right"/>
              <w:ind w:right="311"/>
              <w:spacing w:after="0"/>
              <w:rPr>
                <w:sz w:val="20"/>
                <w:szCs w:val="20"/>
                <w:color w:val="auto"/>
              </w:rPr>
            </w:pPr>
            <w:r>
              <w:rPr>
                <w:rFonts w:ascii="Arial" w:cs="Arial" w:eastAsia="Arial" w:hAnsi="Arial"/>
                <w:sz w:val="18"/>
                <w:szCs w:val="18"/>
                <w:color w:val="auto"/>
              </w:rPr>
              <w:t>5.76%</w:t>
            </w:r>
          </w:p>
        </w:tc>
      </w:tr>
      <w:tr>
        <w:trPr>
          <w:trHeight w:val="37"/>
        </w:trPr>
        <w:tc>
          <w:tcPr>
            <w:tcW w:w="788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90"/>
        </w:trPr>
        <w:tc>
          <w:tcPr>
            <w:tcW w:w="7880" w:type="dxa"/>
            <w:vAlign w:val="bottom"/>
            <w:tcBorders>
              <w:bottom w:val="single" w:sz="8" w:color="E7E7E8"/>
            </w:tcBorders>
            <w:shd w:val="clear" w:color="auto" w:fill="E7E7E8"/>
          </w:tcPr>
          <w:p>
            <w:pPr>
              <w:ind w:left="80"/>
              <w:spacing w:after="0"/>
              <w:rPr>
                <w:sz w:val="20"/>
                <w:szCs w:val="20"/>
                <w:color w:val="auto"/>
              </w:rPr>
            </w:pPr>
            <w:r>
              <w:rPr>
                <w:rFonts w:ascii="Arial" w:cs="Arial" w:eastAsia="Arial" w:hAnsi="Arial"/>
                <w:sz w:val="18"/>
                <w:szCs w:val="18"/>
                <w:color w:val="auto"/>
              </w:rPr>
              <w:t>Fidelity Govt MMkt</w:t>
            </w:r>
          </w:p>
        </w:tc>
        <w:tc>
          <w:tcPr>
            <w:tcW w:w="3360" w:type="dxa"/>
            <w:vAlign w:val="bottom"/>
            <w:tcBorders>
              <w:bottom w:val="single" w:sz="8" w:color="E7E7E8"/>
            </w:tcBorders>
            <w:shd w:val="clear" w:color="auto" w:fill="E7E7E8"/>
          </w:tcPr>
          <w:p>
            <w:pPr>
              <w:jc w:val="right"/>
              <w:ind w:right="311"/>
              <w:spacing w:after="0"/>
              <w:rPr>
                <w:sz w:val="20"/>
                <w:szCs w:val="20"/>
                <w:color w:val="auto"/>
              </w:rPr>
            </w:pPr>
            <w:r>
              <w:rPr>
                <w:rFonts w:ascii="Arial" w:cs="Arial" w:eastAsia="Arial" w:hAnsi="Arial"/>
                <w:sz w:val="18"/>
                <w:szCs w:val="18"/>
                <w:color w:val="auto"/>
              </w:rPr>
              <w:t>4.65%</w:t>
            </w:r>
          </w:p>
        </w:tc>
      </w:tr>
      <w:tr>
        <w:trPr>
          <w:trHeight w:val="40"/>
        </w:trPr>
        <w:tc>
          <w:tcPr>
            <w:tcW w:w="7880" w:type="dxa"/>
            <w:vAlign w:val="bottom"/>
            <w:shd w:val="clear" w:color="auto" w:fill="051972"/>
          </w:tcPr>
          <w:p>
            <w:pPr>
              <w:spacing w:after="0"/>
              <w:rPr>
                <w:sz w:val="3"/>
                <w:szCs w:val="3"/>
                <w:color w:val="auto"/>
              </w:rPr>
            </w:pPr>
          </w:p>
        </w:tc>
        <w:tc>
          <w:tcPr>
            <w:tcW w:w="3360" w:type="dxa"/>
            <w:vAlign w:val="bottom"/>
            <w:shd w:val="clear" w:color="auto" w:fill="051972"/>
          </w:tcPr>
          <w:p>
            <w:pPr>
              <w:spacing w:after="0"/>
              <w:rPr>
                <w:sz w:val="3"/>
                <w:szCs w:val="3"/>
                <w:color w:val="auto"/>
              </w:rPr>
            </w:pPr>
          </w:p>
        </w:tc>
      </w:tr>
    </w:tbl>
    <w:p>
      <w:pPr>
        <w:spacing w:after="0" w:line="234" w:lineRule="exact"/>
        <w:rPr>
          <w:sz w:val="20"/>
          <w:szCs w:val="20"/>
          <w:color w:val="auto"/>
        </w:rPr>
      </w:pPr>
    </w:p>
    <w:p>
      <w:pPr>
        <w:ind w:left="380" w:right="20" w:hanging="372"/>
        <w:spacing w:after="0" w:line="262" w:lineRule="auto"/>
        <w:tabs>
          <w:tab w:leader="none" w:pos="380" w:val="left"/>
        </w:tabs>
        <w:numPr>
          <w:ilvl w:val="0"/>
          <w:numId w:val="85"/>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in this column represent the balance in the Named Executive Officer’s account under the SERP. Of the amounts reported in this column, the following amounts were previously reported as compensation to the Named Executive Officer in the Summary Compensation Table for previous years: for Mr. Haack, $408,501; for Mr. Kesler, $194,672; for Mr. Newby, $18,116; for Mr. Cribbs, $1,629; and for Mr. Thompson, $0.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57</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62" w:name="page63"/>
    <w:bookmarkEnd w:id="62"/>
    <w:p>
      <w:pPr>
        <w:ind w:left="40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2205355</wp:posOffset>
            </wp:positionH>
            <wp:positionV relativeFrom="page">
              <wp:posOffset>526415</wp:posOffset>
            </wp:positionV>
            <wp:extent cx="513461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34610" cy="171450"/>
                    </a:xfrm>
                    <a:prstGeom prst="rect">
                      <a:avLst/>
                    </a:prstGeom>
                    <a:noFill/>
                  </pic:spPr>
                </pic:pic>
              </a:graphicData>
            </a:graphic>
          </wp:anchor>
        </w:drawing>
        <w:t>POTENTIAL PAYMENTS UPON TERMINATION OR CHANGE IN CONTROL</w:t>
      </w:r>
    </w:p>
    <w:p>
      <w:pPr>
        <w:spacing w:after="0" w:line="94"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65"/>
          <w:szCs w:val="65"/>
          <w:b w:val="1"/>
          <w:bCs w:val="1"/>
          <w:color w:val="051972"/>
        </w:rPr>
        <w:t>Potential Payments Upon Termination or Change In Control</w:t>
      </w:r>
    </w:p>
    <w:p>
      <w:pPr>
        <w:spacing w:after="0" w:line="15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following is a summary of the potential payments payable to the Named Executive Officers upon termination of employment or a change in control of the Company under compensation programs in effect as of the last business day of fiscal year 2025. Specifically, compensation payable to each Named Executive Officer upon voluntary termination, involuntary termination or in the event of death or disability and change in control is discussed below. The amounts shown in the tables below assume that such termination and/or change in control was effective as of March 31, 2025, and therefore do not necessarily reflect the actual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Change in Control Continuity Agreements</w:t>
      </w:r>
    </w:p>
    <w:p>
      <w:pPr>
        <w:spacing w:after="0" w:line="156"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Company has entered into change in control continuity agreements with Messrs. Haack, Kesler and Newby. All of our change in control continuity agreements have a “double-trigger” termination right (requiring both a change in control and a qualifying termination of employment in order to receive the change in control severance payments), and they do not apply the severance multiple to long-term incentive award values or have tax gross-ups. A more detailed description of these agreements is set forth under “Change in Control Continuity Agreements” above.</w:t>
      </w:r>
    </w:p>
    <w:p>
      <w:pPr>
        <w:spacing w:after="0" w:line="97"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In the event of the executive’s involuntary termination of employment without cause or resignation for good reason within the two-year protection period following a change in control, he would be entitled to cash severance equal to a multiple of the sum of his annual base salary and target annual bonus. Additionally, he would be entitled to a prorated annual bonus for the year of termination, employer retirement savings plan contributions that he would have received had his employment continued for a period of time, the premium for continued participation in health insurance plans for a period of time, and outplacement benefits of up to $30,000.</w:t>
      </w:r>
    </w:p>
    <w:p>
      <w:pPr>
        <w:spacing w:after="0" w:line="11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table below reflects an estimate of the severance payments that would be made to our Named Executive Officers who have entered into change in control continuity agreements—calculated as if they were terminated without cause or resigned for good reason as of March 31, 2025 following a change in control: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restart"/>
          </w:tcPr>
          <w:p>
            <w:pPr>
              <w:jc w:val="center"/>
              <w:ind w:right="235"/>
              <w:spacing w:after="0"/>
              <w:rPr>
                <w:sz w:val="20"/>
                <w:szCs w:val="20"/>
                <w:color w:val="auto"/>
              </w:rPr>
            </w:pPr>
            <w:r>
              <w:rPr>
                <w:rFonts w:ascii="Arial" w:cs="Arial" w:eastAsia="Arial" w:hAnsi="Arial"/>
                <w:sz w:val="13"/>
                <w:szCs w:val="13"/>
                <w:b w:val="1"/>
                <w:bCs w:val="1"/>
                <w:color w:val="051972"/>
                <w:w w:val="96"/>
              </w:rPr>
              <w:t>Base</w:t>
            </w:r>
          </w:p>
        </w:tc>
        <w:tc>
          <w:tcPr>
            <w:tcW w:w="1340" w:type="dxa"/>
            <w:vAlign w:val="bottom"/>
          </w:tcPr>
          <w:p>
            <w:pPr>
              <w:jc w:val="center"/>
              <w:ind w:right="255"/>
              <w:spacing w:after="0"/>
              <w:rPr>
                <w:sz w:val="20"/>
                <w:szCs w:val="20"/>
                <w:color w:val="auto"/>
              </w:rPr>
            </w:pPr>
            <w:r>
              <w:rPr>
                <w:rFonts w:ascii="Arial" w:cs="Arial" w:eastAsia="Arial" w:hAnsi="Arial"/>
                <w:sz w:val="13"/>
                <w:szCs w:val="13"/>
                <w:b w:val="1"/>
                <w:bCs w:val="1"/>
                <w:color w:val="051972"/>
                <w:w w:val="95"/>
              </w:rPr>
              <w:t>Target</w:t>
            </w:r>
          </w:p>
        </w:tc>
        <w:tc>
          <w:tcPr>
            <w:tcW w:w="1280" w:type="dxa"/>
            <w:vAlign w:val="bottom"/>
          </w:tcPr>
          <w:p>
            <w:pPr>
              <w:jc w:val="center"/>
              <w:ind w:right="175"/>
              <w:spacing w:after="0"/>
              <w:rPr>
                <w:sz w:val="20"/>
                <w:szCs w:val="20"/>
                <w:color w:val="auto"/>
              </w:rPr>
            </w:pPr>
            <w:r>
              <w:rPr>
                <w:rFonts w:ascii="Arial" w:cs="Arial" w:eastAsia="Arial" w:hAnsi="Arial"/>
                <w:sz w:val="13"/>
                <w:szCs w:val="13"/>
                <w:b w:val="1"/>
                <w:bCs w:val="1"/>
                <w:color w:val="051972"/>
                <w:w w:val="97"/>
              </w:rPr>
              <w:t>Prorated</w:t>
            </w:r>
          </w:p>
        </w:tc>
        <w:tc>
          <w:tcPr>
            <w:tcW w:w="1400" w:type="dxa"/>
            <w:vAlign w:val="bottom"/>
          </w:tcPr>
          <w:p>
            <w:pPr>
              <w:jc w:val="center"/>
              <w:ind w:right="155"/>
              <w:spacing w:after="0"/>
              <w:rPr>
                <w:sz w:val="20"/>
                <w:szCs w:val="20"/>
                <w:color w:val="auto"/>
              </w:rPr>
            </w:pPr>
            <w:r>
              <w:rPr>
                <w:rFonts w:ascii="Arial" w:cs="Arial" w:eastAsia="Arial" w:hAnsi="Arial"/>
                <w:sz w:val="13"/>
                <w:szCs w:val="13"/>
                <w:b w:val="1"/>
                <w:bCs w:val="1"/>
                <w:color w:val="051972"/>
                <w:w w:val="97"/>
              </w:rPr>
              <w:t>Retirement</w:t>
            </w:r>
          </w:p>
        </w:tc>
        <w:tc>
          <w:tcPr>
            <w:tcW w:w="1260" w:type="dxa"/>
            <w:vAlign w:val="bottom"/>
          </w:tcPr>
          <w:p>
            <w:pPr>
              <w:jc w:val="center"/>
              <w:ind w:right="135"/>
              <w:spacing w:after="0"/>
              <w:rPr>
                <w:sz w:val="20"/>
                <w:szCs w:val="20"/>
                <w:color w:val="auto"/>
              </w:rPr>
            </w:pPr>
            <w:r>
              <w:rPr>
                <w:rFonts w:ascii="Arial" w:cs="Arial" w:eastAsia="Arial" w:hAnsi="Arial"/>
                <w:sz w:val="13"/>
                <w:szCs w:val="13"/>
                <w:b w:val="1"/>
                <w:bCs w:val="1"/>
                <w:color w:val="051972"/>
                <w:w w:val="95"/>
              </w:rPr>
              <w:t>Health</w:t>
            </w:r>
          </w:p>
        </w:tc>
        <w:tc>
          <w:tcPr>
            <w:tcW w:w="1500" w:type="dxa"/>
            <w:vAlign w:val="bottom"/>
          </w:tcPr>
          <w:p>
            <w:pPr>
              <w:jc w:val="center"/>
              <w:ind w:right="235"/>
              <w:spacing w:after="0"/>
              <w:rPr>
                <w:sz w:val="20"/>
                <w:szCs w:val="20"/>
                <w:color w:val="auto"/>
              </w:rPr>
            </w:pPr>
            <w:r>
              <w:rPr>
                <w:rFonts w:ascii="Arial" w:cs="Arial" w:eastAsia="Arial" w:hAnsi="Arial"/>
                <w:sz w:val="13"/>
                <w:szCs w:val="13"/>
                <w:b w:val="1"/>
                <w:bCs w:val="1"/>
                <w:color w:val="051972"/>
                <w:w w:val="96"/>
              </w:rPr>
              <w:t>Outplacement</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340" w:type="dxa"/>
            <w:vAlign w:val="bottom"/>
          </w:tcPr>
          <w:p>
            <w:pPr>
              <w:jc w:val="center"/>
              <w:ind w:right="255"/>
              <w:spacing w:after="0" w:line="135" w:lineRule="exact"/>
              <w:rPr>
                <w:sz w:val="20"/>
                <w:szCs w:val="20"/>
                <w:color w:val="auto"/>
              </w:rPr>
            </w:pPr>
            <w:r>
              <w:rPr>
                <w:rFonts w:ascii="Arial" w:cs="Arial" w:eastAsia="Arial" w:hAnsi="Arial"/>
                <w:sz w:val="13"/>
                <w:szCs w:val="13"/>
                <w:b w:val="1"/>
                <w:bCs w:val="1"/>
                <w:color w:val="051972"/>
                <w:w w:val="95"/>
              </w:rPr>
              <w:t>Annual</w:t>
            </w:r>
          </w:p>
        </w:tc>
        <w:tc>
          <w:tcPr>
            <w:tcW w:w="128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051972"/>
                <w:w w:val="99"/>
              </w:rPr>
              <w:t>Annual</w:t>
            </w:r>
          </w:p>
        </w:tc>
        <w:tc>
          <w:tcPr>
            <w:tcW w:w="140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051972"/>
              </w:rPr>
              <w:t>Plan</w:t>
            </w:r>
          </w:p>
        </w:tc>
        <w:tc>
          <w:tcPr>
            <w:tcW w:w="1260" w:type="dxa"/>
            <w:vAlign w:val="bottom"/>
          </w:tcPr>
          <w:p>
            <w:pPr>
              <w:jc w:val="center"/>
              <w:ind w:right="155"/>
              <w:spacing w:after="0" w:line="135" w:lineRule="exact"/>
              <w:rPr>
                <w:sz w:val="20"/>
                <w:szCs w:val="20"/>
                <w:color w:val="auto"/>
              </w:rPr>
            </w:pPr>
            <w:r>
              <w:rPr>
                <w:rFonts w:ascii="Arial" w:cs="Arial" w:eastAsia="Arial" w:hAnsi="Arial"/>
                <w:sz w:val="13"/>
                <w:szCs w:val="13"/>
                <w:b w:val="1"/>
                <w:bCs w:val="1"/>
                <w:color w:val="051972"/>
                <w:w w:val="97"/>
              </w:rPr>
              <w:t>Insurance</w:t>
            </w:r>
          </w:p>
        </w:tc>
        <w:tc>
          <w:tcPr>
            <w:tcW w:w="1500" w:type="dxa"/>
            <w:vAlign w:val="bottom"/>
          </w:tcPr>
          <w:p>
            <w:pPr>
              <w:jc w:val="center"/>
              <w:ind w:right="215"/>
              <w:spacing w:after="0" w:line="135" w:lineRule="exact"/>
              <w:rPr>
                <w:sz w:val="20"/>
                <w:szCs w:val="20"/>
                <w:color w:val="auto"/>
              </w:rPr>
            </w:pPr>
            <w:r>
              <w:rPr>
                <w:rFonts w:ascii="Arial" w:cs="Arial" w:eastAsia="Arial" w:hAnsi="Arial"/>
                <w:sz w:val="13"/>
                <w:szCs w:val="13"/>
                <w:b w:val="1"/>
                <w:bCs w:val="1"/>
                <w:color w:val="051972"/>
                <w:w w:val="97"/>
              </w:rPr>
              <w:t>Benefits</w:t>
            </w:r>
          </w:p>
        </w:tc>
        <w:tc>
          <w:tcPr>
            <w:tcW w:w="1140" w:type="dxa"/>
            <w:vAlign w:val="bottom"/>
            <w:vMerge w:val="restart"/>
          </w:tcPr>
          <w:p>
            <w:pPr>
              <w:jc w:val="right"/>
              <w:ind w:right="454"/>
              <w:spacing w:after="0"/>
              <w:rPr>
                <w:sz w:val="20"/>
                <w:szCs w:val="20"/>
                <w:color w:val="auto"/>
              </w:rPr>
            </w:pPr>
            <w:r>
              <w:rPr>
                <w:rFonts w:ascii="Arial" w:cs="Arial" w:eastAsia="Arial" w:hAnsi="Arial"/>
                <w:sz w:val="13"/>
                <w:szCs w:val="13"/>
                <w:b w:val="1"/>
                <w:bCs w:val="1"/>
                <w:color w:val="051972"/>
              </w:rPr>
              <w:t>Total</w:t>
            </w:r>
          </w:p>
        </w:tc>
        <w:tc>
          <w:tcPr>
            <w:tcW w:w="0" w:type="dxa"/>
            <w:vAlign w:val="bottom"/>
          </w:tcPr>
          <w:p>
            <w:pPr>
              <w:spacing w:after="0"/>
              <w:rPr>
                <w:sz w:val="1"/>
                <w:szCs w:val="1"/>
                <w:color w:val="auto"/>
              </w:rPr>
            </w:pPr>
          </w:p>
        </w:tc>
      </w:tr>
      <w:tr>
        <w:trPr>
          <w:trHeight w:val="135"/>
        </w:trPr>
        <w:tc>
          <w:tcPr>
            <w:tcW w:w="1780" w:type="dxa"/>
            <w:vAlign w:val="bottom"/>
            <w:vMerge w:val="restart"/>
          </w:tcPr>
          <w:p>
            <w:pPr>
              <w:ind w:left="20"/>
              <w:spacing w:after="0"/>
              <w:rPr>
                <w:sz w:val="20"/>
                <w:szCs w:val="20"/>
                <w:color w:val="auto"/>
              </w:rPr>
            </w:pPr>
            <w:r>
              <w:rPr>
                <w:rFonts w:ascii="Arial" w:cs="Arial" w:eastAsia="Arial" w:hAnsi="Arial"/>
                <w:sz w:val="13"/>
                <w:szCs w:val="13"/>
                <w:b w:val="1"/>
                <w:bCs w:val="1"/>
                <w:color w:val="051972"/>
              </w:rPr>
              <w:t>Name</w:t>
            </w:r>
          </w:p>
        </w:tc>
        <w:tc>
          <w:tcPr>
            <w:tcW w:w="140" w:type="dxa"/>
            <w:vAlign w:val="bottom"/>
          </w:tcPr>
          <w:p>
            <w:pPr>
              <w:spacing w:after="0"/>
              <w:rPr>
                <w:sz w:val="11"/>
                <w:szCs w:val="11"/>
                <w:color w:val="auto"/>
              </w:rPr>
            </w:pPr>
          </w:p>
        </w:tc>
        <w:tc>
          <w:tcPr>
            <w:tcW w:w="1400" w:type="dxa"/>
            <w:vAlign w:val="bottom"/>
          </w:tcPr>
          <w:p>
            <w:pPr>
              <w:jc w:val="center"/>
              <w:ind w:right="235"/>
              <w:spacing w:after="0" w:line="135" w:lineRule="exact"/>
              <w:rPr>
                <w:sz w:val="20"/>
                <w:szCs w:val="20"/>
                <w:color w:val="auto"/>
              </w:rPr>
            </w:pPr>
            <w:r>
              <w:rPr>
                <w:rFonts w:ascii="Arial" w:cs="Arial" w:eastAsia="Arial" w:hAnsi="Arial"/>
                <w:sz w:val="13"/>
                <w:szCs w:val="13"/>
                <w:b w:val="1"/>
                <w:bCs w:val="1"/>
                <w:color w:val="051972"/>
                <w:w w:val="97"/>
              </w:rPr>
              <w:t>Salary</w:t>
            </w:r>
          </w:p>
        </w:tc>
        <w:tc>
          <w:tcPr>
            <w:tcW w:w="1340" w:type="dxa"/>
            <w:vAlign w:val="bottom"/>
          </w:tcPr>
          <w:p>
            <w:pPr>
              <w:jc w:val="center"/>
              <w:ind w:right="255"/>
              <w:spacing w:after="0" w:line="135" w:lineRule="exact"/>
              <w:rPr>
                <w:sz w:val="20"/>
                <w:szCs w:val="20"/>
                <w:color w:val="auto"/>
              </w:rPr>
            </w:pPr>
            <w:r>
              <w:rPr>
                <w:rFonts w:ascii="Arial" w:cs="Arial" w:eastAsia="Arial" w:hAnsi="Arial"/>
                <w:sz w:val="13"/>
                <w:szCs w:val="13"/>
                <w:b w:val="1"/>
                <w:bCs w:val="1"/>
                <w:color w:val="051972"/>
                <w:w w:val="93"/>
              </w:rPr>
              <w:t>Bonus</w:t>
            </w:r>
          </w:p>
        </w:tc>
        <w:tc>
          <w:tcPr>
            <w:tcW w:w="128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051972"/>
                <w:w w:val="98"/>
              </w:rPr>
              <w:t>Bonus</w:t>
            </w:r>
          </w:p>
        </w:tc>
        <w:tc>
          <w:tcPr>
            <w:tcW w:w="140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051972"/>
                <w:w w:val="97"/>
              </w:rPr>
              <w:t>Contribution</w:t>
            </w:r>
          </w:p>
        </w:tc>
        <w:tc>
          <w:tcPr>
            <w:tcW w:w="1260" w:type="dxa"/>
            <w:vAlign w:val="bottom"/>
          </w:tcPr>
          <w:p>
            <w:pPr>
              <w:jc w:val="center"/>
              <w:ind w:right="135"/>
              <w:spacing w:after="0" w:line="135" w:lineRule="exact"/>
              <w:rPr>
                <w:sz w:val="20"/>
                <w:szCs w:val="20"/>
                <w:color w:val="auto"/>
              </w:rPr>
            </w:pPr>
            <w:r>
              <w:rPr>
                <w:rFonts w:ascii="Arial" w:cs="Arial" w:eastAsia="Arial" w:hAnsi="Arial"/>
                <w:sz w:val="13"/>
                <w:szCs w:val="13"/>
                <w:b w:val="1"/>
                <w:bCs w:val="1"/>
                <w:color w:val="051972"/>
                <w:w w:val="96"/>
              </w:rPr>
              <w:t>Premium</w:t>
            </w:r>
          </w:p>
        </w:tc>
        <w:tc>
          <w:tcPr>
            <w:tcW w:w="1500" w:type="dxa"/>
            <w:vAlign w:val="bottom"/>
          </w:tcPr>
          <w:p>
            <w:pPr>
              <w:jc w:val="center"/>
              <w:ind w:right="215"/>
              <w:spacing w:after="0" w:line="135" w:lineRule="exact"/>
              <w:rPr>
                <w:sz w:val="20"/>
                <w:szCs w:val="20"/>
                <w:color w:val="auto"/>
              </w:rPr>
            </w:pPr>
            <w:r>
              <w:rPr>
                <w:rFonts w:ascii="Arial" w:cs="Arial" w:eastAsia="Arial" w:hAnsi="Arial"/>
                <w:sz w:val="13"/>
                <w:szCs w:val="13"/>
                <w:b w:val="1"/>
                <w:bCs w:val="1"/>
                <w:color w:val="051972"/>
                <w:w w:val="95"/>
              </w:rPr>
              <w:t>(maximum)</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780" w:type="dxa"/>
            <w:vAlign w:val="bottom"/>
            <w:tcBorders>
              <w:bottom w:val="single" w:sz="8" w:color="051972"/>
            </w:tcBorders>
            <w:vMerge w:val="continue"/>
          </w:tcPr>
          <w:p>
            <w:pPr>
              <w:spacing w:after="0"/>
              <w:rPr>
                <w:sz w:val="14"/>
                <w:szCs w:val="14"/>
                <w:color w:val="auto"/>
              </w:rPr>
            </w:pPr>
          </w:p>
        </w:tc>
        <w:tc>
          <w:tcPr>
            <w:tcW w:w="1540" w:type="dxa"/>
            <w:vAlign w:val="bottom"/>
            <w:tcBorders>
              <w:bottom w:val="single" w:sz="8" w:color="051972"/>
            </w:tcBorders>
            <w:gridSpan w:val="2"/>
          </w:tcPr>
          <w:p>
            <w:pPr>
              <w:jc w:val="center"/>
              <w:ind w:right="95"/>
              <w:spacing w:after="0"/>
              <w:rPr>
                <w:sz w:val="20"/>
                <w:szCs w:val="20"/>
                <w:color w:val="auto"/>
              </w:rPr>
            </w:pPr>
            <w:r>
              <w:rPr>
                <w:rFonts w:ascii="Arial" w:cs="Arial" w:eastAsia="Arial" w:hAnsi="Arial"/>
                <w:sz w:val="13"/>
                <w:szCs w:val="13"/>
                <w:b w:val="1"/>
                <w:bCs w:val="1"/>
                <w:color w:val="051972"/>
                <w:w w:val="94"/>
              </w:rPr>
              <w:t>($)(1)</w:t>
            </w:r>
          </w:p>
        </w:tc>
        <w:tc>
          <w:tcPr>
            <w:tcW w:w="1340" w:type="dxa"/>
            <w:vAlign w:val="bottom"/>
            <w:tcBorders>
              <w:bottom w:val="single" w:sz="8" w:color="051972"/>
            </w:tcBorders>
          </w:tcPr>
          <w:p>
            <w:pPr>
              <w:jc w:val="center"/>
              <w:ind w:right="255"/>
              <w:spacing w:after="0"/>
              <w:rPr>
                <w:sz w:val="20"/>
                <w:szCs w:val="20"/>
                <w:color w:val="auto"/>
              </w:rPr>
            </w:pPr>
            <w:r>
              <w:rPr>
                <w:rFonts w:ascii="Arial" w:cs="Arial" w:eastAsia="Arial" w:hAnsi="Arial"/>
                <w:sz w:val="13"/>
                <w:szCs w:val="13"/>
                <w:b w:val="1"/>
                <w:bCs w:val="1"/>
                <w:color w:val="051972"/>
                <w:w w:val="94"/>
              </w:rPr>
              <w:t>($)(1)</w:t>
            </w:r>
          </w:p>
        </w:tc>
        <w:tc>
          <w:tcPr>
            <w:tcW w:w="1280" w:type="dxa"/>
            <w:vAlign w:val="bottom"/>
            <w:tcBorders>
              <w:bottom w:val="single" w:sz="8" w:color="051972"/>
            </w:tcBorders>
          </w:tcPr>
          <w:p>
            <w:pPr>
              <w:jc w:val="center"/>
              <w:ind w:right="175"/>
              <w:spacing w:after="0"/>
              <w:rPr>
                <w:sz w:val="20"/>
                <w:szCs w:val="20"/>
                <w:color w:val="auto"/>
              </w:rPr>
            </w:pPr>
            <w:r>
              <w:rPr>
                <w:rFonts w:ascii="Arial" w:cs="Arial" w:eastAsia="Arial" w:hAnsi="Arial"/>
                <w:sz w:val="13"/>
                <w:szCs w:val="13"/>
                <w:b w:val="1"/>
                <w:bCs w:val="1"/>
                <w:color w:val="051972"/>
              </w:rPr>
              <w:t>($)</w:t>
            </w:r>
          </w:p>
        </w:tc>
        <w:tc>
          <w:tcPr>
            <w:tcW w:w="1400" w:type="dxa"/>
            <w:vAlign w:val="bottom"/>
            <w:tcBorders>
              <w:bottom w:val="single" w:sz="8" w:color="051972"/>
            </w:tcBorders>
          </w:tcPr>
          <w:p>
            <w:pPr>
              <w:jc w:val="center"/>
              <w:ind w:right="175"/>
              <w:spacing w:after="0"/>
              <w:rPr>
                <w:sz w:val="20"/>
                <w:szCs w:val="20"/>
                <w:color w:val="auto"/>
              </w:rPr>
            </w:pPr>
            <w:r>
              <w:rPr>
                <w:rFonts w:ascii="Arial" w:cs="Arial" w:eastAsia="Arial" w:hAnsi="Arial"/>
                <w:sz w:val="13"/>
                <w:szCs w:val="13"/>
                <w:b w:val="1"/>
                <w:bCs w:val="1"/>
                <w:color w:val="051972"/>
              </w:rPr>
              <w:t>($)</w:t>
            </w:r>
          </w:p>
        </w:tc>
        <w:tc>
          <w:tcPr>
            <w:tcW w:w="1260" w:type="dxa"/>
            <w:vAlign w:val="bottom"/>
            <w:tcBorders>
              <w:bottom w:val="single" w:sz="8" w:color="051972"/>
            </w:tcBorders>
          </w:tcPr>
          <w:p>
            <w:pPr>
              <w:jc w:val="center"/>
              <w:ind w:right="155"/>
              <w:spacing w:after="0"/>
              <w:rPr>
                <w:sz w:val="20"/>
                <w:szCs w:val="20"/>
                <w:color w:val="auto"/>
              </w:rPr>
            </w:pPr>
            <w:r>
              <w:rPr>
                <w:rFonts w:ascii="Arial" w:cs="Arial" w:eastAsia="Arial" w:hAnsi="Arial"/>
                <w:sz w:val="13"/>
                <w:szCs w:val="13"/>
                <w:b w:val="1"/>
                <w:bCs w:val="1"/>
                <w:color w:val="051972"/>
              </w:rPr>
              <w:t>($)</w:t>
            </w:r>
          </w:p>
        </w:tc>
        <w:tc>
          <w:tcPr>
            <w:tcW w:w="1500" w:type="dxa"/>
            <w:vAlign w:val="bottom"/>
            <w:tcBorders>
              <w:bottom w:val="single" w:sz="8" w:color="051972"/>
            </w:tcBorders>
          </w:tcPr>
          <w:p>
            <w:pPr>
              <w:jc w:val="center"/>
              <w:ind w:right="215"/>
              <w:spacing w:after="0"/>
              <w:rPr>
                <w:sz w:val="20"/>
                <w:szCs w:val="20"/>
                <w:color w:val="auto"/>
              </w:rPr>
            </w:pPr>
            <w:r>
              <w:rPr>
                <w:rFonts w:ascii="Arial" w:cs="Arial" w:eastAsia="Arial" w:hAnsi="Arial"/>
                <w:sz w:val="13"/>
                <w:szCs w:val="13"/>
                <w:b w:val="1"/>
                <w:bCs w:val="1"/>
                <w:color w:val="051972"/>
                <w:w w:val="87"/>
              </w:rPr>
              <w:t>($)</w:t>
            </w:r>
          </w:p>
        </w:tc>
        <w:tc>
          <w:tcPr>
            <w:tcW w:w="1140" w:type="dxa"/>
            <w:vAlign w:val="bottom"/>
            <w:tcBorders>
              <w:bottom w:val="single" w:sz="8" w:color="051972"/>
            </w:tcBorders>
          </w:tcPr>
          <w:p>
            <w:pPr>
              <w:jc w:val="right"/>
              <w:ind w:right="534"/>
              <w:spacing w:after="0"/>
              <w:rPr>
                <w:sz w:val="20"/>
                <w:szCs w:val="20"/>
                <w:color w:val="auto"/>
              </w:rPr>
            </w:pPr>
            <w:r>
              <w:rPr>
                <w:rFonts w:ascii="Arial" w:cs="Arial" w:eastAsia="Arial" w:hAnsi="Arial"/>
                <w:sz w:val="13"/>
                <w:szCs w:val="13"/>
                <w:b w:val="1"/>
                <w:bCs w:val="1"/>
                <w:color w:val="051972"/>
              </w:rPr>
              <w:t>($)</w:t>
            </w:r>
          </w:p>
        </w:tc>
        <w:tc>
          <w:tcPr>
            <w:tcW w:w="0" w:type="dxa"/>
            <w:vAlign w:val="bottom"/>
          </w:tcPr>
          <w:p>
            <w:pPr>
              <w:spacing w:after="0"/>
              <w:rPr>
                <w:sz w:val="1"/>
                <w:szCs w:val="1"/>
                <w:color w:val="auto"/>
              </w:rPr>
            </w:pPr>
          </w:p>
        </w:tc>
      </w:tr>
      <w:tr>
        <w:trPr>
          <w:trHeight w:val="169"/>
        </w:trPr>
        <w:tc>
          <w:tcPr>
            <w:tcW w:w="1780" w:type="dxa"/>
            <w:vAlign w:val="bottom"/>
            <w:shd w:val="clear" w:color="auto" w:fill="E7E7E8"/>
          </w:tcPr>
          <w:p>
            <w:pPr>
              <w:ind w:left="20"/>
              <w:spacing w:after="0"/>
              <w:rPr>
                <w:sz w:val="20"/>
                <w:szCs w:val="20"/>
                <w:color w:val="auto"/>
              </w:rPr>
            </w:pPr>
            <w:r>
              <w:rPr>
                <w:rFonts w:ascii="Arial" w:cs="Arial" w:eastAsia="Arial" w:hAnsi="Arial"/>
                <w:sz w:val="13"/>
                <w:szCs w:val="13"/>
                <w:color w:val="auto"/>
              </w:rPr>
              <w:t>Michael R. Haack</w:t>
            </w:r>
          </w:p>
        </w:tc>
        <w:tc>
          <w:tcPr>
            <w:tcW w:w="140" w:type="dxa"/>
            <w:vAlign w:val="bottom"/>
            <w:shd w:val="clear" w:color="auto" w:fill="E7E7E8"/>
          </w:tcPr>
          <w:p>
            <w:pPr>
              <w:spacing w:after="0"/>
              <w:rPr>
                <w:sz w:val="14"/>
                <w:szCs w:val="14"/>
                <w:color w:val="auto"/>
              </w:rPr>
            </w:pPr>
          </w:p>
        </w:tc>
        <w:tc>
          <w:tcPr>
            <w:tcW w:w="1400" w:type="dxa"/>
            <w:vAlign w:val="bottom"/>
            <w:shd w:val="clear" w:color="auto" w:fill="E7E7E8"/>
          </w:tcPr>
          <w:p>
            <w:pPr>
              <w:jc w:val="right"/>
              <w:ind w:right="235"/>
              <w:spacing w:after="0"/>
              <w:rPr>
                <w:sz w:val="20"/>
                <w:szCs w:val="20"/>
                <w:color w:val="auto"/>
              </w:rPr>
            </w:pPr>
            <w:r>
              <w:rPr>
                <w:rFonts w:ascii="Arial" w:cs="Arial" w:eastAsia="Arial" w:hAnsi="Arial"/>
                <w:sz w:val="13"/>
                <w:szCs w:val="13"/>
                <w:color w:val="auto"/>
              </w:rPr>
              <w:t>3,244,800</w:t>
            </w:r>
          </w:p>
        </w:tc>
        <w:tc>
          <w:tcPr>
            <w:tcW w:w="1340" w:type="dxa"/>
            <w:vAlign w:val="bottom"/>
            <w:shd w:val="clear" w:color="auto" w:fill="E7E7E8"/>
          </w:tcPr>
          <w:p>
            <w:pPr>
              <w:jc w:val="right"/>
              <w:ind w:right="215"/>
              <w:spacing w:after="0"/>
              <w:rPr>
                <w:sz w:val="20"/>
                <w:szCs w:val="20"/>
                <w:color w:val="auto"/>
              </w:rPr>
            </w:pPr>
            <w:r>
              <w:rPr>
                <w:rFonts w:ascii="Arial" w:cs="Arial" w:eastAsia="Arial" w:hAnsi="Arial"/>
                <w:sz w:val="13"/>
                <w:szCs w:val="13"/>
                <w:color w:val="auto"/>
              </w:rPr>
              <w:t>6,396,213</w:t>
            </w:r>
          </w:p>
        </w:tc>
        <w:tc>
          <w:tcPr>
            <w:tcW w:w="1280" w:type="dxa"/>
            <w:vAlign w:val="bottom"/>
            <w:shd w:val="clear" w:color="auto" w:fill="E7E7E8"/>
          </w:tcPr>
          <w:p>
            <w:pPr>
              <w:jc w:val="right"/>
              <w:ind w:right="155"/>
              <w:spacing w:after="0"/>
              <w:rPr>
                <w:sz w:val="20"/>
                <w:szCs w:val="20"/>
                <w:color w:val="auto"/>
              </w:rPr>
            </w:pPr>
            <w:r>
              <w:rPr>
                <w:rFonts w:ascii="Arial" w:cs="Arial" w:eastAsia="Arial" w:hAnsi="Arial"/>
                <w:sz w:val="13"/>
                <w:szCs w:val="13"/>
                <w:color w:val="auto"/>
              </w:rPr>
              <w:t>2,132,071</w:t>
            </w:r>
          </w:p>
        </w:tc>
        <w:tc>
          <w:tcPr>
            <w:tcW w:w="1400" w:type="dxa"/>
            <w:vAlign w:val="bottom"/>
            <w:shd w:val="clear" w:color="auto" w:fill="E7E7E8"/>
          </w:tcPr>
          <w:p>
            <w:pPr>
              <w:jc w:val="right"/>
              <w:ind w:right="175"/>
              <w:spacing w:after="0"/>
              <w:rPr>
                <w:sz w:val="20"/>
                <w:szCs w:val="20"/>
                <w:color w:val="auto"/>
              </w:rPr>
            </w:pPr>
            <w:r>
              <w:rPr>
                <w:rFonts w:ascii="Arial" w:cs="Arial" w:eastAsia="Arial" w:hAnsi="Arial"/>
                <w:sz w:val="13"/>
                <w:szCs w:val="13"/>
                <w:color w:val="auto"/>
              </w:rPr>
              <w:t>154,500</w:t>
            </w:r>
          </w:p>
        </w:tc>
        <w:tc>
          <w:tcPr>
            <w:tcW w:w="1260" w:type="dxa"/>
            <w:vAlign w:val="bottom"/>
            <w:shd w:val="clear" w:color="auto" w:fill="E7E7E8"/>
          </w:tcPr>
          <w:p>
            <w:pPr>
              <w:jc w:val="right"/>
              <w:ind w:right="135"/>
              <w:spacing w:after="0"/>
              <w:rPr>
                <w:sz w:val="20"/>
                <w:szCs w:val="20"/>
                <w:color w:val="auto"/>
              </w:rPr>
            </w:pPr>
            <w:r>
              <w:rPr>
                <w:rFonts w:ascii="Arial" w:cs="Arial" w:eastAsia="Arial" w:hAnsi="Arial"/>
                <w:sz w:val="13"/>
                <w:szCs w:val="13"/>
                <w:color w:val="auto"/>
              </w:rPr>
              <w:t>36,000</w:t>
            </w:r>
          </w:p>
        </w:tc>
        <w:tc>
          <w:tcPr>
            <w:tcW w:w="1500" w:type="dxa"/>
            <w:vAlign w:val="bottom"/>
            <w:shd w:val="clear" w:color="auto" w:fill="E7E7E8"/>
          </w:tcPr>
          <w:p>
            <w:pPr>
              <w:jc w:val="right"/>
              <w:ind w:right="255"/>
              <w:spacing w:after="0"/>
              <w:rPr>
                <w:sz w:val="20"/>
                <w:szCs w:val="20"/>
                <w:color w:val="auto"/>
              </w:rPr>
            </w:pPr>
            <w:r>
              <w:rPr>
                <w:rFonts w:ascii="Arial" w:cs="Arial" w:eastAsia="Arial" w:hAnsi="Arial"/>
                <w:sz w:val="13"/>
                <w:szCs w:val="13"/>
                <w:color w:val="auto"/>
              </w:rPr>
              <w:t>30,000</w:t>
            </w:r>
          </w:p>
        </w:tc>
        <w:tc>
          <w:tcPr>
            <w:tcW w:w="1140" w:type="dxa"/>
            <w:vAlign w:val="bottom"/>
            <w:shd w:val="clear" w:color="auto" w:fill="E7E7E8"/>
          </w:tcPr>
          <w:p>
            <w:pPr>
              <w:jc w:val="right"/>
              <w:ind w:right="54"/>
              <w:spacing w:after="0"/>
              <w:rPr>
                <w:sz w:val="20"/>
                <w:szCs w:val="20"/>
                <w:color w:val="auto"/>
              </w:rPr>
            </w:pPr>
            <w:r>
              <w:rPr>
                <w:rFonts w:ascii="Arial" w:cs="Arial" w:eastAsia="Arial" w:hAnsi="Arial"/>
                <w:sz w:val="13"/>
                <w:szCs w:val="13"/>
                <w:color w:val="auto"/>
              </w:rPr>
              <w:t>11,993,584</w:t>
            </w:r>
          </w:p>
        </w:tc>
        <w:tc>
          <w:tcPr>
            <w:tcW w:w="0" w:type="dxa"/>
            <w:vAlign w:val="bottom"/>
          </w:tcPr>
          <w:p>
            <w:pPr>
              <w:spacing w:after="0"/>
              <w:rPr>
                <w:sz w:val="1"/>
                <w:szCs w:val="1"/>
                <w:color w:val="auto"/>
              </w:rPr>
            </w:pPr>
          </w:p>
        </w:tc>
      </w:tr>
      <w:tr>
        <w:trPr>
          <w:trHeight w:val="175"/>
        </w:trPr>
        <w:tc>
          <w:tcPr>
            <w:tcW w:w="1780" w:type="dxa"/>
            <w:vAlign w:val="bottom"/>
          </w:tcPr>
          <w:p>
            <w:pPr>
              <w:ind w:left="20"/>
              <w:spacing w:after="0"/>
              <w:rPr>
                <w:sz w:val="20"/>
                <w:szCs w:val="20"/>
                <w:color w:val="auto"/>
              </w:rPr>
            </w:pPr>
            <w:r>
              <w:rPr>
                <w:rFonts w:ascii="Arial" w:cs="Arial" w:eastAsia="Arial" w:hAnsi="Arial"/>
                <w:sz w:val="13"/>
                <w:szCs w:val="13"/>
                <w:color w:val="auto"/>
              </w:rPr>
              <w:t>D. Craig Kesler</w:t>
            </w:r>
          </w:p>
        </w:tc>
        <w:tc>
          <w:tcPr>
            <w:tcW w:w="1540" w:type="dxa"/>
            <w:vAlign w:val="bottom"/>
            <w:gridSpan w:val="2"/>
          </w:tcPr>
          <w:p>
            <w:pPr>
              <w:jc w:val="right"/>
              <w:ind w:right="235"/>
              <w:spacing w:after="0"/>
              <w:rPr>
                <w:sz w:val="20"/>
                <w:szCs w:val="20"/>
                <w:color w:val="auto"/>
              </w:rPr>
            </w:pPr>
            <w:r>
              <w:rPr>
                <w:rFonts w:ascii="Arial" w:cs="Arial" w:eastAsia="Arial" w:hAnsi="Arial"/>
                <w:sz w:val="13"/>
                <w:szCs w:val="13"/>
                <w:color w:val="auto"/>
              </w:rPr>
              <w:t>1,534,000</w:t>
            </w:r>
          </w:p>
        </w:tc>
        <w:tc>
          <w:tcPr>
            <w:tcW w:w="1340" w:type="dxa"/>
            <w:vAlign w:val="bottom"/>
          </w:tcPr>
          <w:p>
            <w:pPr>
              <w:jc w:val="right"/>
              <w:ind w:right="215"/>
              <w:spacing w:after="0"/>
              <w:rPr>
                <w:sz w:val="20"/>
                <w:szCs w:val="20"/>
                <w:color w:val="auto"/>
              </w:rPr>
            </w:pPr>
            <w:r>
              <w:rPr>
                <w:rFonts w:ascii="Arial" w:cs="Arial" w:eastAsia="Arial" w:hAnsi="Arial"/>
                <w:sz w:val="13"/>
                <w:szCs w:val="13"/>
                <w:color w:val="auto"/>
              </w:rPr>
              <w:t>2,284,363</w:t>
            </w:r>
          </w:p>
        </w:tc>
        <w:tc>
          <w:tcPr>
            <w:tcW w:w="1280" w:type="dxa"/>
            <w:vAlign w:val="bottom"/>
          </w:tcPr>
          <w:p>
            <w:pPr>
              <w:jc w:val="right"/>
              <w:ind w:right="155"/>
              <w:spacing w:after="0"/>
              <w:rPr>
                <w:sz w:val="20"/>
                <w:szCs w:val="20"/>
                <w:color w:val="auto"/>
              </w:rPr>
            </w:pPr>
            <w:r>
              <w:rPr>
                <w:rFonts w:ascii="Arial" w:cs="Arial" w:eastAsia="Arial" w:hAnsi="Arial"/>
                <w:sz w:val="13"/>
                <w:szCs w:val="13"/>
                <w:color w:val="auto"/>
              </w:rPr>
              <w:t>913,745</w:t>
            </w:r>
          </w:p>
        </w:tc>
        <w:tc>
          <w:tcPr>
            <w:tcW w:w="1400" w:type="dxa"/>
            <w:vAlign w:val="bottom"/>
          </w:tcPr>
          <w:p>
            <w:pPr>
              <w:jc w:val="right"/>
              <w:ind w:right="175"/>
              <w:spacing w:after="0"/>
              <w:rPr>
                <w:sz w:val="20"/>
                <w:szCs w:val="20"/>
                <w:color w:val="auto"/>
              </w:rPr>
            </w:pPr>
            <w:r>
              <w:rPr>
                <w:rFonts w:ascii="Arial" w:cs="Arial" w:eastAsia="Arial" w:hAnsi="Arial"/>
                <w:sz w:val="13"/>
                <w:szCs w:val="13"/>
                <w:color w:val="auto"/>
              </w:rPr>
              <w:t>71,408</w:t>
            </w:r>
          </w:p>
        </w:tc>
        <w:tc>
          <w:tcPr>
            <w:tcW w:w="1260" w:type="dxa"/>
            <w:vAlign w:val="bottom"/>
          </w:tcPr>
          <w:p>
            <w:pPr>
              <w:jc w:val="right"/>
              <w:ind w:right="135"/>
              <w:spacing w:after="0"/>
              <w:rPr>
                <w:sz w:val="20"/>
                <w:szCs w:val="20"/>
                <w:color w:val="auto"/>
              </w:rPr>
            </w:pPr>
            <w:r>
              <w:rPr>
                <w:rFonts w:ascii="Arial" w:cs="Arial" w:eastAsia="Arial" w:hAnsi="Arial"/>
                <w:sz w:val="13"/>
                <w:szCs w:val="13"/>
                <w:color w:val="auto"/>
              </w:rPr>
              <w:t>30,000</w:t>
            </w:r>
          </w:p>
        </w:tc>
        <w:tc>
          <w:tcPr>
            <w:tcW w:w="1500" w:type="dxa"/>
            <w:vAlign w:val="bottom"/>
          </w:tcPr>
          <w:p>
            <w:pPr>
              <w:jc w:val="right"/>
              <w:ind w:right="255"/>
              <w:spacing w:after="0"/>
              <w:rPr>
                <w:sz w:val="20"/>
                <w:szCs w:val="20"/>
                <w:color w:val="auto"/>
              </w:rPr>
            </w:pPr>
            <w:r>
              <w:rPr>
                <w:rFonts w:ascii="Arial" w:cs="Arial" w:eastAsia="Arial" w:hAnsi="Arial"/>
                <w:sz w:val="13"/>
                <w:szCs w:val="13"/>
                <w:color w:val="auto"/>
              </w:rPr>
              <w:t>30,000</w:t>
            </w:r>
          </w:p>
        </w:tc>
        <w:tc>
          <w:tcPr>
            <w:tcW w:w="1140" w:type="dxa"/>
            <w:vAlign w:val="bottom"/>
          </w:tcPr>
          <w:p>
            <w:pPr>
              <w:jc w:val="right"/>
              <w:ind w:right="54"/>
              <w:spacing w:after="0"/>
              <w:rPr>
                <w:sz w:val="20"/>
                <w:szCs w:val="20"/>
                <w:color w:val="auto"/>
              </w:rPr>
            </w:pPr>
            <w:r>
              <w:rPr>
                <w:rFonts w:ascii="Arial" w:cs="Arial" w:eastAsia="Arial" w:hAnsi="Arial"/>
                <w:sz w:val="13"/>
                <w:szCs w:val="13"/>
                <w:color w:val="auto"/>
              </w:rPr>
              <w:t>4,863,516</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51972"/>
            </w:tcBorders>
            <w:shd w:val="clear" w:color="auto" w:fill="E7E7E8"/>
          </w:tcPr>
          <w:p>
            <w:pPr>
              <w:ind w:left="20"/>
              <w:spacing w:after="0"/>
              <w:rPr>
                <w:sz w:val="20"/>
                <w:szCs w:val="20"/>
                <w:color w:val="auto"/>
              </w:rPr>
            </w:pPr>
            <w:r>
              <w:rPr>
                <w:rFonts w:ascii="Arial" w:cs="Arial" w:eastAsia="Arial" w:hAnsi="Arial"/>
                <w:sz w:val="13"/>
                <w:szCs w:val="13"/>
                <w:color w:val="auto"/>
              </w:rPr>
              <w:t>Matt Newby</w:t>
            </w:r>
          </w:p>
        </w:tc>
        <w:tc>
          <w:tcPr>
            <w:tcW w:w="140" w:type="dxa"/>
            <w:vAlign w:val="bottom"/>
            <w:tcBorders>
              <w:bottom w:val="single" w:sz="8" w:color="051972"/>
            </w:tcBorders>
            <w:shd w:val="clear" w:color="auto" w:fill="E7E7E8"/>
          </w:tcPr>
          <w:p>
            <w:pPr>
              <w:spacing w:after="0"/>
              <w:rPr>
                <w:sz w:val="17"/>
                <w:szCs w:val="17"/>
                <w:color w:val="auto"/>
              </w:rPr>
            </w:pPr>
          </w:p>
        </w:tc>
        <w:tc>
          <w:tcPr>
            <w:tcW w:w="1400" w:type="dxa"/>
            <w:vAlign w:val="bottom"/>
            <w:tcBorders>
              <w:bottom w:val="single" w:sz="8" w:color="051972"/>
            </w:tcBorders>
            <w:shd w:val="clear" w:color="auto" w:fill="E7E7E8"/>
          </w:tcPr>
          <w:p>
            <w:pPr>
              <w:jc w:val="right"/>
              <w:ind w:right="235"/>
              <w:spacing w:after="0"/>
              <w:rPr>
                <w:sz w:val="20"/>
                <w:szCs w:val="20"/>
                <w:color w:val="auto"/>
              </w:rPr>
            </w:pPr>
            <w:r>
              <w:rPr>
                <w:rFonts w:ascii="Arial" w:cs="Arial" w:eastAsia="Arial" w:hAnsi="Arial"/>
                <w:sz w:val="13"/>
                <w:szCs w:val="13"/>
                <w:color w:val="auto"/>
              </w:rPr>
              <w:t>1,045,000</w:t>
            </w:r>
          </w:p>
        </w:tc>
        <w:tc>
          <w:tcPr>
            <w:tcW w:w="1340" w:type="dxa"/>
            <w:vAlign w:val="bottom"/>
            <w:tcBorders>
              <w:bottom w:val="single" w:sz="8" w:color="051972"/>
            </w:tcBorders>
            <w:shd w:val="clear" w:color="auto" w:fill="E7E7E8"/>
          </w:tcPr>
          <w:p>
            <w:pPr>
              <w:jc w:val="right"/>
              <w:ind w:right="215"/>
              <w:spacing w:after="0"/>
              <w:rPr>
                <w:sz w:val="20"/>
                <w:szCs w:val="20"/>
                <w:color w:val="auto"/>
              </w:rPr>
            </w:pPr>
            <w:r>
              <w:rPr>
                <w:rFonts w:ascii="Arial" w:cs="Arial" w:eastAsia="Arial" w:hAnsi="Arial"/>
                <w:sz w:val="13"/>
                <w:szCs w:val="13"/>
                <w:color w:val="auto"/>
              </w:rPr>
              <w:t>1,066,036</w:t>
            </w:r>
          </w:p>
        </w:tc>
        <w:tc>
          <w:tcPr>
            <w:tcW w:w="1280" w:type="dxa"/>
            <w:vAlign w:val="bottom"/>
            <w:tcBorders>
              <w:bottom w:val="single" w:sz="8" w:color="051972"/>
            </w:tcBorders>
            <w:shd w:val="clear" w:color="auto" w:fill="E7E7E8"/>
          </w:tcPr>
          <w:p>
            <w:pPr>
              <w:jc w:val="right"/>
              <w:ind w:right="155"/>
              <w:spacing w:after="0"/>
              <w:rPr>
                <w:sz w:val="20"/>
                <w:szCs w:val="20"/>
                <w:color w:val="auto"/>
              </w:rPr>
            </w:pPr>
            <w:r>
              <w:rPr>
                <w:rFonts w:ascii="Arial" w:cs="Arial" w:eastAsia="Arial" w:hAnsi="Arial"/>
                <w:sz w:val="13"/>
                <w:szCs w:val="13"/>
                <w:color w:val="auto"/>
              </w:rPr>
              <w:t>533,018</w:t>
            </w:r>
          </w:p>
        </w:tc>
        <w:tc>
          <w:tcPr>
            <w:tcW w:w="1400" w:type="dxa"/>
            <w:vAlign w:val="bottom"/>
            <w:tcBorders>
              <w:bottom w:val="single" w:sz="8" w:color="051972"/>
            </w:tcBorders>
            <w:shd w:val="clear" w:color="auto" w:fill="E7E7E8"/>
          </w:tcPr>
          <w:p>
            <w:pPr>
              <w:jc w:val="right"/>
              <w:ind w:right="175"/>
              <w:spacing w:after="0"/>
              <w:rPr>
                <w:sz w:val="20"/>
                <w:szCs w:val="20"/>
                <w:color w:val="auto"/>
              </w:rPr>
            </w:pPr>
            <w:r>
              <w:rPr>
                <w:rFonts w:ascii="Arial" w:cs="Arial" w:eastAsia="Arial" w:hAnsi="Arial"/>
                <w:sz w:val="13"/>
                <w:szCs w:val="13"/>
                <w:color w:val="auto"/>
              </w:rPr>
              <w:t>45,432</w:t>
            </w:r>
          </w:p>
        </w:tc>
        <w:tc>
          <w:tcPr>
            <w:tcW w:w="1260" w:type="dxa"/>
            <w:vAlign w:val="bottom"/>
            <w:tcBorders>
              <w:bottom w:val="single" w:sz="8" w:color="051972"/>
            </w:tcBorders>
            <w:shd w:val="clear" w:color="auto" w:fill="E7E7E8"/>
          </w:tcPr>
          <w:p>
            <w:pPr>
              <w:jc w:val="right"/>
              <w:ind w:right="135"/>
              <w:spacing w:after="0"/>
              <w:rPr>
                <w:sz w:val="20"/>
                <w:szCs w:val="20"/>
                <w:color w:val="auto"/>
              </w:rPr>
            </w:pPr>
            <w:r>
              <w:rPr>
                <w:rFonts w:ascii="Arial" w:cs="Arial" w:eastAsia="Arial" w:hAnsi="Arial"/>
                <w:sz w:val="13"/>
                <w:szCs w:val="13"/>
                <w:color w:val="auto"/>
              </w:rPr>
              <w:t>24,000</w:t>
            </w:r>
          </w:p>
        </w:tc>
        <w:tc>
          <w:tcPr>
            <w:tcW w:w="1500" w:type="dxa"/>
            <w:vAlign w:val="bottom"/>
            <w:tcBorders>
              <w:bottom w:val="single" w:sz="8" w:color="051972"/>
            </w:tcBorders>
            <w:shd w:val="clear" w:color="auto" w:fill="E7E7E8"/>
          </w:tcPr>
          <w:p>
            <w:pPr>
              <w:jc w:val="right"/>
              <w:ind w:right="255"/>
              <w:spacing w:after="0"/>
              <w:rPr>
                <w:sz w:val="20"/>
                <w:szCs w:val="20"/>
                <w:color w:val="auto"/>
              </w:rPr>
            </w:pPr>
            <w:r>
              <w:rPr>
                <w:rFonts w:ascii="Arial" w:cs="Arial" w:eastAsia="Arial" w:hAnsi="Arial"/>
                <w:sz w:val="13"/>
                <w:szCs w:val="13"/>
                <w:color w:val="auto"/>
              </w:rPr>
              <w:t>30,000</w:t>
            </w:r>
          </w:p>
        </w:tc>
        <w:tc>
          <w:tcPr>
            <w:tcW w:w="1140" w:type="dxa"/>
            <w:vAlign w:val="bottom"/>
            <w:tcBorders>
              <w:bottom w:val="single" w:sz="8" w:color="051972"/>
            </w:tcBorders>
            <w:shd w:val="clear" w:color="auto" w:fill="E7E7E8"/>
          </w:tcPr>
          <w:p>
            <w:pPr>
              <w:jc w:val="right"/>
              <w:ind w:right="54"/>
              <w:spacing w:after="0"/>
              <w:rPr>
                <w:sz w:val="20"/>
                <w:szCs w:val="20"/>
                <w:color w:val="auto"/>
              </w:rPr>
            </w:pPr>
            <w:r>
              <w:rPr>
                <w:rFonts w:ascii="Arial" w:cs="Arial" w:eastAsia="Arial" w:hAnsi="Arial"/>
                <w:sz w:val="13"/>
                <w:szCs w:val="13"/>
                <w:color w:val="auto"/>
              </w:rPr>
              <w:t>2,743,486</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80" w:hanging="372"/>
        <w:spacing w:after="0"/>
        <w:tabs>
          <w:tab w:leader="none" w:pos="380" w:val="left"/>
        </w:tabs>
        <w:numPr>
          <w:ilvl w:val="0"/>
          <w:numId w:val="86"/>
        </w:numPr>
        <w:rPr>
          <w:rFonts w:ascii="Times New Roman" w:cs="Times New Roman" w:eastAsia="Times New Roman" w:hAnsi="Times New Roman"/>
          <w:sz w:val="14"/>
          <w:szCs w:val="14"/>
          <w:color w:val="auto"/>
        </w:rPr>
      </w:pPr>
      <w:r>
        <w:rPr>
          <w:rFonts w:ascii="Arial" w:cs="Arial" w:eastAsia="Arial" w:hAnsi="Arial"/>
          <w:sz w:val="14"/>
          <w:szCs w:val="14"/>
          <w:color w:val="auto"/>
        </w:rPr>
        <w:t>The amounts in this column reflect these amounts after applying the applicable severance multiple: Mr. Haack - 3.0; Mr. Kesler - 2.5; and Mr. Newby - 2.0.</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Payments Made Upon Any Termination</w:t>
      </w:r>
    </w:p>
    <w:p>
      <w:pPr>
        <w:spacing w:after="0" w:line="15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i w:val="1"/>
          <w:iCs w:val="1"/>
          <w:u w:val="single" w:color="auto"/>
          <w:color w:val="auto"/>
        </w:rPr>
        <w:t>Deferred Compensation</w:t>
      </w:r>
      <w:r>
        <w:rPr>
          <w:rFonts w:ascii="Arial" w:cs="Arial" w:eastAsia="Arial" w:hAnsi="Arial"/>
          <w:sz w:val="16"/>
          <w:szCs w:val="16"/>
          <w:color w:val="auto"/>
        </w:rPr>
        <w:t>. The amounts shown in the table below do not include distribution of plan balances under our SERP. These balances are shown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"Nonqualified Deferred Compensation in FY 2025" table of this Proxy Statement.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58</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3" w:name="page64"/>
    <w:bookmarkEnd w:id="63"/>
    <w:p>
      <w:pPr>
        <w:ind w:left="40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2205355</wp:posOffset>
            </wp:positionH>
            <wp:positionV relativeFrom="page">
              <wp:posOffset>526415</wp:posOffset>
            </wp:positionV>
            <wp:extent cx="513461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34610" cy="171450"/>
                    </a:xfrm>
                    <a:prstGeom prst="rect">
                      <a:avLst/>
                    </a:prstGeom>
                    <a:noFill/>
                  </pic:spPr>
                </pic:pic>
              </a:graphicData>
            </a:graphic>
          </wp:anchor>
        </w:drawing>
        <w:t>POTENTIAL PAYMENTS UPON TERMINATION OR CHANGE IN CONTROL</w:t>
      </w:r>
    </w:p>
    <w:p>
      <w:pPr>
        <w:spacing w:after="0" w:line="29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i w:val="1"/>
          <w:iCs w:val="1"/>
          <w:u w:val="single" w:color="auto"/>
          <w:color w:val="auto"/>
        </w:rPr>
        <w:t>Death and Disability</w:t>
      </w:r>
      <w:r>
        <w:rPr>
          <w:rFonts w:ascii="Arial" w:cs="Arial" w:eastAsia="Arial" w:hAnsi="Arial"/>
          <w:sz w:val="16"/>
          <w:szCs w:val="16"/>
          <w:i w:val="1"/>
          <w:iCs w:val="1"/>
          <w:color w:val="auto"/>
        </w:rPr>
        <w:t xml:space="preserve"> </w:t>
      </w:r>
      <w:r>
        <w:rPr>
          <w:rFonts w:ascii="Arial" w:cs="Arial" w:eastAsia="Arial" w:hAnsi="Arial"/>
          <w:sz w:val="16"/>
          <w:szCs w:val="16"/>
          <w:color w:val="auto"/>
        </w:rPr>
        <w:t>. A termination of employment due to death or disability does not entitle the Named Executive Officer to any payments that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salaried employees generally, except for (i) vesting of unvested equity awards; and (ii) benefits payable to the beneficiaries of the Named Executive Officers in the event of termination due to death under our Executive Life Insurance Plan. A description of our Executive Life Insurance Plan is set forth in “Executive Life Insurance Plan” above.</w:t>
      </w:r>
    </w:p>
    <w:p>
      <w:pPr>
        <w:spacing w:after="0" w:line="9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i w:val="1"/>
          <w:iCs w:val="1"/>
          <w:u w:val="single" w:color="auto"/>
          <w:color w:val="auto"/>
        </w:rPr>
        <w:t>Accrued Pay and Retirement Plan Benefits</w:t>
      </w:r>
      <w:r>
        <w:rPr>
          <w:rFonts w:ascii="Arial" w:cs="Arial" w:eastAsia="Arial" w:hAnsi="Arial"/>
          <w:sz w:val="16"/>
          <w:szCs w:val="16"/>
          <w:color w:val="auto"/>
        </w:rPr>
        <w:t>. The amounts shown in the table below do not include payments and benefits to the extent they are provided on</w:t>
      </w:r>
      <w:r>
        <w:rPr>
          <w:rFonts w:ascii="Arial" w:cs="Arial" w:eastAsia="Arial" w:hAnsi="Arial"/>
          <w:sz w:val="16"/>
          <w:szCs w:val="16"/>
          <w:i w:val="1"/>
          <w:iCs w:val="1"/>
          <w:color w:val="auto"/>
        </w:rPr>
        <w:t xml:space="preserve"> </w:t>
      </w:r>
      <w:r>
        <w:rPr>
          <w:rFonts w:ascii="Arial" w:cs="Arial" w:eastAsia="Arial" w:hAnsi="Arial"/>
          <w:sz w:val="16"/>
          <w:szCs w:val="16"/>
          <w:color w:val="auto"/>
        </w:rPr>
        <w:t>a non-discriminatory basis to salaried employees generally upon termination of employment or relate to equity grants that have already vested. These include:</w:t>
      </w:r>
    </w:p>
    <w:p>
      <w:pPr>
        <w:spacing w:after="0" w:line="294" w:lineRule="exact"/>
        <w:rPr>
          <w:sz w:val="20"/>
          <w:szCs w:val="20"/>
          <w:color w:val="auto"/>
        </w:rPr>
      </w:pPr>
    </w:p>
    <w:p>
      <w:pPr>
        <w:ind w:left="460" w:hanging="228"/>
        <w:spacing w:after="0"/>
        <w:tabs>
          <w:tab w:leader="none" w:pos="460" w:val="left"/>
        </w:tabs>
        <w:numPr>
          <w:ilvl w:val="0"/>
          <w:numId w:val="87"/>
        </w:numPr>
        <w:rPr>
          <w:rFonts w:ascii="Times New Roman" w:cs="Times New Roman" w:eastAsia="Times New Roman" w:hAnsi="Times New Roman"/>
          <w:sz w:val="16"/>
          <w:szCs w:val="16"/>
          <w:color w:val="auto"/>
        </w:rPr>
      </w:pPr>
      <w:r>
        <w:rPr>
          <w:rFonts w:ascii="Arial" w:cs="Arial" w:eastAsia="Arial" w:hAnsi="Arial"/>
          <w:sz w:val="16"/>
          <w:szCs w:val="16"/>
          <w:color w:val="auto"/>
        </w:rPr>
        <w:t>accrued salary pay through the date of termination;</w:t>
      </w:r>
    </w:p>
    <w:p>
      <w:pPr>
        <w:spacing w:after="0" w:line="29"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87"/>
        </w:numPr>
        <w:rPr>
          <w:rFonts w:ascii="Times New Roman" w:cs="Times New Roman" w:eastAsia="Times New Roman" w:hAnsi="Times New Roman"/>
          <w:sz w:val="16"/>
          <w:szCs w:val="16"/>
          <w:color w:val="auto"/>
        </w:rPr>
      </w:pPr>
      <w:r>
        <w:rPr>
          <w:rFonts w:ascii="Arial" w:cs="Arial" w:eastAsia="Arial" w:hAnsi="Arial"/>
          <w:sz w:val="16"/>
          <w:szCs w:val="16"/>
          <w:color w:val="auto"/>
        </w:rPr>
        <w:t>non-equity incentive compensation earned and payable prior to the date of termination;</w:t>
      </w:r>
    </w:p>
    <w:p>
      <w:pPr>
        <w:spacing w:after="0" w:line="17" w:lineRule="exact"/>
        <w:rPr>
          <w:rFonts w:ascii="Times New Roman" w:cs="Times New Roman" w:eastAsia="Times New Roman" w:hAnsi="Times New Roman"/>
          <w:sz w:val="16"/>
          <w:szCs w:val="16"/>
          <w:color w:val="auto"/>
        </w:rPr>
      </w:pPr>
    </w:p>
    <w:p>
      <w:pPr>
        <w:ind w:left="460" w:right="560" w:hanging="228"/>
        <w:spacing w:after="0" w:line="248" w:lineRule="auto"/>
        <w:tabs>
          <w:tab w:leader="none" w:pos="460" w:val="left"/>
        </w:tabs>
        <w:numPr>
          <w:ilvl w:val="0"/>
          <w:numId w:val="87"/>
        </w:numPr>
        <w:rPr>
          <w:rFonts w:ascii="Times New Roman" w:cs="Times New Roman" w:eastAsia="Times New Roman" w:hAnsi="Times New Roman"/>
          <w:sz w:val="16"/>
          <w:szCs w:val="16"/>
          <w:color w:val="auto"/>
        </w:rPr>
      </w:pPr>
      <w:r>
        <w:rPr>
          <w:rFonts w:ascii="Arial" w:cs="Arial" w:eastAsia="Arial" w:hAnsi="Arial"/>
          <w:sz w:val="16"/>
          <w:szCs w:val="16"/>
          <w:color w:val="auto"/>
        </w:rPr>
        <w:t>option grants received under the 2013 Incentive Plan or 2023 Incentive Plan which have already vested and are exercisable prior to the date of termination (subject to the terms of the applicable Nonqualified Stock Option Agreement);</w:t>
      </w:r>
    </w:p>
    <w:p>
      <w:pPr>
        <w:ind w:left="460" w:right="60" w:hanging="228"/>
        <w:spacing w:after="0" w:line="246" w:lineRule="auto"/>
        <w:tabs>
          <w:tab w:leader="none" w:pos="460" w:val="left"/>
        </w:tabs>
        <w:numPr>
          <w:ilvl w:val="0"/>
          <w:numId w:val="87"/>
        </w:numPr>
        <w:rPr>
          <w:rFonts w:ascii="Times New Roman" w:cs="Times New Roman" w:eastAsia="Times New Roman" w:hAnsi="Times New Roman"/>
          <w:sz w:val="16"/>
          <w:szCs w:val="16"/>
          <w:color w:val="auto"/>
        </w:rPr>
      </w:pPr>
      <w:r>
        <w:rPr>
          <w:rFonts w:ascii="Arial" w:cs="Arial" w:eastAsia="Arial" w:hAnsi="Arial"/>
          <w:sz w:val="16"/>
          <w:szCs w:val="16"/>
          <w:color w:val="auto"/>
        </w:rPr>
        <w:t>restricted stock grants or restricted stock unit grants received under the 2013 Incentive Plan or 2023 Incentive Plan which have already vested prior to the date of termination (subject to the terms of the applicable Restricted Stock or Restricted Stock Unit Agreement); and</w:t>
      </w:r>
    </w:p>
    <w:p>
      <w:pPr>
        <w:ind w:left="460" w:hanging="228"/>
        <w:spacing w:after="0"/>
        <w:tabs>
          <w:tab w:leader="none" w:pos="460" w:val="left"/>
        </w:tabs>
        <w:numPr>
          <w:ilvl w:val="0"/>
          <w:numId w:val="87"/>
        </w:numPr>
        <w:rPr>
          <w:rFonts w:ascii="Times New Roman" w:cs="Times New Roman" w:eastAsia="Times New Roman" w:hAnsi="Times New Roman"/>
          <w:sz w:val="16"/>
          <w:szCs w:val="16"/>
          <w:color w:val="auto"/>
        </w:rPr>
      </w:pPr>
      <w:r>
        <w:rPr>
          <w:rFonts w:ascii="Arial" w:cs="Arial" w:eastAsia="Arial" w:hAnsi="Arial"/>
          <w:sz w:val="16"/>
          <w:szCs w:val="16"/>
          <w:color w:val="auto"/>
        </w:rPr>
        <w:t>unused accrued vacation pay.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051972"/>
              </w:rPr>
              <w:t>Involuntary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051972"/>
              </w:rPr>
              <w:t>Termination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28"/>
              <w:spacing w:after="0"/>
              <w:rPr>
                <w:sz w:val="20"/>
                <w:szCs w:val="20"/>
                <w:color w:val="auto"/>
              </w:rPr>
            </w:pPr>
            <w:r>
              <w:rPr>
                <w:rFonts w:ascii="Arial" w:cs="Arial" w:eastAsia="Arial" w:hAnsi="Arial"/>
                <w:sz w:val="14"/>
                <w:szCs w:val="14"/>
                <w:b w:val="1"/>
                <w:bCs w:val="1"/>
                <w:color w:val="051972"/>
              </w:rPr>
              <w:t>or Voluntary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051972"/>
              </w:rPr>
              <w:t>Termination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4"/>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128"/>
              <w:spacing w:after="0" w:line="145" w:lineRule="exact"/>
              <w:rPr>
                <w:sz w:val="20"/>
                <w:szCs w:val="20"/>
                <w:color w:val="auto"/>
              </w:rPr>
            </w:pPr>
            <w:r>
              <w:rPr>
                <w:rFonts w:ascii="Arial" w:cs="Arial" w:eastAsia="Arial" w:hAnsi="Arial"/>
                <w:sz w:val="14"/>
                <w:szCs w:val="14"/>
                <w:b w:val="1"/>
                <w:bCs w:val="1"/>
                <w:color w:val="051972"/>
              </w:rPr>
              <w:t>(non-Change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39"/>
              <w:spacing w:after="0" w:line="145" w:lineRule="exact"/>
              <w:rPr>
                <w:sz w:val="20"/>
                <w:szCs w:val="20"/>
                <w:color w:val="auto"/>
              </w:rPr>
            </w:pPr>
            <w:r>
              <w:rPr>
                <w:rFonts w:ascii="Arial" w:cs="Arial" w:eastAsia="Arial" w:hAnsi="Arial"/>
                <w:sz w:val="14"/>
                <w:szCs w:val="14"/>
                <w:b w:val="1"/>
                <w:bCs w:val="1"/>
                <w:color w:val="051972"/>
              </w:rPr>
              <w:t>Death or</w:t>
            </w:r>
          </w:p>
        </w:tc>
        <w:tc>
          <w:tcPr>
            <w:tcW w:w="120" w:type="dxa"/>
            <w:vAlign w:val="bottom"/>
          </w:tcPr>
          <w:p>
            <w:pPr>
              <w:spacing w:after="0"/>
              <w:rPr>
                <w:sz w:val="12"/>
                <w:szCs w:val="12"/>
                <w:color w:val="auto"/>
              </w:rPr>
            </w:pPr>
          </w:p>
        </w:tc>
        <w:tc>
          <w:tcPr>
            <w:tcW w:w="1480" w:type="dxa"/>
            <w:vAlign w:val="bottom"/>
          </w:tcPr>
          <w:p>
            <w:pPr>
              <w:jc w:val="center"/>
              <w:ind w:right="56"/>
              <w:spacing w:after="0" w:line="145" w:lineRule="exact"/>
              <w:rPr>
                <w:sz w:val="20"/>
                <w:szCs w:val="20"/>
                <w:color w:val="auto"/>
              </w:rPr>
            </w:pPr>
            <w:r>
              <w:rPr>
                <w:rFonts w:ascii="Arial" w:cs="Arial" w:eastAsia="Arial" w:hAnsi="Arial"/>
                <w:sz w:val="14"/>
                <w:szCs w:val="14"/>
                <w:b w:val="1"/>
                <w:bCs w:val="1"/>
                <w:color w:val="051972"/>
              </w:rPr>
              <w:t>Change in</w:t>
            </w:r>
          </w:p>
        </w:tc>
      </w:tr>
      <w:tr>
        <w:trPr>
          <w:trHeight w:val="180"/>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left="128"/>
              <w:spacing w:after="0"/>
              <w:rPr>
                <w:sz w:val="20"/>
                <w:szCs w:val="20"/>
                <w:color w:val="auto"/>
              </w:rPr>
            </w:pPr>
            <w:r>
              <w:rPr>
                <w:rFonts w:ascii="Arial" w:cs="Arial" w:eastAsia="Arial" w:hAnsi="Arial"/>
                <w:sz w:val="14"/>
                <w:szCs w:val="14"/>
                <w:b w:val="1"/>
                <w:bCs w:val="1"/>
                <w:color w:val="051972"/>
              </w:rPr>
              <w:t>in Control)</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19"/>
              <w:spacing w:after="0"/>
              <w:rPr>
                <w:sz w:val="20"/>
                <w:szCs w:val="20"/>
                <w:color w:val="auto"/>
              </w:rPr>
            </w:pPr>
            <w:r>
              <w:rPr>
                <w:rFonts w:ascii="Arial" w:cs="Arial" w:eastAsia="Arial" w:hAnsi="Arial"/>
                <w:sz w:val="14"/>
                <w:szCs w:val="14"/>
                <w:b w:val="1"/>
                <w:bCs w:val="1"/>
                <w:color w:val="051972"/>
              </w:rPr>
              <w:t>Disability</w:t>
            </w:r>
          </w:p>
        </w:tc>
        <w:tc>
          <w:tcPr>
            <w:tcW w:w="120" w:type="dxa"/>
            <w:vAlign w:val="bottom"/>
          </w:tcPr>
          <w:p>
            <w:pPr>
              <w:spacing w:after="0"/>
              <w:rPr>
                <w:sz w:val="15"/>
                <w:szCs w:val="15"/>
                <w:color w:val="auto"/>
              </w:rPr>
            </w:pPr>
          </w:p>
        </w:tc>
        <w:tc>
          <w:tcPr>
            <w:tcW w:w="1480" w:type="dxa"/>
            <w:vAlign w:val="bottom"/>
          </w:tcPr>
          <w:p>
            <w:pPr>
              <w:jc w:val="center"/>
              <w:ind w:right="36"/>
              <w:spacing w:after="0" w:line="180" w:lineRule="exact"/>
              <w:rPr>
                <w:sz w:val="20"/>
                <w:szCs w:val="20"/>
                <w:color w:val="auto"/>
              </w:rPr>
            </w:pPr>
            <w:r>
              <w:rPr>
                <w:rFonts w:ascii="Arial" w:cs="Arial" w:eastAsia="Arial" w:hAnsi="Arial"/>
                <w:sz w:val="14"/>
                <w:szCs w:val="14"/>
                <w:b w:val="1"/>
                <w:bCs w:val="1"/>
                <w:color w:val="051972"/>
                <w:w w:val="98"/>
              </w:rPr>
              <w:t>Control</w:t>
            </w:r>
            <w:r>
              <w:rPr>
                <w:rFonts w:ascii="Arial" w:cs="Arial" w:eastAsia="Arial" w:hAnsi="Arial"/>
                <w:sz w:val="19"/>
                <w:szCs w:val="19"/>
                <w:b w:val="1"/>
                <w:bCs w:val="1"/>
                <w:color w:val="051972"/>
                <w:w w:val="98"/>
                <w:vertAlign w:val="superscript"/>
              </w:rPr>
              <w:t>(1)</w:t>
            </w:r>
          </w:p>
        </w:tc>
      </w:tr>
      <w:tr>
        <w:trPr>
          <w:trHeight w:val="185"/>
        </w:trPr>
        <w:tc>
          <w:tcPr>
            <w:tcW w:w="6500" w:type="dxa"/>
            <w:vAlign w:val="bottom"/>
            <w:tcBorders>
              <w:bottom w:val="single" w:sz="8" w:color="051972"/>
            </w:tcBorders>
          </w:tcPr>
          <w:p>
            <w:pPr>
              <w:ind w:left="60"/>
              <w:spacing w:after="0"/>
              <w:rPr>
                <w:sz w:val="20"/>
                <w:szCs w:val="20"/>
                <w:color w:val="auto"/>
              </w:rPr>
            </w:pPr>
            <w:r>
              <w:rPr>
                <w:rFonts w:ascii="Arial" w:cs="Arial" w:eastAsia="Arial" w:hAnsi="Arial"/>
                <w:sz w:val="14"/>
                <w:szCs w:val="14"/>
                <w:b w:val="1"/>
                <w:bCs w:val="1"/>
                <w:color w:val="051972"/>
              </w:rPr>
              <w:t>Type of Payment</w:t>
            </w:r>
          </w:p>
        </w:tc>
        <w:tc>
          <w:tcPr>
            <w:tcW w:w="1260" w:type="dxa"/>
            <w:vAlign w:val="bottom"/>
            <w:tcBorders>
              <w:bottom w:val="single" w:sz="8" w:color="051972"/>
            </w:tcBorders>
            <w:gridSpan w:val="2"/>
          </w:tcPr>
          <w:p>
            <w:pPr>
              <w:jc w:val="center"/>
              <w:ind w:left="248"/>
              <w:spacing w:after="0"/>
              <w:rPr>
                <w:sz w:val="20"/>
                <w:szCs w:val="20"/>
                <w:color w:val="auto"/>
              </w:rPr>
            </w:pPr>
            <w:r>
              <w:rPr>
                <w:rFonts w:ascii="Arial" w:cs="Arial" w:eastAsia="Arial" w:hAnsi="Arial"/>
                <w:sz w:val="14"/>
                <w:szCs w:val="14"/>
                <w:b w:val="1"/>
                <w:bCs w:val="1"/>
                <w:color w:val="051972"/>
              </w:rPr>
              <w:t>($)</w:t>
            </w:r>
          </w:p>
        </w:tc>
        <w:tc>
          <w:tcPr>
            <w:tcW w:w="300" w:type="dxa"/>
            <w:vAlign w:val="bottom"/>
            <w:tcBorders>
              <w:bottom w:val="single" w:sz="8" w:color="051972"/>
            </w:tcBorders>
          </w:tcPr>
          <w:p>
            <w:pPr>
              <w:spacing w:after="0"/>
              <w:rPr>
                <w:sz w:val="16"/>
                <w:szCs w:val="16"/>
                <w:color w:val="auto"/>
              </w:rPr>
            </w:pPr>
          </w:p>
        </w:tc>
        <w:tc>
          <w:tcPr>
            <w:tcW w:w="1580" w:type="dxa"/>
            <w:vAlign w:val="bottom"/>
            <w:tcBorders>
              <w:bottom w:val="single" w:sz="8" w:color="051972"/>
            </w:tcBorders>
            <w:gridSpan w:val="2"/>
          </w:tcPr>
          <w:p>
            <w:pPr>
              <w:jc w:val="center"/>
              <w:spacing w:after="0"/>
              <w:rPr>
                <w:sz w:val="20"/>
                <w:szCs w:val="20"/>
                <w:color w:val="auto"/>
              </w:rPr>
            </w:pPr>
            <w:r>
              <w:rPr>
                <w:rFonts w:ascii="Arial" w:cs="Arial" w:eastAsia="Arial" w:hAnsi="Arial"/>
                <w:sz w:val="14"/>
                <w:szCs w:val="14"/>
                <w:b w:val="1"/>
                <w:bCs w:val="1"/>
                <w:color w:val="051972"/>
              </w:rPr>
              <w:t>($)</w:t>
            </w:r>
          </w:p>
        </w:tc>
        <w:tc>
          <w:tcPr>
            <w:tcW w:w="1600" w:type="dxa"/>
            <w:vAlign w:val="bottom"/>
            <w:tcBorders>
              <w:bottom w:val="single" w:sz="8" w:color="051972"/>
            </w:tcBorders>
            <w:gridSpan w:val="2"/>
          </w:tcPr>
          <w:p>
            <w:pPr>
              <w:jc w:val="center"/>
              <w:spacing w:after="0"/>
              <w:rPr>
                <w:sz w:val="20"/>
                <w:szCs w:val="20"/>
                <w:color w:val="auto"/>
              </w:rPr>
            </w:pPr>
            <w:r>
              <w:rPr>
                <w:rFonts w:ascii="Arial" w:cs="Arial" w:eastAsia="Arial" w:hAnsi="Arial"/>
                <w:sz w:val="14"/>
                <w:szCs w:val="14"/>
                <w:b w:val="1"/>
                <w:bCs w:val="1"/>
                <w:color w:val="051972"/>
              </w:rPr>
              <w:t>($)</w:t>
            </w:r>
          </w:p>
        </w:tc>
      </w:tr>
      <w:tr>
        <w:trPr>
          <w:trHeight w:val="223"/>
        </w:trPr>
        <w:tc>
          <w:tcPr>
            <w:tcW w:w="6500" w:type="dxa"/>
            <w:vAlign w:val="bottom"/>
            <w:shd w:val="clear" w:color="auto" w:fill="E7E7E8"/>
          </w:tcPr>
          <w:p>
            <w:pPr>
              <w:ind w:left="100"/>
              <w:spacing w:after="0"/>
              <w:rPr>
                <w:sz w:val="20"/>
                <w:szCs w:val="20"/>
                <w:color w:val="auto"/>
              </w:rPr>
            </w:pPr>
            <w:r>
              <w:rPr>
                <w:rFonts w:ascii="Arial" w:cs="Arial" w:eastAsia="Arial" w:hAnsi="Arial"/>
                <w:sz w:val="18"/>
                <w:szCs w:val="18"/>
                <w:b w:val="1"/>
                <w:bCs w:val="1"/>
                <w:color w:val="auto"/>
              </w:rPr>
              <w:t>Michael R. Haack</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180"/>
              <w:spacing w:after="0"/>
              <w:rPr>
                <w:sz w:val="20"/>
                <w:szCs w:val="20"/>
                <w:color w:val="auto"/>
              </w:rPr>
            </w:pPr>
            <w:r>
              <w:rPr>
                <w:rFonts w:ascii="Arial" w:cs="Arial" w:eastAsia="Arial" w:hAnsi="Arial"/>
                <w:sz w:val="18"/>
                <w:szCs w:val="18"/>
                <w:i w:val="1"/>
                <w:iCs w:val="1"/>
                <w:color w:val="auto"/>
              </w:rPr>
              <w:t>Long-Term Incentives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Unexercisable and Accelerated Awards</w:t>
            </w:r>
            <w:r>
              <w:rPr>
                <w:rFonts w:ascii="Arial" w:cs="Arial" w:eastAsia="Arial" w:hAnsi="Arial"/>
                <w:sz w:val="24"/>
                <w:szCs w:val="24"/>
                <w:color w:val="auto"/>
                <w:vertAlign w:val="superscript"/>
              </w:rPr>
              <w:t>(2)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9"/>
              <w:spacing w:after="0"/>
              <w:rPr>
                <w:sz w:val="20"/>
                <w:szCs w:val="20"/>
                <w:color w:val="auto"/>
              </w:rPr>
            </w:pPr>
            <w:r>
              <w:rPr>
                <w:rFonts w:ascii="Arial" w:cs="Arial" w:eastAsia="Arial" w:hAnsi="Arial"/>
                <w:sz w:val="18"/>
                <w:szCs w:val="18"/>
                <w:color w:val="auto"/>
              </w:rPr>
              <w:t>609,960</w:t>
            </w:r>
          </w:p>
        </w:tc>
        <w:tc>
          <w:tcPr>
            <w:tcW w:w="1600" w:type="dxa"/>
            <w:vAlign w:val="bottom"/>
            <w:gridSpan w:val="2"/>
          </w:tcPr>
          <w:p>
            <w:pPr>
              <w:jc w:val="right"/>
              <w:ind w:right="36"/>
              <w:spacing w:after="0"/>
              <w:rPr>
                <w:sz w:val="20"/>
                <w:szCs w:val="20"/>
                <w:color w:val="auto"/>
              </w:rPr>
            </w:pPr>
            <w:r>
              <w:rPr>
                <w:rFonts w:ascii="Arial" w:cs="Arial" w:eastAsia="Arial" w:hAnsi="Arial"/>
                <w:sz w:val="18"/>
                <w:szCs w:val="18"/>
                <w:color w:val="auto"/>
              </w:rPr>
              <w:t>609,960</w:t>
            </w:r>
          </w:p>
        </w:tc>
      </w:tr>
      <w:tr>
        <w:trPr>
          <w:trHeight w:val="230"/>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Restricted Stock, PSU and RSU Awards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Unvested and Accelerated Awards</w:t>
            </w:r>
            <w:r>
              <w:rPr>
                <w:rFonts w:ascii="Arial" w:cs="Arial" w:eastAsia="Arial" w:hAnsi="Arial"/>
                <w:sz w:val="24"/>
                <w:szCs w:val="24"/>
                <w:color w:val="auto"/>
                <w:vertAlign w:val="superscript"/>
              </w:rPr>
              <w:t>(3)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9"/>
              <w:spacing w:after="0"/>
              <w:rPr>
                <w:sz w:val="20"/>
                <w:szCs w:val="20"/>
                <w:color w:val="auto"/>
              </w:rPr>
            </w:pPr>
            <w:r>
              <w:rPr>
                <w:rFonts w:ascii="Arial" w:cs="Arial" w:eastAsia="Arial" w:hAnsi="Arial"/>
                <w:sz w:val="18"/>
                <w:szCs w:val="18"/>
                <w:color w:val="auto"/>
              </w:rPr>
              <w:t>13,465,603</w:t>
            </w:r>
          </w:p>
        </w:tc>
        <w:tc>
          <w:tcPr>
            <w:tcW w:w="1600" w:type="dxa"/>
            <w:vAlign w:val="bottom"/>
            <w:gridSpan w:val="2"/>
          </w:tcPr>
          <w:p>
            <w:pPr>
              <w:jc w:val="right"/>
              <w:ind w:right="36"/>
              <w:spacing w:after="0"/>
              <w:rPr>
                <w:sz w:val="20"/>
                <w:szCs w:val="20"/>
                <w:color w:val="auto"/>
              </w:rPr>
            </w:pPr>
            <w:r>
              <w:rPr>
                <w:rFonts w:ascii="Arial" w:cs="Arial" w:eastAsia="Arial" w:hAnsi="Arial"/>
                <w:sz w:val="18"/>
                <w:szCs w:val="18"/>
                <w:color w:val="auto"/>
              </w:rPr>
              <w:t>13,465,603</w:t>
            </w:r>
          </w:p>
        </w:tc>
      </w:tr>
      <w:tr>
        <w:trPr>
          <w:trHeight w:val="230"/>
        </w:trPr>
        <w:tc>
          <w:tcPr>
            <w:tcW w:w="6500" w:type="dxa"/>
            <w:vAlign w:val="bottom"/>
            <w:shd w:val="clear" w:color="auto" w:fill="E7E7E8"/>
          </w:tcPr>
          <w:p>
            <w:pPr>
              <w:ind w:left="180"/>
              <w:spacing w:after="0"/>
              <w:rPr>
                <w:sz w:val="20"/>
                <w:szCs w:val="20"/>
                <w:color w:val="auto"/>
              </w:rPr>
            </w:pPr>
            <w:r>
              <w:rPr>
                <w:rFonts w:ascii="Arial" w:cs="Arial" w:eastAsia="Arial" w:hAnsi="Arial"/>
                <w:sz w:val="18"/>
                <w:szCs w:val="18"/>
                <w:i w:val="1"/>
                <w:iCs w:val="1"/>
                <w:color w:val="auto"/>
              </w:rPr>
              <w:t>Benefits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260"/>
              <w:spacing w:after="0" w:line="229" w:lineRule="exact"/>
              <w:rPr>
                <w:sz w:val="20"/>
                <w:szCs w:val="20"/>
                <w:color w:val="auto"/>
              </w:rPr>
            </w:pPr>
            <w:r>
              <w:rPr>
                <w:rFonts w:ascii="Arial" w:cs="Arial" w:eastAsia="Arial" w:hAnsi="Arial"/>
                <w:sz w:val="18"/>
                <w:szCs w:val="18"/>
                <w:color w:val="auto"/>
              </w:rPr>
              <w:t>Executive Life Insurance Plan</w:t>
            </w:r>
            <w:r>
              <w:rPr>
                <w:rFonts w:ascii="Arial" w:cs="Arial" w:eastAsia="Arial" w:hAnsi="Arial"/>
                <w:sz w:val="24"/>
                <w:szCs w:val="24"/>
                <w:color w:val="auto"/>
                <w:vertAlign w:val="superscript"/>
              </w:rPr>
              <w:t>(4)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9"/>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Borders>
              <w:bottom w:val="single" w:sz="8" w:color="E7E7E8"/>
            </w:tcBorders>
            <w:shd w:val="clear" w:color="auto" w:fill="E7E7E8"/>
          </w:tcPr>
          <w:p>
            <w:pPr>
              <w:ind w:left="180"/>
              <w:spacing w:after="0" w:line="216" w:lineRule="exact"/>
              <w:rPr>
                <w:sz w:val="20"/>
                <w:szCs w:val="20"/>
                <w:color w:val="auto"/>
              </w:rPr>
            </w:pPr>
            <w:r>
              <w:rPr>
                <w:rFonts w:ascii="Arial" w:cs="Arial" w:eastAsia="Arial" w:hAnsi="Arial"/>
                <w:sz w:val="18"/>
                <w:szCs w:val="18"/>
                <w:i w:val="1"/>
                <w:iCs w:val="1"/>
                <w:color w:val="auto"/>
              </w:rPr>
              <w:t>Change in Control Continuity Agreement</w:t>
            </w:r>
            <w:r>
              <w:rPr>
                <w:rFonts w:ascii="Arial" w:cs="Arial" w:eastAsia="Arial" w:hAnsi="Arial"/>
                <w:sz w:val="24"/>
                <w:szCs w:val="24"/>
                <w:i w:val="1"/>
                <w:iCs w:val="1"/>
                <w:color w:val="auto"/>
                <w:vertAlign w:val="superscript"/>
              </w:rPr>
              <w:t>(5)</w:t>
            </w:r>
          </w:p>
        </w:tc>
        <w:tc>
          <w:tcPr>
            <w:tcW w:w="100" w:type="dxa"/>
            <w:vAlign w:val="bottom"/>
            <w:tcBorders>
              <w:bottom w:val="single" w:sz="8" w:color="E7E7E8"/>
            </w:tcBorders>
            <w:shd w:val="clear" w:color="auto" w:fill="E7E7E8"/>
          </w:tcPr>
          <w:p>
            <w:pPr>
              <w:spacing w:after="0"/>
              <w:rPr>
                <w:sz w:val="19"/>
                <w:szCs w:val="19"/>
                <w:color w:val="auto"/>
              </w:rPr>
            </w:pPr>
          </w:p>
        </w:tc>
        <w:tc>
          <w:tcPr>
            <w:tcW w:w="1160" w:type="dxa"/>
            <w:vAlign w:val="bottom"/>
            <w:tcBorders>
              <w:bottom w:val="single" w:sz="8" w:color="auto"/>
            </w:tcBorders>
            <w:shd w:val="clear" w:color="auto" w:fill="E7E7E8"/>
          </w:tcPr>
          <w:p>
            <w:pPr>
              <w:spacing w:after="0"/>
              <w:rPr>
                <w:sz w:val="19"/>
                <w:szCs w:val="19"/>
                <w:color w:val="auto"/>
              </w:rPr>
            </w:pPr>
          </w:p>
        </w:tc>
        <w:tc>
          <w:tcPr>
            <w:tcW w:w="3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7E7E8"/>
            </w:tcBorders>
            <w:shd w:val="clear" w:color="auto" w:fill="E7E7E8"/>
          </w:tcPr>
          <w:p>
            <w:pPr>
              <w:spacing w:after="0"/>
              <w:rPr>
                <w:sz w:val="19"/>
                <w:szCs w:val="19"/>
                <w:color w:val="auto"/>
              </w:rPr>
            </w:pPr>
          </w:p>
        </w:tc>
        <w:tc>
          <w:tcPr>
            <w:tcW w:w="14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7E7E8"/>
            </w:tcBorders>
            <w:shd w:val="clear" w:color="auto" w:fill="E7E7E8"/>
          </w:tcPr>
          <w:p>
            <w:pPr>
              <w:spacing w:after="0"/>
              <w:rPr>
                <w:sz w:val="19"/>
                <w:szCs w:val="19"/>
                <w:color w:val="auto"/>
              </w:rPr>
            </w:pPr>
          </w:p>
        </w:tc>
        <w:tc>
          <w:tcPr>
            <w:tcW w:w="1480" w:type="dxa"/>
            <w:vAlign w:val="bottom"/>
            <w:tcBorders>
              <w:bottom w:val="single" w:sz="8" w:color="auto"/>
            </w:tcBorders>
            <w:shd w:val="clear" w:color="auto" w:fill="E7E7E8"/>
          </w:tcPr>
          <w:p>
            <w:pPr>
              <w:jc w:val="right"/>
              <w:ind w:right="36"/>
              <w:spacing w:after="0"/>
              <w:rPr>
                <w:sz w:val="20"/>
                <w:szCs w:val="20"/>
                <w:color w:val="auto"/>
              </w:rPr>
            </w:pPr>
            <w:r>
              <w:rPr>
                <w:rFonts w:ascii="Arial" w:cs="Arial" w:eastAsia="Arial" w:hAnsi="Arial"/>
                <w:sz w:val="18"/>
                <w:szCs w:val="18"/>
                <w:color w:val="auto"/>
              </w:rPr>
              <w:t>11,993,584</w:t>
            </w:r>
          </w:p>
        </w:tc>
      </w:tr>
      <w:tr>
        <w:trPr>
          <w:trHeight w:val="230"/>
        </w:trPr>
        <w:tc>
          <w:tcPr>
            <w:tcW w:w="6500" w:type="dxa"/>
            <w:vAlign w:val="bottom"/>
          </w:tcPr>
          <w:p>
            <w:pPr>
              <w:ind w:left="2600"/>
              <w:spacing w:after="0"/>
              <w:rPr>
                <w:sz w:val="20"/>
                <w:szCs w:val="20"/>
                <w:color w:val="auto"/>
              </w:rPr>
            </w:pPr>
            <w:r>
              <w:rPr>
                <w:rFonts w:ascii="Arial" w:cs="Arial" w:eastAsia="Arial" w:hAnsi="Arial"/>
                <w:sz w:val="18"/>
                <w:szCs w:val="18"/>
                <w:b w:val="1"/>
                <w:bCs w:val="1"/>
                <w:color w:val="auto"/>
              </w:rPr>
              <w:t>HAACK TOTAL</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9"/>
              <w:spacing w:after="0"/>
              <w:rPr>
                <w:sz w:val="20"/>
                <w:szCs w:val="20"/>
                <w:color w:val="auto"/>
              </w:rPr>
            </w:pPr>
            <w:r>
              <w:rPr>
                <w:rFonts w:ascii="Arial" w:cs="Arial" w:eastAsia="Arial" w:hAnsi="Arial"/>
                <w:sz w:val="18"/>
                <w:szCs w:val="18"/>
                <w:b w:val="1"/>
                <w:bCs w:val="1"/>
                <w:color w:val="auto"/>
              </w:rPr>
              <w:t>16,075,563</w:t>
            </w:r>
          </w:p>
        </w:tc>
        <w:tc>
          <w:tcPr>
            <w:tcW w:w="1600" w:type="dxa"/>
            <w:vAlign w:val="bottom"/>
            <w:gridSpan w:val="2"/>
          </w:tcPr>
          <w:p>
            <w:pPr>
              <w:jc w:val="right"/>
              <w:ind w:right="36"/>
              <w:spacing w:after="0"/>
              <w:rPr>
                <w:sz w:val="20"/>
                <w:szCs w:val="20"/>
                <w:color w:val="auto"/>
              </w:rPr>
            </w:pPr>
            <w:r>
              <w:rPr>
                <w:rFonts w:ascii="Arial" w:cs="Arial" w:eastAsia="Arial" w:hAnsi="Arial"/>
                <w:sz w:val="18"/>
                <w:szCs w:val="18"/>
                <w:b w:val="1"/>
                <w:bCs w:val="1"/>
                <w:color w:val="auto"/>
              </w:rPr>
              <w:t>26,069,147</w:t>
            </w:r>
          </w:p>
        </w:tc>
      </w:tr>
      <w:tr>
        <w:trPr>
          <w:trHeight w:val="230"/>
        </w:trPr>
        <w:tc>
          <w:tcPr>
            <w:tcW w:w="6500" w:type="dxa"/>
            <w:vAlign w:val="bottom"/>
            <w:shd w:val="clear" w:color="auto" w:fill="E7E7E8"/>
          </w:tcPr>
          <w:p>
            <w:pPr>
              <w:ind w:left="100"/>
              <w:spacing w:after="0"/>
              <w:rPr>
                <w:sz w:val="20"/>
                <w:szCs w:val="20"/>
                <w:color w:val="auto"/>
              </w:rPr>
            </w:pPr>
            <w:r>
              <w:rPr>
                <w:rFonts w:ascii="Arial" w:cs="Arial" w:eastAsia="Arial" w:hAnsi="Arial"/>
                <w:sz w:val="18"/>
                <w:szCs w:val="18"/>
                <w:b w:val="1"/>
                <w:bCs w:val="1"/>
                <w:color w:val="auto"/>
              </w:rPr>
              <w:t>D. Craig Kesler</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180"/>
              <w:spacing w:after="0"/>
              <w:rPr>
                <w:sz w:val="20"/>
                <w:szCs w:val="20"/>
                <w:color w:val="auto"/>
              </w:rPr>
            </w:pPr>
            <w:r>
              <w:rPr>
                <w:rFonts w:ascii="Arial" w:cs="Arial" w:eastAsia="Arial" w:hAnsi="Arial"/>
                <w:sz w:val="18"/>
                <w:szCs w:val="18"/>
                <w:i w:val="1"/>
                <w:iCs w:val="1"/>
                <w:color w:val="auto"/>
              </w:rPr>
              <w:t>Long-Term Incentives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Unexercisable and Accelerated Awards</w:t>
            </w:r>
            <w:r>
              <w:rPr>
                <w:rFonts w:ascii="Arial" w:cs="Arial" w:eastAsia="Arial" w:hAnsi="Arial"/>
                <w:sz w:val="24"/>
                <w:szCs w:val="24"/>
                <w:color w:val="auto"/>
                <w:vertAlign w:val="superscript"/>
              </w:rPr>
              <w:t>(2)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9"/>
              <w:spacing w:after="0"/>
              <w:rPr>
                <w:sz w:val="20"/>
                <w:szCs w:val="20"/>
                <w:color w:val="auto"/>
              </w:rPr>
            </w:pPr>
            <w:r>
              <w:rPr>
                <w:rFonts w:ascii="Arial" w:cs="Arial" w:eastAsia="Arial" w:hAnsi="Arial"/>
                <w:sz w:val="18"/>
                <w:szCs w:val="18"/>
                <w:color w:val="auto"/>
              </w:rPr>
              <w:t>135,525</w:t>
            </w:r>
          </w:p>
        </w:tc>
        <w:tc>
          <w:tcPr>
            <w:tcW w:w="1600" w:type="dxa"/>
            <w:vAlign w:val="bottom"/>
            <w:gridSpan w:val="2"/>
          </w:tcPr>
          <w:p>
            <w:pPr>
              <w:jc w:val="right"/>
              <w:ind w:right="36"/>
              <w:spacing w:after="0"/>
              <w:rPr>
                <w:sz w:val="20"/>
                <w:szCs w:val="20"/>
                <w:color w:val="auto"/>
              </w:rPr>
            </w:pPr>
            <w:r>
              <w:rPr>
                <w:rFonts w:ascii="Arial" w:cs="Arial" w:eastAsia="Arial" w:hAnsi="Arial"/>
                <w:sz w:val="18"/>
                <w:szCs w:val="18"/>
                <w:color w:val="auto"/>
              </w:rPr>
              <w:t>135,525</w:t>
            </w:r>
          </w:p>
        </w:tc>
      </w:tr>
      <w:tr>
        <w:trPr>
          <w:trHeight w:val="230"/>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Restricted Stock, PSU and RSU Awards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Unvested and Accelerated Awards</w:t>
            </w:r>
            <w:r>
              <w:rPr>
                <w:rFonts w:ascii="Arial" w:cs="Arial" w:eastAsia="Arial" w:hAnsi="Arial"/>
                <w:sz w:val="24"/>
                <w:szCs w:val="24"/>
                <w:color w:val="auto"/>
                <w:vertAlign w:val="superscript"/>
              </w:rPr>
              <w:t>(3)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9"/>
              <w:spacing w:after="0"/>
              <w:rPr>
                <w:sz w:val="20"/>
                <w:szCs w:val="20"/>
                <w:color w:val="auto"/>
              </w:rPr>
            </w:pPr>
            <w:r>
              <w:rPr>
                <w:rFonts w:ascii="Arial" w:cs="Arial" w:eastAsia="Arial" w:hAnsi="Arial"/>
                <w:sz w:val="18"/>
                <w:szCs w:val="18"/>
                <w:color w:val="auto"/>
              </w:rPr>
              <w:t>5,905,113</w:t>
            </w:r>
          </w:p>
        </w:tc>
        <w:tc>
          <w:tcPr>
            <w:tcW w:w="1600" w:type="dxa"/>
            <w:vAlign w:val="bottom"/>
            <w:gridSpan w:val="2"/>
          </w:tcPr>
          <w:p>
            <w:pPr>
              <w:jc w:val="right"/>
              <w:ind w:right="36"/>
              <w:spacing w:after="0"/>
              <w:rPr>
                <w:sz w:val="20"/>
                <w:szCs w:val="20"/>
                <w:color w:val="auto"/>
              </w:rPr>
            </w:pPr>
            <w:r>
              <w:rPr>
                <w:rFonts w:ascii="Arial" w:cs="Arial" w:eastAsia="Arial" w:hAnsi="Arial"/>
                <w:sz w:val="18"/>
                <w:szCs w:val="18"/>
                <w:color w:val="auto"/>
              </w:rPr>
              <w:t>5,905,113</w:t>
            </w:r>
          </w:p>
        </w:tc>
      </w:tr>
      <w:tr>
        <w:trPr>
          <w:trHeight w:val="230"/>
        </w:trPr>
        <w:tc>
          <w:tcPr>
            <w:tcW w:w="6500" w:type="dxa"/>
            <w:vAlign w:val="bottom"/>
            <w:shd w:val="clear" w:color="auto" w:fill="E7E7E8"/>
          </w:tcPr>
          <w:p>
            <w:pPr>
              <w:ind w:left="180"/>
              <w:spacing w:after="0"/>
              <w:rPr>
                <w:sz w:val="20"/>
                <w:szCs w:val="20"/>
                <w:color w:val="auto"/>
              </w:rPr>
            </w:pPr>
            <w:r>
              <w:rPr>
                <w:rFonts w:ascii="Arial" w:cs="Arial" w:eastAsia="Arial" w:hAnsi="Arial"/>
                <w:sz w:val="18"/>
                <w:szCs w:val="18"/>
                <w:i w:val="1"/>
                <w:iCs w:val="1"/>
                <w:color w:val="auto"/>
              </w:rPr>
              <w:t>Benefits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260"/>
              <w:spacing w:after="0" w:line="229" w:lineRule="exact"/>
              <w:rPr>
                <w:sz w:val="20"/>
                <w:szCs w:val="20"/>
                <w:color w:val="auto"/>
              </w:rPr>
            </w:pPr>
            <w:r>
              <w:rPr>
                <w:rFonts w:ascii="Arial" w:cs="Arial" w:eastAsia="Arial" w:hAnsi="Arial"/>
                <w:sz w:val="18"/>
                <w:szCs w:val="18"/>
                <w:color w:val="auto"/>
              </w:rPr>
              <w:t>Executive Life Insurance Plan</w:t>
            </w:r>
            <w:r>
              <w:rPr>
                <w:rFonts w:ascii="Arial" w:cs="Arial" w:eastAsia="Arial" w:hAnsi="Arial"/>
                <w:sz w:val="24"/>
                <w:szCs w:val="24"/>
                <w:color w:val="auto"/>
                <w:vertAlign w:val="superscript"/>
              </w:rPr>
              <w:t>(4)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9"/>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19"/>
                <w:szCs w:val="19"/>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Borders>
              <w:bottom w:val="single" w:sz="8" w:color="E7E7E8"/>
            </w:tcBorders>
            <w:shd w:val="clear" w:color="auto" w:fill="E7E7E8"/>
          </w:tcPr>
          <w:p>
            <w:pPr>
              <w:ind w:left="180"/>
              <w:spacing w:after="0" w:line="216" w:lineRule="exact"/>
              <w:rPr>
                <w:sz w:val="20"/>
                <w:szCs w:val="20"/>
                <w:color w:val="auto"/>
              </w:rPr>
            </w:pPr>
            <w:r>
              <w:rPr>
                <w:rFonts w:ascii="Arial" w:cs="Arial" w:eastAsia="Arial" w:hAnsi="Arial"/>
                <w:sz w:val="18"/>
                <w:szCs w:val="18"/>
                <w:i w:val="1"/>
                <w:iCs w:val="1"/>
                <w:color w:val="auto"/>
              </w:rPr>
              <w:t>Change in Control Continuity Agreement</w:t>
            </w:r>
            <w:r>
              <w:rPr>
                <w:rFonts w:ascii="Arial" w:cs="Arial" w:eastAsia="Arial" w:hAnsi="Arial"/>
                <w:sz w:val="24"/>
                <w:szCs w:val="24"/>
                <w:i w:val="1"/>
                <w:iCs w:val="1"/>
                <w:color w:val="auto"/>
                <w:vertAlign w:val="superscript"/>
              </w:rPr>
              <w:t>(5)</w:t>
            </w:r>
          </w:p>
        </w:tc>
        <w:tc>
          <w:tcPr>
            <w:tcW w:w="100" w:type="dxa"/>
            <w:vAlign w:val="bottom"/>
            <w:tcBorders>
              <w:bottom w:val="single" w:sz="8" w:color="E7E7E8"/>
            </w:tcBorders>
            <w:shd w:val="clear" w:color="auto" w:fill="E7E7E8"/>
          </w:tcPr>
          <w:p>
            <w:pPr>
              <w:spacing w:after="0"/>
              <w:rPr>
                <w:sz w:val="19"/>
                <w:szCs w:val="19"/>
                <w:color w:val="auto"/>
              </w:rPr>
            </w:pPr>
          </w:p>
        </w:tc>
        <w:tc>
          <w:tcPr>
            <w:tcW w:w="1160" w:type="dxa"/>
            <w:vAlign w:val="bottom"/>
            <w:tcBorders>
              <w:bottom w:val="single" w:sz="8" w:color="auto"/>
            </w:tcBorders>
            <w:shd w:val="clear" w:color="auto" w:fill="E7E7E8"/>
          </w:tcPr>
          <w:p>
            <w:pPr>
              <w:spacing w:after="0"/>
              <w:rPr>
                <w:sz w:val="19"/>
                <w:szCs w:val="19"/>
                <w:color w:val="auto"/>
              </w:rPr>
            </w:pPr>
          </w:p>
        </w:tc>
        <w:tc>
          <w:tcPr>
            <w:tcW w:w="3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7E7E8"/>
            </w:tcBorders>
            <w:shd w:val="clear" w:color="auto" w:fill="E7E7E8"/>
          </w:tcPr>
          <w:p>
            <w:pPr>
              <w:spacing w:after="0"/>
              <w:rPr>
                <w:sz w:val="19"/>
                <w:szCs w:val="19"/>
                <w:color w:val="auto"/>
              </w:rPr>
            </w:pPr>
          </w:p>
        </w:tc>
        <w:tc>
          <w:tcPr>
            <w:tcW w:w="1460" w:type="dxa"/>
            <w:vAlign w:val="bottom"/>
            <w:tcBorders>
              <w:bottom w:val="single" w:sz="8" w:color="auto"/>
            </w:tcBorders>
            <w:shd w:val="clear" w:color="auto" w:fill="E7E7E8"/>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7E7E8"/>
            </w:tcBorders>
            <w:shd w:val="clear" w:color="auto" w:fill="E7E7E8"/>
          </w:tcPr>
          <w:p>
            <w:pPr>
              <w:spacing w:after="0"/>
              <w:rPr>
                <w:sz w:val="19"/>
                <w:szCs w:val="19"/>
                <w:color w:val="auto"/>
              </w:rPr>
            </w:pPr>
          </w:p>
        </w:tc>
        <w:tc>
          <w:tcPr>
            <w:tcW w:w="1480" w:type="dxa"/>
            <w:vAlign w:val="bottom"/>
            <w:tcBorders>
              <w:bottom w:val="single" w:sz="8" w:color="auto"/>
            </w:tcBorders>
            <w:shd w:val="clear" w:color="auto" w:fill="E7E7E8"/>
          </w:tcPr>
          <w:p>
            <w:pPr>
              <w:jc w:val="right"/>
              <w:ind w:right="36"/>
              <w:spacing w:after="0"/>
              <w:rPr>
                <w:sz w:val="20"/>
                <w:szCs w:val="20"/>
                <w:color w:val="auto"/>
              </w:rPr>
            </w:pPr>
            <w:r>
              <w:rPr>
                <w:rFonts w:ascii="Arial" w:cs="Arial" w:eastAsia="Arial" w:hAnsi="Arial"/>
                <w:sz w:val="18"/>
                <w:szCs w:val="18"/>
                <w:color w:val="auto"/>
              </w:rPr>
              <w:t>4,863,516</w:t>
            </w:r>
          </w:p>
        </w:tc>
      </w:tr>
      <w:tr>
        <w:trPr>
          <w:trHeight w:val="250"/>
        </w:trPr>
        <w:tc>
          <w:tcPr>
            <w:tcW w:w="6500" w:type="dxa"/>
            <w:vAlign w:val="bottom"/>
            <w:tcBorders>
              <w:bottom w:val="single" w:sz="8" w:color="051972"/>
            </w:tcBorders>
          </w:tcPr>
          <w:p>
            <w:pPr>
              <w:ind w:left="2560"/>
              <w:spacing w:after="0"/>
              <w:rPr>
                <w:sz w:val="20"/>
                <w:szCs w:val="20"/>
                <w:color w:val="auto"/>
              </w:rPr>
            </w:pPr>
            <w:r>
              <w:rPr>
                <w:rFonts w:ascii="Arial" w:cs="Arial" w:eastAsia="Arial" w:hAnsi="Arial"/>
                <w:sz w:val="18"/>
                <w:szCs w:val="18"/>
                <w:b w:val="1"/>
                <w:bCs w:val="1"/>
                <w:color w:val="auto"/>
              </w:rPr>
              <w:t>KESLER TOTAL</w:t>
            </w:r>
          </w:p>
        </w:tc>
        <w:tc>
          <w:tcPr>
            <w:tcW w:w="100" w:type="dxa"/>
            <w:vAlign w:val="bottom"/>
            <w:tcBorders>
              <w:bottom w:val="single" w:sz="8" w:color="051972"/>
            </w:tcBorders>
          </w:tcPr>
          <w:p>
            <w:pPr>
              <w:spacing w:after="0"/>
              <w:rPr>
                <w:sz w:val="21"/>
                <w:szCs w:val="21"/>
                <w:color w:val="auto"/>
              </w:rPr>
            </w:pPr>
          </w:p>
        </w:tc>
        <w:tc>
          <w:tcPr>
            <w:tcW w:w="1160" w:type="dxa"/>
            <w:vAlign w:val="bottom"/>
            <w:tcBorders>
              <w:bottom w:val="single" w:sz="8" w:color="051972"/>
            </w:tcBorders>
          </w:tcPr>
          <w:p>
            <w:pPr>
              <w:spacing w:after="0"/>
              <w:rPr>
                <w:sz w:val="21"/>
                <w:szCs w:val="21"/>
                <w:color w:val="auto"/>
              </w:rPr>
            </w:pPr>
          </w:p>
        </w:tc>
        <w:tc>
          <w:tcPr>
            <w:tcW w:w="300" w:type="dxa"/>
            <w:vAlign w:val="bottom"/>
            <w:tcBorders>
              <w:bottom w:val="single" w:sz="8" w:color="051972"/>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051972"/>
            </w:tcBorders>
            <w:gridSpan w:val="2"/>
          </w:tcPr>
          <w:p>
            <w:pPr>
              <w:jc w:val="right"/>
              <w:ind w:right="19"/>
              <w:spacing w:after="0"/>
              <w:rPr>
                <w:sz w:val="20"/>
                <w:szCs w:val="20"/>
                <w:color w:val="auto"/>
              </w:rPr>
            </w:pPr>
            <w:r>
              <w:rPr>
                <w:rFonts w:ascii="Arial" w:cs="Arial" w:eastAsia="Arial" w:hAnsi="Arial"/>
                <w:sz w:val="18"/>
                <w:szCs w:val="18"/>
                <w:b w:val="1"/>
                <w:bCs w:val="1"/>
                <w:color w:val="auto"/>
              </w:rPr>
              <w:t>8,040,639</w:t>
            </w:r>
          </w:p>
        </w:tc>
        <w:tc>
          <w:tcPr>
            <w:tcW w:w="1600" w:type="dxa"/>
            <w:vAlign w:val="bottom"/>
            <w:tcBorders>
              <w:bottom w:val="single" w:sz="8" w:color="051972"/>
            </w:tcBorders>
            <w:gridSpan w:val="2"/>
          </w:tcPr>
          <w:p>
            <w:pPr>
              <w:jc w:val="right"/>
              <w:ind w:right="36"/>
              <w:spacing w:after="0"/>
              <w:rPr>
                <w:sz w:val="20"/>
                <w:szCs w:val="20"/>
                <w:color w:val="auto"/>
              </w:rPr>
            </w:pPr>
            <w:r>
              <w:rPr>
                <w:rFonts w:ascii="Arial" w:cs="Arial" w:eastAsia="Arial" w:hAnsi="Arial"/>
                <w:sz w:val="18"/>
                <w:szCs w:val="18"/>
                <w:b w:val="1"/>
                <w:bCs w:val="1"/>
                <w:color w:val="auto"/>
              </w:rPr>
              <w:t>10,904,154</w:t>
            </w:r>
          </w:p>
        </w:tc>
      </w:tr>
      <w:tr>
        <w:trPr>
          <w:trHeight w:val="432"/>
        </w:trPr>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0"/>
        </w:trPr>
        <w:tc>
          <w:tcPr>
            <w:tcW w:w="650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100" w:type="dxa"/>
            <w:vAlign w:val="bottom"/>
            <w:shd w:val="clear" w:color="auto" w:fill="EEEEEF"/>
          </w:tcPr>
          <w:p>
            <w:pPr>
              <w:spacing w:after="0"/>
              <w:rPr>
                <w:sz w:val="23"/>
                <w:szCs w:val="23"/>
                <w:color w:val="auto"/>
              </w:rPr>
            </w:pPr>
          </w:p>
        </w:tc>
        <w:tc>
          <w:tcPr>
            <w:tcW w:w="1160" w:type="dxa"/>
            <w:vAlign w:val="bottom"/>
            <w:shd w:val="clear" w:color="auto" w:fill="EEEEEF"/>
          </w:tcPr>
          <w:p>
            <w:pPr>
              <w:spacing w:after="0"/>
              <w:rPr>
                <w:sz w:val="23"/>
                <w:szCs w:val="23"/>
                <w:color w:val="auto"/>
              </w:rPr>
            </w:pPr>
          </w:p>
        </w:tc>
        <w:tc>
          <w:tcPr>
            <w:tcW w:w="300" w:type="dxa"/>
            <w:vAlign w:val="bottom"/>
            <w:shd w:val="clear" w:color="auto" w:fill="EEEEEF"/>
          </w:tcPr>
          <w:p>
            <w:pPr>
              <w:spacing w:after="0"/>
              <w:rPr>
                <w:sz w:val="23"/>
                <w:szCs w:val="23"/>
                <w:color w:val="auto"/>
              </w:rPr>
            </w:pPr>
          </w:p>
        </w:tc>
        <w:tc>
          <w:tcPr>
            <w:tcW w:w="120" w:type="dxa"/>
            <w:vAlign w:val="bottom"/>
            <w:shd w:val="clear" w:color="auto" w:fill="EEEEEF"/>
          </w:tcPr>
          <w:p>
            <w:pPr>
              <w:spacing w:after="0"/>
              <w:rPr>
                <w:sz w:val="23"/>
                <w:szCs w:val="23"/>
                <w:color w:val="auto"/>
              </w:rPr>
            </w:pPr>
          </w:p>
        </w:tc>
        <w:tc>
          <w:tcPr>
            <w:tcW w:w="1460" w:type="dxa"/>
            <w:vAlign w:val="bottom"/>
            <w:shd w:val="clear" w:color="auto" w:fill="EEEEEF"/>
          </w:tcPr>
          <w:p>
            <w:pPr>
              <w:spacing w:after="0"/>
              <w:rPr>
                <w:sz w:val="23"/>
                <w:szCs w:val="23"/>
                <w:color w:val="auto"/>
              </w:rPr>
            </w:pPr>
          </w:p>
        </w:tc>
        <w:tc>
          <w:tcPr>
            <w:tcW w:w="1600" w:type="dxa"/>
            <w:vAlign w:val="bottom"/>
            <w:gridSpan w:val="2"/>
            <w:shd w:val="clear" w:color="auto" w:fill="EEEEEF"/>
          </w:tcPr>
          <w:p>
            <w:pPr>
              <w:jc w:val="right"/>
              <w:spacing w:after="0"/>
              <w:rPr>
                <w:sz w:val="20"/>
                <w:szCs w:val="20"/>
                <w:color w:val="auto"/>
              </w:rPr>
            </w:pPr>
            <w:r>
              <w:rPr>
                <w:rFonts w:ascii="Arial" w:cs="Arial" w:eastAsia="Arial" w:hAnsi="Arial"/>
                <w:sz w:val="18"/>
                <w:szCs w:val="18"/>
                <w:b w:val="1"/>
                <w:bCs w:val="1"/>
                <w:color w:val="6E6E70"/>
              </w:rPr>
              <w:t>59</w:t>
            </w:r>
          </w:p>
        </w:tc>
      </w:tr>
      <w:tr>
        <w:trPr>
          <w:trHeight w:val="844"/>
        </w:trPr>
        <w:tc>
          <w:tcPr>
            <w:tcW w:w="6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-2639695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-2639695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-1173480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-1173480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4" w:name="page65"/>
    <w:bookmarkEnd w:id="64"/>
    <w:p>
      <w:pPr>
        <w:ind w:left="406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2205355</wp:posOffset>
            </wp:positionH>
            <wp:positionV relativeFrom="page">
              <wp:posOffset>526415</wp:posOffset>
            </wp:positionV>
            <wp:extent cx="5134610"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34610" cy="171450"/>
                    </a:xfrm>
                    <a:prstGeom prst="rect">
                      <a:avLst/>
                    </a:prstGeom>
                    <a:noFill/>
                  </pic:spPr>
                </pic:pic>
              </a:graphicData>
            </a:graphic>
          </wp:anchor>
        </w:drawing>
        <w:t>POTENTIAL PAYMENTS UPON TERMINATION OR CHANGE IN CONTROL</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051972"/>
              </w:rPr>
              <w:t>Involuntary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051972"/>
              </w:rPr>
              <w:t>Termination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28"/>
              <w:spacing w:after="0"/>
              <w:rPr>
                <w:sz w:val="20"/>
                <w:szCs w:val="20"/>
                <w:color w:val="auto"/>
              </w:rPr>
            </w:pPr>
            <w:r>
              <w:rPr>
                <w:rFonts w:ascii="Arial" w:cs="Arial" w:eastAsia="Arial" w:hAnsi="Arial"/>
                <w:sz w:val="14"/>
                <w:szCs w:val="14"/>
                <w:b w:val="1"/>
                <w:bCs w:val="1"/>
                <w:color w:val="051972"/>
              </w:rPr>
              <w:t>or Voluntary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051972"/>
              </w:rPr>
              <w:t>Termination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4"/>
        </w:trPr>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128"/>
              <w:spacing w:after="0" w:line="145" w:lineRule="exact"/>
              <w:rPr>
                <w:sz w:val="20"/>
                <w:szCs w:val="20"/>
                <w:color w:val="auto"/>
              </w:rPr>
            </w:pPr>
            <w:r>
              <w:rPr>
                <w:rFonts w:ascii="Arial" w:cs="Arial" w:eastAsia="Arial" w:hAnsi="Arial"/>
                <w:sz w:val="14"/>
                <w:szCs w:val="14"/>
                <w:b w:val="1"/>
                <w:bCs w:val="1"/>
                <w:color w:val="051972"/>
              </w:rPr>
              <w:t>(non-Change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ind w:right="35"/>
              <w:spacing w:after="0" w:line="145" w:lineRule="exact"/>
              <w:rPr>
                <w:sz w:val="20"/>
                <w:szCs w:val="20"/>
                <w:color w:val="auto"/>
              </w:rPr>
            </w:pPr>
            <w:r>
              <w:rPr>
                <w:rFonts w:ascii="Arial" w:cs="Arial" w:eastAsia="Arial" w:hAnsi="Arial"/>
                <w:sz w:val="14"/>
                <w:szCs w:val="14"/>
                <w:b w:val="1"/>
                <w:bCs w:val="1"/>
                <w:color w:val="051972"/>
              </w:rPr>
              <w:t>Death or</w:t>
            </w:r>
          </w:p>
        </w:tc>
        <w:tc>
          <w:tcPr>
            <w:tcW w:w="120" w:type="dxa"/>
            <w:vAlign w:val="bottom"/>
          </w:tcPr>
          <w:p>
            <w:pPr>
              <w:spacing w:after="0"/>
              <w:rPr>
                <w:sz w:val="12"/>
                <w:szCs w:val="12"/>
                <w:color w:val="auto"/>
              </w:rPr>
            </w:pPr>
          </w:p>
        </w:tc>
        <w:tc>
          <w:tcPr>
            <w:tcW w:w="1480" w:type="dxa"/>
            <w:vAlign w:val="bottom"/>
          </w:tcPr>
          <w:p>
            <w:pPr>
              <w:jc w:val="center"/>
              <w:ind w:right="55"/>
              <w:spacing w:after="0" w:line="145" w:lineRule="exact"/>
              <w:rPr>
                <w:sz w:val="20"/>
                <w:szCs w:val="20"/>
                <w:color w:val="auto"/>
              </w:rPr>
            </w:pPr>
            <w:r>
              <w:rPr>
                <w:rFonts w:ascii="Arial" w:cs="Arial" w:eastAsia="Arial" w:hAnsi="Arial"/>
                <w:sz w:val="14"/>
                <w:szCs w:val="14"/>
                <w:b w:val="1"/>
                <w:bCs w:val="1"/>
                <w:color w:val="051972"/>
              </w:rPr>
              <w:t>Change in</w:t>
            </w:r>
          </w:p>
        </w:tc>
      </w:tr>
      <w:tr>
        <w:trPr>
          <w:trHeight w:val="180"/>
        </w:trPr>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left="128"/>
              <w:spacing w:after="0"/>
              <w:rPr>
                <w:sz w:val="20"/>
                <w:szCs w:val="20"/>
                <w:color w:val="auto"/>
              </w:rPr>
            </w:pPr>
            <w:r>
              <w:rPr>
                <w:rFonts w:ascii="Arial" w:cs="Arial" w:eastAsia="Arial" w:hAnsi="Arial"/>
                <w:sz w:val="14"/>
                <w:szCs w:val="14"/>
                <w:b w:val="1"/>
                <w:bCs w:val="1"/>
                <w:color w:val="051972"/>
              </w:rPr>
              <w:t>in Control)</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15"/>
              <w:spacing w:after="0"/>
              <w:rPr>
                <w:sz w:val="20"/>
                <w:szCs w:val="20"/>
                <w:color w:val="auto"/>
              </w:rPr>
            </w:pPr>
            <w:r>
              <w:rPr>
                <w:rFonts w:ascii="Arial" w:cs="Arial" w:eastAsia="Arial" w:hAnsi="Arial"/>
                <w:sz w:val="14"/>
                <w:szCs w:val="14"/>
                <w:b w:val="1"/>
                <w:bCs w:val="1"/>
                <w:color w:val="051972"/>
              </w:rPr>
              <w:t>Disability</w:t>
            </w:r>
          </w:p>
        </w:tc>
        <w:tc>
          <w:tcPr>
            <w:tcW w:w="120" w:type="dxa"/>
            <w:vAlign w:val="bottom"/>
          </w:tcPr>
          <w:p>
            <w:pPr>
              <w:spacing w:after="0"/>
              <w:rPr>
                <w:sz w:val="15"/>
                <w:szCs w:val="15"/>
                <w:color w:val="auto"/>
              </w:rPr>
            </w:pPr>
          </w:p>
        </w:tc>
        <w:tc>
          <w:tcPr>
            <w:tcW w:w="1480" w:type="dxa"/>
            <w:vAlign w:val="bottom"/>
          </w:tcPr>
          <w:p>
            <w:pPr>
              <w:jc w:val="center"/>
              <w:ind w:right="35"/>
              <w:spacing w:after="0" w:line="180" w:lineRule="exact"/>
              <w:rPr>
                <w:sz w:val="20"/>
                <w:szCs w:val="20"/>
                <w:color w:val="auto"/>
              </w:rPr>
            </w:pPr>
            <w:r>
              <w:rPr>
                <w:rFonts w:ascii="Arial" w:cs="Arial" w:eastAsia="Arial" w:hAnsi="Arial"/>
                <w:sz w:val="14"/>
                <w:szCs w:val="14"/>
                <w:b w:val="1"/>
                <w:bCs w:val="1"/>
                <w:color w:val="051972"/>
                <w:w w:val="98"/>
              </w:rPr>
              <w:t>Control</w:t>
            </w:r>
            <w:r>
              <w:rPr>
                <w:rFonts w:ascii="Arial" w:cs="Arial" w:eastAsia="Arial" w:hAnsi="Arial"/>
                <w:sz w:val="19"/>
                <w:szCs w:val="19"/>
                <w:b w:val="1"/>
                <w:bCs w:val="1"/>
                <w:color w:val="051972"/>
                <w:w w:val="98"/>
                <w:vertAlign w:val="superscript"/>
              </w:rPr>
              <w:t>(1)</w:t>
            </w:r>
          </w:p>
        </w:tc>
      </w:tr>
      <w:tr>
        <w:trPr>
          <w:trHeight w:val="185"/>
        </w:trPr>
        <w:tc>
          <w:tcPr>
            <w:tcW w:w="6500" w:type="dxa"/>
            <w:vAlign w:val="bottom"/>
            <w:tcBorders>
              <w:bottom w:val="single" w:sz="8" w:color="051972"/>
            </w:tcBorders>
          </w:tcPr>
          <w:p>
            <w:pPr>
              <w:ind w:left="60"/>
              <w:spacing w:after="0"/>
              <w:rPr>
                <w:sz w:val="20"/>
                <w:szCs w:val="20"/>
                <w:color w:val="auto"/>
              </w:rPr>
            </w:pPr>
            <w:r>
              <w:rPr>
                <w:rFonts w:ascii="Arial" w:cs="Arial" w:eastAsia="Arial" w:hAnsi="Arial"/>
                <w:sz w:val="14"/>
                <w:szCs w:val="14"/>
                <w:b w:val="1"/>
                <w:bCs w:val="1"/>
                <w:color w:val="051972"/>
              </w:rPr>
              <w:t>Type of Payment</w:t>
            </w:r>
          </w:p>
        </w:tc>
        <w:tc>
          <w:tcPr>
            <w:tcW w:w="1260" w:type="dxa"/>
            <w:vAlign w:val="bottom"/>
            <w:tcBorders>
              <w:bottom w:val="single" w:sz="8" w:color="051972"/>
            </w:tcBorders>
            <w:gridSpan w:val="2"/>
          </w:tcPr>
          <w:p>
            <w:pPr>
              <w:jc w:val="center"/>
              <w:ind w:left="248"/>
              <w:spacing w:after="0"/>
              <w:rPr>
                <w:sz w:val="20"/>
                <w:szCs w:val="20"/>
                <w:color w:val="auto"/>
              </w:rPr>
            </w:pPr>
            <w:r>
              <w:rPr>
                <w:rFonts w:ascii="Arial" w:cs="Arial" w:eastAsia="Arial" w:hAnsi="Arial"/>
                <w:sz w:val="14"/>
                <w:szCs w:val="14"/>
                <w:b w:val="1"/>
                <w:bCs w:val="1"/>
                <w:color w:val="051972"/>
              </w:rPr>
              <w:t>($)</w:t>
            </w:r>
          </w:p>
        </w:tc>
        <w:tc>
          <w:tcPr>
            <w:tcW w:w="300" w:type="dxa"/>
            <w:vAlign w:val="bottom"/>
            <w:tcBorders>
              <w:bottom w:val="single" w:sz="8" w:color="051972"/>
            </w:tcBorders>
          </w:tcPr>
          <w:p>
            <w:pPr>
              <w:spacing w:after="0"/>
              <w:rPr>
                <w:sz w:val="16"/>
                <w:szCs w:val="16"/>
                <w:color w:val="auto"/>
              </w:rPr>
            </w:pPr>
          </w:p>
        </w:tc>
        <w:tc>
          <w:tcPr>
            <w:tcW w:w="1580" w:type="dxa"/>
            <w:vAlign w:val="bottom"/>
            <w:tcBorders>
              <w:bottom w:val="single" w:sz="8" w:color="051972"/>
            </w:tcBorders>
            <w:gridSpan w:val="2"/>
          </w:tcPr>
          <w:p>
            <w:pPr>
              <w:jc w:val="center"/>
              <w:spacing w:after="0"/>
              <w:rPr>
                <w:sz w:val="20"/>
                <w:szCs w:val="20"/>
                <w:color w:val="auto"/>
              </w:rPr>
            </w:pPr>
            <w:r>
              <w:rPr>
                <w:rFonts w:ascii="Arial" w:cs="Arial" w:eastAsia="Arial" w:hAnsi="Arial"/>
                <w:sz w:val="14"/>
                <w:szCs w:val="14"/>
                <w:b w:val="1"/>
                <w:bCs w:val="1"/>
                <w:color w:val="051972"/>
              </w:rPr>
              <w:t>($)</w:t>
            </w:r>
          </w:p>
        </w:tc>
        <w:tc>
          <w:tcPr>
            <w:tcW w:w="1600" w:type="dxa"/>
            <w:vAlign w:val="bottom"/>
            <w:tcBorders>
              <w:bottom w:val="single" w:sz="8" w:color="051972"/>
            </w:tcBorders>
            <w:gridSpan w:val="2"/>
          </w:tcPr>
          <w:p>
            <w:pPr>
              <w:jc w:val="center"/>
              <w:spacing w:after="0"/>
              <w:rPr>
                <w:sz w:val="20"/>
                <w:szCs w:val="20"/>
                <w:color w:val="auto"/>
              </w:rPr>
            </w:pPr>
            <w:r>
              <w:rPr>
                <w:rFonts w:ascii="Arial" w:cs="Arial" w:eastAsia="Arial" w:hAnsi="Arial"/>
                <w:sz w:val="14"/>
                <w:szCs w:val="14"/>
                <w:b w:val="1"/>
                <w:bCs w:val="1"/>
                <w:color w:val="051972"/>
              </w:rPr>
              <w:t>($)</w:t>
            </w:r>
          </w:p>
        </w:tc>
      </w:tr>
      <w:tr>
        <w:trPr>
          <w:trHeight w:val="223"/>
        </w:trPr>
        <w:tc>
          <w:tcPr>
            <w:tcW w:w="6500" w:type="dxa"/>
            <w:vAlign w:val="bottom"/>
            <w:shd w:val="clear" w:color="auto" w:fill="E7E7E8"/>
          </w:tcPr>
          <w:p>
            <w:pPr>
              <w:ind w:left="100"/>
              <w:spacing w:after="0"/>
              <w:rPr>
                <w:sz w:val="20"/>
                <w:szCs w:val="20"/>
                <w:color w:val="auto"/>
              </w:rPr>
            </w:pPr>
            <w:r>
              <w:rPr>
                <w:rFonts w:ascii="Arial" w:cs="Arial" w:eastAsia="Arial" w:hAnsi="Arial"/>
                <w:sz w:val="18"/>
                <w:szCs w:val="18"/>
                <w:b w:val="1"/>
                <w:bCs w:val="1"/>
                <w:color w:val="auto"/>
              </w:rPr>
              <w:t>Matt Newby</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180"/>
              <w:spacing w:after="0"/>
              <w:rPr>
                <w:sz w:val="20"/>
                <w:szCs w:val="20"/>
                <w:color w:val="auto"/>
              </w:rPr>
            </w:pPr>
            <w:r>
              <w:rPr>
                <w:rFonts w:ascii="Arial" w:cs="Arial" w:eastAsia="Arial" w:hAnsi="Arial"/>
                <w:sz w:val="18"/>
                <w:szCs w:val="18"/>
                <w:i w:val="1"/>
                <w:iCs w:val="1"/>
                <w:color w:val="auto"/>
              </w:rPr>
              <w:t>Long-Term Incentives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Unexercisable and Accelerated Awards</w:t>
            </w:r>
            <w:r>
              <w:rPr>
                <w:rFonts w:ascii="Arial" w:cs="Arial" w:eastAsia="Arial" w:hAnsi="Arial"/>
                <w:sz w:val="24"/>
                <w:szCs w:val="24"/>
                <w:color w:val="auto"/>
                <w:vertAlign w:val="superscript"/>
              </w:rPr>
              <w:t>(2)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Restricted Stock, PSU and RSU Awards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Unvested and Accelerated Awards</w:t>
            </w:r>
            <w:r>
              <w:rPr>
                <w:rFonts w:ascii="Arial" w:cs="Arial" w:eastAsia="Arial" w:hAnsi="Arial"/>
                <w:sz w:val="24"/>
                <w:szCs w:val="24"/>
                <w:color w:val="auto"/>
                <w:vertAlign w:val="superscript"/>
              </w:rPr>
              <w:t>(3)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5"/>
              <w:spacing w:after="0"/>
              <w:rPr>
                <w:sz w:val="20"/>
                <w:szCs w:val="20"/>
                <w:color w:val="auto"/>
              </w:rPr>
            </w:pPr>
            <w:r>
              <w:rPr>
                <w:rFonts w:ascii="Arial" w:cs="Arial" w:eastAsia="Arial" w:hAnsi="Arial"/>
                <w:sz w:val="18"/>
                <w:szCs w:val="18"/>
                <w:color w:val="auto"/>
              </w:rPr>
              <w:t>2,141,846</w:t>
            </w:r>
          </w:p>
        </w:tc>
        <w:tc>
          <w:tcPr>
            <w:tcW w:w="1600" w:type="dxa"/>
            <w:vAlign w:val="bottom"/>
            <w:gridSpan w:val="2"/>
          </w:tcPr>
          <w:p>
            <w:pPr>
              <w:jc w:val="right"/>
              <w:ind w:right="35"/>
              <w:spacing w:after="0"/>
              <w:rPr>
                <w:sz w:val="20"/>
                <w:szCs w:val="20"/>
                <w:color w:val="auto"/>
              </w:rPr>
            </w:pPr>
            <w:r>
              <w:rPr>
                <w:rFonts w:ascii="Arial" w:cs="Arial" w:eastAsia="Arial" w:hAnsi="Arial"/>
                <w:sz w:val="18"/>
                <w:szCs w:val="18"/>
                <w:color w:val="auto"/>
              </w:rPr>
              <w:t>2,141,846</w:t>
            </w:r>
          </w:p>
        </w:tc>
      </w:tr>
      <w:tr>
        <w:trPr>
          <w:trHeight w:val="229"/>
        </w:trPr>
        <w:tc>
          <w:tcPr>
            <w:tcW w:w="6500" w:type="dxa"/>
            <w:vAlign w:val="bottom"/>
            <w:shd w:val="clear" w:color="auto" w:fill="E7E7E8"/>
          </w:tcPr>
          <w:p>
            <w:pPr>
              <w:ind w:left="180"/>
              <w:spacing w:after="0"/>
              <w:rPr>
                <w:sz w:val="20"/>
                <w:szCs w:val="20"/>
                <w:color w:val="auto"/>
              </w:rPr>
            </w:pPr>
            <w:r>
              <w:rPr>
                <w:rFonts w:ascii="Arial" w:cs="Arial" w:eastAsia="Arial" w:hAnsi="Arial"/>
                <w:sz w:val="18"/>
                <w:szCs w:val="18"/>
                <w:i w:val="1"/>
                <w:iCs w:val="1"/>
                <w:color w:val="auto"/>
              </w:rPr>
              <w:t>Benefits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260"/>
              <w:spacing w:after="0" w:line="229" w:lineRule="exact"/>
              <w:rPr>
                <w:sz w:val="20"/>
                <w:szCs w:val="20"/>
                <w:color w:val="auto"/>
              </w:rPr>
            </w:pPr>
            <w:r>
              <w:rPr>
                <w:rFonts w:ascii="Arial" w:cs="Arial" w:eastAsia="Arial" w:hAnsi="Arial"/>
                <w:sz w:val="18"/>
                <w:szCs w:val="18"/>
                <w:color w:val="auto"/>
              </w:rPr>
              <w:t>Executive Life Insurance Plan</w:t>
            </w:r>
            <w:r>
              <w:rPr>
                <w:rFonts w:ascii="Arial" w:cs="Arial" w:eastAsia="Arial" w:hAnsi="Arial"/>
                <w:sz w:val="24"/>
                <w:szCs w:val="24"/>
                <w:color w:val="auto"/>
                <w:vertAlign w:val="superscript"/>
              </w:rPr>
              <w:t>(4)</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5"/>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Borders>
              <w:bottom w:val="single" w:sz="8" w:color="E7E7E8"/>
            </w:tcBorders>
            <w:shd w:val="clear" w:color="auto" w:fill="E7E7E8"/>
          </w:tcPr>
          <w:p>
            <w:pPr>
              <w:ind w:left="180"/>
              <w:spacing w:after="0" w:line="216" w:lineRule="exact"/>
              <w:rPr>
                <w:sz w:val="20"/>
                <w:szCs w:val="20"/>
                <w:color w:val="auto"/>
              </w:rPr>
            </w:pPr>
            <w:r>
              <w:rPr>
                <w:rFonts w:ascii="Arial" w:cs="Arial" w:eastAsia="Arial" w:hAnsi="Arial"/>
                <w:sz w:val="18"/>
                <w:szCs w:val="18"/>
                <w:i w:val="1"/>
                <w:iCs w:val="1"/>
                <w:color w:val="auto"/>
              </w:rPr>
              <w:t>Change in Control Continuity Agreement</w:t>
            </w:r>
            <w:r>
              <w:rPr>
                <w:rFonts w:ascii="Arial" w:cs="Arial" w:eastAsia="Arial" w:hAnsi="Arial"/>
                <w:sz w:val="24"/>
                <w:szCs w:val="24"/>
                <w:i w:val="1"/>
                <w:iCs w:val="1"/>
                <w:color w:val="auto"/>
                <w:vertAlign w:val="superscript"/>
              </w:rPr>
              <w:t>(5)</w:t>
            </w:r>
          </w:p>
        </w:tc>
        <w:tc>
          <w:tcPr>
            <w:tcW w:w="100" w:type="dxa"/>
            <w:vAlign w:val="bottom"/>
            <w:tcBorders>
              <w:bottom w:val="single" w:sz="8" w:color="E7E7E8"/>
            </w:tcBorders>
            <w:shd w:val="clear" w:color="auto" w:fill="E7E7E8"/>
          </w:tcPr>
          <w:p>
            <w:pPr>
              <w:spacing w:after="0"/>
              <w:rPr>
                <w:sz w:val="19"/>
                <w:szCs w:val="19"/>
                <w:color w:val="auto"/>
              </w:rPr>
            </w:pPr>
          </w:p>
        </w:tc>
        <w:tc>
          <w:tcPr>
            <w:tcW w:w="1160" w:type="dxa"/>
            <w:vAlign w:val="bottom"/>
            <w:tcBorders>
              <w:bottom w:val="single" w:sz="8" w:color="auto"/>
            </w:tcBorders>
            <w:shd w:val="clear" w:color="auto" w:fill="E7E7E8"/>
          </w:tcPr>
          <w:p>
            <w:pPr>
              <w:spacing w:after="0"/>
              <w:rPr>
                <w:sz w:val="19"/>
                <w:szCs w:val="19"/>
                <w:color w:val="auto"/>
              </w:rPr>
            </w:pPr>
          </w:p>
        </w:tc>
        <w:tc>
          <w:tcPr>
            <w:tcW w:w="3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7E7E8"/>
            </w:tcBorders>
            <w:shd w:val="clear" w:color="auto" w:fill="E7E7E8"/>
          </w:tcPr>
          <w:p>
            <w:pPr>
              <w:spacing w:after="0"/>
              <w:rPr>
                <w:sz w:val="19"/>
                <w:szCs w:val="19"/>
                <w:color w:val="auto"/>
              </w:rPr>
            </w:pPr>
          </w:p>
        </w:tc>
        <w:tc>
          <w:tcPr>
            <w:tcW w:w="1460" w:type="dxa"/>
            <w:vAlign w:val="bottom"/>
            <w:tcBorders>
              <w:bottom w:val="single" w:sz="8" w:color="auto"/>
            </w:tcBorders>
            <w:shd w:val="clear" w:color="auto" w:fill="E7E7E8"/>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7E7E8"/>
            </w:tcBorders>
            <w:shd w:val="clear" w:color="auto" w:fill="E7E7E8"/>
          </w:tcPr>
          <w:p>
            <w:pPr>
              <w:spacing w:after="0"/>
              <w:rPr>
                <w:sz w:val="19"/>
                <w:szCs w:val="19"/>
                <w:color w:val="auto"/>
              </w:rPr>
            </w:pPr>
          </w:p>
        </w:tc>
        <w:tc>
          <w:tcPr>
            <w:tcW w:w="1480" w:type="dxa"/>
            <w:vAlign w:val="bottom"/>
            <w:tcBorders>
              <w:bottom w:val="single" w:sz="8" w:color="auto"/>
            </w:tcBorders>
            <w:shd w:val="clear" w:color="auto" w:fill="E7E7E8"/>
          </w:tcPr>
          <w:p>
            <w:pPr>
              <w:jc w:val="right"/>
              <w:ind w:right="35"/>
              <w:spacing w:after="0"/>
              <w:rPr>
                <w:sz w:val="20"/>
                <w:szCs w:val="20"/>
                <w:color w:val="auto"/>
              </w:rPr>
            </w:pPr>
            <w:r>
              <w:rPr>
                <w:rFonts w:ascii="Arial" w:cs="Arial" w:eastAsia="Arial" w:hAnsi="Arial"/>
                <w:sz w:val="18"/>
                <w:szCs w:val="18"/>
                <w:color w:val="auto"/>
              </w:rPr>
              <w:t>2,743,486</w:t>
            </w:r>
          </w:p>
        </w:tc>
      </w:tr>
      <w:tr>
        <w:trPr>
          <w:trHeight w:val="230"/>
        </w:trPr>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9"/>
              </w:rPr>
              <w:t>NEWBY TOTAL</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5"/>
              <w:spacing w:after="0"/>
              <w:rPr>
                <w:sz w:val="20"/>
                <w:szCs w:val="20"/>
                <w:color w:val="auto"/>
              </w:rPr>
            </w:pPr>
            <w:r>
              <w:rPr>
                <w:rFonts w:ascii="Arial" w:cs="Arial" w:eastAsia="Arial" w:hAnsi="Arial"/>
                <w:sz w:val="18"/>
                <w:szCs w:val="18"/>
                <w:b w:val="1"/>
                <w:bCs w:val="1"/>
                <w:color w:val="auto"/>
              </w:rPr>
              <w:t>4,141,846</w:t>
            </w:r>
          </w:p>
        </w:tc>
        <w:tc>
          <w:tcPr>
            <w:tcW w:w="160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4,885,332</w:t>
            </w:r>
          </w:p>
        </w:tc>
      </w:tr>
      <w:tr>
        <w:trPr>
          <w:trHeight w:val="229"/>
        </w:trPr>
        <w:tc>
          <w:tcPr>
            <w:tcW w:w="6500" w:type="dxa"/>
            <w:vAlign w:val="bottom"/>
            <w:shd w:val="clear" w:color="auto" w:fill="E7E7E8"/>
          </w:tcPr>
          <w:p>
            <w:pPr>
              <w:ind w:left="100"/>
              <w:spacing w:after="0"/>
              <w:rPr>
                <w:sz w:val="20"/>
                <w:szCs w:val="20"/>
                <w:color w:val="auto"/>
              </w:rPr>
            </w:pPr>
            <w:r>
              <w:rPr>
                <w:rFonts w:ascii="Arial" w:cs="Arial" w:eastAsia="Arial" w:hAnsi="Arial"/>
                <w:sz w:val="18"/>
                <w:szCs w:val="18"/>
                <w:b w:val="1"/>
                <w:bCs w:val="1"/>
                <w:color w:val="auto"/>
              </w:rPr>
              <w:t>Eric Cribbs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180"/>
              <w:spacing w:after="0"/>
              <w:rPr>
                <w:sz w:val="20"/>
                <w:szCs w:val="20"/>
                <w:color w:val="auto"/>
              </w:rPr>
            </w:pPr>
            <w:r>
              <w:rPr>
                <w:rFonts w:ascii="Arial" w:cs="Arial" w:eastAsia="Arial" w:hAnsi="Arial"/>
                <w:sz w:val="18"/>
                <w:szCs w:val="18"/>
                <w:i w:val="1"/>
                <w:iCs w:val="1"/>
                <w:color w:val="auto"/>
              </w:rPr>
              <w:t>Long-Term Incentives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29"/>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Unexercisable and Accelerated Awards</w:t>
            </w:r>
            <w:r>
              <w:rPr>
                <w:rFonts w:ascii="Arial" w:cs="Arial" w:eastAsia="Arial" w:hAnsi="Arial"/>
                <w:sz w:val="24"/>
                <w:szCs w:val="24"/>
                <w:color w:val="auto"/>
                <w:vertAlign w:val="superscript"/>
              </w:rPr>
              <w:t>(2)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shd w:val="clear" w:color="auto" w:fill="E7E7E8"/>
          </w:tcPr>
          <w:p>
            <w:pPr>
              <w:ind w:left="260"/>
              <w:spacing w:after="0"/>
              <w:rPr>
                <w:sz w:val="20"/>
                <w:szCs w:val="20"/>
                <w:color w:val="auto"/>
              </w:rPr>
            </w:pPr>
            <w:r>
              <w:rPr>
                <w:rFonts w:ascii="Arial" w:cs="Arial" w:eastAsia="Arial" w:hAnsi="Arial"/>
                <w:sz w:val="18"/>
                <w:szCs w:val="18"/>
                <w:color w:val="auto"/>
              </w:rPr>
              <w:t>Restricted Stock, PSU and RSU Awards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340"/>
              <w:spacing w:after="0" w:line="229" w:lineRule="exact"/>
              <w:rPr>
                <w:sz w:val="20"/>
                <w:szCs w:val="20"/>
                <w:color w:val="auto"/>
              </w:rPr>
            </w:pPr>
            <w:r>
              <w:rPr>
                <w:rFonts w:ascii="Arial" w:cs="Arial" w:eastAsia="Arial" w:hAnsi="Arial"/>
                <w:sz w:val="18"/>
                <w:szCs w:val="18"/>
                <w:color w:val="auto"/>
              </w:rPr>
              <w:t>Unvested and Accelerated Awards</w:t>
            </w:r>
            <w:r>
              <w:rPr>
                <w:rFonts w:ascii="Arial" w:cs="Arial" w:eastAsia="Arial" w:hAnsi="Arial"/>
                <w:sz w:val="24"/>
                <w:szCs w:val="24"/>
                <w:color w:val="auto"/>
                <w:vertAlign w:val="superscript"/>
              </w:rPr>
              <w:t>(3)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5"/>
              <w:spacing w:after="0"/>
              <w:rPr>
                <w:sz w:val="20"/>
                <w:szCs w:val="20"/>
                <w:color w:val="auto"/>
              </w:rPr>
            </w:pPr>
            <w:r>
              <w:rPr>
                <w:rFonts w:ascii="Arial" w:cs="Arial" w:eastAsia="Arial" w:hAnsi="Arial"/>
                <w:sz w:val="18"/>
                <w:szCs w:val="18"/>
                <w:color w:val="auto"/>
              </w:rPr>
              <w:t>1,536,199</w:t>
            </w:r>
          </w:p>
        </w:tc>
        <w:tc>
          <w:tcPr>
            <w:tcW w:w="1600" w:type="dxa"/>
            <w:vAlign w:val="bottom"/>
            <w:gridSpan w:val="2"/>
          </w:tcPr>
          <w:p>
            <w:pPr>
              <w:jc w:val="right"/>
              <w:ind w:right="35"/>
              <w:spacing w:after="0"/>
              <w:rPr>
                <w:sz w:val="20"/>
                <w:szCs w:val="20"/>
                <w:color w:val="auto"/>
              </w:rPr>
            </w:pPr>
            <w:r>
              <w:rPr>
                <w:rFonts w:ascii="Arial" w:cs="Arial" w:eastAsia="Arial" w:hAnsi="Arial"/>
                <w:sz w:val="18"/>
                <w:szCs w:val="18"/>
                <w:color w:val="auto"/>
              </w:rPr>
              <w:t>1,536,199</w:t>
            </w:r>
          </w:p>
        </w:tc>
      </w:tr>
      <w:tr>
        <w:trPr>
          <w:trHeight w:val="229"/>
        </w:trPr>
        <w:tc>
          <w:tcPr>
            <w:tcW w:w="6500" w:type="dxa"/>
            <w:vAlign w:val="bottom"/>
            <w:shd w:val="clear" w:color="auto" w:fill="E7E7E8"/>
          </w:tcPr>
          <w:p>
            <w:pPr>
              <w:ind w:left="180"/>
              <w:spacing w:after="0"/>
              <w:rPr>
                <w:sz w:val="20"/>
                <w:szCs w:val="20"/>
                <w:color w:val="auto"/>
              </w:rPr>
            </w:pPr>
            <w:r>
              <w:rPr>
                <w:rFonts w:ascii="Arial" w:cs="Arial" w:eastAsia="Arial" w:hAnsi="Arial"/>
                <w:sz w:val="18"/>
                <w:szCs w:val="18"/>
                <w:i w:val="1"/>
                <w:iCs w:val="1"/>
                <w:color w:val="auto"/>
              </w:rPr>
              <w:t>Benefits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260"/>
              <w:spacing w:after="0" w:line="229" w:lineRule="exact"/>
              <w:rPr>
                <w:sz w:val="20"/>
                <w:szCs w:val="20"/>
                <w:color w:val="auto"/>
              </w:rPr>
            </w:pPr>
            <w:r>
              <w:rPr>
                <w:rFonts w:ascii="Arial" w:cs="Arial" w:eastAsia="Arial" w:hAnsi="Arial"/>
                <w:sz w:val="18"/>
                <w:szCs w:val="18"/>
                <w:color w:val="auto"/>
              </w:rPr>
              <w:t>Executive Life Insurance Plan</w:t>
            </w:r>
            <w:r>
              <w:rPr>
                <w:rFonts w:ascii="Arial" w:cs="Arial" w:eastAsia="Arial" w:hAnsi="Arial"/>
                <w:sz w:val="24"/>
                <w:szCs w:val="24"/>
                <w:color w:val="auto"/>
                <w:vertAlign w:val="superscript"/>
              </w:rPr>
              <w:t>(4)</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shd w:val="clear" w:color="auto" w:fill="E7E7E8"/>
          </w:tcPr>
          <w:p>
            <w:pPr>
              <w:jc w:val="center"/>
              <w:spacing w:after="0"/>
              <w:rPr>
                <w:sz w:val="20"/>
                <w:szCs w:val="20"/>
                <w:color w:val="auto"/>
              </w:rPr>
            </w:pPr>
            <w:r>
              <w:rPr>
                <w:rFonts w:ascii="Arial" w:cs="Arial" w:eastAsia="Arial" w:hAnsi="Arial"/>
                <w:sz w:val="18"/>
                <w:szCs w:val="18"/>
                <w:b w:val="1"/>
                <w:bCs w:val="1"/>
                <w:color w:val="auto"/>
                <w:w w:val="99"/>
              </w:rPr>
              <w:t>CRIBBS TOTAL</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7E7E8"/>
          </w:tcPr>
          <w:p>
            <w:pPr>
              <w:jc w:val="right"/>
              <w:ind w:right="15"/>
              <w:spacing w:after="0"/>
              <w:rPr>
                <w:sz w:val="20"/>
                <w:szCs w:val="20"/>
                <w:color w:val="auto"/>
              </w:rPr>
            </w:pPr>
            <w:r>
              <w:rPr>
                <w:rFonts w:ascii="Arial" w:cs="Arial" w:eastAsia="Arial" w:hAnsi="Arial"/>
                <w:sz w:val="18"/>
                <w:szCs w:val="18"/>
                <w:b w:val="1"/>
                <w:bCs w:val="1"/>
                <w:color w:val="auto"/>
              </w:rPr>
              <w:t>3,536,199</w:t>
            </w:r>
          </w:p>
        </w:tc>
        <w:tc>
          <w:tcPr>
            <w:tcW w:w="1600" w:type="dxa"/>
            <w:vAlign w:val="bottom"/>
            <w:gridSpan w:val="2"/>
            <w:shd w:val="clear" w:color="auto" w:fill="E7E7E8"/>
          </w:tcPr>
          <w:p>
            <w:pPr>
              <w:jc w:val="right"/>
              <w:ind w:right="35"/>
              <w:spacing w:after="0"/>
              <w:rPr>
                <w:sz w:val="20"/>
                <w:szCs w:val="20"/>
                <w:color w:val="auto"/>
              </w:rPr>
            </w:pPr>
            <w:r>
              <w:rPr>
                <w:rFonts w:ascii="Arial" w:cs="Arial" w:eastAsia="Arial" w:hAnsi="Arial"/>
                <w:sz w:val="18"/>
                <w:szCs w:val="18"/>
                <w:b w:val="1"/>
                <w:bCs w:val="1"/>
                <w:color w:val="auto"/>
              </w:rPr>
              <w:t>1,536,199</w:t>
            </w:r>
          </w:p>
        </w:tc>
      </w:tr>
      <w:tr>
        <w:trPr>
          <w:trHeight w:val="230"/>
        </w:trPr>
        <w:tc>
          <w:tcPr>
            <w:tcW w:w="6500" w:type="dxa"/>
            <w:vAlign w:val="bottom"/>
          </w:tcPr>
          <w:p>
            <w:pPr>
              <w:ind w:left="100"/>
              <w:spacing w:after="0"/>
              <w:rPr>
                <w:sz w:val="20"/>
                <w:szCs w:val="20"/>
                <w:color w:val="auto"/>
              </w:rPr>
            </w:pPr>
            <w:r>
              <w:rPr>
                <w:rFonts w:ascii="Arial" w:cs="Arial" w:eastAsia="Arial" w:hAnsi="Arial"/>
                <w:sz w:val="18"/>
                <w:szCs w:val="18"/>
                <w:b w:val="1"/>
                <w:bCs w:val="1"/>
                <w:color w:val="auto"/>
              </w:rPr>
              <w:t>Tony Thompson</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500" w:type="dxa"/>
            <w:vAlign w:val="bottom"/>
            <w:shd w:val="clear" w:color="auto" w:fill="E7E7E8"/>
          </w:tcPr>
          <w:p>
            <w:pPr>
              <w:ind w:left="180"/>
              <w:spacing w:after="0"/>
              <w:rPr>
                <w:sz w:val="20"/>
                <w:szCs w:val="20"/>
                <w:color w:val="auto"/>
              </w:rPr>
            </w:pPr>
            <w:r>
              <w:rPr>
                <w:rFonts w:ascii="Arial" w:cs="Arial" w:eastAsia="Arial" w:hAnsi="Arial"/>
                <w:sz w:val="18"/>
                <w:szCs w:val="18"/>
                <w:i w:val="1"/>
                <w:iCs w:val="1"/>
                <w:color w:val="auto"/>
              </w:rPr>
              <w:t>Long-Term Incentives</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60" w:type="dxa"/>
            <w:vAlign w:val="bottom"/>
            <w:shd w:val="clear" w:color="auto" w:fill="E7E7E8"/>
          </w:tcPr>
          <w:p>
            <w:pPr>
              <w:spacing w:after="0"/>
              <w:rPr>
                <w:sz w:val="19"/>
                <w:szCs w:val="19"/>
                <w:color w:val="auto"/>
              </w:rPr>
            </w:pPr>
          </w:p>
        </w:tc>
        <w:tc>
          <w:tcPr>
            <w:tcW w:w="120" w:type="dxa"/>
            <w:vAlign w:val="bottom"/>
            <w:shd w:val="clear" w:color="auto" w:fill="E7E7E8"/>
          </w:tcPr>
          <w:p>
            <w:pPr>
              <w:spacing w:after="0"/>
              <w:rPr>
                <w:sz w:val="19"/>
                <w:szCs w:val="19"/>
                <w:color w:val="auto"/>
              </w:rPr>
            </w:pPr>
          </w:p>
        </w:tc>
        <w:tc>
          <w:tcPr>
            <w:tcW w:w="1480" w:type="dxa"/>
            <w:vAlign w:val="bottom"/>
            <w:shd w:val="clear" w:color="auto" w:fill="E7E7E8"/>
          </w:tcPr>
          <w:p>
            <w:pPr>
              <w:spacing w:after="0"/>
              <w:rPr>
                <w:sz w:val="19"/>
                <w:szCs w:val="19"/>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6500" w:type="dxa"/>
            <w:vAlign w:val="bottom"/>
            <w:shd w:val="clear" w:color="auto" w:fill="E7E7E8"/>
          </w:tcPr>
          <w:p>
            <w:pPr>
              <w:ind w:left="340"/>
              <w:spacing w:after="0" w:line="216" w:lineRule="exact"/>
              <w:rPr>
                <w:sz w:val="20"/>
                <w:szCs w:val="20"/>
                <w:color w:val="auto"/>
              </w:rPr>
            </w:pPr>
            <w:r>
              <w:rPr>
                <w:rFonts w:ascii="Arial" w:cs="Arial" w:eastAsia="Arial" w:hAnsi="Arial"/>
                <w:sz w:val="18"/>
                <w:szCs w:val="18"/>
                <w:color w:val="auto"/>
              </w:rPr>
              <w:t>Unexercisable and Accelerated Awards</w:t>
            </w:r>
            <w:r>
              <w:rPr>
                <w:rFonts w:ascii="Arial" w:cs="Arial" w:eastAsia="Arial" w:hAnsi="Arial"/>
                <w:sz w:val="24"/>
                <w:szCs w:val="24"/>
                <w:color w:val="auto"/>
                <w:vertAlign w:val="superscript"/>
              </w:rPr>
              <w:t>(2)</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7E7E8"/>
          </w:tcPr>
          <w:p>
            <w:pPr>
              <w:jc w:val="right"/>
              <w:ind w:right="15"/>
              <w:spacing w:after="0"/>
              <w:rPr>
                <w:sz w:val="20"/>
                <w:szCs w:val="20"/>
                <w:color w:val="auto"/>
              </w:rPr>
            </w:pPr>
            <w:r>
              <w:rPr>
                <w:rFonts w:ascii="Arial" w:cs="Arial" w:eastAsia="Arial" w:hAnsi="Arial"/>
                <w:sz w:val="18"/>
                <w:szCs w:val="18"/>
                <w:color w:val="auto"/>
              </w:rPr>
              <w:t>60,872</w:t>
            </w:r>
          </w:p>
        </w:tc>
        <w:tc>
          <w:tcPr>
            <w:tcW w:w="1600" w:type="dxa"/>
            <w:vAlign w:val="bottom"/>
            <w:gridSpan w:val="2"/>
            <w:shd w:val="clear" w:color="auto" w:fill="E7E7E8"/>
          </w:tcPr>
          <w:p>
            <w:pPr>
              <w:jc w:val="right"/>
              <w:ind w:right="35"/>
              <w:spacing w:after="0"/>
              <w:rPr>
                <w:sz w:val="20"/>
                <w:szCs w:val="20"/>
                <w:color w:val="auto"/>
              </w:rPr>
            </w:pPr>
            <w:r>
              <w:rPr>
                <w:rFonts w:ascii="Arial" w:cs="Arial" w:eastAsia="Arial" w:hAnsi="Arial"/>
                <w:sz w:val="18"/>
                <w:szCs w:val="18"/>
                <w:color w:val="auto"/>
              </w:rPr>
              <w:t>60,872</w:t>
            </w: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Restricted Stock, PSU and RSU Awards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500" w:type="dxa"/>
            <w:vAlign w:val="bottom"/>
            <w:shd w:val="clear" w:color="auto" w:fill="E7E7E8"/>
          </w:tcPr>
          <w:p>
            <w:pPr>
              <w:ind w:left="340"/>
              <w:spacing w:after="0" w:line="216" w:lineRule="exact"/>
              <w:rPr>
                <w:sz w:val="20"/>
                <w:szCs w:val="20"/>
                <w:color w:val="auto"/>
              </w:rPr>
            </w:pPr>
            <w:r>
              <w:rPr>
                <w:rFonts w:ascii="Arial" w:cs="Arial" w:eastAsia="Arial" w:hAnsi="Arial"/>
                <w:sz w:val="18"/>
                <w:szCs w:val="18"/>
                <w:color w:val="auto"/>
              </w:rPr>
              <w:t>Unvested and Accelerated Awards</w:t>
            </w:r>
            <w:r>
              <w:rPr>
                <w:rFonts w:ascii="Arial" w:cs="Arial" w:eastAsia="Arial" w:hAnsi="Arial"/>
                <w:sz w:val="24"/>
                <w:szCs w:val="24"/>
                <w:color w:val="auto"/>
                <w:vertAlign w:val="superscript"/>
              </w:rPr>
              <w:t>(3)</w:t>
            </w:r>
          </w:p>
        </w:tc>
        <w:tc>
          <w:tcPr>
            <w:tcW w:w="100" w:type="dxa"/>
            <w:vAlign w:val="bottom"/>
            <w:shd w:val="clear" w:color="auto" w:fill="E7E7E8"/>
          </w:tcPr>
          <w:p>
            <w:pPr>
              <w:spacing w:after="0"/>
              <w:rPr>
                <w:sz w:val="19"/>
                <w:szCs w:val="19"/>
                <w:color w:val="auto"/>
              </w:rPr>
            </w:pPr>
          </w:p>
        </w:tc>
        <w:tc>
          <w:tcPr>
            <w:tcW w:w="1160" w:type="dxa"/>
            <w:vAlign w:val="bottom"/>
            <w:shd w:val="clear" w:color="auto" w:fill="E7E7E8"/>
          </w:tcPr>
          <w:p>
            <w:pPr>
              <w:spacing w:after="0"/>
              <w:rPr>
                <w:sz w:val="19"/>
                <w:szCs w:val="19"/>
                <w:color w:val="auto"/>
              </w:rPr>
            </w:pPr>
          </w:p>
        </w:tc>
        <w:tc>
          <w:tcPr>
            <w:tcW w:w="300" w:type="dxa"/>
            <w:vAlign w:val="bottom"/>
            <w:shd w:val="clear" w:color="auto" w:fill="E7E7E8"/>
          </w:tcPr>
          <w:p>
            <w:pPr>
              <w:ind w:left="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7E7E8"/>
          </w:tcPr>
          <w:p>
            <w:pPr>
              <w:jc w:val="right"/>
              <w:ind w:right="15"/>
              <w:spacing w:after="0"/>
              <w:rPr>
                <w:sz w:val="20"/>
                <w:szCs w:val="20"/>
                <w:color w:val="auto"/>
              </w:rPr>
            </w:pPr>
            <w:r>
              <w:rPr>
                <w:rFonts w:ascii="Arial" w:cs="Arial" w:eastAsia="Arial" w:hAnsi="Arial"/>
                <w:sz w:val="18"/>
                <w:szCs w:val="18"/>
                <w:color w:val="auto"/>
              </w:rPr>
              <w:t>1,161,804</w:t>
            </w:r>
          </w:p>
        </w:tc>
        <w:tc>
          <w:tcPr>
            <w:tcW w:w="1600" w:type="dxa"/>
            <w:vAlign w:val="bottom"/>
            <w:gridSpan w:val="2"/>
            <w:shd w:val="clear" w:color="auto" w:fill="E7E7E8"/>
          </w:tcPr>
          <w:p>
            <w:pPr>
              <w:jc w:val="right"/>
              <w:ind w:right="35"/>
              <w:spacing w:after="0"/>
              <w:rPr>
                <w:sz w:val="20"/>
                <w:szCs w:val="20"/>
                <w:color w:val="auto"/>
              </w:rPr>
            </w:pPr>
            <w:r>
              <w:rPr>
                <w:rFonts w:ascii="Arial" w:cs="Arial" w:eastAsia="Arial" w:hAnsi="Arial"/>
                <w:sz w:val="18"/>
                <w:szCs w:val="18"/>
                <w:color w:val="auto"/>
              </w:rPr>
              <w:t>1,161,804</w:t>
            </w:r>
          </w:p>
        </w:tc>
      </w:tr>
      <w:tr>
        <w:trPr>
          <w:trHeight w:val="230"/>
        </w:trPr>
        <w:tc>
          <w:tcPr>
            <w:tcW w:w="6500" w:type="dxa"/>
            <w:vAlign w:val="bottom"/>
          </w:tcPr>
          <w:p>
            <w:pPr>
              <w:ind w:left="180"/>
              <w:spacing w:after="0"/>
              <w:rPr>
                <w:sz w:val="20"/>
                <w:szCs w:val="20"/>
                <w:color w:val="auto"/>
              </w:rPr>
            </w:pPr>
            <w:r>
              <w:rPr>
                <w:rFonts w:ascii="Arial" w:cs="Arial" w:eastAsia="Arial" w:hAnsi="Arial"/>
                <w:sz w:val="18"/>
                <w:szCs w:val="18"/>
                <w:i w:val="1"/>
                <w:iCs w:val="1"/>
                <w:color w:val="auto"/>
              </w:rPr>
              <w:t>Benefits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3"/>
        </w:trPr>
        <w:tc>
          <w:tcPr>
            <w:tcW w:w="6500" w:type="dxa"/>
            <w:vAlign w:val="bottom"/>
            <w:tcBorders>
              <w:bottom w:val="single" w:sz="8" w:color="E7E7E8"/>
            </w:tcBorders>
            <w:shd w:val="clear" w:color="auto" w:fill="E7E7E8"/>
          </w:tcPr>
          <w:p>
            <w:pPr>
              <w:ind w:left="260"/>
              <w:spacing w:after="0"/>
              <w:rPr>
                <w:sz w:val="20"/>
                <w:szCs w:val="20"/>
                <w:color w:val="auto"/>
              </w:rPr>
            </w:pPr>
            <w:r>
              <w:rPr>
                <w:rFonts w:ascii="Arial" w:cs="Arial" w:eastAsia="Arial" w:hAnsi="Arial"/>
                <w:sz w:val="18"/>
                <w:szCs w:val="18"/>
                <w:color w:val="auto"/>
              </w:rPr>
              <w:t>Executive Life Insurance Plan</w:t>
            </w:r>
            <w:r>
              <w:rPr>
                <w:rFonts w:ascii="Arial" w:cs="Arial" w:eastAsia="Arial" w:hAnsi="Arial"/>
                <w:sz w:val="14"/>
                <w:szCs w:val="14"/>
                <w:color w:val="auto"/>
              </w:rPr>
              <w:t>(4)</w:t>
            </w:r>
          </w:p>
        </w:tc>
        <w:tc>
          <w:tcPr>
            <w:tcW w:w="100" w:type="dxa"/>
            <w:vAlign w:val="bottom"/>
            <w:tcBorders>
              <w:bottom w:val="single" w:sz="8" w:color="E7E7E8"/>
            </w:tcBorders>
            <w:shd w:val="clear" w:color="auto" w:fill="E7E7E8"/>
          </w:tcPr>
          <w:p>
            <w:pPr>
              <w:spacing w:after="0"/>
              <w:rPr>
                <w:sz w:val="19"/>
                <w:szCs w:val="19"/>
                <w:color w:val="auto"/>
              </w:rPr>
            </w:pPr>
          </w:p>
        </w:tc>
        <w:tc>
          <w:tcPr>
            <w:tcW w:w="1160" w:type="dxa"/>
            <w:vAlign w:val="bottom"/>
            <w:tcBorders>
              <w:bottom w:val="single" w:sz="8" w:color="auto"/>
            </w:tcBorders>
            <w:shd w:val="clear" w:color="auto" w:fill="E7E7E8"/>
          </w:tcPr>
          <w:p>
            <w:pPr>
              <w:spacing w:after="0"/>
              <w:rPr>
                <w:sz w:val="19"/>
                <w:szCs w:val="19"/>
                <w:color w:val="auto"/>
              </w:rPr>
            </w:pPr>
          </w:p>
        </w:tc>
        <w:tc>
          <w:tcPr>
            <w:tcW w:w="300" w:type="dxa"/>
            <w:vAlign w:val="bottom"/>
            <w:tcBorders>
              <w:bottom w:val="single" w:sz="8" w:color="auto"/>
            </w:tcBorders>
            <w:shd w:val="clear" w:color="auto" w:fill="E7E7E8"/>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E7E7E8"/>
            </w:tcBorders>
            <w:shd w:val="clear" w:color="auto" w:fill="E7E7E8"/>
          </w:tcPr>
          <w:p>
            <w:pPr>
              <w:spacing w:after="0"/>
              <w:rPr>
                <w:sz w:val="19"/>
                <w:szCs w:val="19"/>
                <w:color w:val="auto"/>
              </w:rPr>
            </w:pPr>
          </w:p>
        </w:tc>
        <w:tc>
          <w:tcPr>
            <w:tcW w:w="1460" w:type="dxa"/>
            <w:vAlign w:val="bottom"/>
            <w:tcBorders>
              <w:bottom w:val="single" w:sz="8" w:color="auto"/>
            </w:tcBorders>
            <w:shd w:val="clear" w:color="auto" w:fill="E7E7E8"/>
          </w:tcPr>
          <w:p>
            <w:pPr>
              <w:jc w:val="right"/>
              <w:ind w:right="15"/>
              <w:spacing w:after="0"/>
              <w:rPr>
                <w:sz w:val="20"/>
                <w:szCs w:val="20"/>
                <w:color w:val="auto"/>
              </w:rPr>
            </w:pPr>
            <w:r>
              <w:rPr>
                <w:rFonts w:ascii="Arial" w:cs="Arial" w:eastAsia="Arial" w:hAnsi="Arial"/>
                <w:sz w:val="18"/>
                <w:szCs w:val="18"/>
                <w:color w:val="auto"/>
              </w:rPr>
              <w:t>2,000,000</w:t>
            </w:r>
          </w:p>
        </w:tc>
        <w:tc>
          <w:tcPr>
            <w:tcW w:w="120" w:type="dxa"/>
            <w:vAlign w:val="bottom"/>
            <w:tcBorders>
              <w:bottom w:val="single" w:sz="8" w:color="E7E7E8"/>
            </w:tcBorders>
            <w:shd w:val="clear" w:color="auto" w:fill="E7E7E8"/>
          </w:tcPr>
          <w:p>
            <w:pPr>
              <w:spacing w:after="0"/>
              <w:rPr>
                <w:sz w:val="19"/>
                <w:szCs w:val="19"/>
                <w:color w:val="auto"/>
              </w:rPr>
            </w:pPr>
          </w:p>
        </w:tc>
        <w:tc>
          <w:tcPr>
            <w:tcW w:w="1480" w:type="dxa"/>
            <w:vAlign w:val="bottom"/>
            <w:tcBorders>
              <w:bottom w:val="single" w:sz="8" w:color="auto"/>
            </w:tcBorders>
            <w:shd w:val="clear" w:color="auto" w:fill="E7E7E8"/>
          </w:tcPr>
          <w:p>
            <w:pPr>
              <w:jc w:val="right"/>
              <w:ind w:right="35"/>
              <w:spacing w:after="0"/>
              <w:rPr>
                <w:sz w:val="20"/>
                <w:szCs w:val="20"/>
                <w:color w:val="auto"/>
              </w:rPr>
            </w:pPr>
            <w:r>
              <w:rPr>
                <w:rFonts w:ascii="Arial" w:cs="Arial" w:eastAsia="Arial" w:hAnsi="Arial"/>
                <w:sz w:val="18"/>
                <w:szCs w:val="18"/>
                <w:color w:val="auto"/>
              </w:rPr>
              <w:t>—</w:t>
            </w:r>
          </w:p>
        </w:tc>
      </w:tr>
      <w:tr>
        <w:trPr>
          <w:trHeight w:val="250"/>
        </w:trPr>
        <w:tc>
          <w:tcPr>
            <w:tcW w:w="6500" w:type="dxa"/>
            <w:vAlign w:val="bottom"/>
            <w:tcBorders>
              <w:bottom w:val="single" w:sz="8" w:color="051972"/>
            </w:tcBorders>
          </w:tcPr>
          <w:p>
            <w:pPr>
              <w:jc w:val="center"/>
              <w:spacing w:after="0"/>
              <w:rPr>
                <w:sz w:val="20"/>
                <w:szCs w:val="20"/>
                <w:color w:val="auto"/>
              </w:rPr>
            </w:pPr>
            <w:r>
              <w:rPr>
                <w:rFonts w:ascii="Arial" w:cs="Arial" w:eastAsia="Arial" w:hAnsi="Arial"/>
                <w:sz w:val="18"/>
                <w:szCs w:val="18"/>
                <w:b w:val="1"/>
                <w:bCs w:val="1"/>
                <w:color w:val="auto"/>
                <w:w w:val="99"/>
              </w:rPr>
              <w:t>THOMPSON TOTAL</w:t>
            </w:r>
          </w:p>
        </w:tc>
        <w:tc>
          <w:tcPr>
            <w:tcW w:w="100" w:type="dxa"/>
            <w:vAlign w:val="bottom"/>
            <w:tcBorders>
              <w:bottom w:val="single" w:sz="8" w:color="051972"/>
            </w:tcBorders>
          </w:tcPr>
          <w:p>
            <w:pPr>
              <w:spacing w:after="0"/>
              <w:rPr>
                <w:sz w:val="21"/>
                <w:szCs w:val="21"/>
                <w:color w:val="auto"/>
              </w:rPr>
            </w:pPr>
          </w:p>
        </w:tc>
        <w:tc>
          <w:tcPr>
            <w:tcW w:w="1160" w:type="dxa"/>
            <w:vAlign w:val="bottom"/>
            <w:tcBorders>
              <w:bottom w:val="single" w:sz="8" w:color="051972"/>
            </w:tcBorders>
          </w:tcPr>
          <w:p>
            <w:pPr>
              <w:spacing w:after="0"/>
              <w:rPr>
                <w:sz w:val="21"/>
                <w:szCs w:val="21"/>
                <w:color w:val="auto"/>
              </w:rPr>
            </w:pPr>
          </w:p>
        </w:tc>
        <w:tc>
          <w:tcPr>
            <w:tcW w:w="300" w:type="dxa"/>
            <w:vAlign w:val="bottom"/>
            <w:tcBorders>
              <w:bottom w:val="single" w:sz="8" w:color="051972"/>
            </w:tcBorders>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051972"/>
            </w:tcBorders>
            <w:gridSpan w:val="2"/>
          </w:tcPr>
          <w:p>
            <w:pPr>
              <w:jc w:val="right"/>
              <w:ind w:right="15"/>
              <w:spacing w:after="0"/>
              <w:rPr>
                <w:sz w:val="20"/>
                <w:szCs w:val="20"/>
                <w:color w:val="auto"/>
              </w:rPr>
            </w:pPr>
            <w:r>
              <w:rPr>
                <w:rFonts w:ascii="Arial" w:cs="Arial" w:eastAsia="Arial" w:hAnsi="Arial"/>
                <w:sz w:val="18"/>
                <w:szCs w:val="18"/>
                <w:b w:val="1"/>
                <w:bCs w:val="1"/>
                <w:color w:val="auto"/>
              </w:rPr>
              <w:t>3,222,675</w:t>
            </w:r>
          </w:p>
        </w:tc>
        <w:tc>
          <w:tcPr>
            <w:tcW w:w="1600" w:type="dxa"/>
            <w:vAlign w:val="bottom"/>
            <w:tcBorders>
              <w:bottom w:val="single" w:sz="8" w:color="051972"/>
            </w:tcBorders>
            <w:gridSpan w:val="2"/>
          </w:tcPr>
          <w:p>
            <w:pPr>
              <w:jc w:val="right"/>
              <w:ind w:right="35"/>
              <w:spacing w:after="0"/>
              <w:rPr>
                <w:sz w:val="20"/>
                <w:szCs w:val="20"/>
                <w:color w:val="auto"/>
              </w:rPr>
            </w:pPr>
            <w:r>
              <w:rPr>
                <w:rFonts w:ascii="Arial" w:cs="Arial" w:eastAsia="Arial" w:hAnsi="Arial"/>
                <w:sz w:val="18"/>
                <w:szCs w:val="18"/>
                <w:b w:val="1"/>
                <w:bCs w:val="1"/>
                <w:color w:val="auto"/>
              </w:rPr>
              <w:t>1,222,675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-2819400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-2819400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-179705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-179705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2" w:lineRule="exact"/>
        <w:rPr>
          <w:sz w:val="20"/>
          <w:szCs w:val="20"/>
          <w:color w:val="auto"/>
        </w:rPr>
      </w:pPr>
    </w:p>
    <w:p>
      <w:pPr>
        <w:ind w:left="380" w:hanging="372"/>
        <w:spacing w:after="0"/>
        <w:tabs>
          <w:tab w:leader="none" w:pos="380" w:val="left"/>
        </w:tabs>
        <w:numPr>
          <w:ilvl w:val="0"/>
          <w:numId w:val="88"/>
        </w:numPr>
        <w:rPr>
          <w:rFonts w:ascii="Times New Roman" w:cs="Times New Roman" w:eastAsia="Times New Roman" w:hAnsi="Times New Roman"/>
          <w:sz w:val="14"/>
          <w:szCs w:val="14"/>
          <w:color w:val="auto"/>
        </w:rPr>
      </w:pPr>
      <w:r>
        <w:rPr>
          <w:rFonts w:ascii="Arial" w:cs="Arial" w:eastAsia="Arial" w:hAnsi="Arial"/>
          <w:sz w:val="14"/>
          <w:szCs w:val="14"/>
          <w:color w:val="auto"/>
        </w:rPr>
        <w:t>The definitions of “Change in Control” are described under “Change in Control Benefits” above.</w:t>
      </w:r>
    </w:p>
    <w:p>
      <w:pPr>
        <w:spacing w:after="0" w:line="108" w:lineRule="exact"/>
        <w:rPr>
          <w:rFonts w:ascii="Times New Roman" w:cs="Times New Roman" w:eastAsia="Times New Roman" w:hAnsi="Times New Roman"/>
          <w:sz w:val="14"/>
          <w:szCs w:val="14"/>
          <w:color w:val="auto"/>
        </w:rPr>
      </w:pPr>
    </w:p>
    <w:p>
      <w:pPr>
        <w:ind w:left="380" w:right="80" w:hanging="372"/>
        <w:spacing w:after="0" w:line="257" w:lineRule="auto"/>
        <w:tabs>
          <w:tab w:leader="none" w:pos="380" w:val="left"/>
        </w:tabs>
        <w:numPr>
          <w:ilvl w:val="0"/>
          <w:numId w:val="88"/>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the dollar value of the unexercisable stock options that are accelerated because of death, disability or a change in control (assuming no replacement award is provided) based on the amount, if any, that the closing price of our Common Stock on March 31, 2025 ($221.93) exceeds the exercise price of the stock option. For performance-vesting awards that are still pending completion of their respective performance periods, these amounts assume that maximum performance would be earned.</w:t>
      </w:r>
    </w:p>
    <w:p>
      <w:pPr>
        <w:spacing w:after="0" w:line="238" w:lineRule="exact"/>
        <w:rPr>
          <w:rFonts w:ascii="Times New Roman" w:cs="Times New Roman" w:eastAsia="Times New Roman" w:hAnsi="Times New Roman"/>
          <w:sz w:val="14"/>
          <w:szCs w:val="14"/>
          <w:color w:val="auto"/>
        </w:rPr>
      </w:pPr>
    </w:p>
    <w:p>
      <w:pPr>
        <w:ind w:left="380" w:right="520" w:hanging="372"/>
        <w:spacing w:after="0" w:line="255" w:lineRule="auto"/>
        <w:tabs>
          <w:tab w:leader="none" w:pos="380" w:val="left"/>
        </w:tabs>
        <w:numPr>
          <w:ilvl w:val="0"/>
          <w:numId w:val="88"/>
        </w:numPr>
        <w:rPr>
          <w:rFonts w:ascii="Times New Roman" w:cs="Times New Roman" w:eastAsia="Times New Roman" w:hAnsi="Times New Roman"/>
          <w:sz w:val="14"/>
          <w:szCs w:val="14"/>
          <w:color w:val="auto"/>
        </w:rPr>
      </w:pPr>
      <w:r>
        <w:rPr>
          <w:rFonts w:ascii="Arial" w:cs="Arial" w:eastAsia="Arial" w:hAnsi="Arial"/>
          <w:sz w:val="14"/>
          <w:szCs w:val="14"/>
          <w:color w:val="auto"/>
        </w:rPr>
        <w:t>Represents the dollar value of the restricted stock for which restrictions will lapse upon death, disability or a change in control (assuming no replacement award is provided) based on the closing price of our Common Stock on March 31, 2025 ($221.93). For performance-vesting awards that are still pending completion of their respective performance periods, these amounts assume that maximum performance would be earned, and (in the case of death) that the event occurs following completion of the first year of the performance period.</w:t>
      </w:r>
    </w:p>
    <w:p>
      <w:pPr>
        <w:spacing w:after="0" w:line="7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88"/>
        </w:numPr>
        <w:rPr>
          <w:rFonts w:ascii="Times New Roman" w:cs="Times New Roman" w:eastAsia="Times New Roman" w:hAnsi="Times New Roman"/>
          <w:sz w:val="14"/>
          <w:szCs w:val="14"/>
          <w:color w:val="auto"/>
        </w:rPr>
      </w:pPr>
      <w:r>
        <w:rPr>
          <w:rFonts w:ascii="Arial" w:cs="Arial" w:eastAsia="Arial" w:hAnsi="Arial"/>
          <w:sz w:val="14"/>
          <w:szCs w:val="14"/>
          <w:color w:val="auto"/>
        </w:rPr>
        <w:t>See the "Executive Life Insurance Plan" section above for a description of these potential payments.</w:t>
      </w:r>
    </w:p>
    <w:p>
      <w:pPr>
        <w:spacing w:after="0" w:line="108" w:lineRule="exact"/>
        <w:rPr>
          <w:rFonts w:ascii="Times New Roman" w:cs="Times New Roman" w:eastAsia="Times New Roman" w:hAnsi="Times New Roman"/>
          <w:sz w:val="14"/>
          <w:szCs w:val="14"/>
          <w:color w:val="auto"/>
        </w:rPr>
      </w:pPr>
    </w:p>
    <w:p>
      <w:pPr>
        <w:ind w:left="380" w:right="180" w:hanging="372"/>
        <w:spacing w:after="0" w:line="284" w:lineRule="auto"/>
        <w:tabs>
          <w:tab w:leader="none" w:pos="380" w:val="left"/>
        </w:tabs>
        <w:numPr>
          <w:ilvl w:val="0"/>
          <w:numId w:val="88"/>
        </w:numPr>
        <w:rPr>
          <w:rFonts w:ascii="Times New Roman" w:cs="Times New Roman" w:eastAsia="Times New Roman" w:hAnsi="Times New Roman"/>
          <w:sz w:val="14"/>
          <w:szCs w:val="14"/>
          <w:color w:val="auto"/>
        </w:rPr>
      </w:pPr>
      <w:r>
        <w:rPr>
          <w:rFonts w:ascii="Arial" w:cs="Arial" w:eastAsia="Arial" w:hAnsi="Arial"/>
          <w:sz w:val="14"/>
          <w:szCs w:val="14"/>
          <w:color w:val="auto"/>
        </w:rPr>
        <w:t>See the “Change in Control Continuity Agreements” section above for a description of the components of these potential payments, assuming a qualifying termination of employment.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60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5" w:name="page66"/>
    <w:bookmarkEnd w:id="65"/>
    <w:p>
      <w:pPr>
        <w:ind w:left="95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6131560</wp:posOffset>
            </wp:positionH>
            <wp:positionV relativeFrom="page">
              <wp:posOffset>526415</wp:posOffset>
            </wp:positionV>
            <wp:extent cx="1208405"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8405" cy="171450"/>
                    </a:xfrm>
                    <a:prstGeom prst="rect">
                      <a:avLst/>
                    </a:prstGeom>
                    <a:noFill/>
                  </pic:spPr>
                </pic:pic>
              </a:graphicData>
            </a:graphic>
          </wp:anchor>
        </w:drawing>
        <w:t>CEO PAY RATIO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CEO Pay Ratio</w:t>
      </w:r>
    </w:p>
    <w:p>
      <w:pPr>
        <w:spacing w:after="0" w:line="37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Pursuant to a mandate of the Dodd-Frank Wall Street Reform and Consumer Protection Act, the Securities and Exchange Commission (the “SEC”) has adopted Item 402(u) of Regulation S-K requiring annual disclosure of a reasonable estimate of the ratio of the annual total compensation of our chief executive officer to the annual total compensation of the employee of the Company or one of its consolidated subsidiaries who is determined to have the median compensation of all employees of the Company and its subsidiaries, collectively (excluding the CEO). The rule also requires annual disclosure of such median employee’s annual total compensation for the applicable fiscal year and the CEO’s annual total compensation for the applicable fiscal year, in each case as determined in accordance with the rules governing the presentation of total compensation of the Named Executive Officers in the Summary Compensation Table presented in this proxy statement. Our CEO is Mr. Haack.</w:t>
      </w:r>
    </w:p>
    <w:p>
      <w:pPr>
        <w:spacing w:after="0" w:line="11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To identify the median-compensated employee for fiscal 2025, we examined the total gross W-2 compensation data for fiscal 2025 for employees who were employed by the Company or its consolidated subsidiaries on March 31, 2025. Based on this data, we determined the median-compensated employee. We then calculated such employee’s total fiscal 2025 compensation in accordance with the rules governing the presentation of the total compensation of the Named Executive Officers in the Summary Compensation Table.</w:t>
      </w:r>
    </w:p>
    <w:p>
      <w:pPr>
        <w:spacing w:after="0" w:line="97"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Based on this methodology, the fiscal 2025 annual total compensation for the median-compensated employee was $82,826. As reported in the Summary Compensation Table of this Proxy Statement, the fiscal 2025 annual total compensation of our CEO, Mr. Haack, was $10,031,035. The ratio of the CEO’s annual total compensation to the median-compensated employee’s annual total compensation was approximately 122:1.</w:t>
      </w:r>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pay ratio is a reasonable estimate calculated in a manner consistent with SEC rules based on our payroll and employment records and the methodology described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61</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6" w:name="page67"/>
    <w:bookmarkEnd w:id="66"/>
    <w:p>
      <w:pPr>
        <w:ind w:left="82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5137150</wp:posOffset>
            </wp:positionH>
            <wp:positionV relativeFrom="page">
              <wp:posOffset>526415</wp:posOffset>
            </wp:positionV>
            <wp:extent cx="2202815"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202815" cy="171450"/>
                    </a:xfrm>
                    <a:prstGeom prst="rect">
                      <a:avLst/>
                    </a:prstGeom>
                    <a:noFill/>
                  </pic:spPr>
                </pic:pic>
              </a:graphicData>
            </a:graphic>
          </wp:anchor>
        </w:drawing>
        <w:t>PAY VERSUS PERFORMANCE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Pay Versus Performance</w:t>
      </w:r>
    </w:p>
    <w:p>
      <w:pPr>
        <w:spacing w:after="0" w:line="37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As required by Item 402(v) of Regulation S-K, we are providing the following information about the relationship between executive compensation for our principal executive officer (“PEO”) and non-PEO Named Executive Officers and the financial performance of the Company. The table below addresses compensation actually paid (“CAP”) to the PEO and the non-PEO Named Executive Officers, which is a concept developed by the SEC for purposes of this tabular disclosure and does not imply that the covered executives actually received payments or value equal to the CAP during the applicable fiscal year. Although the Compensation Committee focuses on pay relative to performance in its executive compensation decisions, it has not historically utilized CAP as a key measure in implementing its pay-for-performance philosophy. For further information concerning the Company’s pay-for-performance philosophy and how the Company aligns executive compensation with the Company’s performance, refer to “Compensation Discussion and Analysis” above.</w:t>
      </w:r>
    </w:p>
    <w:p>
      <w:pPr>
        <w:spacing w:after="0" w:line="11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Company has selected Return on Equity as the company-selected financial performance measure presented in the table below. Although the Company uses numerous financial and non-financial performance measures for the purpose of evaluating performance for the Company’s compensation programs, the Company has determined that Return on Equity is the financial performance measure that represents the most important performance measure (that is not otherwise required to be disclosed in the table) used by the Company to link compensation actually paid to the Company’s Named Executive Officers for the most recently completed fiscal year to Company performance.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051972"/>
              </w:rPr>
              <w:t>Average</w:t>
            </w:r>
          </w:p>
        </w:tc>
        <w:tc>
          <w:tcPr>
            <w:tcW w:w="14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Summary</w:t>
            </w:r>
          </w:p>
        </w:tc>
        <w:tc>
          <w:tcPr>
            <w:tcW w:w="1400" w:type="dxa"/>
            <w:vAlign w:val="bottom"/>
          </w:tcPr>
          <w:p>
            <w:pPr>
              <w:spacing w:after="0"/>
              <w:rPr>
                <w:sz w:val="10"/>
                <w:szCs w:val="10"/>
                <w:color w:val="auto"/>
              </w:rPr>
            </w:pPr>
          </w:p>
        </w:tc>
        <w:tc>
          <w:tcPr>
            <w:tcW w:w="21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051972"/>
                <w:w w:val="98"/>
              </w:rPr>
              <w:t>Value of Initial Fixed $100</w:t>
            </w: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9"/>
              </w:rPr>
              <w:t>Compensation</w:t>
            </w:r>
          </w:p>
        </w:tc>
        <w:tc>
          <w:tcPr>
            <w:tcW w:w="1400" w:type="dxa"/>
            <w:vAlign w:val="bottom"/>
          </w:tcPr>
          <w:p>
            <w:pPr>
              <w:jc w:val="center"/>
              <w:ind w:right="6"/>
              <w:spacing w:after="0" w:line="108" w:lineRule="exact"/>
              <w:rPr>
                <w:sz w:val="20"/>
                <w:szCs w:val="20"/>
                <w:color w:val="auto"/>
              </w:rPr>
            </w:pPr>
            <w:r>
              <w:rPr>
                <w:rFonts w:ascii="Arial" w:cs="Arial" w:eastAsia="Arial" w:hAnsi="Arial"/>
                <w:sz w:val="11"/>
                <w:szCs w:val="11"/>
                <w:b w:val="1"/>
                <w:bCs w:val="1"/>
                <w:color w:val="051972"/>
                <w:w w:val="96"/>
              </w:rPr>
              <w:t>Average</w:t>
            </w:r>
          </w:p>
        </w:tc>
        <w:tc>
          <w:tcPr>
            <w:tcW w:w="2180" w:type="dxa"/>
            <w:vAlign w:val="bottom"/>
            <w:gridSpan w:val="2"/>
            <w:vMerge w:val="continue"/>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051972"/>
                <w:w w:val="97"/>
              </w:rPr>
              <w:t>Table</w:t>
            </w:r>
          </w:p>
        </w:tc>
        <w:tc>
          <w:tcPr>
            <w:tcW w:w="1400" w:type="dxa"/>
            <w:vAlign w:val="bottom"/>
          </w:tcPr>
          <w:p>
            <w:pPr>
              <w:jc w:val="center"/>
              <w:spacing w:after="0"/>
              <w:rPr>
                <w:sz w:val="20"/>
                <w:szCs w:val="20"/>
                <w:color w:val="auto"/>
              </w:rPr>
            </w:pPr>
            <w:r>
              <w:rPr>
                <w:rFonts w:ascii="Arial" w:cs="Arial" w:eastAsia="Arial" w:hAnsi="Arial"/>
                <w:sz w:val="11"/>
                <w:szCs w:val="11"/>
                <w:b w:val="1"/>
                <w:bCs w:val="1"/>
                <w:color w:val="051972"/>
                <w:w w:val="96"/>
              </w:rPr>
              <w:t>Compensation</w:t>
            </w:r>
          </w:p>
        </w:tc>
        <w:tc>
          <w:tcPr>
            <w:tcW w:w="2180" w:type="dxa"/>
            <w:vAlign w:val="bottom"/>
            <w:tcBorders>
              <w:bottom w:val="single" w:sz="8" w:color="051972"/>
            </w:tcBorders>
            <w:gridSpan w:val="2"/>
          </w:tcPr>
          <w:p>
            <w:pPr>
              <w:jc w:val="center"/>
              <w:spacing w:after="0"/>
              <w:rPr>
                <w:sz w:val="20"/>
                <w:szCs w:val="20"/>
                <w:color w:val="auto"/>
              </w:rPr>
            </w:pPr>
            <w:r>
              <w:rPr>
                <w:rFonts w:ascii="Arial" w:cs="Arial" w:eastAsia="Arial" w:hAnsi="Arial"/>
                <w:sz w:val="11"/>
                <w:szCs w:val="11"/>
                <w:b w:val="1"/>
                <w:bCs w:val="1"/>
                <w:color w:val="051972"/>
                <w:w w:val="98"/>
              </w:rPr>
              <w:t>Investment Based On:</w:t>
            </w:r>
          </w:p>
        </w:tc>
        <w:tc>
          <w:tcPr>
            <w:tcW w:w="1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jc w:val="center"/>
              <w:spacing w:after="0" w:line="102" w:lineRule="exact"/>
              <w:rPr>
                <w:sz w:val="20"/>
                <w:szCs w:val="20"/>
                <w:color w:val="auto"/>
              </w:rPr>
            </w:pPr>
            <w:r>
              <w:rPr>
                <w:rFonts w:ascii="Arial" w:cs="Arial" w:eastAsia="Arial" w:hAnsi="Arial"/>
                <w:sz w:val="11"/>
                <w:szCs w:val="11"/>
                <w:b w:val="1"/>
                <w:bCs w:val="1"/>
                <w:color w:val="051972"/>
                <w:w w:val="95"/>
              </w:rPr>
              <w:t>Summary</w:t>
            </w:r>
          </w:p>
        </w:tc>
        <w:tc>
          <w:tcPr>
            <w:tcW w:w="1360" w:type="dxa"/>
            <w:vAlign w:val="bottom"/>
          </w:tcPr>
          <w:p>
            <w:pPr>
              <w:spacing w:after="0"/>
              <w:rPr>
                <w:sz w:val="8"/>
                <w:szCs w:val="8"/>
                <w:color w:val="auto"/>
              </w:rPr>
            </w:pPr>
          </w:p>
        </w:tc>
        <w:tc>
          <w:tcPr>
            <w:tcW w:w="1360" w:type="dxa"/>
            <w:vAlign w:val="bottom"/>
          </w:tcPr>
          <w:p>
            <w:pPr>
              <w:jc w:val="center"/>
              <w:spacing w:after="0" w:line="102" w:lineRule="exact"/>
              <w:rPr>
                <w:sz w:val="20"/>
                <w:szCs w:val="20"/>
                <w:color w:val="auto"/>
              </w:rPr>
            </w:pPr>
            <w:r>
              <w:rPr>
                <w:rFonts w:ascii="Arial" w:cs="Arial" w:eastAsia="Arial" w:hAnsi="Arial"/>
                <w:sz w:val="11"/>
                <w:szCs w:val="11"/>
                <w:b w:val="1"/>
                <w:bCs w:val="1"/>
                <w:color w:val="051972"/>
                <w:w w:val="99"/>
              </w:rPr>
              <w:t>Total for Non-</w:t>
            </w:r>
          </w:p>
        </w:tc>
        <w:tc>
          <w:tcPr>
            <w:tcW w:w="1400" w:type="dxa"/>
            <w:vAlign w:val="bottom"/>
          </w:tcPr>
          <w:p>
            <w:pPr>
              <w:jc w:val="center"/>
              <w:spacing w:after="0" w:line="102" w:lineRule="exact"/>
              <w:rPr>
                <w:sz w:val="20"/>
                <w:szCs w:val="20"/>
                <w:color w:val="auto"/>
              </w:rPr>
            </w:pPr>
            <w:r>
              <w:rPr>
                <w:rFonts w:ascii="Arial" w:cs="Arial" w:eastAsia="Arial" w:hAnsi="Arial"/>
                <w:sz w:val="11"/>
                <w:szCs w:val="11"/>
                <w:b w:val="1"/>
                <w:bCs w:val="1"/>
                <w:color w:val="051972"/>
                <w:w w:val="99"/>
              </w:rPr>
              <w:t>Actually Paid to</w:t>
            </w: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Compensation</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Compensation</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PEO Named</w:t>
            </w:r>
          </w:p>
        </w:tc>
        <w:tc>
          <w:tcPr>
            <w:tcW w:w="14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Non-PEO Named</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Total</w:t>
            </w:r>
          </w:p>
        </w:tc>
        <w:tc>
          <w:tcPr>
            <w:tcW w:w="118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051972"/>
                <w:w w:val="98"/>
              </w:rPr>
              <w:t>Peer Group Total</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Net Income</w:t>
            </w: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Pr>
          <w:p>
            <w:pPr>
              <w:ind w:left="20"/>
              <w:spacing w:after="0" w:line="108" w:lineRule="exact"/>
              <w:rPr>
                <w:sz w:val="20"/>
                <w:szCs w:val="20"/>
                <w:color w:val="auto"/>
              </w:rPr>
            </w:pPr>
            <w:r>
              <w:rPr>
                <w:rFonts w:ascii="Arial" w:cs="Arial" w:eastAsia="Arial" w:hAnsi="Arial"/>
                <w:sz w:val="11"/>
                <w:szCs w:val="11"/>
                <w:b w:val="1"/>
                <w:bCs w:val="1"/>
                <w:color w:val="051972"/>
              </w:rPr>
              <w:t>Fiscal</w:t>
            </w:r>
          </w:p>
        </w:tc>
        <w:tc>
          <w:tcPr>
            <w:tcW w:w="100" w:type="dxa"/>
            <w:vAlign w:val="bottom"/>
          </w:tcPr>
          <w:p>
            <w:pPr>
              <w:spacing w:after="0"/>
              <w:rPr>
                <w:sz w:val="9"/>
                <w:szCs w:val="9"/>
                <w:color w:val="auto"/>
              </w:rPr>
            </w:pPr>
          </w:p>
        </w:tc>
        <w:tc>
          <w:tcPr>
            <w:tcW w:w="124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rPr>
              <w:t>Table Total for</w:t>
            </w: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9"/>
              </w:rPr>
              <w:t>Actually Paid to</w:t>
            </w:r>
          </w:p>
        </w:tc>
        <w:tc>
          <w:tcPr>
            <w:tcW w:w="136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rPr>
              <w:t>Executive</w:t>
            </w:r>
          </w:p>
        </w:tc>
        <w:tc>
          <w:tcPr>
            <w:tcW w:w="140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7"/>
              </w:rPr>
              <w:t>Executive</w:t>
            </w: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9"/>
              </w:rPr>
              <w:t>Shareholder</w:t>
            </w:r>
          </w:p>
        </w:tc>
        <w:tc>
          <w:tcPr>
            <w:tcW w:w="1180" w:type="dxa"/>
            <w:vAlign w:val="bottom"/>
          </w:tcPr>
          <w:p>
            <w:pPr>
              <w:jc w:val="center"/>
              <w:ind w:left="6"/>
              <w:spacing w:after="0" w:line="108" w:lineRule="exact"/>
              <w:rPr>
                <w:sz w:val="20"/>
                <w:szCs w:val="20"/>
                <w:color w:val="auto"/>
              </w:rPr>
            </w:pPr>
            <w:r>
              <w:rPr>
                <w:rFonts w:ascii="Arial" w:cs="Arial" w:eastAsia="Arial" w:hAnsi="Arial"/>
                <w:sz w:val="11"/>
                <w:szCs w:val="11"/>
                <w:b w:val="1"/>
                <w:bCs w:val="1"/>
                <w:color w:val="051972"/>
                <w:w w:val="99"/>
              </w:rPr>
              <w:t>Shareholder</w:t>
            </w:r>
          </w:p>
        </w:tc>
        <w:tc>
          <w:tcPr>
            <w:tcW w:w="1300" w:type="dxa"/>
            <w:vAlign w:val="bottom"/>
          </w:tcPr>
          <w:p>
            <w:pPr>
              <w:jc w:val="center"/>
              <w:spacing w:after="0" w:line="108" w:lineRule="exact"/>
              <w:rPr>
                <w:sz w:val="20"/>
                <w:szCs w:val="20"/>
                <w:color w:val="auto"/>
              </w:rPr>
            </w:pPr>
            <w:r>
              <w:rPr>
                <w:rFonts w:ascii="Arial" w:cs="Arial" w:eastAsia="Arial" w:hAnsi="Arial"/>
                <w:sz w:val="11"/>
                <w:szCs w:val="11"/>
                <w:b w:val="1"/>
                <w:bCs w:val="1"/>
                <w:color w:val="051972"/>
                <w:w w:val="98"/>
              </w:rPr>
              <w:t>(dollars in</w:t>
            </w: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00" w:type="dxa"/>
            <w:vAlign w:val="bottom"/>
          </w:tcPr>
          <w:p>
            <w:pPr>
              <w:ind w:left="20"/>
              <w:spacing w:after="0" w:line="122" w:lineRule="exact"/>
              <w:rPr>
                <w:sz w:val="20"/>
                <w:szCs w:val="20"/>
                <w:color w:val="auto"/>
              </w:rPr>
            </w:pPr>
            <w:r>
              <w:rPr>
                <w:rFonts w:ascii="Arial" w:cs="Arial" w:eastAsia="Arial" w:hAnsi="Arial"/>
                <w:sz w:val="11"/>
                <w:szCs w:val="11"/>
                <w:b w:val="1"/>
                <w:bCs w:val="1"/>
                <w:color w:val="051972"/>
              </w:rPr>
              <w:t>Year Ended</w:t>
            </w:r>
          </w:p>
        </w:tc>
        <w:tc>
          <w:tcPr>
            <w:tcW w:w="10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2"/>
              </w:rPr>
              <w:t>PEO</w:t>
            </w:r>
            <w:r>
              <w:rPr>
                <w:rFonts w:ascii="Arial" w:cs="Arial" w:eastAsia="Arial" w:hAnsi="Arial"/>
                <w:sz w:val="14"/>
                <w:szCs w:val="14"/>
                <w:b w:val="1"/>
                <w:bCs w:val="1"/>
                <w:color w:val="051972"/>
                <w:w w:val="92"/>
                <w:vertAlign w:val="superscript"/>
              </w:rPr>
              <w:t>(1)</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2"/>
              </w:rPr>
              <w:t>PEO</w:t>
            </w:r>
            <w:r>
              <w:rPr>
                <w:rFonts w:ascii="Arial" w:cs="Arial" w:eastAsia="Arial" w:hAnsi="Arial"/>
                <w:sz w:val="14"/>
                <w:szCs w:val="14"/>
                <w:b w:val="1"/>
                <w:bCs w:val="1"/>
                <w:color w:val="051972"/>
                <w:w w:val="92"/>
                <w:vertAlign w:val="superscript"/>
              </w:rPr>
              <w:t>(2)</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Officers</w:t>
            </w:r>
            <w:r>
              <w:rPr>
                <w:rFonts w:ascii="Arial" w:cs="Arial" w:eastAsia="Arial" w:hAnsi="Arial"/>
                <w:sz w:val="14"/>
                <w:szCs w:val="14"/>
                <w:b w:val="1"/>
                <w:bCs w:val="1"/>
                <w:color w:val="051972"/>
                <w:w w:val="94"/>
                <w:vertAlign w:val="superscript"/>
              </w:rPr>
              <w:t>(3)</w:t>
            </w:r>
          </w:p>
        </w:tc>
        <w:tc>
          <w:tcPr>
            <w:tcW w:w="14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4"/>
              </w:rPr>
              <w:t>Officers</w:t>
            </w:r>
            <w:r>
              <w:rPr>
                <w:rFonts w:ascii="Arial" w:cs="Arial" w:eastAsia="Arial" w:hAnsi="Arial"/>
                <w:sz w:val="14"/>
                <w:szCs w:val="14"/>
                <w:b w:val="1"/>
                <w:bCs w:val="1"/>
                <w:color w:val="051972"/>
                <w:w w:val="94"/>
                <w:vertAlign w:val="superscript"/>
              </w:rPr>
              <w:t>(4)</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3"/>
              </w:rPr>
              <w:t>Return</w:t>
            </w:r>
            <w:r>
              <w:rPr>
                <w:rFonts w:ascii="Arial" w:cs="Arial" w:eastAsia="Arial" w:hAnsi="Arial"/>
                <w:sz w:val="14"/>
                <w:szCs w:val="14"/>
                <w:b w:val="1"/>
                <w:bCs w:val="1"/>
                <w:color w:val="051972"/>
                <w:w w:val="93"/>
                <w:vertAlign w:val="superscript"/>
              </w:rPr>
              <w:t>(5)</w:t>
            </w:r>
          </w:p>
        </w:tc>
        <w:tc>
          <w:tcPr>
            <w:tcW w:w="1180" w:type="dxa"/>
            <w:vAlign w:val="bottom"/>
          </w:tcPr>
          <w:p>
            <w:pPr>
              <w:jc w:val="right"/>
              <w:ind w:right="306"/>
              <w:spacing w:after="0" w:line="122" w:lineRule="exact"/>
              <w:rPr>
                <w:sz w:val="20"/>
                <w:szCs w:val="20"/>
                <w:color w:val="auto"/>
              </w:rPr>
            </w:pPr>
            <w:r>
              <w:rPr>
                <w:rFonts w:ascii="Arial" w:cs="Arial" w:eastAsia="Arial" w:hAnsi="Arial"/>
                <w:sz w:val="11"/>
                <w:szCs w:val="11"/>
                <w:b w:val="1"/>
                <w:bCs w:val="1"/>
                <w:color w:val="051972"/>
              </w:rPr>
              <w:t>Return</w:t>
            </w:r>
            <w:r>
              <w:rPr>
                <w:rFonts w:ascii="Arial" w:cs="Arial" w:eastAsia="Arial" w:hAnsi="Arial"/>
                <w:sz w:val="14"/>
                <w:szCs w:val="14"/>
                <w:b w:val="1"/>
                <w:bCs w:val="1"/>
                <w:color w:val="051972"/>
                <w:vertAlign w:val="superscript"/>
              </w:rPr>
              <w:t>(5)</w:t>
            </w:r>
          </w:p>
        </w:tc>
        <w:tc>
          <w:tcPr>
            <w:tcW w:w="1300" w:type="dxa"/>
            <w:vAlign w:val="bottom"/>
          </w:tcPr>
          <w:p>
            <w:pPr>
              <w:jc w:val="right"/>
              <w:ind w:right="266"/>
              <w:spacing w:after="0" w:line="122" w:lineRule="exact"/>
              <w:rPr>
                <w:sz w:val="20"/>
                <w:szCs w:val="20"/>
                <w:color w:val="auto"/>
              </w:rPr>
            </w:pPr>
            <w:r>
              <w:rPr>
                <w:rFonts w:ascii="Arial" w:cs="Arial" w:eastAsia="Arial" w:hAnsi="Arial"/>
                <w:sz w:val="11"/>
                <w:szCs w:val="11"/>
                <w:b w:val="1"/>
                <w:bCs w:val="1"/>
                <w:color w:val="051972"/>
              </w:rPr>
              <w:t>thousands)</w:t>
            </w:r>
            <w:r>
              <w:rPr>
                <w:rFonts w:ascii="Arial" w:cs="Arial" w:eastAsia="Arial" w:hAnsi="Arial"/>
                <w:sz w:val="14"/>
                <w:szCs w:val="14"/>
                <w:b w:val="1"/>
                <w:bCs w:val="1"/>
                <w:color w:val="051972"/>
                <w:vertAlign w:val="superscript"/>
              </w:rPr>
              <w:t>(6)</w:t>
            </w:r>
          </w:p>
        </w:tc>
        <w:tc>
          <w:tcPr>
            <w:tcW w:w="1100" w:type="dxa"/>
            <w:vAlign w:val="bottom"/>
          </w:tcPr>
          <w:p>
            <w:pPr>
              <w:jc w:val="right"/>
              <w:ind w:right="246"/>
              <w:spacing w:after="0" w:line="122" w:lineRule="exact"/>
              <w:rPr>
                <w:sz w:val="20"/>
                <w:szCs w:val="20"/>
                <w:color w:val="auto"/>
              </w:rPr>
            </w:pPr>
            <w:r>
              <w:rPr>
                <w:rFonts w:ascii="Arial" w:cs="Arial" w:eastAsia="Arial" w:hAnsi="Arial"/>
                <w:sz w:val="11"/>
                <w:szCs w:val="11"/>
                <w:b w:val="1"/>
                <w:bCs w:val="1"/>
                <w:color w:val="051972"/>
              </w:rPr>
              <w:t>Return on</w:t>
            </w:r>
          </w:p>
        </w:tc>
        <w:tc>
          <w:tcPr>
            <w:tcW w:w="0" w:type="dxa"/>
            <w:vAlign w:val="bottom"/>
          </w:tcPr>
          <w:p>
            <w:pPr>
              <w:spacing w:after="0"/>
              <w:rPr>
                <w:sz w:val="1"/>
                <w:szCs w:val="1"/>
                <w:color w:val="auto"/>
              </w:rPr>
            </w:pPr>
          </w:p>
        </w:tc>
      </w:tr>
      <w:tr>
        <w:trPr>
          <w:trHeight w:val="189"/>
        </w:trPr>
        <w:tc>
          <w:tcPr>
            <w:tcW w:w="1200" w:type="dxa"/>
            <w:vAlign w:val="bottom"/>
            <w:tcBorders>
              <w:bottom w:val="single" w:sz="8" w:color="051972"/>
            </w:tcBorders>
          </w:tcPr>
          <w:p>
            <w:pPr>
              <w:ind w:left="20"/>
              <w:spacing w:after="0"/>
              <w:rPr>
                <w:sz w:val="20"/>
                <w:szCs w:val="20"/>
                <w:color w:val="auto"/>
              </w:rPr>
            </w:pPr>
            <w:r>
              <w:rPr>
                <w:rFonts w:ascii="Arial" w:cs="Arial" w:eastAsia="Arial" w:hAnsi="Arial"/>
                <w:sz w:val="11"/>
                <w:szCs w:val="11"/>
                <w:b w:val="1"/>
                <w:bCs w:val="1"/>
                <w:color w:val="051972"/>
              </w:rPr>
              <w:t>March 31,</w:t>
            </w:r>
          </w:p>
        </w:tc>
        <w:tc>
          <w:tcPr>
            <w:tcW w:w="1340" w:type="dxa"/>
            <w:vAlign w:val="bottom"/>
            <w:tcBorders>
              <w:bottom w:val="single" w:sz="8" w:color="051972"/>
            </w:tcBorders>
            <w:gridSpan w:val="2"/>
          </w:tcPr>
          <w:p>
            <w:pPr>
              <w:jc w:val="center"/>
              <w:ind w:left="6"/>
              <w:spacing w:after="0"/>
              <w:rPr>
                <w:sz w:val="20"/>
                <w:szCs w:val="20"/>
                <w:color w:val="auto"/>
              </w:rPr>
            </w:pPr>
            <w:r>
              <w:rPr>
                <w:rFonts w:ascii="Arial" w:cs="Arial" w:eastAsia="Arial" w:hAnsi="Arial"/>
                <w:sz w:val="11"/>
                <w:szCs w:val="11"/>
                <w:b w:val="1"/>
                <w:bCs w:val="1"/>
                <w:color w:val="051972"/>
                <w:w w:val="88"/>
              </w:rPr>
              <w:t>($)</w:t>
            </w:r>
          </w:p>
        </w:tc>
        <w:tc>
          <w:tcPr>
            <w:tcW w:w="13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3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p>
        </w:tc>
        <w:tc>
          <w:tcPr>
            <w:tcW w:w="140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000" w:type="dxa"/>
            <w:vAlign w:val="bottom"/>
            <w:tcBorders>
              <w:bottom w:val="single" w:sz="8" w:color="051972"/>
            </w:tcBorders>
          </w:tcPr>
          <w:p>
            <w:pPr>
              <w:ind w:left="420"/>
              <w:spacing w:after="0"/>
              <w:rPr>
                <w:sz w:val="20"/>
                <w:szCs w:val="20"/>
                <w:color w:val="auto"/>
              </w:rPr>
            </w:pPr>
            <w:r>
              <w:rPr>
                <w:rFonts w:ascii="Arial" w:cs="Arial" w:eastAsia="Arial" w:hAnsi="Arial"/>
                <w:sz w:val="11"/>
                <w:szCs w:val="11"/>
                <w:b w:val="1"/>
                <w:bCs w:val="1"/>
                <w:color w:val="051972"/>
              </w:rPr>
              <w:t>($)</w:t>
            </w:r>
          </w:p>
        </w:tc>
        <w:tc>
          <w:tcPr>
            <w:tcW w:w="1180" w:type="dxa"/>
            <w:vAlign w:val="bottom"/>
            <w:tcBorders>
              <w:bottom w:val="single" w:sz="8" w:color="051972"/>
            </w:tcBorders>
          </w:tcPr>
          <w:p>
            <w:pPr>
              <w:jc w:val="center"/>
              <w:ind w:left="6"/>
              <w:spacing w:after="0"/>
              <w:rPr>
                <w:sz w:val="20"/>
                <w:szCs w:val="20"/>
                <w:color w:val="auto"/>
              </w:rPr>
            </w:pPr>
            <w:r>
              <w:rPr>
                <w:rFonts w:ascii="Arial" w:cs="Arial" w:eastAsia="Arial" w:hAnsi="Arial"/>
                <w:sz w:val="11"/>
                <w:szCs w:val="11"/>
                <w:b w:val="1"/>
                <w:bCs w:val="1"/>
                <w:color w:val="051972"/>
                <w:w w:val="88"/>
              </w:rPr>
              <w:t>($)</w:t>
            </w:r>
          </w:p>
        </w:tc>
        <w:tc>
          <w:tcPr>
            <w:tcW w:w="130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100" w:type="dxa"/>
            <w:vAlign w:val="bottom"/>
            <w:tcBorders>
              <w:bottom w:val="single" w:sz="8" w:color="051972"/>
            </w:tcBorders>
          </w:tcPr>
          <w:p>
            <w:pPr>
              <w:jc w:val="right"/>
              <w:ind w:right="286"/>
              <w:spacing w:after="0"/>
              <w:rPr>
                <w:sz w:val="20"/>
                <w:szCs w:val="20"/>
                <w:color w:val="auto"/>
              </w:rPr>
            </w:pPr>
            <w:r>
              <w:rPr>
                <w:rFonts w:ascii="Arial" w:cs="Arial" w:eastAsia="Arial" w:hAnsi="Arial"/>
                <w:sz w:val="11"/>
                <w:szCs w:val="11"/>
                <w:b w:val="1"/>
                <w:bCs w:val="1"/>
                <w:color w:val="051972"/>
              </w:rPr>
              <w:t>Equity</w:t>
            </w:r>
            <w:r>
              <w:rPr>
                <w:rFonts w:ascii="Arial" w:cs="Arial" w:eastAsia="Arial" w:hAnsi="Arial"/>
                <w:sz w:val="14"/>
                <w:szCs w:val="14"/>
                <w:b w:val="1"/>
                <w:bCs w:val="1"/>
                <w:color w:val="051972"/>
                <w:vertAlign w:val="superscript"/>
              </w:rPr>
              <w:t>(7)</w:t>
            </w:r>
          </w:p>
        </w:tc>
        <w:tc>
          <w:tcPr>
            <w:tcW w:w="0" w:type="dxa"/>
            <w:vAlign w:val="bottom"/>
          </w:tcPr>
          <w:p>
            <w:pPr>
              <w:spacing w:after="0"/>
              <w:rPr>
                <w:sz w:val="1"/>
                <w:szCs w:val="1"/>
                <w:color w:val="auto"/>
              </w:rPr>
            </w:pPr>
          </w:p>
        </w:tc>
      </w:tr>
      <w:tr>
        <w:trPr>
          <w:trHeight w:val="176"/>
        </w:trPr>
        <w:tc>
          <w:tcPr>
            <w:tcW w:w="12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2025</w:t>
            </w:r>
          </w:p>
        </w:tc>
        <w:tc>
          <w:tcPr>
            <w:tcW w:w="100" w:type="dxa"/>
            <w:vAlign w:val="bottom"/>
            <w:tcBorders>
              <w:bottom w:val="single" w:sz="8" w:color="E7E7E8"/>
            </w:tcBorders>
            <w:shd w:val="clear" w:color="auto" w:fill="E7E7E8"/>
          </w:tcPr>
          <w:p>
            <w:pPr>
              <w:spacing w:after="0"/>
              <w:rPr>
                <w:sz w:val="15"/>
                <w:szCs w:val="15"/>
                <w:color w:val="auto"/>
              </w:rPr>
            </w:pPr>
          </w:p>
        </w:tc>
        <w:tc>
          <w:tcPr>
            <w:tcW w:w="1240" w:type="dxa"/>
            <w:vAlign w:val="bottom"/>
            <w:tcBorders>
              <w:bottom w:val="single" w:sz="8" w:color="E7E7E8"/>
            </w:tcBorders>
            <w:shd w:val="clear" w:color="auto" w:fill="E7E7E8"/>
          </w:tcPr>
          <w:p>
            <w:pPr>
              <w:jc w:val="right"/>
              <w:ind w:right="206"/>
              <w:spacing w:after="0"/>
              <w:rPr>
                <w:sz w:val="20"/>
                <w:szCs w:val="20"/>
                <w:color w:val="auto"/>
              </w:rPr>
            </w:pPr>
            <w:r>
              <w:rPr>
                <w:rFonts w:ascii="Arial" w:cs="Arial" w:eastAsia="Arial" w:hAnsi="Arial"/>
                <w:sz w:val="11"/>
                <w:szCs w:val="11"/>
                <w:color w:val="auto"/>
              </w:rPr>
              <w:t>10,031,035</w:t>
            </w:r>
          </w:p>
        </w:tc>
        <w:tc>
          <w:tcPr>
            <w:tcW w:w="1360" w:type="dxa"/>
            <w:vAlign w:val="bottom"/>
            <w:tcBorders>
              <w:bottom w:val="single" w:sz="8" w:color="E7E7E8"/>
            </w:tcBorders>
            <w:shd w:val="clear" w:color="auto" w:fill="E7E7E8"/>
          </w:tcPr>
          <w:p>
            <w:pPr>
              <w:jc w:val="right"/>
              <w:ind w:right="266"/>
              <w:spacing w:after="0"/>
              <w:rPr>
                <w:sz w:val="20"/>
                <w:szCs w:val="20"/>
                <w:color w:val="auto"/>
              </w:rPr>
            </w:pPr>
            <w:r>
              <w:rPr>
                <w:rFonts w:ascii="Arial" w:cs="Arial" w:eastAsia="Arial" w:hAnsi="Arial"/>
                <w:sz w:val="11"/>
                <w:szCs w:val="11"/>
                <w:color w:val="auto"/>
              </w:rPr>
              <w:t>7,187,509</w:t>
            </w:r>
          </w:p>
        </w:tc>
        <w:tc>
          <w:tcPr>
            <w:tcW w:w="1360" w:type="dxa"/>
            <w:vAlign w:val="bottom"/>
            <w:tcBorders>
              <w:bottom w:val="single" w:sz="8" w:color="E7E7E8"/>
            </w:tcBorders>
            <w:shd w:val="clear" w:color="auto" w:fill="E7E7E8"/>
          </w:tcPr>
          <w:p>
            <w:pPr>
              <w:jc w:val="right"/>
              <w:ind w:right="186"/>
              <w:spacing w:after="0"/>
              <w:rPr>
                <w:sz w:val="20"/>
                <w:szCs w:val="20"/>
                <w:color w:val="auto"/>
              </w:rPr>
            </w:pPr>
            <w:r>
              <w:rPr>
                <w:rFonts w:ascii="Arial" w:cs="Arial" w:eastAsia="Arial" w:hAnsi="Arial"/>
                <w:sz w:val="11"/>
                <w:szCs w:val="11"/>
                <w:color w:val="auto"/>
              </w:rPr>
              <w:t>2,041,204</w:t>
            </w:r>
          </w:p>
        </w:tc>
        <w:tc>
          <w:tcPr>
            <w:tcW w:w="1400" w:type="dxa"/>
            <w:vAlign w:val="bottom"/>
            <w:tcBorders>
              <w:bottom w:val="single" w:sz="8" w:color="E7E7E8"/>
            </w:tcBorders>
            <w:shd w:val="clear" w:color="auto" w:fill="E7E7E8"/>
          </w:tcPr>
          <w:p>
            <w:pPr>
              <w:jc w:val="right"/>
              <w:ind w:right="286"/>
              <w:spacing w:after="0"/>
              <w:rPr>
                <w:sz w:val="20"/>
                <w:szCs w:val="20"/>
                <w:color w:val="auto"/>
              </w:rPr>
            </w:pPr>
            <w:r>
              <w:rPr>
                <w:rFonts w:ascii="Arial" w:cs="Arial" w:eastAsia="Arial" w:hAnsi="Arial"/>
                <w:sz w:val="11"/>
                <w:szCs w:val="11"/>
                <w:color w:val="auto"/>
              </w:rPr>
              <w:t>1,679,090</w:t>
            </w:r>
          </w:p>
        </w:tc>
        <w:tc>
          <w:tcPr>
            <w:tcW w:w="1000" w:type="dxa"/>
            <w:vAlign w:val="bottom"/>
            <w:tcBorders>
              <w:bottom w:val="single" w:sz="8" w:color="E7E7E8"/>
            </w:tcBorders>
            <w:shd w:val="clear" w:color="auto" w:fill="E7E7E8"/>
          </w:tcPr>
          <w:p>
            <w:pPr>
              <w:ind w:left="420"/>
              <w:spacing w:after="0"/>
              <w:rPr>
                <w:sz w:val="20"/>
                <w:szCs w:val="20"/>
                <w:color w:val="auto"/>
              </w:rPr>
            </w:pPr>
            <w:r>
              <w:rPr>
                <w:rFonts w:ascii="Arial" w:cs="Arial" w:eastAsia="Arial" w:hAnsi="Arial"/>
                <w:sz w:val="11"/>
                <w:szCs w:val="11"/>
                <w:color w:val="auto"/>
              </w:rPr>
              <w:t>389.78</w:t>
            </w:r>
          </w:p>
        </w:tc>
        <w:tc>
          <w:tcPr>
            <w:tcW w:w="1180" w:type="dxa"/>
            <w:vAlign w:val="bottom"/>
            <w:tcBorders>
              <w:bottom w:val="single" w:sz="8" w:color="E7E7E8"/>
            </w:tcBorders>
            <w:shd w:val="clear" w:color="auto" w:fill="E7E7E8"/>
          </w:tcPr>
          <w:p>
            <w:pPr>
              <w:jc w:val="right"/>
              <w:ind w:right="186"/>
              <w:spacing w:after="0"/>
              <w:rPr>
                <w:sz w:val="20"/>
                <w:szCs w:val="20"/>
                <w:color w:val="auto"/>
              </w:rPr>
            </w:pPr>
            <w:r>
              <w:rPr>
                <w:rFonts w:ascii="Arial" w:cs="Arial" w:eastAsia="Arial" w:hAnsi="Arial"/>
                <w:sz w:val="11"/>
                <w:szCs w:val="11"/>
                <w:color w:val="auto"/>
              </w:rPr>
              <w:t>289.26</w:t>
            </w:r>
          </w:p>
        </w:tc>
        <w:tc>
          <w:tcPr>
            <w:tcW w:w="1300" w:type="dxa"/>
            <w:vAlign w:val="bottom"/>
            <w:tcBorders>
              <w:bottom w:val="single" w:sz="8" w:color="E7E7E8"/>
            </w:tcBorders>
            <w:shd w:val="clear" w:color="auto" w:fill="E7E7E8"/>
          </w:tcPr>
          <w:p>
            <w:pPr>
              <w:jc w:val="right"/>
              <w:ind w:right="266"/>
              <w:spacing w:after="0"/>
              <w:rPr>
                <w:sz w:val="20"/>
                <w:szCs w:val="20"/>
                <w:color w:val="auto"/>
              </w:rPr>
            </w:pPr>
            <w:r>
              <w:rPr>
                <w:rFonts w:ascii="Arial" w:cs="Arial" w:eastAsia="Arial" w:hAnsi="Arial"/>
                <w:sz w:val="11"/>
                <w:szCs w:val="11"/>
                <w:color w:val="auto"/>
              </w:rPr>
              <w:t>463,416</w:t>
            </w:r>
          </w:p>
        </w:tc>
        <w:tc>
          <w:tcPr>
            <w:tcW w:w="1100" w:type="dxa"/>
            <w:vAlign w:val="bottom"/>
            <w:tcBorders>
              <w:bottom w:val="single" w:sz="8" w:color="E7E7E8"/>
            </w:tcBorders>
            <w:shd w:val="clear" w:color="auto" w:fill="E7E7E8"/>
          </w:tcPr>
          <w:p>
            <w:pPr>
              <w:jc w:val="right"/>
              <w:ind w:right="166"/>
              <w:spacing w:after="0"/>
              <w:rPr>
                <w:sz w:val="20"/>
                <w:szCs w:val="20"/>
                <w:color w:val="auto"/>
              </w:rPr>
            </w:pPr>
            <w:r>
              <w:rPr>
                <w:rFonts w:ascii="Arial" w:cs="Arial" w:eastAsia="Arial" w:hAnsi="Arial"/>
                <w:sz w:val="11"/>
                <w:szCs w:val="11"/>
                <w:color w:val="auto"/>
              </w:rPr>
              <w:t>33.5%</w:t>
            </w:r>
          </w:p>
        </w:tc>
        <w:tc>
          <w:tcPr>
            <w:tcW w:w="0" w:type="dxa"/>
            <w:vAlign w:val="bottom"/>
          </w:tcPr>
          <w:p>
            <w:pPr>
              <w:spacing w:after="0"/>
              <w:rPr>
                <w:sz w:val="1"/>
                <w:szCs w:val="1"/>
                <w:color w:val="auto"/>
              </w:rPr>
            </w:pPr>
          </w:p>
        </w:tc>
      </w:tr>
      <w:tr>
        <w:trPr>
          <w:trHeight w:val="169"/>
        </w:trPr>
        <w:tc>
          <w:tcPr>
            <w:tcW w:w="1200" w:type="dxa"/>
            <w:vAlign w:val="bottom"/>
          </w:tcPr>
          <w:p>
            <w:pPr>
              <w:ind w:left="20"/>
              <w:spacing w:after="0"/>
              <w:rPr>
                <w:sz w:val="20"/>
                <w:szCs w:val="20"/>
                <w:color w:val="auto"/>
              </w:rPr>
            </w:pPr>
            <w:r>
              <w:rPr>
                <w:rFonts w:ascii="Arial" w:cs="Arial" w:eastAsia="Arial" w:hAnsi="Arial"/>
                <w:sz w:val="11"/>
                <w:szCs w:val="11"/>
                <w:color w:val="auto"/>
              </w:rPr>
              <w:t>2024</w:t>
            </w:r>
          </w:p>
        </w:tc>
        <w:tc>
          <w:tcPr>
            <w:tcW w:w="1340" w:type="dxa"/>
            <w:vAlign w:val="bottom"/>
            <w:gridSpan w:val="2"/>
          </w:tcPr>
          <w:p>
            <w:pPr>
              <w:jc w:val="right"/>
              <w:ind w:right="206"/>
              <w:spacing w:after="0"/>
              <w:rPr>
                <w:sz w:val="20"/>
                <w:szCs w:val="20"/>
                <w:color w:val="auto"/>
              </w:rPr>
            </w:pPr>
            <w:r>
              <w:rPr>
                <w:rFonts w:ascii="Arial" w:cs="Arial" w:eastAsia="Arial" w:hAnsi="Arial"/>
                <w:sz w:val="11"/>
                <w:szCs w:val="11"/>
                <w:color w:val="auto"/>
              </w:rPr>
              <w:t>8,464,214</w:t>
            </w:r>
          </w:p>
        </w:tc>
        <w:tc>
          <w:tcPr>
            <w:tcW w:w="1360" w:type="dxa"/>
            <w:vAlign w:val="bottom"/>
          </w:tcPr>
          <w:p>
            <w:pPr>
              <w:jc w:val="right"/>
              <w:ind w:right="266"/>
              <w:spacing w:after="0"/>
              <w:rPr>
                <w:sz w:val="20"/>
                <w:szCs w:val="20"/>
                <w:color w:val="auto"/>
              </w:rPr>
            </w:pPr>
            <w:r>
              <w:rPr>
                <w:rFonts w:ascii="Arial" w:cs="Arial" w:eastAsia="Arial" w:hAnsi="Arial"/>
                <w:sz w:val="11"/>
                <w:szCs w:val="11"/>
                <w:color w:val="auto"/>
              </w:rPr>
              <w:t>22,621,110</w:t>
            </w:r>
          </w:p>
        </w:tc>
        <w:tc>
          <w:tcPr>
            <w:tcW w:w="1360" w:type="dxa"/>
            <w:vAlign w:val="bottom"/>
          </w:tcPr>
          <w:p>
            <w:pPr>
              <w:jc w:val="right"/>
              <w:ind w:right="186"/>
              <w:spacing w:after="0"/>
              <w:rPr>
                <w:sz w:val="20"/>
                <w:szCs w:val="20"/>
                <w:color w:val="auto"/>
              </w:rPr>
            </w:pPr>
            <w:r>
              <w:rPr>
                <w:rFonts w:ascii="Arial" w:cs="Arial" w:eastAsia="Arial" w:hAnsi="Arial"/>
                <w:sz w:val="11"/>
                <w:szCs w:val="11"/>
                <w:color w:val="auto"/>
              </w:rPr>
              <w:t>1,911,988</w:t>
            </w:r>
          </w:p>
        </w:tc>
        <w:tc>
          <w:tcPr>
            <w:tcW w:w="1400" w:type="dxa"/>
            <w:vAlign w:val="bottom"/>
          </w:tcPr>
          <w:p>
            <w:pPr>
              <w:jc w:val="right"/>
              <w:ind w:right="286"/>
              <w:spacing w:after="0"/>
              <w:rPr>
                <w:sz w:val="20"/>
                <w:szCs w:val="20"/>
                <w:color w:val="auto"/>
              </w:rPr>
            </w:pPr>
            <w:r>
              <w:rPr>
                <w:rFonts w:ascii="Arial" w:cs="Arial" w:eastAsia="Arial" w:hAnsi="Arial"/>
                <w:sz w:val="11"/>
                <w:szCs w:val="11"/>
                <w:color w:val="auto"/>
              </w:rPr>
              <w:t>2,879,383</w:t>
            </w:r>
          </w:p>
        </w:tc>
        <w:tc>
          <w:tcPr>
            <w:tcW w:w="1000" w:type="dxa"/>
            <w:vAlign w:val="bottom"/>
          </w:tcPr>
          <w:p>
            <w:pPr>
              <w:ind w:left="420"/>
              <w:spacing w:after="0"/>
              <w:rPr>
                <w:sz w:val="20"/>
                <w:szCs w:val="20"/>
                <w:color w:val="auto"/>
              </w:rPr>
            </w:pPr>
            <w:r>
              <w:rPr>
                <w:rFonts w:ascii="Arial" w:cs="Arial" w:eastAsia="Arial" w:hAnsi="Arial"/>
                <w:sz w:val="11"/>
                <w:szCs w:val="11"/>
                <w:color w:val="auto"/>
              </w:rPr>
              <w:t>475.35</w:t>
            </w:r>
          </w:p>
        </w:tc>
        <w:tc>
          <w:tcPr>
            <w:tcW w:w="1180" w:type="dxa"/>
            <w:vAlign w:val="bottom"/>
          </w:tcPr>
          <w:p>
            <w:pPr>
              <w:jc w:val="right"/>
              <w:ind w:right="186"/>
              <w:spacing w:after="0"/>
              <w:rPr>
                <w:sz w:val="20"/>
                <w:szCs w:val="20"/>
                <w:color w:val="auto"/>
              </w:rPr>
            </w:pPr>
            <w:r>
              <w:rPr>
                <w:rFonts w:ascii="Arial" w:cs="Arial" w:eastAsia="Arial" w:hAnsi="Arial"/>
                <w:sz w:val="11"/>
                <w:szCs w:val="11"/>
                <w:color w:val="auto"/>
              </w:rPr>
              <w:t>295.88</w:t>
            </w:r>
          </w:p>
        </w:tc>
        <w:tc>
          <w:tcPr>
            <w:tcW w:w="1300" w:type="dxa"/>
            <w:vAlign w:val="bottom"/>
          </w:tcPr>
          <w:p>
            <w:pPr>
              <w:jc w:val="right"/>
              <w:ind w:right="266"/>
              <w:spacing w:after="0"/>
              <w:rPr>
                <w:sz w:val="20"/>
                <w:szCs w:val="20"/>
                <w:color w:val="auto"/>
              </w:rPr>
            </w:pPr>
            <w:r>
              <w:rPr>
                <w:rFonts w:ascii="Arial" w:cs="Arial" w:eastAsia="Arial" w:hAnsi="Arial"/>
                <w:sz w:val="11"/>
                <w:szCs w:val="11"/>
                <w:color w:val="auto"/>
              </w:rPr>
              <w:t>477,639</w:t>
            </w:r>
          </w:p>
        </w:tc>
        <w:tc>
          <w:tcPr>
            <w:tcW w:w="1100" w:type="dxa"/>
            <w:vAlign w:val="bottom"/>
          </w:tcPr>
          <w:p>
            <w:pPr>
              <w:jc w:val="right"/>
              <w:ind w:right="166"/>
              <w:spacing w:after="0"/>
              <w:rPr>
                <w:sz w:val="20"/>
                <w:szCs w:val="20"/>
                <w:color w:val="auto"/>
              </w:rPr>
            </w:pPr>
            <w:r>
              <w:rPr>
                <w:rFonts w:ascii="Arial" w:cs="Arial" w:eastAsia="Arial" w:hAnsi="Arial"/>
                <w:sz w:val="11"/>
                <w:szCs w:val="11"/>
                <w:color w:val="auto"/>
              </w:rPr>
              <w:t>38.3%</w:t>
            </w:r>
          </w:p>
        </w:tc>
        <w:tc>
          <w:tcPr>
            <w:tcW w:w="0" w:type="dxa"/>
            <w:vAlign w:val="bottom"/>
          </w:tcPr>
          <w:p>
            <w:pPr>
              <w:spacing w:after="0"/>
              <w:rPr>
                <w:sz w:val="1"/>
                <w:szCs w:val="1"/>
                <w:color w:val="auto"/>
              </w:rPr>
            </w:pPr>
          </w:p>
        </w:tc>
      </w:tr>
      <w:tr>
        <w:trPr>
          <w:trHeight w:val="33"/>
        </w:trPr>
        <w:tc>
          <w:tcPr>
            <w:tcW w:w="1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12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E7E7E8"/>
            </w:tcBorders>
            <w:shd w:val="clear" w:color="auto" w:fill="E7E7E8"/>
          </w:tcPr>
          <w:p>
            <w:pPr>
              <w:spacing w:after="0"/>
              <w:rPr>
                <w:sz w:val="15"/>
                <w:szCs w:val="15"/>
                <w:color w:val="auto"/>
              </w:rPr>
            </w:pPr>
          </w:p>
        </w:tc>
        <w:tc>
          <w:tcPr>
            <w:tcW w:w="1240" w:type="dxa"/>
            <w:vAlign w:val="bottom"/>
            <w:tcBorders>
              <w:bottom w:val="single" w:sz="8" w:color="E7E7E8"/>
            </w:tcBorders>
            <w:shd w:val="clear" w:color="auto" w:fill="E7E7E8"/>
          </w:tcPr>
          <w:p>
            <w:pPr>
              <w:jc w:val="right"/>
              <w:ind w:right="206"/>
              <w:spacing w:after="0"/>
              <w:rPr>
                <w:sz w:val="20"/>
                <w:szCs w:val="20"/>
                <w:color w:val="auto"/>
              </w:rPr>
            </w:pPr>
            <w:r>
              <w:rPr>
                <w:rFonts w:ascii="Arial" w:cs="Arial" w:eastAsia="Arial" w:hAnsi="Arial"/>
                <w:sz w:val="11"/>
                <w:szCs w:val="11"/>
                <w:color w:val="auto"/>
              </w:rPr>
              <w:t>7,997,493</w:t>
            </w:r>
          </w:p>
        </w:tc>
        <w:tc>
          <w:tcPr>
            <w:tcW w:w="1360" w:type="dxa"/>
            <w:vAlign w:val="bottom"/>
            <w:tcBorders>
              <w:bottom w:val="single" w:sz="8" w:color="E7E7E8"/>
            </w:tcBorders>
            <w:shd w:val="clear" w:color="auto" w:fill="E7E7E8"/>
          </w:tcPr>
          <w:p>
            <w:pPr>
              <w:jc w:val="right"/>
              <w:ind w:right="266"/>
              <w:spacing w:after="0"/>
              <w:rPr>
                <w:sz w:val="20"/>
                <w:szCs w:val="20"/>
                <w:color w:val="auto"/>
              </w:rPr>
            </w:pPr>
            <w:r>
              <w:rPr>
                <w:rFonts w:ascii="Arial" w:cs="Arial" w:eastAsia="Arial" w:hAnsi="Arial"/>
                <w:sz w:val="11"/>
                <w:szCs w:val="11"/>
                <w:color w:val="auto"/>
              </w:rPr>
              <w:t>10,936,146</w:t>
            </w:r>
          </w:p>
        </w:tc>
        <w:tc>
          <w:tcPr>
            <w:tcW w:w="1360" w:type="dxa"/>
            <w:vAlign w:val="bottom"/>
            <w:tcBorders>
              <w:bottom w:val="single" w:sz="8" w:color="E7E7E8"/>
            </w:tcBorders>
            <w:shd w:val="clear" w:color="auto" w:fill="E7E7E8"/>
          </w:tcPr>
          <w:p>
            <w:pPr>
              <w:jc w:val="right"/>
              <w:ind w:right="186"/>
              <w:spacing w:after="0"/>
              <w:rPr>
                <w:sz w:val="20"/>
                <w:szCs w:val="20"/>
                <w:color w:val="auto"/>
              </w:rPr>
            </w:pPr>
            <w:r>
              <w:rPr>
                <w:rFonts w:ascii="Arial" w:cs="Arial" w:eastAsia="Arial" w:hAnsi="Arial"/>
                <w:sz w:val="11"/>
                <w:szCs w:val="11"/>
                <w:color w:val="auto"/>
              </w:rPr>
              <w:t>2,175,544</w:t>
            </w:r>
          </w:p>
        </w:tc>
        <w:tc>
          <w:tcPr>
            <w:tcW w:w="1400" w:type="dxa"/>
            <w:vAlign w:val="bottom"/>
            <w:tcBorders>
              <w:bottom w:val="single" w:sz="8" w:color="E7E7E8"/>
            </w:tcBorders>
            <w:shd w:val="clear" w:color="auto" w:fill="E7E7E8"/>
          </w:tcPr>
          <w:p>
            <w:pPr>
              <w:jc w:val="right"/>
              <w:ind w:right="286"/>
              <w:spacing w:after="0"/>
              <w:rPr>
                <w:sz w:val="20"/>
                <w:szCs w:val="20"/>
                <w:color w:val="auto"/>
              </w:rPr>
            </w:pPr>
            <w:r>
              <w:rPr>
                <w:rFonts w:ascii="Arial" w:cs="Arial" w:eastAsia="Arial" w:hAnsi="Arial"/>
                <w:sz w:val="11"/>
                <w:szCs w:val="11"/>
                <w:color w:val="auto"/>
              </w:rPr>
              <w:t>2,334,525</w:t>
            </w:r>
          </w:p>
        </w:tc>
        <w:tc>
          <w:tcPr>
            <w:tcW w:w="1000" w:type="dxa"/>
            <w:vAlign w:val="bottom"/>
            <w:tcBorders>
              <w:bottom w:val="single" w:sz="8" w:color="E7E7E8"/>
            </w:tcBorders>
            <w:shd w:val="clear" w:color="auto" w:fill="E7E7E8"/>
          </w:tcPr>
          <w:p>
            <w:pPr>
              <w:ind w:left="420"/>
              <w:spacing w:after="0"/>
              <w:rPr>
                <w:sz w:val="20"/>
                <w:szCs w:val="20"/>
                <w:color w:val="auto"/>
              </w:rPr>
            </w:pPr>
            <w:r>
              <w:rPr>
                <w:rFonts w:ascii="Arial" w:cs="Arial" w:eastAsia="Arial" w:hAnsi="Arial"/>
                <w:sz w:val="11"/>
                <w:szCs w:val="11"/>
                <w:color w:val="auto"/>
              </w:rPr>
              <w:t>255.39</w:t>
            </w:r>
          </w:p>
        </w:tc>
        <w:tc>
          <w:tcPr>
            <w:tcW w:w="1180" w:type="dxa"/>
            <w:vAlign w:val="bottom"/>
            <w:tcBorders>
              <w:bottom w:val="single" w:sz="8" w:color="E7E7E8"/>
            </w:tcBorders>
            <w:shd w:val="clear" w:color="auto" w:fill="E7E7E8"/>
          </w:tcPr>
          <w:p>
            <w:pPr>
              <w:jc w:val="right"/>
              <w:ind w:right="186"/>
              <w:spacing w:after="0"/>
              <w:rPr>
                <w:sz w:val="20"/>
                <w:szCs w:val="20"/>
                <w:color w:val="auto"/>
              </w:rPr>
            </w:pPr>
            <w:r>
              <w:rPr>
                <w:rFonts w:ascii="Arial" w:cs="Arial" w:eastAsia="Arial" w:hAnsi="Arial"/>
                <w:sz w:val="11"/>
                <w:szCs w:val="11"/>
                <w:color w:val="auto"/>
              </w:rPr>
              <w:t>190.86</w:t>
            </w:r>
          </w:p>
        </w:tc>
        <w:tc>
          <w:tcPr>
            <w:tcW w:w="1300" w:type="dxa"/>
            <w:vAlign w:val="bottom"/>
            <w:tcBorders>
              <w:bottom w:val="single" w:sz="8" w:color="E7E7E8"/>
            </w:tcBorders>
            <w:shd w:val="clear" w:color="auto" w:fill="E7E7E8"/>
          </w:tcPr>
          <w:p>
            <w:pPr>
              <w:jc w:val="right"/>
              <w:ind w:right="266"/>
              <w:spacing w:after="0"/>
              <w:rPr>
                <w:sz w:val="20"/>
                <w:szCs w:val="20"/>
                <w:color w:val="auto"/>
              </w:rPr>
            </w:pPr>
            <w:r>
              <w:rPr>
                <w:rFonts w:ascii="Arial" w:cs="Arial" w:eastAsia="Arial" w:hAnsi="Arial"/>
                <w:sz w:val="11"/>
                <w:szCs w:val="11"/>
                <w:color w:val="auto"/>
              </w:rPr>
              <w:t>461,540</w:t>
            </w:r>
          </w:p>
        </w:tc>
        <w:tc>
          <w:tcPr>
            <w:tcW w:w="1100" w:type="dxa"/>
            <w:vAlign w:val="bottom"/>
            <w:tcBorders>
              <w:bottom w:val="single" w:sz="8" w:color="E7E7E8"/>
            </w:tcBorders>
            <w:shd w:val="clear" w:color="auto" w:fill="E7E7E8"/>
          </w:tcPr>
          <w:p>
            <w:pPr>
              <w:jc w:val="right"/>
              <w:ind w:right="166"/>
              <w:spacing w:after="0"/>
              <w:rPr>
                <w:sz w:val="20"/>
                <w:szCs w:val="20"/>
                <w:color w:val="auto"/>
              </w:rPr>
            </w:pPr>
            <w:r>
              <w:rPr>
                <w:rFonts w:ascii="Arial" w:cs="Arial" w:eastAsia="Arial" w:hAnsi="Arial"/>
                <w:sz w:val="11"/>
                <w:szCs w:val="11"/>
                <w:color w:val="auto"/>
              </w:rPr>
              <w:t>32.2%</w:t>
            </w:r>
          </w:p>
        </w:tc>
        <w:tc>
          <w:tcPr>
            <w:tcW w:w="0" w:type="dxa"/>
            <w:vAlign w:val="bottom"/>
          </w:tcPr>
          <w:p>
            <w:pPr>
              <w:spacing w:after="0"/>
              <w:rPr>
                <w:sz w:val="1"/>
                <w:szCs w:val="1"/>
                <w:color w:val="auto"/>
              </w:rPr>
            </w:pPr>
          </w:p>
        </w:tc>
      </w:tr>
      <w:tr>
        <w:trPr>
          <w:trHeight w:val="169"/>
        </w:trPr>
        <w:tc>
          <w:tcPr>
            <w:tcW w:w="1200" w:type="dxa"/>
            <w:vAlign w:val="bottom"/>
          </w:tcPr>
          <w:p>
            <w:pPr>
              <w:ind w:left="20"/>
              <w:spacing w:after="0"/>
              <w:rPr>
                <w:sz w:val="20"/>
                <w:szCs w:val="20"/>
                <w:color w:val="auto"/>
              </w:rPr>
            </w:pPr>
            <w:r>
              <w:rPr>
                <w:rFonts w:ascii="Arial" w:cs="Arial" w:eastAsia="Arial" w:hAnsi="Arial"/>
                <w:sz w:val="11"/>
                <w:szCs w:val="11"/>
                <w:color w:val="auto"/>
              </w:rPr>
              <w:t>2022</w:t>
            </w:r>
          </w:p>
        </w:tc>
        <w:tc>
          <w:tcPr>
            <w:tcW w:w="1340" w:type="dxa"/>
            <w:vAlign w:val="bottom"/>
            <w:gridSpan w:val="2"/>
          </w:tcPr>
          <w:p>
            <w:pPr>
              <w:jc w:val="right"/>
              <w:ind w:right="206"/>
              <w:spacing w:after="0"/>
              <w:rPr>
                <w:sz w:val="20"/>
                <w:szCs w:val="20"/>
                <w:color w:val="auto"/>
              </w:rPr>
            </w:pPr>
            <w:r>
              <w:rPr>
                <w:rFonts w:ascii="Arial" w:cs="Arial" w:eastAsia="Arial" w:hAnsi="Arial"/>
                <w:sz w:val="11"/>
                <w:szCs w:val="11"/>
                <w:color w:val="auto"/>
              </w:rPr>
              <w:t>6,975,909</w:t>
            </w:r>
          </w:p>
        </w:tc>
        <w:tc>
          <w:tcPr>
            <w:tcW w:w="1360" w:type="dxa"/>
            <w:vAlign w:val="bottom"/>
          </w:tcPr>
          <w:p>
            <w:pPr>
              <w:jc w:val="right"/>
              <w:ind w:right="266"/>
              <w:spacing w:after="0"/>
              <w:rPr>
                <w:sz w:val="20"/>
                <w:szCs w:val="20"/>
                <w:color w:val="auto"/>
              </w:rPr>
            </w:pPr>
            <w:r>
              <w:rPr>
                <w:rFonts w:ascii="Arial" w:cs="Arial" w:eastAsia="Arial" w:hAnsi="Arial"/>
                <w:sz w:val="11"/>
                <w:szCs w:val="11"/>
                <w:color w:val="auto"/>
              </w:rPr>
              <w:t>6,645,203</w:t>
            </w:r>
          </w:p>
        </w:tc>
        <w:tc>
          <w:tcPr>
            <w:tcW w:w="1360" w:type="dxa"/>
            <w:vAlign w:val="bottom"/>
          </w:tcPr>
          <w:p>
            <w:pPr>
              <w:jc w:val="right"/>
              <w:ind w:right="186"/>
              <w:spacing w:after="0"/>
              <w:rPr>
                <w:sz w:val="20"/>
                <w:szCs w:val="20"/>
                <w:color w:val="auto"/>
              </w:rPr>
            </w:pPr>
            <w:r>
              <w:rPr>
                <w:rFonts w:ascii="Arial" w:cs="Arial" w:eastAsia="Arial" w:hAnsi="Arial"/>
                <w:sz w:val="11"/>
                <w:szCs w:val="11"/>
                <w:color w:val="auto"/>
              </w:rPr>
              <w:t>2,410,994</w:t>
            </w:r>
          </w:p>
        </w:tc>
        <w:tc>
          <w:tcPr>
            <w:tcW w:w="1400" w:type="dxa"/>
            <w:vAlign w:val="bottom"/>
          </w:tcPr>
          <w:p>
            <w:pPr>
              <w:jc w:val="right"/>
              <w:ind w:right="286"/>
              <w:spacing w:after="0"/>
              <w:rPr>
                <w:sz w:val="20"/>
                <w:szCs w:val="20"/>
                <w:color w:val="auto"/>
              </w:rPr>
            </w:pPr>
            <w:r>
              <w:rPr>
                <w:rFonts w:ascii="Arial" w:cs="Arial" w:eastAsia="Arial" w:hAnsi="Arial"/>
                <w:sz w:val="11"/>
                <w:szCs w:val="11"/>
                <w:color w:val="auto"/>
              </w:rPr>
              <w:t>2,304,789</w:t>
            </w:r>
          </w:p>
        </w:tc>
        <w:tc>
          <w:tcPr>
            <w:tcW w:w="1000" w:type="dxa"/>
            <w:vAlign w:val="bottom"/>
          </w:tcPr>
          <w:p>
            <w:pPr>
              <w:ind w:left="420"/>
              <w:spacing w:after="0"/>
              <w:rPr>
                <w:sz w:val="20"/>
                <w:szCs w:val="20"/>
                <w:color w:val="auto"/>
              </w:rPr>
            </w:pPr>
            <w:r>
              <w:rPr>
                <w:rFonts w:ascii="Arial" w:cs="Arial" w:eastAsia="Arial" w:hAnsi="Arial"/>
                <w:sz w:val="11"/>
                <w:szCs w:val="11"/>
                <w:color w:val="auto"/>
              </w:rPr>
              <w:t>221.62</w:t>
            </w:r>
          </w:p>
        </w:tc>
        <w:tc>
          <w:tcPr>
            <w:tcW w:w="1180" w:type="dxa"/>
            <w:vAlign w:val="bottom"/>
          </w:tcPr>
          <w:p>
            <w:pPr>
              <w:jc w:val="right"/>
              <w:ind w:right="186"/>
              <w:spacing w:after="0"/>
              <w:rPr>
                <w:sz w:val="20"/>
                <w:szCs w:val="20"/>
                <w:color w:val="auto"/>
              </w:rPr>
            </w:pPr>
            <w:r>
              <w:rPr>
                <w:rFonts w:ascii="Arial" w:cs="Arial" w:eastAsia="Arial" w:hAnsi="Arial"/>
                <w:sz w:val="11"/>
                <w:szCs w:val="11"/>
                <w:color w:val="auto"/>
              </w:rPr>
              <w:t>200.39</w:t>
            </w:r>
          </w:p>
        </w:tc>
        <w:tc>
          <w:tcPr>
            <w:tcW w:w="1300" w:type="dxa"/>
            <w:vAlign w:val="bottom"/>
          </w:tcPr>
          <w:p>
            <w:pPr>
              <w:jc w:val="right"/>
              <w:ind w:right="266"/>
              <w:spacing w:after="0"/>
              <w:rPr>
                <w:sz w:val="20"/>
                <w:szCs w:val="20"/>
                <w:color w:val="auto"/>
              </w:rPr>
            </w:pPr>
            <w:r>
              <w:rPr>
                <w:rFonts w:ascii="Arial" w:cs="Arial" w:eastAsia="Arial" w:hAnsi="Arial"/>
                <w:sz w:val="11"/>
                <w:szCs w:val="11"/>
                <w:color w:val="auto"/>
              </w:rPr>
              <w:t>374,247</w:t>
            </w:r>
          </w:p>
        </w:tc>
        <w:tc>
          <w:tcPr>
            <w:tcW w:w="1100" w:type="dxa"/>
            <w:vAlign w:val="bottom"/>
          </w:tcPr>
          <w:p>
            <w:pPr>
              <w:jc w:val="right"/>
              <w:ind w:right="166"/>
              <w:spacing w:after="0"/>
              <w:rPr>
                <w:sz w:val="20"/>
                <w:szCs w:val="20"/>
                <w:color w:val="auto"/>
              </w:rPr>
            </w:pPr>
            <w:r>
              <w:rPr>
                <w:rFonts w:ascii="Arial" w:cs="Arial" w:eastAsia="Arial" w:hAnsi="Arial"/>
                <w:sz w:val="11"/>
                <w:szCs w:val="11"/>
                <w:color w:val="auto"/>
              </w:rPr>
              <w:t>24.6%</w:t>
            </w:r>
          </w:p>
        </w:tc>
        <w:tc>
          <w:tcPr>
            <w:tcW w:w="0" w:type="dxa"/>
            <w:vAlign w:val="bottom"/>
          </w:tcPr>
          <w:p>
            <w:pPr>
              <w:spacing w:after="0"/>
              <w:rPr>
                <w:sz w:val="1"/>
                <w:szCs w:val="1"/>
                <w:color w:val="auto"/>
              </w:rPr>
            </w:pPr>
          </w:p>
        </w:tc>
      </w:tr>
      <w:tr>
        <w:trPr>
          <w:trHeight w:val="33"/>
        </w:trPr>
        <w:tc>
          <w:tcPr>
            <w:tcW w:w="1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2021</w:t>
            </w:r>
          </w:p>
        </w:tc>
        <w:tc>
          <w:tcPr>
            <w:tcW w:w="100" w:type="dxa"/>
            <w:vAlign w:val="bottom"/>
            <w:tcBorders>
              <w:bottom w:val="single" w:sz="8" w:color="E7E7E8"/>
            </w:tcBorders>
            <w:shd w:val="clear" w:color="auto" w:fill="E7E7E8"/>
          </w:tcPr>
          <w:p>
            <w:pPr>
              <w:spacing w:after="0"/>
              <w:rPr>
                <w:sz w:val="15"/>
                <w:szCs w:val="15"/>
                <w:color w:val="auto"/>
              </w:rPr>
            </w:pPr>
          </w:p>
        </w:tc>
        <w:tc>
          <w:tcPr>
            <w:tcW w:w="1240" w:type="dxa"/>
            <w:vAlign w:val="bottom"/>
            <w:tcBorders>
              <w:bottom w:val="single" w:sz="8" w:color="E7E7E8"/>
            </w:tcBorders>
            <w:shd w:val="clear" w:color="auto" w:fill="E7E7E8"/>
          </w:tcPr>
          <w:p>
            <w:pPr>
              <w:jc w:val="right"/>
              <w:ind w:right="206"/>
              <w:spacing w:after="0"/>
              <w:rPr>
                <w:sz w:val="20"/>
                <w:szCs w:val="20"/>
                <w:color w:val="auto"/>
              </w:rPr>
            </w:pPr>
            <w:r>
              <w:rPr>
                <w:rFonts w:ascii="Arial" w:cs="Arial" w:eastAsia="Arial" w:hAnsi="Arial"/>
                <w:sz w:val="11"/>
                <w:szCs w:val="11"/>
                <w:color w:val="auto"/>
              </w:rPr>
              <w:t>6,058,635</w:t>
            </w:r>
          </w:p>
        </w:tc>
        <w:tc>
          <w:tcPr>
            <w:tcW w:w="1360" w:type="dxa"/>
            <w:vAlign w:val="bottom"/>
            <w:tcBorders>
              <w:bottom w:val="single" w:sz="8" w:color="E7E7E8"/>
            </w:tcBorders>
            <w:shd w:val="clear" w:color="auto" w:fill="E7E7E8"/>
          </w:tcPr>
          <w:p>
            <w:pPr>
              <w:jc w:val="right"/>
              <w:ind w:right="266"/>
              <w:spacing w:after="0"/>
              <w:rPr>
                <w:sz w:val="20"/>
                <w:szCs w:val="20"/>
                <w:color w:val="auto"/>
              </w:rPr>
            </w:pPr>
            <w:r>
              <w:rPr>
                <w:rFonts w:ascii="Arial" w:cs="Arial" w:eastAsia="Arial" w:hAnsi="Arial"/>
                <w:sz w:val="11"/>
                <w:szCs w:val="11"/>
                <w:color w:val="auto"/>
              </w:rPr>
              <w:t>17,679,107</w:t>
            </w:r>
          </w:p>
        </w:tc>
        <w:tc>
          <w:tcPr>
            <w:tcW w:w="1360" w:type="dxa"/>
            <w:vAlign w:val="bottom"/>
            <w:tcBorders>
              <w:bottom w:val="single" w:sz="8" w:color="E7E7E8"/>
            </w:tcBorders>
            <w:shd w:val="clear" w:color="auto" w:fill="E7E7E8"/>
          </w:tcPr>
          <w:p>
            <w:pPr>
              <w:jc w:val="right"/>
              <w:ind w:right="186"/>
              <w:spacing w:after="0"/>
              <w:rPr>
                <w:sz w:val="20"/>
                <w:szCs w:val="20"/>
                <w:color w:val="auto"/>
              </w:rPr>
            </w:pPr>
            <w:r>
              <w:rPr>
                <w:rFonts w:ascii="Arial" w:cs="Arial" w:eastAsia="Arial" w:hAnsi="Arial"/>
                <w:sz w:val="11"/>
                <w:szCs w:val="11"/>
                <w:color w:val="auto"/>
              </w:rPr>
              <w:t>2,238,016</w:t>
            </w:r>
          </w:p>
        </w:tc>
        <w:tc>
          <w:tcPr>
            <w:tcW w:w="1400" w:type="dxa"/>
            <w:vAlign w:val="bottom"/>
            <w:tcBorders>
              <w:bottom w:val="single" w:sz="8" w:color="E7E7E8"/>
            </w:tcBorders>
            <w:shd w:val="clear" w:color="auto" w:fill="E7E7E8"/>
          </w:tcPr>
          <w:p>
            <w:pPr>
              <w:jc w:val="right"/>
              <w:ind w:right="286"/>
              <w:spacing w:after="0"/>
              <w:rPr>
                <w:sz w:val="20"/>
                <w:szCs w:val="20"/>
                <w:color w:val="auto"/>
              </w:rPr>
            </w:pPr>
            <w:r>
              <w:rPr>
                <w:rFonts w:ascii="Arial" w:cs="Arial" w:eastAsia="Arial" w:hAnsi="Arial"/>
                <w:sz w:val="11"/>
                <w:szCs w:val="11"/>
                <w:color w:val="auto"/>
              </w:rPr>
              <w:t>4,995,116</w:t>
            </w:r>
          </w:p>
        </w:tc>
        <w:tc>
          <w:tcPr>
            <w:tcW w:w="1000" w:type="dxa"/>
            <w:vAlign w:val="bottom"/>
            <w:tcBorders>
              <w:bottom w:val="single" w:sz="8" w:color="E7E7E8"/>
            </w:tcBorders>
            <w:shd w:val="clear" w:color="auto" w:fill="E7E7E8"/>
          </w:tcPr>
          <w:p>
            <w:pPr>
              <w:ind w:left="420"/>
              <w:spacing w:after="0"/>
              <w:rPr>
                <w:sz w:val="20"/>
                <w:szCs w:val="20"/>
                <w:color w:val="auto"/>
              </w:rPr>
            </w:pPr>
            <w:r>
              <w:rPr>
                <w:rFonts w:ascii="Arial" w:cs="Arial" w:eastAsia="Arial" w:hAnsi="Arial"/>
                <w:sz w:val="11"/>
                <w:szCs w:val="11"/>
                <w:color w:val="auto"/>
              </w:rPr>
              <w:t>230.42</w:t>
            </w:r>
          </w:p>
        </w:tc>
        <w:tc>
          <w:tcPr>
            <w:tcW w:w="1180" w:type="dxa"/>
            <w:vAlign w:val="bottom"/>
            <w:tcBorders>
              <w:bottom w:val="single" w:sz="8" w:color="E7E7E8"/>
            </w:tcBorders>
            <w:shd w:val="clear" w:color="auto" w:fill="E7E7E8"/>
          </w:tcPr>
          <w:p>
            <w:pPr>
              <w:jc w:val="right"/>
              <w:ind w:right="186"/>
              <w:spacing w:after="0"/>
              <w:rPr>
                <w:sz w:val="20"/>
                <w:szCs w:val="20"/>
                <w:color w:val="auto"/>
              </w:rPr>
            </w:pPr>
            <w:r>
              <w:rPr>
                <w:rFonts w:ascii="Arial" w:cs="Arial" w:eastAsia="Arial" w:hAnsi="Arial"/>
                <w:sz w:val="11"/>
                <w:szCs w:val="11"/>
                <w:color w:val="auto"/>
              </w:rPr>
              <w:t>194.28</w:t>
            </w:r>
          </w:p>
        </w:tc>
        <w:tc>
          <w:tcPr>
            <w:tcW w:w="1300" w:type="dxa"/>
            <w:vAlign w:val="bottom"/>
            <w:tcBorders>
              <w:bottom w:val="single" w:sz="8" w:color="E7E7E8"/>
            </w:tcBorders>
            <w:shd w:val="clear" w:color="auto" w:fill="E7E7E8"/>
          </w:tcPr>
          <w:p>
            <w:pPr>
              <w:jc w:val="right"/>
              <w:ind w:right="266"/>
              <w:spacing w:after="0"/>
              <w:rPr>
                <w:sz w:val="20"/>
                <w:szCs w:val="20"/>
                <w:color w:val="auto"/>
              </w:rPr>
            </w:pPr>
            <w:r>
              <w:rPr>
                <w:rFonts w:ascii="Arial" w:cs="Arial" w:eastAsia="Arial" w:hAnsi="Arial"/>
                <w:sz w:val="11"/>
                <w:szCs w:val="11"/>
                <w:color w:val="auto"/>
              </w:rPr>
              <w:t>339,444</w:t>
            </w:r>
          </w:p>
        </w:tc>
        <w:tc>
          <w:tcPr>
            <w:tcW w:w="1100" w:type="dxa"/>
            <w:vAlign w:val="bottom"/>
            <w:tcBorders>
              <w:bottom w:val="single" w:sz="8" w:color="E7E7E8"/>
            </w:tcBorders>
            <w:shd w:val="clear" w:color="auto" w:fill="E7E7E8"/>
          </w:tcPr>
          <w:p>
            <w:pPr>
              <w:jc w:val="right"/>
              <w:ind w:right="166"/>
              <w:spacing w:after="0"/>
              <w:rPr>
                <w:sz w:val="20"/>
                <w:szCs w:val="20"/>
                <w:color w:val="auto"/>
              </w:rPr>
            </w:pPr>
            <w:r>
              <w:rPr>
                <w:rFonts w:ascii="Arial" w:cs="Arial" w:eastAsia="Arial" w:hAnsi="Arial"/>
                <w:sz w:val="11"/>
                <w:szCs w:val="11"/>
                <w:color w:val="auto"/>
              </w:rPr>
              <w:t>20.0%</w:t>
            </w:r>
          </w:p>
        </w:tc>
        <w:tc>
          <w:tcPr>
            <w:tcW w:w="0" w:type="dxa"/>
            <w:vAlign w:val="bottom"/>
          </w:tcPr>
          <w:p>
            <w:pPr>
              <w:spacing w:after="0"/>
              <w:rPr>
                <w:sz w:val="1"/>
                <w:szCs w:val="1"/>
                <w:color w:val="auto"/>
              </w:rPr>
            </w:pPr>
          </w:p>
        </w:tc>
      </w:tr>
      <w:tr>
        <w:trPr>
          <w:trHeight w:val="40"/>
        </w:trPr>
        <w:tc>
          <w:tcPr>
            <w:tcW w:w="1200" w:type="dxa"/>
            <w:vAlign w:val="bottom"/>
            <w:shd w:val="clear" w:color="auto" w:fill="051972"/>
          </w:tcPr>
          <w:p>
            <w:pPr>
              <w:spacing w:after="0"/>
              <w:rPr>
                <w:sz w:val="3"/>
                <w:szCs w:val="3"/>
                <w:color w:val="auto"/>
              </w:rPr>
            </w:pPr>
          </w:p>
        </w:tc>
        <w:tc>
          <w:tcPr>
            <w:tcW w:w="100" w:type="dxa"/>
            <w:vAlign w:val="bottom"/>
            <w:shd w:val="clear" w:color="auto" w:fill="051972"/>
          </w:tcPr>
          <w:p>
            <w:pPr>
              <w:spacing w:after="0"/>
              <w:rPr>
                <w:sz w:val="3"/>
                <w:szCs w:val="3"/>
                <w:color w:val="auto"/>
              </w:rPr>
            </w:pPr>
          </w:p>
        </w:tc>
        <w:tc>
          <w:tcPr>
            <w:tcW w:w="1240" w:type="dxa"/>
            <w:vAlign w:val="bottom"/>
            <w:shd w:val="clear" w:color="auto" w:fill="051972"/>
          </w:tcPr>
          <w:p>
            <w:pPr>
              <w:spacing w:after="0"/>
              <w:rPr>
                <w:sz w:val="3"/>
                <w:szCs w:val="3"/>
                <w:color w:val="auto"/>
              </w:rPr>
            </w:pPr>
          </w:p>
        </w:tc>
        <w:tc>
          <w:tcPr>
            <w:tcW w:w="1360" w:type="dxa"/>
            <w:vAlign w:val="bottom"/>
            <w:shd w:val="clear" w:color="auto" w:fill="051972"/>
          </w:tcPr>
          <w:p>
            <w:pPr>
              <w:spacing w:after="0"/>
              <w:rPr>
                <w:sz w:val="3"/>
                <w:szCs w:val="3"/>
                <w:color w:val="auto"/>
              </w:rPr>
            </w:pPr>
          </w:p>
        </w:tc>
        <w:tc>
          <w:tcPr>
            <w:tcW w:w="1360" w:type="dxa"/>
            <w:vAlign w:val="bottom"/>
            <w:shd w:val="clear" w:color="auto" w:fill="051972"/>
          </w:tcPr>
          <w:p>
            <w:pPr>
              <w:spacing w:after="0"/>
              <w:rPr>
                <w:sz w:val="3"/>
                <w:szCs w:val="3"/>
                <w:color w:val="auto"/>
              </w:rPr>
            </w:pPr>
          </w:p>
        </w:tc>
        <w:tc>
          <w:tcPr>
            <w:tcW w:w="1400" w:type="dxa"/>
            <w:vAlign w:val="bottom"/>
            <w:shd w:val="clear" w:color="auto" w:fill="051972"/>
          </w:tcPr>
          <w:p>
            <w:pPr>
              <w:spacing w:after="0"/>
              <w:rPr>
                <w:sz w:val="3"/>
                <w:szCs w:val="3"/>
                <w:color w:val="auto"/>
              </w:rPr>
            </w:pPr>
          </w:p>
        </w:tc>
        <w:tc>
          <w:tcPr>
            <w:tcW w:w="1000" w:type="dxa"/>
            <w:vAlign w:val="bottom"/>
            <w:shd w:val="clear" w:color="auto" w:fill="051972"/>
          </w:tcPr>
          <w:p>
            <w:pPr>
              <w:spacing w:after="0"/>
              <w:rPr>
                <w:sz w:val="3"/>
                <w:szCs w:val="3"/>
                <w:color w:val="auto"/>
              </w:rPr>
            </w:pPr>
          </w:p>
        </w:tc>
        <w:tc>
          <w:tcPr>
            <w:tcW w:w="1180" w:type="dxa"/>
            <w:vAlign w:val="bottom"/>
            <w:shd w:val="clear" w:color="auto" w:fill="051972"/>
          </w:tcPr>
          <w:p>
            <w:pPr>
              <w:spacing w:after="0"/>
              <w:rPr>
                <w:sz w:val="3"/>
                <w:szCs w:val="3"/>
                <w:color w:val="auto"/>
              </w:rPr>
            </w:pPr>
          </w:p>
        </w:tc>
        <w:tc>
          <w:tcPr>
            <w:tcW w:w="1300" w:type="dxa"/>
            <w:vAlign w:val="bottom"/>
            <w:shd w:val="clear" w:color="auto" w:fill="051972"/>
          </w:tcPr>
          <w:p>
            <w:pPr>
              <w:spacing w:after="0"/>
              <w:rPr>
                <w:sz w:val="3"/>
                <w:szCs w:val="3"/>
                <w:color w:val="auto"/>
              </w:rPr>
            </w:pPr>
          </w:p>
        </w:tc>
        <w:tc>
          <w:tcPr>
            <w:tcW w:w="1100" w:type="dxa"/>
            <w:vAlign w:val="bottom"/>
            <w:shd w:val="clear" w:color="auto" w:fill="051972"/>
          </w:tcPr>
          <w:p>
            <w:pPr>
              <w:spacing w:after="0"/>
              <w:rPr>
                <w:sz w:val="3"/>
                <w:szCs w:val="3"/>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80" w:right="20" w:hanging="372"/>
        <w:spacing w:after="0" w:line="255" w:lineRule="auto"/>
        <w:tabs>
          <w:tab w:leader="none" w:pos="380" w:val="left"/>
        </w:tabs>
        <w:numPr>
          <w:ilvl w:val="0"/>
          <w:numId w:val="89"/>
        </w:numPr>
        <w:rPr>
          <w:rFonts w:ascii="Times New Roman" w:cs="Times New Roman" w:eastAsia="Times New Roman" w:hAnsi="Times New Roman"/>
          <w:sz w:val="14"/>
          <w:szCs w:val="14"/>
          <w:color w:val="auto"/>
        </w:rPr>
      </w:pPr>
      <w:r>
        <w:rPr>
          <w:rFonts w:ascii="Arial" w:cs="Arial" w:eastAsia="Arial" w:hAnsi="Arial"/>
          <w:sz w:val="14"/>
          <w:szCs w:val="14"/>
          <w:color w:val="auto"/>
        </w:rPr>
        <w:t>Mr. Haack has been our PEO for each of the fiscal years included in this table. The dollar amounts reported in this column are the amounts of total compensation reported for Mr. Haack for each corresponding year in the “Total” column of the Summary Compensation Table, as updated to reflect revised grant date fair values for performance-based restricted stock and stock option awards in fiscal years 2021-2024, resulting in an increase in the previously-reported total compensation of approximately 5.0% in each fiscal year. Refer to the Summary Compensation Table of this Proxy Statement, including footnotes 2 and 3 thereof.</w:t>
      </w:r>
    </w:p>
    <w:p>
      <w:pPr>
        <w:spacing w:after="0" w:line="71" w:lineRule="exact"/>
        <w:rPr>
          <w:rFonts w:ascii="Times New Roman" w:cs="Times New Roman" w:eastAsia="Times New Roman" w:hAnsi="Times New Roman"/>
          <w:sz w:val="14"/>
          <w:szCs w:val="14"/>
          <w:color w:val="auto"/>
        </w:rPr>
      </w:pPr>
    </w:p>
    <w:p>
      <w:pPr>
        <w:ind w:left="380" w:right="120" w:hanging="372"/>
        <w:spacing w:after="0" w:line="250" w:lineRule="auto"/>
        <w:tabs>
          <w:tab w:leader="none" w:pos="380" w:val="left"/>
        </w:tabs>
        <w:numPr>
          <w:ilvl w:val="0"/>
          <w:numId w:val="89"/>
        </w:numPr>
        <w:rPr>
          <w:rFonts w:ascii="Times New Roman" w:cs="Times New Roman" w:eastAsia="Times New Roman" w:hAnsi="Times New Roman"/>
          <w:sz w:val="14"/>
          <w:szCs w:val="14"/>
          <w:color w:val="auto"/>
        </w:rPr>
      </w:pPr>
      <w:r>
        <w:rPr>
          <w:rFonts w:ascii="Arial" w:cs="Arial" w:eastAsia="Arial" w:hAnsi="Arial"/>
          <w:sz w:val="14"/>
          <w:szCs w:val="14"/>
          <w:color w:val="auto"/>
        </w:rPr>
        <w:t>The dollar amounts reported in this column represent the amount of the CAP for Mr. Haack, as computed in accordance with Item 402(v)(2)(iii) of Regulation S-K. Mr. Haack did not participate during these fiscal years in any defined benefit or actuarial benefit plans of the type that would be required to be reported in the Summary Compensation Table. The reported CAP amount for fiscal 2024 has been updated to reflect revised fair value calculations at fiscal year-end for outstanding performance awards, resulting in a reduction in the previously-reported CAP for that fiscal year of less than 1.0%; the CAP for fiscal years 2021-2023 is unchanged from prior disclosure. In accordance with the requirements of Item 402(v) of Regulation S-K, the following adjustments were made to Mr. Haack’s total compensation for fiscal 2025 and prior fiscal years included in the table to determine CAP:</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00" w:type="dxa"/>
            <w:vAlign w:val="bottom"/>
            <w:vMerge w:val="restart"/>
          </w:tcPr>
          <w:p>
            <w:pPr>
              <w:ind w:left="20"/>
              <w:spacing w:after="0"/>
              <w:rPr>
                <w:sz w:val="20"/>
                <w:szCs w:val="20"/>
                <w:color w:val="auto"/>
              </w:rPr>
            </w:pPr>
            <w:r>
              <w:rPr>
                <w:rFonts w:ascii="Arial" w:cs="Arial" w:eastAsia="Arial" w:hAnsi="Arial"/>
                <w:sz w:val="13"/>
                <w:szCs w:val="13"/>
                <w:b w:val="1"/>
                <w:bCs w:val="1"/>
                <w:color w:val="051972"/>
              </w:rPr>
              <w:t>Fiscal</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051972"/>
                <w:w w:val="96"/>
              </w:rPr>
              <w:t>Reported Summary</w:t>
            </w:r>
          </w:p>
        </w:tc>
        <w:tc>
          <w:tcPr>
            <w:tcW w:w="2100" w:type="dxa"/>
            <w:vAlign w:val="bottom"/>
            <w:vMerge w:val="restart"/>
          </w:tcPr>
          <w:p>
            <w:pPr>
              <w:jc w:val="center"/>
              <w:spacing w:after="0"/>
              <w:rPr>
                <w:sz w:val="20"/>
                <w:szCs w:val="20"/>
                <w:color w:val="auto"/>
              </w:rPr>
            </w:pPr>
            <w:r>
              <w:rPr>
                <w:rFonts w:ascii="Arial" w:cs="Arial" w:eastAsia="Arial" w:hAnsi="Arial"/>
                <w:sz w:val="13"/>
                <w:szCs w:val="13"/>
                <w:b w:val="1"/>
                <w:bCs w:val="1"/>
                <w:color w:val="051972"/>
                <w:w w:val="97"/>
              </w:rPr>
              <w:t>Reported Value of</w:t>
            </w:r>
          </w:p>
        </w:tc>
        <w:tc>
          <w:tcPr>
            <w:tcW w:w="18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051972"/>
                <w:w w:val="96"/>
              </w:rPr>
              <w:t>Equity Award</w:t>
            </w:r>
          </w:p>
        </w:tc>
        <w:tc>
          <w:tcPr>
            <w:tcW w:w="2120" w:type="dxa"/>
            <w:vAlign w:val="bottom"/>
            <w:vMerge w:val="restart"/>
          </w:tcPr>
          <w:p>
            <w:pPr>
              <w:jc w:val="center"/>
              <w:ind w:left="137"/>
              <w:spacing w:after="0"/>
              <w:rPr>
                <w:sz w:val="20"/>
                <w:szCs w:val="20"/>
                <w:color w:val="auto"/>
              </w:rPr>
            </w:pPr>
            <w:r>
              <w:rPr>
                <w:rFonts w:ascii="Arial" w:cs="Arial" w:eastAsia="Arial" w:hAnsi="Arial"/>
                <w:sz w:val="13"/>
                <w:szCs w:val="13"/>
                <w:b w:val="1"/>
                <w:bCs w:val="1"/>
                <w:color w:val="051972"/>
                <w:w w:val="96"/>
              </w:rPr>
              <w:t>Compensation Actually</w:t>
            </w:r>
          </w:p>
        </w:tc>
        <w:tc>
          <w:tcPr>
            <w:tcW w:w="0" w:type="dxa"/>
            <w:vAlign w:val="bottom"/>
          </w:tcPr>
          <w:p>
            <w:pPr>
              <w:spacing w:after="0"/>
              <w:rPr>
                <w:sz w:val="1"/>
                <w:szCs w:val="1"/>
                <w:color w:val="auto"/>
              </w:rPr>
            </w:pPr>
          </w:p>
        </w:tc>
      </w:tr>
      <w:tr>
        <w:trPr>
          <w:trHeight w:val="126"/>
        </w:trPr>
        <w:tc>
          <w:tcPr>
            <w:tcW w:w="2000" w:type="dxa"/>
            <w:vAlign w:val="bottom"/>
            <w:vMerge w:val="continue"/>
          </w:tcPr>
          <w:p>
            <w:pPr>
              <w:spacing w:after="0"/>
              <w:rPr>
                <w:sz w:val="10"/>
                <w:szCs w:val="10"/>
                <w:color w:val="auto"/>
              </w:rPr>
            </w:pPr>
          </w:p>
        </w:tc>
        <w:tc>
          <w:tcPr>
            <w:tcW w:w="2240" w:type="dxa"/>
            <w:vAlign w:val="bottom"/>
          </w:tcPr>
          <w:p>
            <w:pPr>
              <w:jc w:val="center"/>
              <w:spacing w:after="0" w:line="126" w:lineRule="exact"/>
              <w:rPr>
                <w:sz w:val="20"/>
                <w:szCs w:val="20"/>
                <w:color w:val="auto"/>
              </w:rPr>
            </w:pPr>
            <w:r>
              <w:rPr>
                <w:rFonts w:ascii="Arial" w:cs="Arial" w:eastAsia="Arial" w:hAnsi="Arial"/>
                <w:sz w:val="13"/>
                <w:szCs w:val="13"/>
                <w:b w:val="1"/>
                <w:bCs w:val="1"/>
                <w:color w:val="051972"/>
                <w:w w:val="96"/>
              </w:rPr>
              <w:t>Compensation Table</w:t>
            </w:r>
          </w:p>
        </w:tc>
        <w:tc>
          <w:tcPr>
            <w:tcW w:w="210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
              <w:spacing w:after="0" w:line="144" w:lineRule="exact"/>
              <w:rPr>
                <w:sz w:val="20"/>
                <w:szCs w:val="20"/>
                <w:color w:val="auto"/>
              </w:rPr>
            </w:pPr>
            <w:r>
              <w:rPr>
                <w:rFonts w:ascii="Arial" w:cs="Arial" w:eastAsia="Arial" w:hAnsi="Arial"/>
                <w:sz w:val="13"/>
                <w:szCs w:val="13"/>
                <w:b w:val="1"/>
                <w:bCs w:val="1"/>
                <w:color w:val="051972"/>
              </w:rPr>
              <w:t>Year Ended</w:t>
            </w:r>
          </w:p>
        </w:tc>
        <w:tc>
          <w:tcPr>
            <w:tcW w:w="2240" w:type="dxa"/>
            <w:vAlign w:val="bottom"/>
          </w:tcPr>
          <w:p>
            <w:pPr>
              <w:jc w:val="center"/>
              <w:spacing w:after="0" w:line="144" w:lineRule="exact"/>
              <w:rPr>
                <w:sz w:val="20"/>
                <w:szCs w:val="20"/>
                <w:color w:val="auto"/>
              </w:rPr>
            </w:pPr>
            <w:r>
              <w:rPr>
                <w:rFonts w:ascii="Arial" w:cs="Arial" w:eastAsia="Arial" w:hAnsi="Arial"/>
                <w:sz w:val="13"/>
                <w:szCs w:val="13"/>
                <w:b w:val="1"/>
                <w:bCs w:val="1"/>
                <w:color w:val="051972"/>
                <w:w w:val="96"/>
              </w:rPr>
              <w:t>Total for PEO</w:t>
            </w:r>
          </w:p>
        </w:tc>
        <w:tc>
          <w:tcPr>
            <w:tcW w:w="2100" w:type="dxa"/>
            <w:vAlign w:val="bottom"/>
          </w:tcPr>
          <w:p>
            <w:pPr>
              <w:jc w:val="center"/>
              <w:ind w:right="17"/>
              <w:spacing w:after="0" w:line="144" w:lineRule="exact"/>
              <w:rPr>
                <w:sz w:val="20"/>
                <w:szCs w:val="20"/>
                <w:color w:val="auto"/>
              </w:rPr>
            </w:pPr>
            <w:r>
              <w:rPr>
                <w:rFonts w:ascii="Arial" w:cs="Arial" w:eastAsia="Arial" w:hAnsi="Arial"/>
                <w:sz w:val="13"/>
                <w:szCs w:val="13"/>
                <w:b w:val="1"/>
                <w:bCs w:val="1"/>
                <w:color w:val="051972"/>
                <w:w w:val="94"/>
              </w:rPr>
              <w:t>Equity Awards</w:t>
            </w:r>
            <w:r>
              <w:rPr>
                <w:rFonts w:ascii="Arial" w:cs="Arial" w:eastAsia="Arial" w:hAnsi="Arial"/>
                <w:sz w:val="16"/>
                <w:szCs w:val="16"/>
                <w:b w:val="1"/>
                <w:bCs w:val="1"/>
                <w:color w:val="051972"/>
                <w:w w:val="94"/>
                <w:vertAlign w:val="superscript"/>
              </w:rPr>
              <w:t>(a)</w:t>
            </w:r>
          </w:p>
        </w:tc>
        <w:tc>
          <w:tcPr>
            <w:tcW w:w="1880" w:type="dxa"/>
            <w:vAlign w:val="bottom"/>
          </w:tcPr>
          <w:p>
            <w:pPr>
              <w:jc w:val="center"/>
              <w:ind w:left="17"/>
              <w:spacing w:after="0" w:line="144" w:lineRule="exact"/>
              <w:rPr>
                <w:sz w:val="20"/>
                <w:szCs w:val="20"/>
                <w:color w:val="auto"/>
              </w:rPr>
            </w:pPr>
            <w:r>
              <w:rPr>
                <w:rFonts w:ascii="Arial" w:cs="Arial" w:eastAsia="Arial" w:hAnsi="Arial"/>
                <w:sz w:val="13"/>
                <w:szCs w:val="13"/>
                <w:b w:val="1"/>
                <w:bCs w:val="1"/>
                <w:color w:val="051972"/>
                <w:w w:val="95"/>
              </w:rPr>
              <w:t>Adjustments</w:t>
            </w:r>
            <w:r>
              <w:rPr>
                <w:rFonts w:ascii="Arial" w:cs="Arial" w:eastAsia="Arial" w:hAnsi="Arial"/>
                <w:sz w:val="16"/>
                <w:szCs w:val="16"/>
                <w:b w:val="1"/>
                <w:bCs w:val="1"/>
                <w:color w:val="051972"/>
                <w:w w:val="95"/>
                <w:vertAlign w:val="superscript"/>
              </w:rPr>
              <w:t>(b)</w:t>
            </w:r>
          </w:p>
        </w:tc>
        <w:tc>
          <w:tcPr>
            <w:tcW w:w="2120" w:type="dxa"/>
            <w:vAlign w:val="bottom"/>
          </w:tcPr>
          <w:p>
            <w:pPr>
              <w:jc w:val="center"/>
              <w:ind w:left="137"/>
              <w:spacing w:after="0" w:line="144" w:lineRule="exact"/>
              <w:rPr>
                <w:sz w:val="20"/>
                <w:szCs w:val="20"/>
                <w:color w:val="auto"/>
              </w:rPr>
            </w:pPr>
            <w:r>
              <w:rPr>
                <w:rFonts w:ascii="Arial" w:cs="Arial" w:eastAsia="Arial" w:hAnsi="Arial"/>
                <w:sz w:val="13"/>
                <w:szCs w:val="13"/>
                <w:b w:val="1"/>
                <w:bCs w:val="1"/>
                <w:color w:val="051972"/>
                <w:w w:val="96"/>
              </w:rPr>
              <w:t>Paid to PEO</w:t>
            </w:r>
          </w:p>
        </w:tc>
        <w:tc>
          <w:tcPr>
            <w:tcW w:w="0" w:type="dxa"/>
            <w:vAlign w:val="bottom"/>
          </w:tcPr>
          <w:p>
            <w:pPr>
              <w:spacing w:after="0"/>
              <w:rPr>
                <w:sz w:val="1"/>
                <w:szCs w:val="1"/>
                <w:color w:val="auto"/>
              </w:rPr>
            </w:pPr>
          </w:p>
        </w:tc>
      </w:tr>
      <w:tr>
        <w:trPr>
          <w:trHeight w:val="172"/>
        </w:trPr>
        <w:tc>
          <w:tcPr>
            <w:tcW w:w="2000" w:type="dxa"/>
            <w:vAlign w:val="bottom"/>
          </w:tcPr>
          <w:p>
            <w:pPr>
              <w:ind w:left="20"/>
              <w:spacing w:after="0"/>
              <w:rPr>
                <w:sz w:val="20"/>
                <w:szCs w:val="20"/>
                <w:color w:val="auto"/>
              </w:rPr>
            </w:pPr>
            <w:r>
              <w:rPr>
                <w:rFonts w:ascii="Arial" w:cs="Arial" w:eastAsia="Arial" w:hAnsi="Arial"/>
                <w:sz w:val="13"/>
                <w:szCs w:val="13"/>
                <w:b w:val="1"/>
                <w:bCs w:val="1"/>
                <w:color w:val="051972"/>
              </w:rPr>
              <w:t>March 31,</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051972"/>
                <w:w w:val="87"/>
              </w:rPr>
              <w:t>($)</w:t>
            </w:r>
          </w:p>
        </w:tc>
        <w:tc>
          <w:tcPr>
            <w:tcW w:w="2100" w:type="dxa"/>
            <w:vAlign w:val="bottom"/>
          </w:tcPr>
          <w:p>
            <w:pPr>
              <w:jc w:val="center"/>
              <w:ind w:right="17"/>
              <w:spacing w:after="0"/>
              <w:rPr>
                <w:sz w:val="20"/>
                <w:szCs w:val="20"/>
                <w:color w:val="auto"/>
              </w:rPr>
            </w:pPr>
            <w:r>
              <w:rPr>
                <w:rFonts w:ascii="Arial" w:cs="Arial" w:eastAsia="Arial" w:hAnsi="Arial"/>
                <w:sz w:val="13"/>
                <w:szCs w:val="13"/>
                <w:b w:val="1"/>
                <w:bCs w:val="1"/>
                <w:color w:val="051972"/>
                <w:w w:val="87"/>
              </w:rPr>
              <w:t>($)</w:t>
            </w:r>
          </w:p>
        </w:tc>
        <w:tc>
          <w:tcPr>
            <w:tcW w:w="1880" w:type="dxa"/>
            <w:vAlign w:val="bottom"/>
          </w:tcPr>
          <w:p>
            <w:pPr>
              <w:jc w:val="center"/>
              <w:ind w:left="17"/>
              <w:spacing w:after="0"/>
              <w:rPr>
                <w:sz w:val="20"/>
                <w:szCs w:val="20"/>
                <w:color w:val="auto"/>
              </w:rPr>
            </w:pPr>
            <w:r>
              <w:rPr>
                <w:rFonts w:ascii="Arial" w:cs="Arial" w:eastAsia="Arial" w:hAnsi="Arial"/>
                <w:sz w:val="13"/>
                <w:szCs w:val="13"/>
                <w:b w:val="1"/>
                <w:bCs w:val="1"/>
                <w:color w:val="051972"/>
              </w:rPr>
              <w:t>($)</w:t>
            </w:r>
          </w:p>
        </w:tc>
        <w:tc>
          <w:tcPr>
            <w:tcW w:w="2120" w:type="dxa"/>
            <w:vAlign w:val="bottom"/>
          </w:tcPr>
          <w:p>
            <w:pPr>
              <w:jc w:val="center"/>
              <w:ind w:left="137"/>
              <w:spacing w:after="0"/>
              <w:rPr>
                <w:sz w:val="20"/>
                <w:szCs w:val="20"/>
                <w:color w:val="auto"/>
              </w:rPr>
            </w:pPr>
            <w:r>
              <w:rPr>
                <w:rFonts w:ascii="Arial" w:cs="Arial" w:eastAsia="Arial" w:hAnsi="Arial"/>
                <w:sz w:val="13"/>
                <w:szCs w:val="13"/>
                <w:b w:val="1"/>
                <w:bCs w:val="1"/>
                <w:color w:val="051972"/>
              </w:rPr>
              <w:t>($)</w:t>
            </w:r>
          </w:p>
        </w:tc>
        <w:tc>
          <w:tcPr>
            <w:tcW w:w="0" w:type="dxa"/>
            <w:vAlign w:val="bottom"/>
          </w:tcPr>
          <w:p>
            <w:pPr>
              <w:spacing w:after="0"/>
              <w:rPr>
                <w:sz w:val="1"/>
                <w:szCs w:val="1"/>
                <w:color w:val="auto"/>
              </w:rPr>
            </w:pPr>
          </w:p>
        </w:tc>
      </w:tr>
      <w:tr>
        <w:trPr>
          <w:trHeight w:val="22"/>
        </w:trPr>
        <w:tc>
          <w:tcPr>
            <w:tcW w:w="2000" w:type="dxa"/>
            <w:vAlign w:val="bottom"/>
            <w:tcBorders>
              <w:bottom w:val="single" w:sz="8" w:color="051972"/>
            </w:tcBorders>
          </w:tcPr>
          <w:p>
            <w:pPr>
              <w:spacing w:after="0" w:line="20" w:lineRule="exact"/>
              <w:rPr>
                <w:sz w:val="1"/>
                <w:szCs w:val="1"/>
                <w:color w:val="auto"/>
              </w:rPr>
            </w:pPr>
          </w:p>
        </w:tc>
        <w:tc>
          <w:tcPr>
            <w:tcW w:w="2240" w:type="dxa"/>
            <w:vAlign w:val="bottom"/>
            <w:tcBorders>
              <w:bottom w:val="single" w:sz="8" w:color="051972"/>
            </w:tcBorders>
          </w:tcPr>
          <w:p>
            <w:pPr>
              <w:spacing w:after="0" w:line="20" w:lineRule="exact"/>
              <w:rPr>
                <w:sz w:val="1"/>
                <w:szCs w:val="1"/>
                <w:color w:val="auto"/>
              </w:rPr>
            </w:pPr>
          </w:p>
        </w:tc>
        <w:tc>
          <w:tcPr>
            <w:tcW w:w="2100" w:type="dxa"/>
            <w:vAlign w:val="bottom"/>
            <w:tcBorders>
              <w:bottom w:val="single" w:sz="8" w:color="051972"/>
            </w:tcBorders>
          </w:tcPr>
          <w:p>
            <w:pPr>
              <w:spacing w:after="0" w:line="20" w:lineRule="exact"/>
              <w:rPr>
                <w:sz w:val="1"/>
                <w:szCs w:val="1"/>
                <w:color w:val="auto"/>
              </w:rPr>
            </w:pPr>
          </w:p>
        </w:tc>
        <w:tc>
          <w:tcPr>
            <w:tcW w:w="1880" w:type="dxa"/>
            <w:vAlign w:val="bottom"/>
            <w:tcBorders>
              <w:bottom w:val="single" w:sz="8" w:color="051972"/>
            </w:tcBorders>
          </w:tcPr>
          <w:p>
            <w:pPr>
              <w:spacing w:after="0" w:line="20" w:lineRule="exact"/>
              <w:rPr>
                <w:sz w:val="1"/>
                <w:szCs w:val="1"/>
                <w:color w:val="auto"/>
              </w:rPr>
            </w:pPr>
          </w:p>
        </w:tc>
        <w:tc>
          <w:tcPr>
            <w:tcW w:w="2120" w:type="dxa"/>
            <w:vAlign w:val="bottom"/>
            <w:tcBorders>
              <w:bottom w:val="single" w:sz="8" w:color="05197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2025</w:t>
            </w:r>
          </w:p>
        </w:tc>
        <w:tc>
          <w:tcPr>
            <w:tcW w:w="2240" w:type="dxa"/>
            <w:vAlign w:val="bottom"/>
            <w:tcBorders>
              <w:bottom w:val="single" w:sz="8" w:color="E7E7E8"/>
            </w:tcBorders>
            <w:shd w:val="clear" w:color="auto" w:fill="E7E7E8"/>
          </w:tcPr>
          <w:p>
            <w:pPr>
              <w:jc w:val="right"/>
              <w:ind w:right="637"/>
              <w:spacing w:after="0"/>
              <w:rPr>
                <w:sz w:val="20"/>
                <w:szCs w:val="20"/>
                <w:color w:val="auto"/>
              </w:rPr>
            </w:pPr>
            <w:r>
              <w:rPr>
                <w:rFonts w:ascii="Arial" w:cs="Arial" w:eastAsia="Arial" w:hAnsi="Arial"/>
                <w:sz w:val="13"/>
                <w:szCs w:val="13"/>
                <w:color w:val="auto"/>
              </w:rPr>
              <w:t>10,031,035</w:t>
            </w:r>
          </w:p>
        </w:tc>
        <w:tc>
          <w:tcPr>
            <w:tcW w:w="2100" w:type="dxa"/>
            <w:vAlign w:val="bottom"/>
            <w:tcBorders>
              <w:bottom w:val="single" w:sz="8" w:color="E7E7E8"/>
            </w:tcBorders>
            <w:shd w:val="clear" w:color="auto" w:fill="E7E7E8"/>
          </w:tcPr>
          <w:p>
            <w:pPr>
              <w:jc w:val="right"/>
              <w:ind w:right="557"/>
              <w:spacing w:after="0"/>
              <w:rPr>
                <w:sz w:val="20"/>
                <w:szCs w:val="20"/>
                <w:color w:val="auto"/>
              </w:rPr>
            </w:pPr>
            <w:r>
              <w:rPr>
                <w:rFonts w:ascii="Arial" w:cs="Arial" w:eastAsia="Arial" w:hAnsi="Arial"/>
                <w:sz w:val="13"/>
                <w:szCs w:val="13"/>
                <w:color w:val="auto"/>
              </w:rPr>
              <w:t>(6,888,323)</w:t>
            </w:r>
          </w:p>
        </w:tc>
        <w:tc>
          <w:tcPr>
            <w:tcW w:w="1880" w:type="dxa"/>
            <w:vAlign w:val="bottom"/>
            <w:tcBorders>
              <w:bottom w:val="single" w:sz="8" w:color="E7E7E8"/>
            </w:tcBorders>
            <w:shd w:val="clear" w:color="auto" w:fill="E7E7E8"/>
          </w:tcPr>
          <w:p>
            <w:pPr>
              <w:jc w:val="right"/>
              <w:ind w:right="437"/>
              <w:spacing w:after="0"/>
              <w:rPr>
                <w:sz w:val="20"/>
                <w:szCs w:val="20"/>
                <w:color w:val="auto"/>
              </w:rPr>
            </w:pPr>
            <w:r>
              <w:rPr>
                <w:rFonts w:ascii="Arial" w:cs="Arial" w:eastAsia="Arial" w:hAnsi="Arial"/>
                <w:sz w:val="13"/>
                <w:szCs w:val="13"/>
                <w:color w:val="auto"/>
              </w:rPr>
              <w:t>4,044,797</w:t>
            </w:r>
          </w:p>
        </w:tc>
        <w:tc>
          <w:tcPr>
            <w:tcW w:w="2120" w:type="dxa"/>
            <w:vAlign w:val="bottom"/>
            <w:tcBorders>
              <w:bottom w:val="single" w:sz="8" w:color="E7E7E8"/>
            </w:tcBorders>
            <w:shd w:val="clear" w:color="auto" w:fill="E7E7E8"/>
          </w:tcPr>
          <w:p>
            <w:pPr>
              <w:jc w:val="right"/>
              <w:ind w:right="497"/>
              <w:spacing w:after="0"/>
              <w:rPr>
                <w:sz w:val="20"/>
                <w:szCs w:val="20"/>
                <w:color w:val="auto"/>
              </w:rPr>
            </w:pPr>
            <w:r>
              <w:rPr>
                <w:rFonts w:ascii="Arial" w:cs="Arial" w:eastAsia="Arial" w:hAnsi="Arial"/>
                <w:sz w:val="13"/>
                <w:szCs w:val="13"/>
                <w:color w:val="auto"/>
              </w:rPr>
              <w:t>7,187,509</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Arial" w:cs="Arial" w:eastAsia="Arial" w:hAnsi="Arial"/>
                <w:sz w:val="13"/>
                <w:szCs w:val="13"/>
                <w:color w:val="auto"/>
              </w:rPr>
              <w:t>2024</w:t>
            </w:r>
          </w:p>
        </w:tc>
        <w:tc>
          <w:tcPr>
            <w:tcW w:w="2240" w:type="dxa"/>
            <w:vAlign w:val="bottom"/>
          </w:tcPr>
          <w:p>
            <w:pPr>
              <w:jc w:val="right"/>
              <w:ind w:right="637"/>
              <w:spacing w:after="0"/>
              <w:rPr>
                <w:sz w:val="20"/>
                <w:szCs w:val="20"/>
                <w:color w:val="auto"/>
              </w:rPr>
            </w:pPr>
            <w:r>
              <w:rPr>
                <w:rFonts w:ascii="Arial" w:cs="Arial" w:eastAsia="Arial" w:hAnsi="Arial"/>
                <w:sz w:val="13"/>
                <w:szCs w:val="13"/>
                <w:color w:val="auto"/>
              </w:rPr>
              <w:t>8,464,214</w:t>
            </w:r>
          </w:p>
        </w:tc>
        <w:tc>
          <w:tcPr>
            <w:tcW w:w="2100" w:type="dxa"/>
            <w:vAlign w:val="bottom"/>
          </w:tcPr>
          <w:p>
            <w:pPr>
              <w:jc w:val="right"/>
              <w:ind w:right="557"/>
              <w:spacing w:after="0"/>
              <w:rPr>
                <w:sz w:val="20"/>
                <w:szCs w:val="20"/>
                <w:color w:val="auto"/>
              </w:rPr>
            </w:pPr>
            <w:r>
              <w:rPr>
                <w:rFonts w:ascii="Arial" w:cs="Arial" w:eastAsia="Arial" w:hAnsi="Arial"/>
                <w:sz w:val="13"/>
                <w:szCs w:val="13"/>
                <w:color w:val="auto"/>
              </w:rPr>
              <w:t>(5,208,137)</w:t>
            </w:r>
          </w:p>
        </w:tc>
        <w:tc>
          <w:tcPr>
            <w:tcW w:w="1880" w:type="dxa"/>
            <w:vAlign w:val="bottom"/>
          </w:tcPr>
          <w:p>
            <w:pPr>
              <w:jc w:val="right"/>
              <w:ind w:right="437"/>
              <w:spacing w:after="0"/>
              <w:rPr>
                <w:sz w:val="20"/>
                <w:szCs w:val="20"/>
                <w:color w:val="auto"/>
              </w:rPr>
            </w:pPr>
            <w:r>
              <w:rPr>
                <w:rFonts w:ascii="Arial" w:cs="Arial" w:eastAsia="Arial" w:hAnsi="Arial"/>
                <w:sz w:val="13"/>
                <w:szCs w:val="13"/>
                <w:color w:val="auto"/>
              </w:rPr>
              <w:t>19,365,033</w:t>
            </w:r>
          </w:p>
        </w:tc>
        <w:tc>
          <w:tcPr>
            <w:tcW w:w="2120" w:type="dxa"/>
            <w:vAlign w:val="bottom"/>
          </w:tcPr>
          <w:p>
            <w:pPr>
              <w:jc w:val="right"/>
              <w:ind w:right="497"/>
              <w:spacing w:after="0"/>
              <w:rPr>
                <w:sz w:val="20"/>
                <w:szCs w:val="20"/>
                <w:color w:val="auto"/>
              </w:rPr>
            </w:pPr>
            <w:r>
              <w:rPr>
                <w:rFonts w:ascii="Arial" w:cs="Arial" w:eastAsia="Arial" w:hAnsi="Arial"/>
                <w:sz w:val="13"/>
                <w:szCs w:val="13"/>
                <w:color w:val="auto"/>
              </w:rPr>
              <w:t>22,621,110</w:t>
            </w:r>
          </w:p>
        </w:tc>
        <w:tc>
          <w:tcPr>
            <w:tcW w:w="0" w:type="dxa"/>
            <w:vAlign w:val="bottom"/>
          </w:tcPr>
          <w:p>
            <w:pPr>
              <w:spacing w:after="0"/>
              <w:rPr>
                <w:sz w:val="1"/>
                <w:szCs w:val="1"/>
                <w:color w:val="auto"/>
              </w:rPr>
            </w:pPr>
          </w:p>
        </w:tc>
      </w:tr>
      <w:tr>
        <w:trPr>
          <w:trHeight w:val="28"/>
        </w:trPr>
        <w:tc>
          <w:tcPr>
            <w:tcW w:w="2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2023</w:t>
            </w:r>
          </w:p>
        </w:tc>
        <w:tc>
          <w:tcPr>
            <w:tcW w:w="2240" w:type="dxa"/>
            <w:vAlign w:val="bottom"/>
            <w:tcBorders>
              <w:bottom w:val="single" w:sz="8" w:color="E7E7E8"/>
            </w:tcBorders>
            <w:shd w:val="clear" w:color="auto" w:fill="E7E7E8"/>
          </w:tcPr>
          <w:p>
            <w:pPr>
              <w:jc w:val="right"/>
              <w:ind w:right="637"/>
              <w:spacing w:after="0"/>
              <w:rPr>
                <w:sz w:val="20"/>
                <w:szCs w:val="20"/>
                <w:color w:val="auto"/>
              </w:rPr>
            </w:pPr>
            <w:r>
              <w:rPr>
                <w:rFonts w:ascii="Arial" w:cs="Arial" w:eastAsia="Arial" w:hAnsi="Arial"/>
                <w:sz w:val="13"/>
                <w:szCs w:val="13"/>
                <w:color w:val="auto"/>
              </w:rPr>
              <w:t>7,997,493</w:t>
            </w:r>
          </w:p>
        </w:tc>
        <w:tc>
          <w:tcPr>
            <w:tcW w:w="2100" w:type="dxa"/>
            <w:vAlign w:val="bottom"/>
            <w:tcBorders>
              <w:bottom w:val="single" w:sz="8" w:color="E7E7E8"/>
            </w:tcBorders>
            <w:shd w:val="clear" w:color="auto" w:fill="E7E7E8"/>
          </w:tcPr>
          <w:p>
            <w:pPr>
              <w:jc w:val="right"/>
              <w:ind w:right="557"/>
              <w:spacing w:after="0"/>
              <w:rPr>
                <w:sz w:val="20"/>
                <w:szCs w:val="20"/>
                <w:color w:val="auto"/>
              </w:rPr>
            </w:pPr>
            <w:r>
              <w:rPr>
                <w:rFonts w:ascii="Arial" w:cs="Arial" w:eastAsia="Arial" w:hAnsi="Arial"/>
                <w:sz w:val="13"/>
                <w:szCs w:val="13"/>
                <w:color w:val="auto"/>
              </w:rPr>
              <w:t>(4,882,705)</w:t>
            </w:r>
          </w:p>
        </w:tc>
        <w:tc>
          <w:tcPr>
            <w:tcW w:w="1880" w:type="dxa"/>
            <w:vAlign w:val="bottom"/>
            <w:tcBorders>
              <w:bottom w:val="single" w:sz="8" w:color="E7E7E8"/>
            </w:tcBorders>
            <w:shd w:val="clear" w:color="auto" w:fill="E7E7E8"/>
          </w:tcPr>
          <w:p>
            <w:pPr>
              <w:jc w:val="right"/>
              <w:ind w:right="437"/>
              <w:spacing w:after="0"/>
              <w:rPr>
                <w:sz w:val="20"/>
                <w:szCs w:val="20"/>
                <w:color w:val="auto"/>
              </w:rPr>
            </w:pPr>
            <w:r>
              <w:rPr>
                <w:rFonts w:ascii="Arial" w:cs="Arial" w:eastAsia="Arial" w:hAnsi="Arial"/>
                <w:sz w:val="13"/>
                <w:szCs w:val="13"/>
                <w:color w:val="auto"/>
              </w:rPr>
              <w:t>7,821,358</w:t>
            </w:r>
          </w:p>
        </w:tc>
        <w:tc>
          <w:tcPr>
            <w:tcW w:w="2120" w:type="dxa"/>
            <w:vAlign w:val="bottom"/>
            <w:tcBorders>
              <w:bottom w:val="single" w:sz="8" w:color="E7E7E8"/>
            </w:tcBorders>
            <w:shd w:val="clear" w:color="auto" w:fill="E7E7E8"/>
          </w:tcPr>
          <w:p>
            <w:pPr>
              <w:jc w:val="right"/>
              <w:ind w:right="497"/>
              <w:spacing w:after="0"/>
              <w:rPr>
                <w:sz w:val="20"/>
                <w:szCs w:val="20"/>
                <w:color w:val="auto"/>
              </w:rPr>
            </w:pPr>
            <w:r>
              <w:rPr>
                <w:rFonts w:ascii="Arial" w:cs="Arial" w:eastAsia="Arial" w:hAnsi="Arial"/>
                <w:sz w:val="13"/>
                <w:szCs w:val="13"/>
                <w:color w:val="auto"/>
              </w:rPr>
              <w:t>10,936,146</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Arial" w:cs="Arial" w:eastAsia="Arial" w:hAnsi="Arial"/>
                <w:sz w:val="13"/>
                <w:szCs w:val="13"/>
                <w:color w:val="auto"/>
              </w:rPr>
              <w:t>2022</w:t>
            </w:r>
          </w:p>
        </w:tc>
        <w:tc>
          <w:tcPr>
            <w:tcW w:w="2240" w:type="dxa"/>
            <w:vAlign w:val="bottom"/>
          </w:tcPr>
          <w:p>
            <w:pPr>
              <w:jc w:val="right"/>
              <w:ind w:right="637"/>
              <w:spacing w:after="0"/>
              <w:rPr>
                <w:sz w:val="20"/>
                <w:szCs w:val="20"/>
                <w:color w:val="auto"/>
              </w:rPr>
            </w:pPr>
            <w:r>
              <w:rPr>
                <w:rFonts w:ascii="Arial" w:cs="Arial" w:eastAsia="Arial" w:hAnsi="Arial"/>
                <w:sz w:val="13"/>
                <w:szCs w:val="13"/>
                <w:color w:val="auto"/>
              </w:rPr>
              <w:t>6,975,909</w:t>
            </w:r>
          </w:p>
        </w:tc>
        <w:tc>
          <w:tcPr>
            <w:tcW w:w="2100" w:type="dxa"/>
            <w:vAlign w:val="bottom"/>
          </w:tcPr>
          <w:p>
            <w:pPr>
              <w:jc w:val="right"/>
              <w:ind w:right="557"/>
              <w:spacing w:after="0"/>
              <w:rPr>
                <w:sz w:val="20"/>
                <w:szCs w:val="20"/>
                <w:color w:val="auto"/>
              </w:rPr>
            </w:pPr>
            <w:r>
              <w:rPr>
                <w:rFonts w:ascii="Arial" w:cs="Arial" w:eastAsia="Arial" w:hAnsi="Arial"/>
                <w:sz w:val="13"/>
                <w:szCs w:val="13"/>
                <w:color w:val="auto"/>
              </w:rPr>
              <w:t>(4,340,159)</w:t>
            </w:r>
          </w:p>
        </w:tc>
        <w:tc>
          <w:tcPr>
            <w:tcW w:w="1880" w:type="dxa"/>
            <w:vAlign w:val="bottom"/>
          </w:tcPr>
          <w:p>
            <w:pPr>
              <w:jc w:val="right"/>
              <w:ind w:right="437"/>
              <w:spacing w:after="0"/>
              <w:rPr>
                <w:sz w:val="20"/>
                <w:szCs w:val="20"/>
                <w:color w:val="auto"/>
              </w:rPr>
            </w:pPr>
            <w:r>
              <w:rPr>
                <w:rFonts w:ascii="Arial" w:cs="Arial" w:eastAsia="Arial" w:hAnsi="Arial"/>
                <w:sz w:val="13"/>
                <w:szCs w:val="13"/>
                <w:color w:val="auto"/>
              </w:rPr>
              <w:t>4,009,453</w:t>
            </w:r>
          </w:p>
        </w:tc>
        <w:tc>
          <w:tcPr>
            <w:tcW w:w="2120" w:type="dxa"/>
            <w:vAlign w:val="bottom"/>
          </w:tcPr>
          <w:p>
            <w:pPr>
              <w:jc w:val="right"/>
              <w:ind w:right="497"/>
              <w:spacing w:after="0"/>
              <w:rPr>
                <w:sz w:val="20"/>
                <w:szCs w:val="20"/>
                <w:color w:val="auto"/>
              </w:rPr>
            </w:pPr>
            <w:r>
              <w:rPr>
                <w:rFonts w:ascii="Arial" w:cs="Arial" w:eastAsia="Arial" w:hAnsi="Arial"/>
                <w:sz w:val="13"/>
                <w:szCs w:val="13"/>
                <w:color w:val="auto"/>
              </w:rPr>
              <w:t>6,645,203</w:t>
            </w:r>
          </w:p>
        </w:tc>
        <w:tc>
          <w:tcPr>
            <w:tcW w:w="0" w:type="dxa"/>
            <w:vAlign w:val="bottom"/>
          </w:tcPr>
          <w:p>
            <w:pPr>
              <w:spacing w:after="0"/>
              <w:rPr>
                <w:sz w:val="1"/>
                <w:szCs w:val="1"/>
                <w:color w:val="auto"/>
              </w:rPr>
            </w:pPr>
          </w:p>
        </w:tc>
      </w:tr>
      <w:tr>
        <w:trPr>
          <w:trHeight w:val="28"/>
        </w:trPr>
        <w:tc>
          <w:tcPr>
            <w:tcW w:w="2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3"/>
                <w:szCs w:val="13"/>
                <w:color w:val="auto"/>
              </w:rPr>
              <w:t>2021</w:t>
            </w:r>
          </w:p>
        </w:tc>
        <w:tc>
          <w:tcPr>
            <w:tcW w:w="2240" w:type="dxa"/>
            <w:vAlign w:val="bottom"/>
            <w:tcBorders>
              <w:bottom w:val="single" w:sz="8" w:color="E7E7E8"/>
            </w:tcBorders>
            <w:shd w:val="clear" w:color="auto" w:fill="E7E7E8"/>
          </w:tcPr>
          <w:p>
            <w:pPr>
              <w:jc w:val="right"/>
              <w:ind w:right="637"/>
              <w:spacing w:after="0"/>
              <w:rPr>
                <w:sz w:val="20"/>
                <w:szCs w:val="20"/>
                <w:color w:val="auto"/>
              </w:rPr>
            </w:pPr>
            <w:r>
              <w:rPr>
                <w:rFonts w:ascii="Arial" w:cs="Arial" w:eastAsia="Arial" w:hAnsi="Arial"/>
                <w:sz w:val="13"/>
                <w:szCs w:val="13"/>
                <w:color w:val="auto"/>
              </w:rPr>
              <w:t>6,058,635</w:t>
            </w:r>
          </w:p>
        </w:tc>
        <w:tc>
          <w:tcPr>
            <w:tcW w:w="2100" w:type="dxa"/>
            <w:vAlign w:val="bottom"/>
            <w:tcBorders>
              <w:bottom w:val="single" w:sz="8" w:color="E7E7E8"/>
            </w:tcBorders>
            <w:shd w:val="clear" w:color="auto" w:fill="E7E7E8"/>
          </w:tcPr>
          <w:p>
            <w:pPr>
              <w:jc w:val="right"/>
              <w:ind w:right="557"/>
              <w:spacing w:after="0"/>
              <w:rPr>
                <w:sz w:val="20"/>
                <w:szCs w:val="20"/>
                <w:color w:val="auto"/>
              </w:rPr>
            </w:pPr>
            <w:r>
              <w:rPr>
                <w:rFonts w:ascii="Arial" w:cs="Arial" w:eastAsia="Arial" w:hAnsi="Arial"/>
                <w:sz w:val="13"/>
                <w:szCs w:val="13"/>
                <w:color w:val="auto"/>
              </w:rPr>
              <w:t>(3,797,561)</w:t>
            </w:r>
          </w:p>
        </w:tc>
        <w:tc>
          <w:tcPr>
            <w:tcW w:w="1880" w:type="dxa"/>
            <w:vAlign w:val="bottom"/>
            <w:tcBorders>
              <w:bottom w:val="single" w:sz="8" w:color="E7E7E8"/>
            </w:tcBorders>
            <w:shd w:val="clear" w:color="auto" w:fill="E7E7E8"/>
          </w:tcPr>
          <w:p>
            <w:pPr>
              <w:jc w:val="right"/>
              <w:ind w:right="437"/>
              <w:spacing w:after="0"/>
              <w:rPr>
                <w:sz w:val="20"/>
                <w:szCs w:val="20"/>
                <w:color w:val="auto"/>
              </w:rPr>
            </w:pPr>
            <w:r>
              <w:rPr>
                <w:rFonts w:ascii="Arial" w:cs="Arial" w:eastAsia="Arial" w:hAnsi="Arial"/>
                <w:sz w:val="13"/>
                <w:szCs w:val="13"/>
                <w:color w:val="auto"/>
              </w:rPr>
              <w:t>15,418,033</w:t>
            </w:r>
          </w:p>
        </w:tc>
        <w:tc>
          <w:tcPr>
            <w:tcW w:w="2120" w:type="dxa"/>
            <w:vAlign w:val="bottom"/>
            <w:tcBorders>
              <w:bottom w:val="single" w:sz="8" w:color="E7E7E8"/>
            </w:tcBorders>
            <w:shd w:val="clear" w:color="auto" w:fill="E7E7E8"/>
          </w:tcPr>
          <w:p>
            <w:pPr>
              <w:jc w:val="right"/>
              <w:ind w:right="497"/>
              <w:spacing w:after="0"/>
              <w:rPr>
                <w:sz w:val="20"/>
                <w:szCs w:val="20"/>
                <w:color w:val="auto"/>
              </w:rPr>
            </w:pPr>
            <w:r>
              <w:rPr>
                <w:rFonts w:ascii="Arial" w:cs="Arial" w:eastAsia="Arial" w:hAnsi="Arial"/>
                <w:sz w:val="13"/>
                <w:szCs w:val="13"/>
                <w:color w:val="auto"/>
              </w:rPr>
              <w:t>17,679,107</w:t>
            </w:r>
          </w:p>
        </w:tc>
        <w:tc>
          <w:tcPr>
            <w:tcW w:w="0" w:type="dxa"/>
            <w:vAlign w:val="bottom"/>
          </w:tcPr>
          <w:p>
            <w:pPr>
              <w:spacing w:after="0"/>
              <w:rPr>
                <w:sz w:val="1"/>
                <w:szCs w:val="1"/>
                <w:color w:val="auto"/>
              </w:rPr>
            </w:pPr>
          </w:p>
        </w:tc>
      </w:tr>
      <w:tr>
        <w:trPr>
          <w:trHeight w:val="40"/>
        </w:trPr>
        <w:tc>
          <w:tcPr>
            <w:tcW w:w="2000" w:type="dxa"/>
            <w:vAlign w:val="bottom"/>
            <w:shd w:val="clear" w:color="auto" w:fill="051972"/>
          </w:tcPr>
          <w:p>
            <w:pPr>
              <w:spacing w:after="0"/>
              <w:rPr>
                <w:sz w:val="3"/>
                <w:szCs w:val="3"/>
                <w:color w:val="auto"/>
              </w:rPr>
            </w:pPr>
          </w:p>
        </w:tc>
        <w:tc>
          <w:tcPr>
            <w:tcW w:w="2240" w:type="dxa"/>
            <w:vAlign w:val="bottom"/>
            <w:shd w:val="clear" w:color="auto" w:fill="051972"/>
          </w:tcPr>
          <w:p>
            <w:pPr>
              <w:spacing w:after="0"/>
              <w:rPr>
                <w:sz w:val="3"/>
                <w:szCs w:val="3"/>
                <w:color w:val="auto"/>
              </w:rPr>
            </w:pPr>
          </w:p>
        </w:tc>
        <w:tc>
          <w:tcPr>
            <w:tcW w:w="2100" w:type="dxa"/>
            <w:vAlign w:val="bottom"/>
            <w:shd w:val="clear" w:color="auto" w:fill="051972"/>
          </w:tcPr>
          <w:p>
            <w:pPr>
              <w:spacing w:after="0"/>
              <w:rPr>
                <w:sz w:val="3"/>
                <w:szCs w:val="3"/>
                <w:color w:val="auto"/>
              </w:rPr>
            </w:pPr>
          </w:p>
        </w:tc>
        <w:tc>
          <w:tcPr>
            <w:tcW w:w="1880" w:type="dxa"/>
            <w:vAlign w:val="bottom"/>
            <w:shd w:val="clear" w:color="auto" w:fill="051972"/>
          </w:tcPr>
          <w:p>
            <w:pPr>
              <w:spacing w:after="0"/>
              <w:rPr>
                <w:sz w:val="3"/>
                <w:szCs w:val="3"/>
                <w:color w:val="auto"/>
              </w:rPr>
            </w:pPr>
          </w:p>
        </w:tc>
        <w:tc>
          <w:tcPr>
            <w:tcW w:w="2120" w:type="dxa"/>
            <w:vAlign w:val="bottom"/>
            <w:shd w:val="clear" w:color="auto" w:fill="051972"/>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62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7" w:name="page68"/>
    <w:bookmarkEnd w:id="67"/>
    <w:p>
      <w:pPr>
        <w:ind w:left="82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5137150</wp:posOffset>
            </wp:positionH>
            <wp:positionV relativeFrom="page">
              <wp:posOffset>526415</wp:posOffset>
            </wp:positionV>
            <wp:extent cx="2202815"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202815" cy="171450"/>
                    </a:xfrm>
                    <a:prstGeom prst="rect">
                      <a:avLst/>
                    </a:prstGeom>
                    <a:noFill/>
                  </pic:spPr>
                </pic:pic>
              </a:graphicData>
            </a:graphic>
          </wp:anchor>
        </w:drawing>
        <w:t>PAY VERSUS PERFORMANCE</w:t>
      </w:r>
    </w:p>
    <w:p>
      <w:pPr>
        <w:spacing w:after="0" w:line="154" w:lineRule="exact"/>
        <w:rPr>
          <w:sz w:val="20"/>
          <w:szCs w:val="20"/>
          <w:color w:val="auto"/>
        </w:rPr>
      </w:pPr>
    </w:p>
    <w:p>
      <w:pPr>
        <w:ind w:left="760" w:right="280" w:hanging="378"/>
        <w:spacing w:after="0" w:line="284" w:lineRule="auto"/>
        <w:tabs>
          <w:tab w:leader="none" w:pos="760" w:val="left"/>
        </w:tabs>
        <w:numPr>
          <w:ilvl w:val="0"/>
          <w:numId w:val="90"/>
        </w:numPr>
        <w:rPr>
          <w:rFonts w:ascii="Times New Roman" w:cs="Times New Roman" w:eastAsia="Times New Roman" w:hAnsi="Times New Roman"/>
          <w:sz w:val="14"/>
          <w:szCs w:val="14"/>
          <w:color w:val="auto"/>
        </w:rPr>
      </w:pPr>
      <w:r>
        <w:rPr>
          <w:rFonts w:ascii="Arial" w:cs="Arial" w:eastAsia="Arial" w:hAnsi="Arial"/>
          <w:sz w:val="14"/>
          <w:szCs w:val="14"/>
          <w:color w:val="auto"/>
        </w:rPr>
        <w:t>This column deducts the total of the amounts reported in the “Stock Awards” and “Option Awards” columns in the Summary Compensation Table for the covered fiscal year.</w:t>
      </w:r>
    </w:p>
    <w:p>
      <w:pPr>
        <w:spacing w:after="0" w:line="50" w:lineRule="exact"/>
        <w:rPr>
          <w:rFonts w:ascii="Times New Roman" w:cs="Times New Roman" w:eastAsia="Times New Roman" w:hAnsi="Times New Roman"/>
          <w:sz w:val="14"/>
          <w:szCs w:val="14"/>
          <w:color w:val="auto"/>
        </w:rPr>
      </w:pPr>
    </w:p>
    <w:p>
      <w:pPr>
        <w:ind w:left="760" w:hanging="378"/>
        <w:spacing w:after="0" w:line="246" w:lineRule="auto"/>
        <w:tabs>
          <w:tab w:leader="none" w:pos="760" w:val="left"/>
        </w:tabs>
        <w:numPr>
          <w:ilvl w:val="0"/>
          <w:numId w:val="90"/>
        </w:numPr>
        <w:rPr>
          <w:rFonts w:ascii="Times New Roman" w:cs="Times New Roman" w:eastAsia="Times New Roman" w:hAnsi="Times New Roman"/>
          <w:sz w:val="14"/>
          <w:szCs w:val="14"/>
          <w:color w:val="auto"/>
        </w:rPr>
      </w:pPr>
      <w:r>
        <w:rPr>
          <w:rFonts w:ascii="Arial" w:cs="Arial" w:eastAsia="Arial" w:hAnsi="Arial"/>
          <w:sz w:val="14"/>
          <w:szCs w:val="14"/>
          <w:color w:val="auto"/>
        </w:rPr>
        <w:t>This column reflects the following adjustments in respect of stock awards and option awards for the covered fiscal year: (i) add the fiscal year-end fair value of any equity awards granted during the covered fiscal year that are outstanding and unvested as of the end of the fiscal year; (ii) add the amount of change as of the end of the covered fiscal year (from the end of the prior fiscal year) in fair value (whether positive or negative) of any awards granted in prior years that are outstanding and unvested as of the end of the covered fiscal year; (iii) add, for awards that are granted and vest in the same covered fiscal year, the fair value as of the vesting date; (iv) add, for awards granted in prior years that vest in the covered fiscal year, the amount equal to the change as of the vesting date (from the end of the prior fiscal year) in fair value (whether positive or negative); (v) subtract, for awards granted in prior years that are determined to fail to meet the applicable vesting conditions during the covered fiscal year, the amount equal to the fair value at the end of the prior fiscal year; and (vi) add the dollar value of any dividends or other earnings paid on stock or option awards in the covered fiscal year prior to the vesting date that are not otherwise included in total compensation for the covered fiscal year. The valuation assumptions used to calculate fair values did not materially differ from those disclosed at the time of grant. The amounts deducted or added in calculating the equity award adjustments are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051972"/>
                <w:w w:val="96"/>
              </w:rPr>
              <w:t>Change in Fair</w:t>
            </w:r>
          </w:p>
        </w:tc>
        <w:tc>
          <w:tcPr>
            <w:tcW w:w="1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Value (from</w:t>
            </w:r>
          </w:p>
        </w:tc>
        <w:tc>
          <w:tcPr>
            <w:tcW w:w="1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Prior</w:t>
            </w:r>
          </w:p>
        </w:tc>
        <w:tc>
          <w:tcPr>
            <w:tcW w:w="1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Fiscal Year-End</w:t>
            </w:r>
          </w:p>
        </w:tc>
        <w:tc>
          <w:tcPr>
            <w:tcW w:w="122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Change in Fair</w:t>
            </w: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Fiscal Year-End</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to Covered Fiscal</w:t>
            </w:r>
          </w:p>
        </w:tc>
        <w:tc>
          <w:tcPr>
            <w:tcW w:w="122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Value (from</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Fair Value at End</w:t>
            </w: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21"/>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Fair Value of</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Year-End) of</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Fair Value as of</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Prior</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of the Prior Fiscal</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Value of</w:t>
            </w: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Covered Fiscal</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Prior Year</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Vesting Date of</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Fiscal Year-End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Year of Equity</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Dividends or</w:t>
            </w: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Year Equity</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Equity</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Covered Fiscal</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to Vesting Date)</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Awards that</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7"/>
              </w:rPr>
              <w:t>other Earnings</w:t>
            </w: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Awards that are</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Awards that are</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Year Equity</w:t>
            </w:r>
          </w:p>
        </w:tc>
        <w:tc>
          <w:tcPr>
            <w:tcW w:w="130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051972"/>
                <w:w w:val="97"/>
              </w:rPr>
              <w:t>of Equity Awards</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Failed to Meet</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9"/>
              </w:rPr>
              <w:t>Paid on Stock or</w:t>
            </w:r>
          </w:p>
        </w:tc>
        <w:tc>
          <w:tcPr>
            <w:tcW w:w="1260" w:type="dxa"/>
            <w:vAlign w:val="bottom"/>
          </w:tcPr>
          <w:p>
            <w:pPr>
              <w:spacing w:after="0"/>
              <w:rPr>
                <w:sz w:val="10"/>
                <w:szCs w:val="10"/>
                <w:color w:val="auto"/>
              </w:rPr>
            </w:pPr>
          </w:p>
        </w:tc>
      </w:tr>
      <w:tr>
        <w:trPr>
          <w:trHeight w:val="121"/>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Outstanding and</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Outstanding and</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Awards that</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Granted in Prior</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Vesting</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7"/>
              </w:rPr>
              <w:t>Option Awards</w:t>
            </w:r>
          </w:p>
        </w:tc>
        <w:tc>
          <w:tcPr>
            <w:tcW w:w="1260" w:type="dxa"/>
            <w:vAlign w:val="bottom"/>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Unvested at</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Unvested at</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Vested in the</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Years that Vested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Conditions in the</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8"/>
              </w:rPr>
              <w:t>not Otherwise</w:t>
            </w:r>
          </w:p>
        </w:tc>
        <w:tc>
          <w:tcPr>
            <w:tcW w:w="12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1972"/>
                <w:w w:val="95"/>
              </w:rPr>
              <w:t>Total Equity</w:t>
            </w:r>
          </w:p>
        </w:tc>
      </w:tr>
      <w:tr>
        <w:trPr>
          <w:trHeight w:val="122"/>
        </w:trPr>
        <w:tc>
          <w:tcPr>
            <w:tcW w:w="1340" w:type="dxa"/>
            <w:vAlign w:val="bottom"/>
          </w:tcPr>
          <w:p>
            <w:pPr>
              <w:ind w:left="20"/>
              <w:spacing w:after="0" w:line="122" w:lineRule="exact"/>
              <w:rPr>
                <w:sz w:val="20"/>
                <w:szCs w:val="20"/>
                <w:color w:val="auto"/>
              </w:rPr>
            </w:pPr>
            <w:r>
              <w:rPr>
                <w:rFonts w:ascii="Arial" w:cs="Arial" w:eastAsia="Arial" w:hAnsi="Arial"/>
                <w:sz w:val="11"/>
                <w:szCs w:val="11"/>
                <w:b w:val="1"/>
                <w:bCs w:val="1"/>
                <w:color w:val="051972"/>
              </w:rPr>
              <w:t>Fiscal</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Covered Fiscal</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Covered Fiscal</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Covered Fiscal</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in the Covered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Covered Fiscal</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Reflected in Total</w:t>
            </w:r>
          </w:p>
        </w:tc>
        <w:tc>
          <w:tcPr>
            <w:tcW w:w="12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1972"/>
                <w:w w:val="95"/>
              </w:rPr>
              <w:t>Award</w:t>
            </w:r>
          </w:p>
        </w:tc>
      </w:tr>
      <w:tr>
        <w:trPr>
          <w:trHeight w:val="122"/>
        </w:trPr>
        <w:tc>
          <w:tcPr>
            <w:tcW w:w="1340" w:type="dxa"/>
            <w:vAlign w:val="bottom"/>
          </w:tcPr>
          <w:p>
            <w:pPr>
              <w:ind w:left="20"/>
              <w:spacing w:after="0" w:line="122" w:lineRule="exact"/>
              <w:rPr>
                <w:sz w:val="20"/>
                <w:szCs w:val="20"/>
                <w:color w:val="auto"/>
              </w:rPr>
            </w:pPr>
            <w:r>
              <w:rPr>
                <w:rFonts w:ascii="Arial" w:cs="Arial" w:eastAsia="Arial" w:hAnsi="Arial"/>
                <w:sz w:val="11"/>
                <w:szCs w:val="11"/>
                <w:b w:val="1"/>
                <w:bCs w:val="1"/>
                <w:color w:val="051972"/>
              </w:rPr>
              <w:t>Year Ended</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Year-End</w:t>
            </w:r>
          </w:p>
        </w:tc>
        <w:tc>
          <w:tcPr>
            <w:tcW w:w="13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Year-End</w:t>
            </w:r>
          </w:p>
        </w:tc>
        <w:tc>
          <w:tcPr>
            <w:tcW w:w="122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2"/>
              </w:rPr>
              <w:t>Year</w:t>
            </w:r>
          </w:p>
        </w:tc>
        <w:tc>
          <w:tcPr>
            <w:tcW w:w="130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Fiscal Year</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Year</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9"/>
              </w:rPr>
              <w:t>Compensation</w:t>
            </w:r>
          </w:p>
        </w:tc>
        <w:tc>
          <w:tcPr>
            <w:tcW w:w="12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051972"/>
                <w:w w:val="95"/>
              </w:rPr>
              <w:t>Adjustments</w:t>
            </w:r>
          </w:p>
        </w:tc>
      </w:tr>
      <w:tr>
        <w:trPr>
          <w:trHeight w:val="148"/>
        </w:trPr>
        <w:tc>
          <w:tcPr>
            <w:tcW w:w="1340" w:type="dxa"/>
            <w:vAlign w:val="bottom"/>
            <w:tcBorders>
              <w:bottom w:val="single" w:sz="8" w:color="051972"/>
            </w:tcBorders>
          </w:tcPr>
          <w:p>
            <w:pPr>
              <w:ind w:left="20"/>
              <w:spacing w:after="0"/>
              <w:rPr>
                <w:sz w:val="20"/>
                <w:szCs w:val="20"/>
                <w:color w:val="auto"/>
              </w:rPr>
            </w:pPr>
            <w:r>
              <w:rPr>
                <w:rFonts w:ascii="Arial" w:cs="Arial" w:eastAsia="Arial" w:hAnsi="Arial"/>
                <w:sz w:val="11"/>
                <w:szCs w:val="11"/>
                <w:b w:val="1"/>
                <w:bCs w:val="1"/>
                <w:color w:val="051972"/>
              </w:rPr>
              <w:t>March 31,</w:t>
            </w:r>
          </w:p>
        </w:tc>
        <w:tc>
          <w:tcPr>
            <w:tcW w:w="130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32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22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30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2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340" w:type="dxa"/>
            <w:vAlign w:val="bottom"/>
            <w:tcBorders>
              <w:bottom w:val="single" w:sz="8" w:color="051972"/>
            </w:tcBorders>
          </w:tcPr>
          <w:p>
            <w:pPr>
              <w:jc w:val="center"/>
              <w:ind w:right="46"/>
              <w:spacing w:after="0"/>
              <w:rPr>
                <w:sz w:val="20"/>
                <w:szCs w:val="20"/>
                <w:color w:val="auto"/>
              </w:rPr>
            </w:pPr>
            <w:r>
              <w:rPr>
                <w:rFonts w:ascii="Arial" w:cs="Arial" w:eastAsia="Arial" w:hAnsi="Arial"/>
                <w:sz w:val="11"/>
                <w:szCs w:val="11"/>
                <w:b w:val="1"/>
                <w:bCs w:val="1"/>
                <w:color w:val="051972"/>
                <w:w w:val="88"/>
              </w:rPr>
              <w:t>($)</w:t>
            </w:r>
          </w:p>
        </w:tc>
        <w:tc>
          <w:tcPr>
            <w:tcW w:w="1260" w:type="dxa"/>
            <w:vAlign w:val="bottom"/>
            <w:tcBorders>
              <w:bottom w:val="single" w:sz="8" w:color="051972"/>
            </w:tcBorders>
          </w:tcPr>
          <w:p>
            <w:pPr>
              <w:jc w:val="center"/>
              <w:ind w:right="6"/>
              <w:spacing w:after="0"/>
              <w:rPr>
                <w:sz w:val="20"/>
                <w:szCs w:val="20"/>
                <w:color w:val="auto"/>
              </w:rPr>
            </w:pPr>
            <w:r>
              <w:rPr>
                <w:rFonts w:ascii="Arial" w:cs="Arial" w:eastAsia="Arial" w:hAnsi="Arial"/>
                <w:sz w:val="11"/>
                <w:szCs w:val="11"/>
                <w:b w:val="1"/>
                <w:bCs w:val="1"/>
                <w:color w:val="051972"/>
                <w:w w:val="88"/>
              </w:rPr>
              <w:t>($)</w:t>
            </w:r>
          </w:p>
        </w:tc>
      </w:tr>
      <w:tr>
        <w:trPr>
          <w:trHeight w:val="176"/>
        </w:trPr>
        <w:tc>
          <w:tcPr>
            <w:tcW w:w="13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2025</w:t>
            </w:r>
          </w:p>
        </w:tc>
        <w:tc>
          <w:tcPr>
            <w:tcW w:w="1300" w:type="dxa"/>
            <w:vAlign w:val="bottom"/>
            <w:tcBorders>
              <w:bottom w:val="single" w:sz="8" w:color="E7E7E8"/>
            </w:tcBorders>
            <w:shd w:val="clear" w:color="auto" w:fill="E7E7E8"/>
          </w:tcPr>
          <w:p>
            <w:pPr>
              <w:jc w:val="right"/>
              <w:ind w:right="246"/>
              <w:spacing w:after="0"/>
              <w:rPr>
                <w:sz w:val="20"/>
                <w:szCs w:val="20"/>
                <w:color w:val="auto"/>
              </w:rPr>
            </w:pPr>
            <w:r>
              <w:rPr>
                <w:rFonts w:ascii="Arial" w:cs="Arial" w:eastAsia="Arial" w:hAnsi="Arial"/>
                <w:sz w:val="11"/>
                <w:szCs w:val="11"/>
                <w:color w:val="auto"/>
              </w:rPr>
              <w:t>7,313,514</w:t>
            </w:r>
          </w:p>
        </w:tc>
        <w:tc>
          <w:tcPr>
            <w:tcW w:w="1320" w:type="dxa"/>
            <w:vAlign w:val="bottom"/>
            <w:tcBorders>
              <w:bottom w:val="single" w:sz="8" w:color="E7E7E8"/>
            </w:tcBorders>
            <w:shd w:val="clear" w:color="auto" w:fill="E7E7E8"/>
          </w:tcPr>
          <w:p>
            <w:pPr>
              <w:jc w:val="right"/>
              <w:ind w:right="246"/>
              <w:spacing w:after="0"/>
              <w:rPr>
                <w:sz w:val="20"/>
                <w:szCs w:val="20"/>
                <w:color w:val="auto"/>
              </w:rPr>
            </w:pPr>
            <w:r>
              <w:rPr>
                <w:rFonts w:ascii="Arial" w:cs="Arial" w:eastAsia="Arial" w:hAnsi="Arial"/>
                <w:sz w:val="11"/>
                <w:szCs w:val="11"/>
                <w:color w:val="auto"/>
              </w:rPr>
              <w:t>(1,859,868)</w:t>
            </w:r>
          </w:p>
        </w:tc>
        <w:tc>
          <w:tcPr>
            <w:tcW w:w="1220" w:type="dxa"/>
            <w:vAlign w:val="bottom"/>
            <w:tcBorders>
              <w:bottom w:val="single" w:sz="8" w:color="E7E7E8"/>
            </w:tcBorders>
            <w:shd w:val="clear" w:color="auto" w:fill="E7E7E8"/>
          </w:tcPr>
          <w:p>
            <w:pPr>
              <w:jc w:val="right"/>
              <w:ind w:right="226"/>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E7E7E8"/>
            </w:tcBorders>
            <w:shd w:val="clear" w:color="auto" w:fill="E7E7E8"/>
          </w:tcPr>
          <w:p>
            <w:pPr>
              <w:jc w:val="right"/>
              <w:ind w:right="186"/>
              <w:spacing w:after="0"/>
              <w:rPr>
                <w:sz w:val="20"/>
                <w:szCs w:val="20"/>
                <w:color w:val="auto"/>
              </w:rPr>
            </w:pPr>
            <w:r>
              <w:rPr>
                <w:rFonts w:ascii="Arial" w:cs="Arial" w:eastAsia="Arial" w:hAnsi="Arial"/>
                <w:sz w:val="11"/>
                <w:szCs w:val="11"/>
                <w:color w:val="auto"/>
              </w:rPr>
              <w:t>(1,452,378)</w:t>
            </w:r>
          </w:p>
        </w:tc>
        <w:tc>
          <w:tcPr>
            <w:tcW w:w="1260" w:type="dxa"/>
            <w:vAlign w:val="bottom"/>
            <w:tcBorders>
              <w:bottom w:val="single" w:sz="8" w:color="E7E7E8"/>
            </w:tcBorders>
            <w:shd w:val="clear" w:color="auto" w:fill="E7E7E8"/>
          </w:tcPr>
          <w:p>
            <w:pPr>
              <w:jc w:val="right"/>
              <w:ind w:right="266"/>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E7E7E8"/>
            </w:tcBorders>
            <w:shd w:val="clear" w:color="auto" w:fill="E7E7E8"/>
          </w:tcPr>
          <w:p>
            <w:pPr>
              <w:jc w:val="right"/>
              <w:ind w:right="366"/>
              <w:spacing w:after="0"/>
              <w:rPr>
                <w:sz w:val="20"/>
                <w:szCs w:val="20"/>
                <w:color w:val="auto"/>
              </w:rPr>
            </w:pPr>
            <w:r>
              <w:rPr>
                <w:rFonts w:ascii="Arial" w:cs="Arial" w:eastAsia="Arial" w:hAnsi="Arial"/>
                <w:sz w:val="11"/>
                <w:szCs w:val="11"/>
                <w:color w:val="auto"/>
              </w:rPr>
              <w:t>43,529</w:t>
            </w:r>
          </w:p>
        </w:tc>
        <w:tc>
          <w:tcPr>
            <w:tcW w:w="1260" w:type="dxa"/>
            <w:vAlign w:val="bottom"/>
            <w:tcBorders>
              <w:bottom w:val="single" w:sz="8" w:color="E7E7E8"/>
            </w:tcBorders>
            <w:shd w:val="clear" w:color="auto" w:fill="E7E7E8"/>
          </w:tcPr>
          <w:p>
            <w:pPr>
              <w:jc w:val="right"/>
              <w:ind w:right="266"/>
              <w:spacing w:after="0"/>
              <w:rPr>
                <w:sz w:val="20"/>
                <w:szCs w:val="20"/>
                <w:color w:val="auto"/>
              </w:rPr>
            </w:pPr>
            <w:r>
              <w:rPr>
                <w:rFonts w:ascii="Arial" w:cs="Arial" w:eastAsia="Arial" w:hAnsi="Arial"/>
                <w:sz w:val="11"/>
                <w:szCs w:val="11"/>
                <w:color w:val="auto"/>
              </w:rPr>
              <w:t>4,044,797</w:t>
            </w:r>
          </w:p>
        </w:tc>
      </w:tr>
      <w:tr>
        <w:trPr>
          <w:trHeight w:val="169"/>
        </w:trPr>
        <w:tc>
          <w:tcPr>
            <w:tcW w:w="1340" w:type="dxa"/>
            <w:vAlign w:val="bottom"/>
          </w:tcPr>
          <w:p>
            <w:pPr>
              <w:ind w:left="20"/>
              <w:spacing w:after="0"/>
              <w:rPr>
                <w:sz w:val="20"/>
                <w:szCs w:val="20"/>
                <w:color w:val="auto"/>
              </w:rPr>
            </w:pPr>
            <w:r>
              <w:rPr>
                <w:rFonts w:ascii="Arial" w:cs="Arial" w:eastAsia="Arial" w:hAnsi="Arial"/>
                <w:sz w:val="11"/>
                <w:szCs w:val="11"/>
                <w:color w:val="auto"/>
              </w:rPr>
              <w:t>2024</w:t>
            </w:r>
          </w:p>
        </w:tc>
        <w:tc>
          <w:tcPr>
            <w:tcW w:w="1300" w:type="dxa"/>
            <w:vAlign w:val="bottom"/>
          </w:tcPr>
          <w:p>
            <w:pPr>
              <w:jc w:val="right"/>
              <w:ind w:right="246"/>
              <w:spacing w:after="0"/>
              <w:rPr>
                <w:sz w:val="20"/>
                <w:szCs w:val="20"/>
                <w:color w:val="auto"/>
              </w:rPr>
            </w:pPr>
            <w:r>
              <w:rPr>
                <w:rFonts w:ascii="Arial" w:cs="Arial" w:eastAsia="Arial" w:hAnsi="Arial"/>
                <w:sz w:val="11"/>
                <w:szCs w:val="11"/>
                <w:color w:val="auto"/>
              </w:rPr>
              <w:t>7,213,101</w:t>
            </w:r>
          </w:p>
        </w:tc>
        <w:tc>
          <w:tcPr>
            <w:tcW w:w="1320" w:type="dxa"/>
            <w:vAlign w:val="bottom"/>
          </w:tcPr>
          <w:p>
            <w:pPr>
              <w:jc w:val="right"/>
              <w:ind w:right="286"/>
              <w:spacing w:after="0"/>
              <w:rPr>
                <w:sz w:val="20"/>
                <w:szCs w:val="20"/>
                <w:color w:val="auto"/>
              </w:rPr>
            </w:pPr>
            <w:r>
              <w:rPr>
                <w:rFonts w:ascii="Arial" w:cs="Arial" w:eastAsia="Arial" w:hAnsi="Arial"/>
                <w:sz w:val="11"/>
                <w:szCs w:val="11"/>
                <w:color w:val="auto"/>
              </w:rPr>
              <w:t>4,650,743</w:t>
            </w:r>
          </w:p>
        </w:tc>
        <w:tc>
          <w:tcPr>
            <w:tcW w:w="1220" w:type="dxa"/>
            <w:vAlign w:val="bottom"/>
          </w:tcPr>
          <w:p>
            <w:pPr>
              <w:jc w:val="right"/>
              <w:ind w:right="226"/>
              <w:spacing w:after="0"/>
              <w:rPr>
                <w:sz w:val="20"/>
                <w:szCs w:val="20"/>
                <w:color w:val="auto"/>
              </w:rPr>
            </w:pPr>
            <w:r>
              <w:rPr>
                <w:rFonts w:ascii="Arial" w:cs="Arial" w:eastAsia="Arial" w:hAnsi="Arial"/>
                <w:sz w:val="11"/>
                <w:szCs w:val="11"/>
                <w:color w:val="auto"/>
              </w:rPr>
              <w:t>1,303,857</w:t>
            </w:r>
          </w:p>
        </w:tc>
        <w:tc>
          <w:tcPr>
            <w:tcW w:w="1300" w:type="dxa"/>
            <w:vAlign w:val="bottom"/>
          </w:tcPr>
          <w:p>
            <w:pPr>
              <w:jc w:val="right"/>
              <w:ind w:right="246"/>
              <w:spacing w:after="0"/>
              <w:rPr>
                <w:sz w:val="20"/>
                <w:szCs w:val="20"/>
                <w:color w:val="auto"/>
              </w:rPr>
            </w:pPr>
            <w:r>
              <w:rPr>
                <w:rFonts w:ascii="Arial" w:cs="Arial" w:eastAsia="Arial" w:hAnsi="Arial"/>
                <w:sz w:val="11"/>
                <w:szCs w:val="11"/>
                <w:color w:val="auto"/>
              </w:rPr>
              <w:t>6,121,824</w:t>
            </w:r>
          </w:p>
        </w:tc>
        <w:tc>
          <w:tcPr>
            <w:tcW w:w="126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366"/>
              <w:spacing w:after="0"/>
              <w:rPr>
                <w:sz w:val="20"/>
                <w:szCs w:val="20"/>
                <w:color w:val="auto"/>
              </w:rPr>
            </w:pPr>
            <w:r>
              <w:rPr>
                <w:rFonts w:ascii="Arial" w:cs="Arial" w:eastAsia="Arial" w:hAnsi="Arial"/>
                <w:sz w:val="11"/>
                <w:szCs w:val="11"/>
                <w:color w:val="auto"/>
              </w:rPr>
              <w:t>75,508</w:t>
            </w:r>
          </w:p>
        </w:tc>
        <w:tc>
          <w:tcPr>
            <w:tcW w:w="1260" w:type="dxa"/>
            <w:vAlign w:val="bottom"/>
          </w:tcPr>
          <w:p>
            <w:pPr>
              <w:jc w:val="right"/>
              <w:ind w:right="266"/>
              <w:spacing w:after="0"/>
              <w:rPr>
                <w:sz w:val="20"/>
                <w:szCs w:val="20"/>
                <w:color w:val="auto"/>
              </w:rPr>
            </w:pPr>
            <w:r>
              <w:rPr>
                <w:rFonts w:ascii="Arial" w:cs="Arial" w:eastAsia="Arial" w:hAnsi="Arial"/>
                <w:sz w:val="11"/>
                <w:szCs w:val="11"/>
                <w:color w:val="auto"/>
              </w:rPr>
              <w:t>19,365,033</w:t>
            </w:r>
          </w:p>
        </w:tc>
      </w:tr>
      <w:tr>
        <w:trPr>
          <w:trHeight w:val="33"/>
        </w:trPr>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3"/>
        </w:trPr>
        <w:tc>
          <w:tcPr>
            <w:tcW w:w="13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2023</w:t>
            </w:r>
          </w:p>
        </w:tc>
        <w:tc>
          <w:tcPr>
            <w:tcW w:w="1300" w:type="dxa"/>
            <w:vAlign w:val="bottom"/>
            <w:tcBorders>
              <w:bottom w:val="single" w:sz="8" w:color="E7E7E8"/>
            </w:tcBorders>
            <w:shd w:val="clear" w:color="auto" w:fill="E7E7E8"/>
          </w:tcPr>
          <w:p>
            <w:pPr>
              <w:jc w:val="right"/>
              <w:ind w:right="246"/>
              <w:spacing w:after="0"/>
              <w:rPr>
                <w:sz w:val="20"/>
                <w:szCs w:val="20"/>
                <w:color w:val="auto"/>
              </w:rPr>
            </w:pPr>
            <w:r>
              <w:rPr>
                <w:rFonts w:ascii="Arial" w:cs="Arial" w:eastAsia="Arial" w:hAnsi="Arial"/>
                <w:sz w:val="11"/>
                <w:szCs w:val="11"/>
                <w:color w:val="auto"/>
              </w:rPr>
              <w:t>5,577,881</w:t>
            </w:r>
          </w:p>
        </w:tc>
        <w:tc>
          <w:tcPr>
            <w:tcW w:w="1320" w:type="dxa"/>
            <w:vAlign w:val="bottom"/>
            <w:tcBorders>
              <w:bottom w:val="single" w:sz="8" w:color="E7E7E8"/>
            </w:tcBorders>
            <w:shd w:val="clear" w:color="auto" w:fill="E7E7E8"/>
          </w:tcPr>
          <w:p>
            <w:pPr>
              <w:jc w:val="right"/>
              <w:ind w:right="286"/>
              <w:spacing w:after="0"/>
              <w:rPr>
                <w:sz w:val="20"/>
                <w:szCs w:val="20"/>
                <w:color w:val="auto"/>
              </w:rPr>
            </w:pPr>
            <w:r>
              <w:rPr>
                <w:rFonts w:ascii="Arial" w:cs="Arial" w:eastAsia="Arial" w:hAnsi="Arial"/>
                <w:sz w:val="11"/>
                <w:szCs w:val="11"/>
                <w:color w:val="auto"/>
              </w:rPr>
              <w:t>851,265</w:t>
            </w:r>
          </w:p>
        </w:tc>
        <w:tc>
          <w:tcPr>
            <w:tcW w:w="1220" w:type="dxa"/>
            <w:vAlign w:val="bottom"/>
            <w:tcBorders>
              <w:bottom w:val="single" w:sz="8" w:color="E7E7E8"/>
            </w:tcBorders>
            <w:shd w:val="clear" w:color="auto" w:fill="E7E7E8"/>
          </w:tcPr>
          <w:p>
            <w:pPr>
              <w:jc w:val="right"/>
              <w:ind w:right="226"/>
              <w:spacing w:after="0"/>
              <w:rPr>
                <w:sz w:val="20"/>
                <w:szCs w:val="20"/>
                <w:color w:val="auto"/>
              </w:rPr>
            </w:pPr>
            <w:r>
              <w:rPr>
                <w:rFonts w:ascii="Arial" w:cs="Arial" w:eastAsia="Arial" w:hAnsi="Arial"/>
                <w:sz w:val="11"/>
                <w:szCs w:val="11"/>
                <w:color w:val="auto"/>
              </w:rPr>
              <w:t>483,832</w:t>
            </w:r>
          </w:p>
        </w:tc>
        <w:tc>
          <w:tcPr>
            <w:tcW w:w="1300" w:type="dxa"/>
            <w:vAlign w:val="bottom"/>
            <w:tcBorders>
              <w:bottom w:val="single" w:sz="8" w:color="E7E7E8"/>
            </w:tcBorders>
            <w:shd w:val="clear" w:color="auto" w:fill="E7E7E8"/>
          </w:tcPr>
          <w:p>
            <w:pPr>
              <w:jc w:val="right"/>
              <w:ind w:right="246"/>
              <w:spacing w:after="0"/>
              <w:rPr>
                <w:sz w:val="20"/>
                <w:szCs w:val="20"/>
                <w:color w:val="auto"/>
              </w:rPr>
            </w:pPr>
            <w:r>
              <w:rPr>
                <w:rFonts w:ascii="Arial" w:cs="Arial" w:eastAsia="Arial" w:hAnsi="Arial"/>
                <w:sz w:val="11"/>
                <w:szCs w:val="11"/>
                <w:color w:val="auto"/>
              </w:rPr>
              <w:t>836,406</w:t>
            </w:r>
          </w:p>
        </w:tc>
        <w:tc>
          <w:tcPr>
            <w:tcW w:w="1260" w:type="dxa"/>
            <w:vAlign w:val="bottom"/>
            <w:tcBorders>
              <w:bottom w:val="single" w:sz="8" w:color="E7E7E8"/>
            </w:tcBorders>
            <w:shd w:val="clear" w:color="auto" w:fill="E7E7E8"/>
          </w:tcPr>
          <w:p>
            <w:pPr>
              <w:jc w:val="right"/>
              <w:ind w:right="266"/>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E7E7E8"/>
            </w:tcBorders>
            <w:shd w:val="clear" w:color="auto" w:fill="E7E7E8"/>
          </w:tcPr>
          <w:p>
            <w:pPr>
              <w:jc w:val="right"/>
              <w:ind w:right="366"/>
              <w:spacing w:after="0"/>
              <w:rPr>
                <w:sz w:val="20"/>
                <w:szCs w:val="20"/>
                <w:color w:val="auto"/>
              </w:rPr>
            </w:pPr>
            <w:r>
              <w:rPr>
                <w:rFonts w:ascii="Arial" w:cs="Arial" w:eastAsia="Arial" w:hAnsi="Arial"/>
                <w:sz w:val="11"/>
                <w:szCs w:val="11"/>
                <w:color w:val="auto"/>
              </w:rPr>
              <w:t>71,974</w:t>
            </w:r>
          </w:p>
        </w:tc>
        <w:tc>
          <w:tcPr>
            <w:tcW w:w="1260" w:type="dxa"/>
            <w:vAlign w:val="bottom"/>
            <w:tcBorders>
              <w:bottom w:val="single" w:sz="8" w:color="E7E7E8"/>
            </w:tcBorders>
            <w:shd w:val="clear" w:color="auto" w:fill="E7E7E8"/>
          </w:tcPr>
          <w:p>
            <w:pPr>
              <w:jc w:val="right"/>
              <w:ind w:right="266"/>
              <w:spacing w:after="0"/>
              <w:rPr>
                <w:sz w:val="20"/>
                <w:szCs w:val="20"/>
                <w:color w:val="auto"/>
              </w:rPr>
            </w:pPr>
            <w:r>
              <w:rPr>
                <w:rFonts w:ascii="Arial" w:cs="Arial" w:eastAsia="Arial" w:hAnsi="Arial"/>
                <w:sz w:val="11"/>
                <w:szCs w:val="11"/>
                <w:color w:val="auto"/>
              </w:rPr>
              <w:t>7,821,358</w:t>
            </w:r>
          </w:p>
        </w:tc>
      </w:tr>
      <w:tr>
        <w:trPr>
          <w:trHeight w:val="169"/>
        </w:trPr>
        <w:tc>
          <w:tcPr>
            <w:tcW w:w="1340" w:type="dxa"/>
            <w:vAlign w:val="bottom"/>
          </w:tcPr>
          <w:p>
            <w:pPr>
              <w:ind w:left="20"/>
              <w:spacing w:after="0"/>
              <w:rPr>
                <w:sz w:val="20"/>
                <w:szCs w:val="20"/>
                <w:color w:val="auto"/>
              </w:rPr>
            </w:pPr>
            <w:r>
              <w:rPr>
                <w:rFonts w:ascii="Arial" w:cs="Arial" w:eastAsia="Arial" w:hAnsi="Arial"/>
                <w:sz w:val="11"/>
                <w:szCs w:val="11"/>
                <w:color w:val="auto"/>
              </w:rPr>
              <w:t>2022</w:t>
            </w:r>
          </w:p>
        </w:tc>
        <w:tc>
          <w:tcPr>
            <w:tcW w:w="1300" w:type="dxa"/>
            <w:vAlign w:val="bottom"/>
          </w:tcPr>
          <w:p>
            <w:pPr>
              <w:jc w:val="right"/>
              <w:ind w:right="246"/>
              <w:spacing w:after="0"/>
              <w:rPr>
                <w:sz w:val="20"/>
                <w:szCs w:val="20"/>
                <w:color w:val="auto"/>
              </w:rPr>
            </w:pPr>
            <w:r>
              <w:rPr>
                <w:rFonts w:ascii="Arial" w:cs="Arial" w:eastAsia="Arial" w:hAnsi="Arial"/>
                <w:sz w:val="11"/>
                <w:szCs w:val="11"/>
                <w:color w:val="auto"/>
              </w:rPr>
              <w:t>3,595,107</w:t>
            </w:r>
          </w:p>
        </w:tc>
        <w:tc>
          <w:tcPr>
            <w:tcW w:w="1320" w:type="dxa"/>
            <w:vAlign w:val="bottom"/>
          </w:tcPr>
          <w:p>
            <w:pPr>
              <w:jc w:val="right"/>
              <w:ind w:right="246"/>
              <w:spacing w:after="0"/>
              <w:rPr>
                <w:sz w:val="20"/>
                <w:szCs w:val="20"/>
                <w:color w:val="auto"/>
              </w:rPr>
            </w:pPr>
            <w:r>
              <w:rPr>
                <w:rFonts w:ascii="Arial" w:cs="Arial" w:eastAsia="Arial" w:hAnsi="Arial"/>
                <w:sz w:val="11"/>
                <w:szCs w:val="11"/>
                <w:color w:val="auto"/>
              </w:rPr>
              <w:t>(230,786)</w:t>
            </w:r>
          </w:p>
        </w:tc>
        <w:tc>
          <w:tcPr>
            <w:tcW w:w="1220" w:type="dxa"/>
            <w:vAlign w:val="bottom"/>
          </w:tcPr>
          <w:p>
            <w:pPr>
              <w:jc w:val="right"/>
              <w:ind w:right="226"/>
              <w:spacing w:after="0"/>
              <w:rPr>
                <w:sz w:val="20"/>
                <w:szCs w:val="20"/>
                <w:color w:val="auto"/>
              </w:rPr>
            </w:pPr>
            <w:r>
              <w:rPr>
                <w:rFonts w:ascii="Arial" w:cs="Arial" w:eastAsia="Arial" w:hAnsi="Arial"/>
                <w:sz w:val="11"/>
                <w:szCs w:val="11"/>
                <w:color w:val="auto"/>
              </w:rPr>
              <w:t>469,703</w:t>
            </w:r>
          </w:p>
        </w:tc>
        <w:tc>
          <w:tcPr>
            <w:tcW w:w="1300" w:type="dxa"/>
            <w:vAlign w:val="bottom"/>
          </w:tcPr>
          <w:p>
            <w:pPr>
              <w:jc w:val="right"/>
              <w:ind w:right="246"/>
              <w:spacing w:after="0"/>
              <w:rPr>
                <w:sz w:val="20"/>
                <w:szCs w:val="20"/>
                <w:color w:val="auto"/>
              </w:rPr>
            </w:pPr>
            <w:r>
              <w:rPr>
                <w:rFonts w:ascii="Arial" w:cs="Arial" w:eastAsia="Arial" w:hAnsi="Arial"/>
                <w:sz w:val="11"/>
                <w:szCs w:val="11"/>
                <w:color w:val="auto"/>
              </w:rPr>
              <w:t>139,562</w:t>
            </w:r>
          </w:p>
        </w:tc>
        <w:tc>
          <w:tcPr>
            <w:tcW w:w="126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366"/>
              <w:spacing w:after="0"/>
              <w:rPr>
                <w:sz w:val="20"/>
                <w:szCs w:val="20"/>
                <w:color w:val="auto"/>
              </w:rPr>
            </w:pPr>
            <w:r>
              <w:rPr>
                <w:rFonts w:ascii="Arial" w:cs="Arial" w:eastAsia="Arial" w:hAnsi="Arial"/>
                <w:sz w:val="11"/>
                <w:szCs w:val="11"/>
                <w:color w:val="auto"/>
              </w:rPr>
              <w:t>35,867</w:t>
            </w:r>
          </w:p>
        </w:tc>
        <w:tc>
          <w:tcPr>
            <w:tcW w:w="1260" w:type="dxa"/>
            <w:vAlign w:val="bottom"/>
          </w:tcPr>
          <w:p>
            <w:pPr>
              <w:jc w:val="right"/>
              <w:ind w:right="266"/>
              <w:spacing w:after="0"/>
              <w:rPr>
                <w:sz w:val="20"/>
                <w:szCs w:val="20"/>
                <w:color w:val="auto"/>
              </w:rPr>
            </w:pPr>
            <w:r>
              <w:rPr>
                <w:rFonts w:ascii="Arial" w:cs="Arial" w:eastAsia="Arial" w:hAnsi="Arial"/>
                <w:sz w:val="11"/>
                <w:szCs w:val="11"/>
                <w:color w:val="auto"/>
              </w:rPr>
              <w:t>4,009,453</w:t>
            </w:r>
          </w:p>
        </w:tc>
      </w:tr>
      <w:tr>
        <w:trPr>
          <w:trHeight w:val="33"/>
        </w:trPr>
        <w:tc>
          <w:tcPr>
            <w:tcW w:w="1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3"/>
        </w:trPr>
        <w:tc>
          <w:tcPr>
            <w:tcW w:w="1340" w:type="dxa"/>
            <w:vAlign w:val="bottom"/>
            <w:tcBorders>
              <w:bottom w:val="single" w:sz="8" w:color="E7E7E8"/>
            </w:tcBorders>
            <w:shd w:val="clear" w:color="auto" w:fill="E7E7E8"/>
          </w:tcPr>
          <w:p>
            <w:pPr>
              <w:ind w:left="20"/>
              <w:spacing w:after="0"/>
              <w:rPr>
                <w:sz w:val="20"/>
                <w:szCs w:val="20"/>
                <w:color w:val="auto"/>
              </w:rPr>
            </w:pPr>
            <w:r>
              <w:rPr>
                <w:rFonts w:ascii="Arial" w:cs="Arial" w:eastAsia="Arial" w:hAnsi="Arial"/>
                <w:sz w:val="11"/>
                <w:szCs w:val="11"/>
                <w:color w:val="auto"/>
              </w:rPr>
              <w:t>2021</w:t>
            </w:r>
          </w:p>
        </w:tc>
        <w:tc>
          <w:tcPr>
            <w:tcW w:w="1300" w:type="dxa"/>
            <w:vAlign w:val="bottom"/>
            <w:tcBorders>
              <w:bottom w:val="single" w:sz="8" w:color="E7E7E8"/>
            </w:tcBorders>
            <w:shd w:val="clear" w:color="auto" w:fill="E7E7E8"/>
          </w:tcPr>
          <w:p>
            <w:pPr>
              <w:jc w:val="right"/>
              <w:ind w:right="246"/>
              <w:spacing w:after="0"/>
              <w:rPr>
                <w:sz w:val="20"/>
                <w:szCs w:val="20"/>
                <w:color w:val="auto"/>
              </w:rPr>
            </w:pPr>
            <w:r>
              <w:rPr>
                <w:rFonts w:ascii="Arial" w:cs="Arial" w:eastAsia="Arial" w:hAnsi="Arial"/>
                <w:sz w:val="11"/>
                <w:szCs w:val="11"/>
                <w:color w:val="auto"/>
              </w:rPr>
              <w:t>10,258,679</w:t>
            </w:r>
          </w:p>
        </w:tc>
        <w:tc>
          <w:tcPr>
            <w:tcW w:w="1320" w:type="dxa"/>
            <w:vAlign w:val="bottom"/>
            <w:tcBorders>
              <w:bottom w:val="single" w:sz="8" w:color="E7E7E8"/>
            </w:tcBorders>
            <w:shd w:val="clear" w:color="auto" w:fill="E7E7E8"/>
          </w:tcPr>
          <w:p>
            <w:pPr>
              <w:jc w:val="right"/>
              <w:ind w:right="286"/>
              <w:spacing w:after="0"/>
              <w:rPr>
                <w:sz w:val="20"/>
                <w:szCs w:val="20"/>
                <w:color w:val="auto"/>
              </w:rPr>
            </w:pPr>
            <w:r>
              <w:rPr>
                <w:rFonts w:ascii="Arial" w:cs="Arial" w:eastAsia="Arial" w:hAnsi="Arial"/>
                <w:sz w:val="11"/>
                <w:szCs w:val="11"/>
                <w:color w:val="auto"/>
              </w:rPr>
              <w:t>2,348,248</w:t>
            </w:r>
          </w:p>
        </w:tc>
        <w:tc>
          <w:tcPr>
            <w:tcW w:w="1220" w:type="dxa"/>
            <w:vAlign w:val="bottom"/>
            <w:tcBorders>
              <w:bottom w:val="single" w:sz="8" w:color="E7E7E8"/>
            </w:tcBorders>
            <w:shd w:val="clear" w:color="auto" w:fill="E7E7E8"/>
          </w:tcPr>
          <w:p>
            <w:pPr>
              <w:jc w:val="right"/>
              <w:ind w:right="226"/>
              <w:spacing w:after="0"/>
              <w:rPr>
                <w:sz w:val="20"/>
                <w:szCs w:val="20"/>
                <w:color w:val="auto"/>
              </w:rPr>
            </w:pPr>
            <w:r>
              <w:rPr>
                <w:rFonts w:ascii="Arial" w:cs="Arial" w:eastAsia="Arial" w:hAnsi="Arial"/>
                <w:sz w:val="11"/>
                <w:szCs w:val="11"/>
                <w:color w:val="auto"/>
              </w:rPr>
              <w:t>1,311,816</w:t>
            </w:r>
          </w:p>
        </w:tc>
        <w:tc>
          <w:tcPr>
            <w:tcW w:w="1300" w:type="dxa"/>
            <w:vAlign w:val="bottom"/>
            <w:tcBorders>
              <w:bottom w:val="single" w:sz="8" w:color="E7E7E8"/>
            </w:tcBorders>
            <w:shd w:val="clear" w:color="auto" w:fill="E7E7E8"/>
          </w:tcPr>
          <w:p>
            <w:pPr>
              <w:jc w:val="right"/>
              <w:ind w:right="246"/>
              <w:spacing w:after="0"/>
              <w:rPr>
                <w:sz w:val="20"/>
                <w:szCs w:val="20"/>
                <w:color w:val="auto"/>
              </w:rPr>
            </w:pPr>
            <w:r>
              <w:rPr>
                <w:rFonts w:ascii="Arial" w:cs="Arial" w:eastAsia="Arial" w:hAnsi="Arial"/>
                <w:sz w:val="11"/>
                <w:szCs w:val="11"/>
                <w:color w:val="auto"/>
              </w:rPr>
              <w:t>1,621,794</w:t>
            </w:r>
          </w:p>
        </w:tc>
        <w:tc>
          <w:tcPr>
            <w:tcW w:w="1260" w:type="dxa"/>
            <w:vAlign w:val="bottom"/>
            <w:tcBorders>
              <w:bottom w:val="single" w:sz="8" w:color="E7E7E8"/>
            </w:tcBorders>
            <w:shd w:val="clear" w:color="auto" w:fill="E7E7E8"/>
          </w:tcPr>
          <w:p>
            <w:pPr>
              <w:jc w:val="right"/>
              <w:ind w:right="206"/>
              <w:spacing w:after="0"/>
              <w:rPr>
                <w:sz w:val="20"/>
                <w:szCs w:val="20"/>
                <w:color w:val="auto"/>
              </w:rPr>
            </w:pPr>
            <w:r>
              <w:rPr>
                <w:rFonts w:ascii="Arial" w:cs="Arial" w:eastAsia="Arial" w:hAnsi="Arial"/>
                <w:sz w:val="11"/>
                <w:szCs w:val="11"/>
                <w:color w:val="auto"/>
              </w:rPr>
              <w:t>(126,911)</w:t>
            </w:r>
          </w:p>
        </w:tc>
        <w:tc>
          <w:tcPr>
            <w:tcW w:w="1340" w:type="dxa"/>
            <w:vAlign w:val="bottom"/>
            <w:tcBorders>
              <w:bottom w:val="single" w:sz="8" w:color="E7E7E8"/>
            </w:tcBorders>
            <w:shd w:val="clear" w:color="auto" w:fill="E7E7E8"/>
          </w:tcPr>
          <w:p>
            <w:pPr>
              <w:jc w:val="right"/>
              <w:ind w:right="366"/>
              <w:spacing w:after="0"/>
              <w:rPr>
                <w:sz w:val="20"/>
                <w:szCs w:val="20"/>
                <w:color w:val="auto"/>
              </w:rPr>
            </w:pPr>
            <w:r>
              <w:rPr>
                <w:rFonts w:ascii="Arial" w:cs="Arial" w:eastAsia="Arial" w:hAnsi="Arial"/>
                <w:sz w:val="11"/>
                <w:szCs w:val="11"/>
                <w:color w:val="auto"/>
              </w:rPr>
              <w:t>4,407</w:t>
            </w:r>
          </w:p>
        </w:tc>
        <w:tc>
          <w:tcPr>
            <w:tcW w:w="1260" w:type="dxa"/>
            <w:vAlign w:val="bottom"/>
            <w:tcBorders>
              <w:bottom w:val="single" w:sz="8" w:color="E7E7E8"/>
            </w:tcBorders>
            <w:shd w:val="clear" w:color="auto" w:fill="E7E7E8"/>
          </w:tcPr>
          <w:p>
            <w:pPr>
              <w:jc w:val="right"/>
              <w:ind w:right="266"/>
              <w:spacing w:after="0"/>
              <w:rPr>
                <w:sz w:val="20"/>
                <w:szCs w:val="20"/>
                <w:color w:val="auto"/>
              </w:rPr>
            </w:pPr>
            <w:r>
              <w:rPr>
                <w:rFonts w:ascii="Arial" w:cs="Arial" w:eastAsia="Arial" w:hAnsi="Arial"/>
                <w:sz w:val="11"/>
                <w:szCs w:val="11"/>
                <w:color w:val="auto"/>
              </w:rPr>
              <w:t>15,418,033</w:t>
            </w:r>
          </w:p>
        </w:tc>
      </w:tr>
      <w:tr>
        <w:trPr>
          <w:trHeight w:val="41"/>
        </w:trPr>
        <w:tc>
          <w:tcPr>
            <w:tcW w:w="1340" w:type="dxa"/>
            <w:vAlign w:val="bottom"/>
            <w:shd w:val="clear" w:color="auto" w:fill="051972"/>
          </w:tcPr>
          <w:p>
            <w:pPr>
              <w:spacing w:after="0"/>
              <w:rPr>
                <w:sz w:val="3"/>
                <w:szCs w:val="3"/>
                <w:color w:val="auto"/>
              </w:rPr>
            </w:pPr>
          </w:p>
        </w:tc>
        <w:tc>
          <w:tcPr>
            <w:tcW w:w="1300" w:type="dxa"/>
            <w:vAlign w:val="bottom"/>
            <w:shd w:val="clear" w:color="auto" w:fill="051972"/>
          </w:tcPr>
          <w:p>
            <w:pPr>
              <w:spacing w:after="0"/>
              <w:rPr>
                <w:sz w:val="3"/>
                <w:szCs w:val="3"/>
                <w:color w:val="auto"/>
              </w:rPr>
            </w:pPr>
          </w:p>
        </w:tc>
        <w:tc>
          <w:tcPr>
            <w:tcW w:w="1320" w:type="dxa"/>
            <w:vAlign w:val="bottom"/>
            <w:shd w:val="clear" w:color="auto" w:fill="051972"/>
          </w:tcPr>
          <w:p>
            <w:pPr>
              <w:spacing w:after="0"/>
              <w:rPr>
                <w:sz w:val="3"/>
                <w:szCs w:val="3"/>
                <w:color w:val="auto"/>
              </w:rPr>
            </w:pPr>
          </w:p>
        </w:tc>
        <w:tc>
          <w:tcPr>
            <w:tcW w:w="1220" w:type="dxa"/>
            <w:vAlign w:val="bottom"/>
            <w:shd w:val="clear" w:color="auto" w:fill="051972"/>
          </w:tcPr>
          <w:p>
            <w:pPr>
              <w:spacing w:after="0"/>
              <w:rPr>
                <w:sz w:val="3"/>
                <w:szCs w:val="3"/>
                <w:color w:val="auto"/>
              </w:rPr>
            </w:pPr>
          </w:p>
        </w:tc>
        <w:tc>
          <w:tcPr>
            <w:tcW w:w="1300" w:type="dxa"/>
            <w:vAlign w:val="bottom"/>
            <w:shd w:val="clear" w:color="auto" w:fill="051972"/>
          </w:tcPr>
          <w:p>
            <w:pPr>
              <w:spacing w:after="0"/>
              <w:rPr>
                <w:sz w:val="3"/>
                <w:szCs w:val="3"/>
                <w:color w:val="auto"/>
              </w:rPr>
            </w:pPr>
          </w:p>
        </w:tc>
        <w:tc>
          <w:tcPr>
            <w:tcW w:w="1260" w:type="dxa"/>
            <w:vAlign w:val="bottom"/>
            <w:shd w:val="clear" w:color="auto" w:fill="051972"/>
          </w:tcPr>
          <w:p>
            <w:pPr>
              <w:spacing w:after="0"/>
              <w:rPr>
                <w:sz w:val="3"/>
                <w:szCs w:val="3"/>
                <w:color w:val="auto"/>
              </w:rPr>
            </w:pPr>
          </w:p>
        </w:tc>
        <w:tc>
          <w:tcPr>
            <w:tcW w:w="1340" w:type="dxa"/>
            <w:vAlign w:val="bottom"/>
            <w:shd w:val="clear" w:color="auto" w:fill="051972"/>
          </w:tcPr>
          <w:p>
            <w:pPr>
              <w:spacing w:after="0"/>
              <w:rPr>
                <w:sz w:val="3"/>
                <w:szCs w:val="3"/>
                <w:color w:val="auto"/>
              </w:rPr>
            </w:pPr>
          </w:p>
        </w:tc>
        <w:tc>
          <w:tcPr>
            <w:tcW w:w="1260" w:type="dxa"/>
            <w:vAlign w:val="bottom"/>
            <w:shd w:val="clear" w:color="auto" w:fill="051972"/>
          </w:tcPr>
          <w:p>
            <w:pPr>
              <w:spacing w:after="0"/>
              <w:rPr>
                <w:sz w:val="3"/>
                <w:szCs w:val="3"/>
                <w:color w:val="auto"/>
              </w:rPr>
            </w:pPr>
          </w:p>
        </w:tc>
      </w:tr>
    </w:tbl>
    <w:p>
      <w:pPr>
        <w:spacing w:after="0" w:line="234" w:lineRule="exact"/>
        <w:rPr>
          <w:sz w:val="20"/>
          <w:szCs w:val="20"/>
          <w:color w:val="auto"/>
        </w:rPr>
      </w:pPr>
    </w:p>
    <w:p>
      <w:pPr>
        <w:ind w:left="380" w:right="60" w:hanging="372"/>
        <w:spacing w:after="0" w:line="247" w:lineRule="auto"/>
        <w:tabs>
          <w:tab w:leader="none" w:pos="380" w:val="left"/>
        </w:tabs>
        <w:numPr>
          <w:ilvl w:val="0"/>
          <w:numId w:val="91"/>
        </w:numPr>
        <w:rPr>
          <w:rFonts w:ascii="Times New Roman" w:cs="Times New Roman" w:eastAsia="Times New Roman" w:hAnsi="Times New Roman"/>
          <w:sz w:val="14"/>
          <w:szCs w:val="14"/>
          <w:color w:val="auto"/>
        </w:rPr>
      </w:pPr>
      <w:r>
        <w:rPr>
          <w:rFonts w:ascii="Arial" w:cs="Arial" w:eastAsia="Arial" w:hAnsi="Arial"/>
          <w:sz w:val="14"/>
          <w:szCs w:val="14"/>
          <w:color w:val="auto"/>
        </w:rPr>
        <w:t>Our non-PEO Named Executive Officers in the fiscal years reported in this table are as follows: Fiscal 2025 non-PEO Named Executive Officers were Messrs. Kesler, Newby, Cribbs and Thompson; fiscal 2024 non-PEO Named Executive Officers were Messrs. Kesler, Newby, Cribbs, Thompson, Robert S. Stewart and Steven L. Wentzel; fiscal 2023 non-PEO Named Executive Officers were Messrs. Kesler, Stewart, Newby, Wentzel and James H. Graass; fiscal 2022 non-PEO Named Executive Officers were Messrs. Kesler, Stewart, Wentzel and Graass; and fiscal 2021 non-PEO Named Executive Officers were Messrs. Kesler, Stewart, Wentzel and Graass. The dollar amounts reported in this column represent the average of the amounts reported for the non-PEO Named Executive Officers as a group in the “Total” column of the Summary Compensation Table in each applicable year’s proxy statement, as updated to reflect revised grant date fair values for performance-based restricted stock and stock option awards in fiscal years 2021-2024, resulting in an increase in the previously-reported average total compensation of approximately 3.0% in each fiscal year. Refer to the Summary Compensation Table of this Proxy Statement, including footnotes 2 and 3 thereof.</w:t>
      </w:r>
    </w:p>
    <w:p>
      <w:pPr>
        <w:spacing w:after="0" w:line="77" w:lineRule="exact"/>
        <w:rPr>
          <w:rFonts w:ascii="Times New Roman" w:cs="Times New Roman" w:eastAsia="Times New Roman" w:hAnsi="Times New Roman"/>
          <w:sz w:val="14"/>
          <w:szCs w:val="14"/>
          <w:color w:val="auto"/>
        </w:rPr>
      </w:pPr>
    </w:p>
    <w:p>
      <w:pPr>
        <w:ind w:left="380" w:right="20" w:hanging="372"/>
        <w:spacing w:after="0" w:line="248" w:lineRule="auto"/>
        <w:tabs>
          <w:tab w:leader="none" w:pos="380" w:val="left"/>
        </w:tabs>
        <w:numPr>
          <w:ilvl w:val="0"/>
          <w:numId w:val="91"/>
        </w:numPr>
        <w:rPr>
          <w:rFonts w:ascii="Times New Roman" w:cs="Times New Roman" w:eastAsia="Times New Roman" w:hAnsi="Times New Roman"/>
          <w:sz w:val="14"/>
          <w:szCs w:val="14"/>
          <w:color w:val="auto"/>
        </w:rPr>
      </w:pPr>
      <w:r>
        <w:rPr>
          <w:rFonts w:ascii="Arial" w:cs="Arial" w:eastAsia="Arial" w:hAnsi="Arial"/>
          <w:sz w:val="14"/>
          <w:szCs w:val="14"/>
          <w:color w:val="auto"/>
        </w:rPr>
        <w:t>The dollar amounts reported in this column represent the average amount of CAP for the non-PEO Named Executive Officers as a group, as computed in accordance with Item 402(v) of Regulation S-K. The non-PEO Named Executive Officers did not participate during these fiscal years in any defined benefit or actuarial benefit plans of the type that would be required to be reported in the Summary Compensation Table. The reported CAP amount for fiscal years 2021-2024 have been updated to reflect revised fair value calculations at fiscal year-end for outstanding performance awards, resulting in a reduction in the previously-reported CAP for that fiscal year of less than 1.0% in each fiscal year. In accordance with the requirements of Item 402(v) of Regulation S-K, the following adjustments were made to average total compensation for the non-PEO Named Executive Officers as a group for fiscal 2025 and prior years included in the table to determine the compensation actually paid, using the same methodology described above in footnote (2):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63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8" w:name="page69"/>
    <w:bookmarkEnd w:id="68"/>
    <w:p>
      <w:pPr>
        <w:ind w:left="82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5137150</wp:posOffset>
            </wp:positionH>
            <wp:positionV relativeFrom="page">
              <wp:posOffset>526415</wp:posOffset>
            </wp:positionV>
            <wp:extent cx="2202815"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202815" cy="171450"/>
                    </a:xfrm>
                    <a:prstGeom prst="rect">
                      <a:avLst/>
                    </a:prstGeom>
                    <a:noFill/>
                  </pic:spPr>
                </pic:pic>
              </a:graphicData>
            </a:graphic>
          </wp:anchor>
        </w:drawing>
        <w:t>PAY VERSUS PERFORMANCE</w:t>
      </w:r>
    </w:p>
    <w:p>
      <w:pPr>
        <w:spacing w:after="0" w:line="397"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2500" w:type="dxa"/>
            <w:vAlign w:val="bottom"/>
          </w:tcPr>
          <w:p>
            <w:pPr>
              <w:jc w:val="center"/>
              <w:ind w:left="352"/>
              <w:spacing w:after="0"/>
              <w:rPr>
                <w:sz w:val="20"/>
                <w:szCs w:val="20"/>
                <w:color w:val="auto"/>
              </w:rPr>
            </w:pPr>
            <w:r>
              <w:rPr>
                <w:rFonts w:ascii="Arial" w:cs="Arial" w:eastAsia="Arial" w:hAnsi="Arial"/>
                <w:sz w:val="14"/>
                <w:szCs w:val="14"/>
                <w:b w:val="1"/>
                <w:bCs w:val="1"/>
                <w:color w:val="051972"/>
              </w:rPr>
              <w:t>Average Reported</w:t>
            </w: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62"/>
        </w:trPr>
        <w:tc>
          <w:tcPr>
            <w:tcW w:w="1660" w:type="dxa"/>
            <w:vAlign w:val="bottom"/>
          </w:tcPr>
          <w:p>
            <w:pPr>
              <w:spacing w:after="0"/>
              <w:rPr>
                <w:sz w:val="14"/>
                <w:szCs w:val="14"/>
                <w:color w:val="auto"/>
              </w:rPr>
            </w:pPr>
          </w:p>
        </w:tc>
        <w:tc>
          <w:tcPr>
            <w:tcW w:w="2500" w:type="dxa"/>
            <w:vAlign w:val="bottom"/>
          </w:tcPr>
          <w:p>
            <w:pPr>
              <w:jc w:val="center"/>
              <w:ind w:left="352"/>
              <w:spacing w:after="0"/>
              <w:rPr>
                <w:sz w:val="20"/>
                <w:szCs w:val="20"/>
                <w:color w:val="auto"/>
              </w:rPr>
            </w:pPr>
            <w:r>
              <w:rPr>
                <w:rFonts w:ascii="Arial" w:cs="Arial" w:eastAsia="Arial" w:hAnsi="Arial"/>
                <w:sz w:val="14"/>
                <w:szCs w:val="14"/>
                <w:b w:val="1"/>
                <w:bCs w:val="1"/>
                <w:color w:val="051972"/>
              </w:rPr>
              <w:t>Summary</w:t>
            </w: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80" w:type="dxa"/>
            <w:vAlign w:val="bottom"/>
          </w:tcPr>
          <w:p>
            <w:pPr>
              <w:jc w:val="center"/>
              <w:ind w:left="32"/>
              <w:spacing w:after="0"/>
              <w:rPr>
                <w:sz w:val="20"/>
                <w:szCs w:val="20"/>
                <w:color w:val="auto"/>
              </w:rPr>
            </w:pPr>
            <w:r>
              <w:rPr>
                <w:rFonts w:ascii="Arial" w:cs="Arial" w:eastAsia="Arial" w:hAnsi="Arial"/>
                <w:sz w:val="14"/>
                <w:szCs w:val="14"/>
                <w:b w:val="1"/>
                <w:bCs w:val="1"/>
                <w:color w:val="051972"/>
              </w:rPr>
              <w:t>Average</w:t>
            </w:r>
          </w:p>
        </w:tc>
      </w:tr>
      <w:tr>
        <w:trPr>
          <w:trHeight w:val="162"/>
        </w:trPr>
        <w:tc>
          <w:tcPr>
            <w:tcW w:w="1660" w:type="dxa"/>
            <w:vAlign w:val="bottom"/>
          </w:tcPr>
          <w:p>
            <w:pPr>
              <w:spacing w:after="0"/>
              <w:rPr>
                <w:sz w:val="14"/>
                <w:szCs w:val="14"/>
                <w:color w:val="auto"/>
              </w:rPr>
            </w:pPr>
          </w:p>
        </w:tc>
        <w:tc>
          <w:tcPr>
            <w:tcW w:w="2500" w:type="dxa"/>
            <w:vAlign w:val="bottom"/>
          </w:tcPr>
          <w:p>
            <w:pPr>
              <w:jc w:val="right"/>
              <w:ind w:right="472"/>
              <w:spacing w:after="0"/>
              <w:rPr>
                <w:sz w:val="20"/>
                <w:szCs w:val="20"/>
                <w:color w:val="auto"/>
              </w:rPr>
            </w:pPr>
            <w:r>
              <w:rPr>
                <w:rFonts w:ascii="Arial" w:cs="Arial" w:eastAsia="Arial" w:hAnsi="Arial"/>
                <w:sz w:val="14"/>
                <w:szCs w:val="14"/>
                <w:b w:val="1"/>
                <w:bCs w:val="1"/>
                <w:color w:val="051972"/>
              </w:rPr>
              <w:t>Compensation</w:t>
            </w: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80" w:type="dxa"/>
            <w:vAlign w:val="bottom"/>
          </w:tcPr>
          <w:p>
            <w:pPr>
              <w:jc w:val="center"/>
              <w:ind w:left="12"/>
              <w:spacing w:after="0"/>
              <w:rPr>
                <w:sz w:val="20"/>
                <w:szCs w:val="20"/>
                <w:color w:val="auto"/>
              </w:rPr>
            </w:pPr>
            <w:r>
              <w:rPr>
                <w:rFonts w:ascii="Arial" w:cs="Arial" w:eastAsia="Arial" w:hAnsi="Arial"/>
                <w:sz w:val="14"/>
                <w:szCs w:val="14"/>
                <w:b w:val="1"/>
                <w:bCs w:val="1"/>
                <w:color w:val="051972"/>
              </w:rPr>
              <w:t>Compensation</w:t>
            </w:r>
          </w:p>
        </w:tc>
      </w:tr>
      <w:tr>
        <w:trPr>
          <w:trHeight w:val="162"/>
        </w:trPr>
        <w:tc>
          <w:tcPr>
            <w:tcW w:w="1660" w:type="dxa"/>
            <w:vAlign w:val="bottom"/>
          </w:tcPr>
          <w:p>
            <w:pPr>
              <w:spacing w:after="0"/>
              <w:rPr>
                <w:sz w:val="14"/>
                <w:szCs w:val="14"/>
                <w:color w:val="auto"/>
              </w:rPr>
            </w:pPr>
          </w:p>
        </w:tc>
        <w:tc>
          <w:tcPr>
            <w:tcW w:w="2500" w:type="dxa"/>
            <w:vAlign w:val="bottom"/>
          </w:tcPr>
          <w:p>
            <w:pPr>
              <w:jc w:val="right"/>
              <w:ind w:right="472"/>
              <w:spacing w:after="0"/>
              <w:rPr>
                <w:sz w:val="20"/>
                <w:szCs w:val="20"/>
                <w:color w:val="auto"/>
              </w:rPr>
            </w:pPr>
            <w:r>
              <w:rPr>
                <w:rFonts w:ascii="Arial" w:cs="Arial" w:eastAsia="Arial" w:hAnsi="Arial"/>
                <w:sz w:val="14"/>
                <w:szCs w:val="14"/>
                <w:b w:val="1"/>
                <w:bCs w:val="1"/>
                <w:color w:val="051972"/>
              </w:rPr>
              <w:t>Table Total for</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051972"/>
              </w:rPr>
              <w:t>Average Reported</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051972"/>
              </w:rPr>
              <w:t>Average Equity</w:t>
            </w:r>
          </w:p>
        </w:tc>
        <w:tc>
          <w:tcPr>
            <w:tcW w:w="2080" w:type="dxa"/>
            <w:vAlign w:val="bottom"/>
          </w:tcPr>
          <w:p>
            <w:pPr>
              <w:jc w:val="center"/>
              <w:ind w:left="12"/>
              <w:spacing w:after="0"/>
              <w:rPr>
                <w:sz w:val="20"/>
                <w:szCs w:val="20"/>
                <w:color w:val="auto"/>
              </w:rPr>
            </w:pPr>
            <w:r>
              <w:rPr>
                <w:rFonts w:ascii="Arial" w:cs="Arial" w:eastAsia="Arial" w:hAnsi="Arial"/>
                <w:sz w:val="14"/>
                <w:szCs w:val="14"/>
                <w:b w:val="1"/>
                <w:bCs w:val="1"/>
                <w:color w:val="051972"/>
              </w:rPr>
              <w:t>Actually Paid to</w:t>
            </w:r>
          </w:p>
        </w:tc>
      </w:tr>
      <w:tr>
        <w:trPr>
          <w:trHeight w:val="144"/>
        </w:trPr>
        <w:tc>
          <w:tcPr>
            <w:tcW w:w="1660" w:type="dxa"/>
            <w:vAlign w:val="bottom"/>
          </w:tcPr>
          <w:p>
            <w:pPr>
              <w:ind w:left="20"/>
              <w:spacing w:after="0" w:line="145" w:lineRule="exact"/>
              <w:rPr>
                <w:sz w:val="20"/>
                <w:szCs w:val="20"/>
                <w:color w:val="auto"/>
              </w:rPr>
            </w:pPr>
            <w:r>
              <w:rPr>
                <w:rFonts w:ascii="Arial" w:cs="Arial" w:eastAsia="Arial" w:hAnsi="Arial"/>
                <w:sz w:val="14"/>
                <w:szCs w:val="14"/>
                <w:b w:val="1"/>
                <w:bCs w:val="1"/>
                <w:color w:val="051972"/>
              </w:rPr>
              <w:t>Fiscal</w:t>
            </w:r>
          </w:p>
        </w:tc>
        <w:tc>
          <w:tcPr>
            <w:tcW w:w="2500" w:type="dxa"/>
            <w:vAlign w:val="bottom"/>
          </w:tcPr>
          <w:p>
            <w:pPr>
              <w:jc w:val="center"/>
              <w:ind w:left="352"/>
              <w:spacing w:after="0" w:line="145" w:lineRule="exact"/>
              <w:rPr>
                <w:sz w:val="20"/>
                <w:szCs w:val="20"/>
                <w:color w:val="auto"/>
              </w:rPr>
            </w:pPr>
            <w:r>
              <w:rPr>
                <w:rFonts w:ascii="Arial" w:cs="Arial" w:eastAsia="Arial" w:hAnsi="Arial"/>
                <w:sz w:val="14"/>
                <w:szCs w:val="14"/>
                <w:b w:val="1"/>
                <w:bCs w:val="1"/>
                <w:color w:val="051972"/>
              </w:rPr>
              <w:t>Non-PEO Named</w:t>
            </w: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Value of Equity</w:t>
            </w:r>
          </w:p>
        </w:tc>
        <w:tc>
          <w:tcPr>
            <w:tcW w:w="2000" w:type="dxa"/>
            <w:vAlign w:val="bottom"/>
          </w:tcPr>
          <w:p>
            <w:pPr>
              <w:jc w:val="center"/>
              <w:spacing w:after="0" w:line="145" w:lineRule="exact"/>
              <w:rPr>
                <w:sz w:val="20"/>
                <w:szCs w:val="20"/>
                <w:color w:val="auto"/>
              </w:rPr>
            </w:pPr>
            <w:r>
              <w:rPr>
                <w:rFonts w:ascii="Arial" w:cs="Arial" w:eastAsia="Arial" w:hAnsi="Arial"/>
                <w:sz w:val="14"/>
                <w:szCs w:val="14"/>
                <w:b w:val="1"/>
                <w:bCs w:val="1"/>
                <w:color w:val="051972"/>
              </w:rPr>
              <w:t>Award</w:t>
            </w:r>
          </w:p>
        </w:tc>
        <w:tc>
          <w:tcPr>
            <w:tcW w:w="2080" w:type="dxa"/>
            <w:vAlign w:val="bottom"/>
          </w:tcPr>
          <w:p>
            <w:pPr>
              <w:jc w:val="center"/>
              <w:ind w:left="32"/>
              <w:spacing w:after="0" w:line="145" w:lineRule="exact"/>
              <w:rPr>
                <w:sz w:val="20"/>
                <w:szCs w:val="20"/>
                <w:color w:val="auto"/>
              </w:rPr>
            </w:pPr>
            <w:r>
              <w:rPr>
                <w:rFonts w:ascii="Arial" w:cs="Arial" w:eastAsia="Arial" w:hAnsi="Arial"/>
                <w:sz w:val="14"/>
                <w:szCs w:val="14"/>
                <w:b w:val="1"/>
                <w:bCs w:val="1"/>
                <w:color w:val="051972"/>
              </w:rPr>
              <w:t>Non-PEO Named</w:t>
            </w:r>
          </w:p>
        </w:tc>
      </w:tr>
      <w:tr>
        <w:trPr>
          <w:trHeight w:val="180"/>
        </w:trPr>
        <w:tc>
          <w:tcPr>
            <w:tcW w:w="1660" w:type="dxa"/>
            <w:vAlign w:val="bottom"/>
          </w:tcPr>
          <w:p>
            <w:pPr>
              <w:ind w:left="20"/>
              <w:spacing w:after="0"/>
              <w:rPr>
                <w:sz w:val="20"/>
                <w:szCs w:val="20"/>
                <w:color w:val="auto"/>
              </w:rPr>
            </w:pPr>
            <w:r>
              <w:rPr>
                <w:rFonts w:ascii="Arial" w:cs="Arial" w:eastAsia="Arial" w:hAnsi="Arial"/>
                <w:sz w:val="14"/>
                <w:szCs w:val="14"/>
                <w:b w:val="1"/>
                <w:bCs w:val="1"/>
                <w:color w:val="051972"/>
              </w:rPr>
              <w:t>Year Ended</w:t>
            </w:r>
          </w:p>
        </w:tc>
        <w:tc>
          <w:tcPr>
            <w:tcW w:w="2500" w:type="dxa"/>
            <w:vAlign w:val="bottom"/>
          </w:tcPr>
          <w:p>
            <w:pPr>
              <w:jc w:val="center"/>
              <w:ind w:left="352"/>
              <w:spacing w:after="0"/>
              <w:rPr>
                <w:sz w:val="20"/>
                <w:szCs w:val="20"/>
                <w:color w:val="auto"/>
              </w:rPr>
            </w:pPr>
            <w:r>
              <w:rPr>
                <w:rFonts w:ascii="Arial" w:cs="Arial" w:eastAsia="Arial" w:hAnsi="Arial"/>
                <w:sz w:val="14"/>
                <w:szCs w:val="14"/>
                <w:b w:val="1"/>
                <w:bCs w:val="1"/>
                <w:color w:val="051972"/>
              </w:rPr>
              <w:t>Executive Officers</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051972"/>
              </w:rPr>
              <w:t>Awards</w:t>
            </w:r>
          </w:p>
        </w:tc>
        <w:tc>
          <w:tcPr>
            <w:tcW w:w="2000" w:type="dxa"/>
            <w:vAlign w:val="bottom"/>
          </w:tcPr>
          <w:p>
            <w:pPr>
              <w:jc w:val="center"/>
              <w:spacing w:after="0" w:line="180" w:lineRule="exact"/>
              <w:rPr>
                <w:sz w:val="20"/>
                <w:szCs w:val="20"/>
                <w:color w:val="auto"/>
              </w:rPr>
            </w:pPr>
            <w:r>
              <w:rPr>
                <w:rFonts w:ascii="Arial" w:cs="Arial" w:eastAsia="Arial" w:hAnsi="Arial"/>
                <w:sz w:val="14"/>
                <w:szCs w:val="14"/>
                <w:b w:val="1"/>
                <w:bCs w:val="1"/>
                <w:color w:val="051972"/>
                <w:w w:val="99"/>
              </w:rPr>
              <w:t>Adjustments</w:t>
            </w:r>
            <w:r>
              <w:rPr>
                <w:rFonts w:ascii="Arial" w:cs="Arial" w:eastAsia="Arial" w:hAnsi="Arial"/>
                <w:sz w:val="19"/>
                <w:szCs w:val="19"/>
                <w:b w:val="1"/>
                <w:bCs w:val="1"/>
                <w:color w:val="051972"/>
                <w:w w:val="99"/>
                <w:vertAlign w:val="superscript"/>
              </w:rPr>
              <w:t>(a)</w:t>
            </w:r>
          </w:p>
        </w:tc>
        <w:tc>
          <w:tcPr>
            <w:tcW w:w="2080" w:type="dxa"/>
            <w:vAlign w:val="bottom"/>
          </w:tcPr>
          <w:p>
            <w:pPr>
              <w:jc w:val="center"/>
              <w:ind w:left="32"/>
              <w:spacing w:after="0"/>
              <w:rPr>
                <w:sz w:val="20"/>
                <w:szCs w:val="20"/>
                <w:color w:val="auto"/>
              </w:rPr>
            </w:pPr>
            <w:r>
              <w:rPr>
                <w:rFonts w:ascii="Arial" w:cs="Arial" w:eastAsia="Arial" w:hAnsi="Arial"/>
                <w:sz w:val="14"/>
                <w:szCs w:val="14"/>
                <w:b w:val="1"/>
                <w:bCs w:val="1"/>
                <w:color w:val="051972"/>
              </w:rPr>
              <w:t>Executive Officers</w:t>
            </w:r>
          </w:p>
        </w:tc>
      </w:tr>
      <w:tr>
        <w:trPr>
          <w:trHeight w:val="192"/>
        </w:trPr>
        <w:tc>
          <w:tcPr>
            <w:tcW w:w="1660" w:type="dxa"/>
            <w:vAlign w:val="bottom"/>
            <w:tcBorders>
              <w:bottom w:val="single" w:sz="8" w:color="051972"/>
            </w:tcBorders>
          </w:tcPr>
          <w:p>
            <w:pPr>
              <w:ind w:left="20"/>
              <w:spacing w:after="0"/>
              <w:rPr>
                <w:sz w:val="20"/>
                <w:szCs w:val="20"/>
                <w:color w:val="auto"/>
              </w:rPr>
            </w:pPr>
            <w:r>
              <w:rPr>
                <w:rFonts w:ascii="Arial" w:cs="Arial" w:eastAsia="Arial" w:hAnsi="Arial"/>
                <w:sz w:val="14"/>
                <w:szCs w:val="14"/>
                <w:b w:val="1"/>
                <w:bCs w:val="1"/>
                <w:color w:val="051972"/>
              </w:rPr>
              <w:t>March 31,</w:t>
            </w:r>
          </w:p>
        </w:tc>
        <w:tc>
          <w:tcPr>
            <w:tcW w:w="2500" w:type="dxa"/>
            <w:vAlign w:val="bottom"/>
            <w:tcBorders>
              <w:bottom w:val="single" w:sz="8" w:color="051972"/>
            </w:tcBorders>
          </w:tcPr>
          <w:p>
            <w:pPr>
              <w:jc w:val="center"/>
              <w:ind w:left="352"/>
              <w:spacing w:after="0"/>
              <w:rPr>
                <w:sz w:val="20"/>
                <w:szCs w:val="20"/>
                <w:color w:val="auto"/>
              </w:rPr>
            </w:pPr>
            <w:r>
              <w:rPr>
                <w:rFonts w:ascii="Arial" w:cs="Arial" w:eastAsia="Arial" w:hAnsi="Arial"/>
                <w:sz w:val="14"/>
                <w:szCs w:val="14"/>
                <w:b w:val="1"/>
                <w:bCs w:val="1"/>
                <w:color w:val="051972"/>
                <w:w w:val="93"/>
              </w:rPr>
              <w:t>($)</w:t>
            </w:r>
          </w:p>
        </w:tc>
        <w:tc>
          <w:tcPr>
            <w:tcW w:w="210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200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rPr>
              <w:t>($)</w:t>
            </w:r>
          </w:p>
        </w:tc>
        <w:tc>
          <w:tcPr>
            <w:tcW w:w="2080" w:type="dxa"/>
            <w:vAlign w:val="bottom"/>
            <w:tcBorders>
              <w:bottom w:val="single" w:sz="8" w:color="051972"/>
            </w:tcBorders>
          </w:tcPr>
          <w:p>
            <w:pPr>
              <w:jc w:val="center"/>
              <w:ind w:left="32"/>
              <w:spacing w:after="0"/>
              <w:rPr>
                <w:sz w:val="20"/>
                <w:szCs w:val="20"/>
                <w:color w:val="auto"/>
              </w:rPr>
            </w:pPr>
            <w:r>
              <w:rPr>
                <w:rFonts w:ascii="Arial" w:cs="Arial" w:eastAsia="Arial" w:hAnsi="Arial"/>
                <w:sz w:val="14"/>
                <w:szCs w:val="14"/>
                <w:b w:val="1"/>
                <w:bCs w:val="1"/>
                <w:color w:val="051972"/>
              </w:rPr>
              <w:t>($)</w:t>
            </w:r>
          </w:p>
        </w:tc>
      </w:tr>
      <w:tr>
        <w:trPr>
          <w:trHeight w:val="135"/>
        </w:trPr>
        <w:tc>
          <w:tcPr>
            <w:tcW w:w="1660" w:type="dxa"/>
            <w:vAlign w:val="bottom"/>
            <w:tcBorders>
              <w:bottom w:val="single" w:sz="8" w:color="E7E7E7"/>
            </w:tcBorders>
            <w:shd w:val="clear" w:color="auto" w:fill="E7E7E8"/>
          </w:tcPr>
          <w:p>
            <w:pPr>
              <w:ind w:left="20"/>
              <w:spacing w:after="0" w:line="135" w:lineRule="exact"/>
              <w:rPr>
                <w:sz w:val="20"/>
                <w:szCs w:val="20"/>
                <w:color w:val="auto"/>
              </w:rPr>
            </w:pPr>
            <w:r>
              <w:rPr>
                <w:rFonts w:ascii="Arial" w:cs="Arial" w:eastAsia="Arial" w:hAnsi="Arial"/>
                <w:sz w:val="13"/>
                <w:szCs w:val="13"/>
                <w:color w:val="auto"/>
              </w:rPr>
              <w:t>2025</w:t>
            </w:r>
          </w:p>
        </w:tc>
        <w:tc>
          <w:tcPr>
            <w:tcW w:w="2500" w:type="dxa"/>
            <w:vAlign w:val="bottom"/>
            <w:tcBorders>
              <w:bottom w:val="single" w:sz="8" w:color="E7E7E7"/>
            </w:tcBorders>
            <w:shd w:val="clear" w:color="auto" w:fill="E7E7E8"/>
          </w:tcPr>
          <w:p>
            <w:pPr>
              <w:jc w:val="right"/>
              <w:ind w:right="472"/>
              <w:spacing w:after="0" w:line="135" w:lineRule="exact"/>
              <w:rPr>
                <w:sz w:val="20"/>
                <w:szCs w:val="20"/>
                <w:color w:val="auto"/>
              </w:rPr>
            </w:pPr>
            <w:r>
              <w:rPr>
                <w:rFonts w:ascii="Arial" w:cs="Arial" w:eastAsia="Arial" w:hAnsi="Arial"/>
                <w:sz w:val="13"/>
                <w:szCs w:val="13"/>
                <w:color w:val="auto"/>
              </w:rPr>
              <w:t>2,041,204</w:t>
            </w:r>
          </w:p>
        </w:tc>
        <w:tc>
          <w:tcPr>
            <w:tcW w:w="2100" w:type="dxa"/>
            <w:vAlign w:val="bottom"/>
            <w:tcBorders>
              <w:bottom w:val="single" w:sz="8" w:color="E7E7E7"/>
            </w:tcBorders>
            <w:shd w:val="clear" w:color="auto" w:fill="E7E7E8"/>
          </w:tcPr>
          <w:p>
            <w:pPr>
              <w:jc w:val="right"/>
              <w:ind w:right="453"/>
              <w:spacing w:after="0" w:line="135" w:lineRule="exact"/>
              <w:rPr>
                <w:sz w:val="20"/>
                <w:szCs w:val="20"/>
                <w:color w:val="auto"/>
              </w:rPr>
            </w:pPr>
            <w:r>
              <w:rPr>
                <w:rFonts w:ascii="Arial" w:cs="Arial" w:eastAsia="Arial" w:hAnsi="Arial"/>
                <w:sz w:val="13"/>
                <w:szCs w:val="13"/>
                <w:color w:val="auto"/>
              </w:rPr>
              <w:t>(1,005,988)</w:t>
            </w:r>
          </w:p>
        </w:tc>
        <w:tc>
          <w:tcPr>
            <w:tcW w:w="2000" w:type="dxa"/>
            <w:vAlign w:val="bottom"/>
            <w:tcBorders>
              <w:bottom w:val="single" w:sz="8" w:color="E7E7E7"/>
            </w:tcBorders>
            <w:shd w:val="clear" w:color="auto" w:fill="E7E7E8"/>
          </w:tcPr>
          <w:p>
            <w:pPr>
              <w:jc w:val="right"/>
              <w:ind w:right="433"/>
              <w:spacing w:after="0" w:line="135" w:lineRule="exact"/>
              <w:rPr>
                <w:sz w:val="20"/>
                <w:szCs w:val="20"/>
                <w:color w:val="auto"/>
              </w:rPr>
            </w:pPr>
            <w:r>
              <w:rPr>
                <w:rFonts w:ascii="Arial" w:cs="Arial" w:eastAsia="Arial" w:hAnsi="Arial"/>
                <w:sz w:val="13"/>
                <w:szCs w:val="13"/>
                <w:color w:val="auto"/>
              </w:rPr>
              <w:t>643,874</w:t>
            </w:r>
          </w:p>
        </w:tc>
        <w:tc>
          <w:tcPr>
            <w:tcW w:w="2080" w:type="dxa"/>
            <w:vAlign w:val="bottom"/>
            <w:tcBorders>
              <w:bottom w:val="single" w:sz="8" w:color="E7E7E7"/>
            </w:tcBorders>
            <w:shd w:val="clear" w:color="auto" w:fill="E7E7E8"/>
          </w:tcPr>
          <w:p>
            <w:pPr>
              <w:jc w:val="right"/>
              <w:ind w:right="412"/>
              <w:spacing w:after="0" w:line="135" w:lineRule="exact"/>
              <w:rPr>
                <w:sz w:val="20"/>
                <w:szCs w:val="20"/>
                <w:color w:val="auto"/>
              </w:rPr>
            </w:pPr>
            <w:r>
              <w:rPr>
                <w:rFonts w:ascii="Arial" w:cs="Arial" w:eastAsia="Arial" w:hAnsi="Arial"/>
                <w:sz w:val="13"/>
                <w:szCs w:val="13"/>
                <w:color w:val="auto"/>
              </w:rPr>
              <w:t>1,679,090</w:t>
            </w:r>
          </w:p>
        </w:tc>
      </w:tr>
      <w:tr>
        <w:trPr>
          <w:trHeight w:val="155"/>
        </w:trPr>
        <w:tc>
          <w:tcPr>
            <w:tcW w:w="1660" w:type="dxa"/>
            <w:vAlign w:val="bottom"/>
            <w:tcBorders>
              <w:bottom w:val="single" w:sz="8" w:color="E7E7E7"/>
            </w:tcBorders>
          </w:tcPr>
          <w:p>
            <w:pPr>
              <w:ind w:left="20"/>
              <w:spacing w:after="0"/>
              <w:rPr>
                <w:sz w:val="20"/>
                <w:szCs w:val="20"/>
                <w:color w:val="auto"/>
              </w:rPr>
            </w:pPr>
            <w:r>
              <w:rPr>
                <w:rFonts w:ascii="Arial" w:cs="Arial" w:eastAsia="Arial" w:hAnsi="Arial"/>
                <w:sz w:val="13"/>
                <w:szCs w:val="13"/>
                <w:color w:val="auto"/>
              </w:rPr>
              <w:t>2024</w:t>
            </w:r>
          </w:p>
        </w:tc>
        <w:tc>
          <w:tcPr>
            <w:tcW w:w="2500" w:type="dxa"/>
            <w:vAlign w:val="bottom"/>
            <w:tcBorders>
              <w:bottom w:val="single" w:sz="8" w:color="E7E7E7"/>
            </w:tcBorders>
          </w:tcPr>
          <w:p>
            <w:pPr>
              <w:jc w:val="right"/>
              <w:ind w:right="472"/>
              <w:spacing w:after="0"/>
              <w:rPr>
                <w:sz w:val="20"/>
                <w:szCs w:val="20"/>
                <w:color w:val="auto"/>
              </w:rPr>
            </w:pPr>
            <w:r>
              <w:rPr>
                <w:rFonts w:ascii="Arial" w:cs="Arial" w:eastAsia="Arial" w:hAnsi="Arial"/>
                <w:sz w:val="13"/>
                <w:szCs w:val="13"/>
                <w:color w:val="auto"/>
              </w:rPr>
              <w:t>1,911,988</w:t>
            </w:r>
          </w:p>
        </w:tc>
        <w:tc>
          <w:tcPr>
            <w:tcW w:w="2100" w:type="dxa"/>
            <w:vAlign w:val="bottom"/>
            <w:tcBorders>
              <w:bottom w:val="single" w:sz="8" w:color="E7E7E7"/>
            </w:tcBorders>
          </w:tcPr>
          <w:p>
            <w:pPr>
              <w:jc w:val="right"/>
              <w:ind w:right="453"/>
              <w:spacing w:after="0"/>
              <w:rPr>
                <w:sz w:val="20"/>
                <w:szCs w:val="20"/>
                <w:color w:val="auto"/>
              </w:rPr>
            </w:pPr>
            <w:r>
              <w:rPr>
                <w:rFonts w:ascii="Arial" w:cs="Arial" w:eastAsia="Arial" w:hAnsi="Arial"/>
                <w:sz w:val="13"/>
                <w:szCs w:val="13"/>
                <w:color w:val="auto"/>
              </w:rPr>
              <w:t>(1,164,237)</w:t>
            </w:r>
          </w:p>
        </w:tc>
        <w:tc>
          <w:tcPr>
            <w:tcW w:w="2000" w:type="dxa"/>
            <w:vAlign w:val="bottom"/>
            <w:tcBorders>
              <w:bottom w:val="single" w:sz="8" w:color="E7E7E7"/>
            </w:tcBorders>
          </w:tcPr>
          <w:p>
            <w:pPr>
              <w:jc w:val="right"/>
              <w:ind w:right="433"/>
              <w:spacing w:after="0"/>
              <w:rPr>
                <w:sz w:val="20"/>
                <w:szCs w:val="20"/>
                <w:color w:val="auto"/>
              </w:rPr>
            </w:pPr>
            <w:r>
              <w:rPr>
                <w:rFonts w:ascii="Arial" w:cs="Arial" w:eastAsia="Arial" w:hAnsi="Arial"/>
                <w:sz w:val="13"/>
                <w:szCs w:val="13"/>
                <w:color w:val="auto"/>
              </w:rPr>
              <w:t>2,131,632</w:t>
            </w:r>
          </w:p>
        </w:tc>
        <w:tc>
          <w:tcPr>
            <w:tcW w:w="2080" w:type="dxa"/>
            <w:vAlign w:val="bottom"/>
            <w:tcBorders>
              <w:bottom w:val="single" w:sz="8" w:color="E7E7E7"/>
            </w:tcBorders>
          </w:tcPr>
          <w:p>
            <w:pPr>
              <w:jc w:val="right"/>
              <w:ind w:right="412"/>
              <w:spacing w:after="0"/>
              <w:rPr>
                <w:sz w:val="20"/>
                <w:szCs w:val="20"/>
                <w:color w:val="auto"/>
              </w:rPr>
            </w:pPr>
            <w:r>
              <w:rPr>
                <w:rFonts w:ascii="Arial" w:cs="Arial" w:eastAsia="Arial" w:hAnsi="Arial"/>
                <w:sz w:val="13"/>
                <w:szCs w:val="13"/>
                <w:color w:val="auto"/>
              </w:rPr>
              <w:t>2,879,383</w:t>
            </w:r>
          </w:p>
        </w:tc>
      </w:tr>
      <w:tr>
        <w:trPr>
          <w:trHeight w:val="129"/>
        </w:trPr>
        <w:tc>
          <w:tcPr>
            <w:tcW w:w="1660" w:type="dxa"/>
            <w:vAlign w:val="bottom"/>
            <w:tcBorders>
              <w:bottom w:val="single" w:sz="8" w:color="E7E7E7"/>
            </w:tcBorders>
            <w:shd w:val="clear" w:color="auto" w:fill="E7E7E8"/>
          </w:tcPr>
          <w:p>
            <w:pPr>
              <w:ind w:left="20"/>
              <w:spacing w:after="0" w:line="129" w:lineRule="exact"/>
              <w:rPr>
                <w:sz w:val="20"/>
                <w:szCs w:val="20"/>
                <w:color w:val="auto"/>
              </w:rPr>
            </w:pPr>
            <w:r>
              <w:rPr>
                <w:rFonts w:ascii="Arial" w:cs="Arial" w:eastAsia="Arial" w:hAnsi="Arial"/>
                <w:sz w:val="13"/>
                <w:szCs w:val="13"/>
                <w:color w:val="auto"/>
              </w:rPr>
              <w:t>2023</w:t>
            </w:r>
          </w:p>
        </w:tc>
        <w:tc>
          <w:tcPr>
            <w:tcW w:w="2500" w:type="dxa"/>
            <w:vAlign w:val="bottom"/>
            <w:tcBorders>
              <w:bottom w:val="single" w:sz="8" w:color="E7E7E7"/>
            </w:tcBorders>
            <w:shd w:val="clear" w:color="auto" w:fill="E7E7E8"/>
          </w:tcPr>
          <w:p>
            <w:pPr>
              <w:jc w:val="right"/>
              <w:ind w:right="472"/>
              <w:spacing w:after="0" w:line="129" w:lineRule="exact"/>
              <w:rPr>
                <w:sz w:val="20"/>
                <w:szCs w:val="20"/>
                <w:color w:val="auto"/>
              </w:rPr>
            </w:pPr>
            <w:r>
              <w:rPr>
                <w:rFonts w:ascii="Arial" w:cs="Arial" w:eastAsia="Arial" w:hAnsi="Arial"/>
                <w:sz w:val="13"/>
                <w:szCs w:val="13"/>
                <w:color w:val="auto"/>
              </w:rPr>
              <w:t>2,175,544</w:t>
            </w:r>
          </w:p>
        </w:tc>
        <w:tc>
          <w:tcPr>
            <w:tcW w:w="2100" w:type="dxa"/>
            <w:vAlign w:val="bottom"/>
            <w:tcBorders>
              <w:bottom w:val="single" w:sz="8" w:color="E7E7E7"/>
            </w:tcBorders>
            <w:shd w:val="clear" w:color="auto" w:fill="E7E7E8"/>
          </w:tcPr>
          <w:p>
            <w:pPr>
              <w:jc w:val="right"/>
              <w:ind w:right="453"/>
              <w:spacing w:after="0" w:line="129" w:lineRule="exact"/>
              <w:rPr>
                <w:sz w:val="20"/>
                <w:szCs w:val="20"/>
                <w:color w:val="auto"/>
              </w:rPr>
            </w:pPr>
            <w:r>
              <w:rPr>
                <w:rFonts w:ascii="Arial" w:cs="Arial" w:eastAsia="Arial" w:hAnsi="Arial"/>
                <w:sz w:val="13"/>
                <w:szCs w:val="13"/>
                <w:color w:val="auto"/>
              </w:rPr>
              <w:t>(1,075,227)</w:t>
            </w:r>
          </w:p>
        </w:tc>
        <w:tc>
          <w:tcPr>
            <w:tcW w:w="2000" w:type="dxa"/>
            <w:vAlign w:val="bottom"/>
            <w:tcBorders>
              <w:bottom w:val="single" w:sz="8" w:color="E7E7E7"/>
            </w:tcBorders>
            <w:shd w:val="clear" w:color="auto" w:fill="E7E7E8"/>
          </w:tcPr>
          <w:p>
            <w:pPr>
              <w:jc w:val="right"/>
              <w:ind w:right="433"/>
              <w:spacing w:after="0" w:line="129" w:lineRule="exact"/>
              <w:rPr>
                <w:sz w:val="20"/>
                <w:szCs w:val="20"/>
                <w:color w:val="auto"/>
              </w:rPr>
            </w:pPr>
            <w:r>
              <w:rPr>
                <w:rFonts w:ascii="Arial" w:cs="Arial" w:eastAsia="Arial" w:hAnsi="Arial"/>
                <w:sz w:val="13"/>
                <w:szCs w:val="13"/>
                <w:color w:val="auto"/>
              </w:rPr>
              <w:t>1,234,208</w:t>
            </w:r>
          </w:p>
        </w:tc>
        <w:tc>
          <w:tcPr>
            <w:tcW w:w="2080" w:type="dxa"/>
            <w:vAlign w:val="bottom"/>
            <w:tcBorders>
              <w:bottom w:val="single" w:sz="8" w:color="E7E7E7"/>
            </w:tcBorders>
            <w:shd w:val="clear" w:color="auto" w:fill="E7E7E8"/>
          </w:tcPr>
          <w:p>
            <w:pPr>
              <w:jc w:val="right"/>
              <w:ind w:right="412"/>
              <w:spacing w:after="0" w:line="129" w:lineRule="exact"/>
              <w:rPr>
                <w:sz w:val="20"/>
                <w:szCs w:val="20"/>
                <w:color w:val="auto"/>
              </w:rPr>
            </w:pPr>
            <w:r>
              <w:rPr>
                <w:rFonts w:ascii="Arial" w:cs="Arial" w:eastAsia="Arial" w:hAnsi="Arial"/>
                <w:sz w:val="13"/>
                <w:szCs w:val="13"/>
                <w:color w:val="auto"/>
              </w:rPr>
              <w:t>2,334,525</w:t>
            </w:r>
          </w:p>
        </w:tc>
      </w:tr>
      <w:tr>
        <w:trPr>
          <w:trHeight w:val="155"/>
        </w:trPr>
        <w:tc>
          <w:tcPr>
            <w:tcW w:w="1660" w:type="dxa"/>
            <w:vAlign w:val="bottom"/>
            <w:tcBorders>
              <w:bottom w:val="single" w:sz="8" w:color="E7E7E7"/>
            </w:tcBorders>
          </w:tcPr>
          <w:p>
            <w:pPr>
              <w:ind w:left="20"/>
              <w:spacing w:after="0"/>
              <w:rPr>
                <w:sz w:val="20"/>
                <w:szCs w:val="20"/>
                <w:color w:val="auto"/>
              </w:rPr>
            </w:pPr>
            <w:r>
              <w:rPr>
                <w:rFonts w:ascii="Arial" w:cs="Arial" w:eastAsia="Arial" w:hAnsi="Arial"/>
                <w:sz w:val="13"/>
                <w:szCs w:val="13"/>
                <w:color w:val="auto"/>
              </w:rPr>
              <w:t>2022</w:t>
            </w:r>
          </w:p>
        </w:tc>
        <w:tc>
          <w:tcPr>
            <w:tcW w:w="2500" w:type="dxa"/>
            <w:vAlign w:val="bottom"/>
            <w:tcBorders>
              <w:bottom w:val="single" w:sz="8" w:color="E7E7E7"/>
            </w:tcBorders>
          </w:tcPr>
          <w:p>
            <w:pPr>
              <w:jc w:val="right"/>
              <w:ind w:right="472"/>
              <w:spacing w:after="0"/>
              <w:rPr>
                <w:sz w:val="20"/>
                <w:szCs w:val="20"/>
                <w:color w:val="auto"/>
              </w:rPr>
            </w:pPr>
            <w:r>
              <w:rPr>
                <w:rFonts w:ascii="Arial" w:cs="Arial" w:eastAsia="Arial" w:hAnsi="Arial"/>
                <w:sz w:val="13"/>
                <w:szCs w:val="13"/>
                <w:color w:val="auto"/>
              </w:rPr>
              <w:t>2,410,994</w:t>
            </w:r>
          </w:p>
        </w:tc>
        <w:tc>
          <w:tcPr>
            <w:tcW w:w="2100" w:type="dxa"/>
            <w:vAlign w:val="bottom"/>
            <w:tcBorders>
              <w:bottom w:val="single" w:sz="8" w:color="E7E7E7"/>
            </w:tcBorders>
          </w:tcPr>
          <w:p>
            <w:pPr>
              <w:jc w:val="right"/>
              <w:ind w:right="453"/>
              <w:spacing w:after="0"/>
              <w:rPr>
                <w:sz w:val="20"/>
                <w:szCs w:val="20"/>
                <w:color w:val="auto"/>
              </w:rPr>
            </w:pPr>
            <w:r>
              <w:rPr>
                <w:rFonts w:ascii="Arial" w:cs="Arial" w:eastAsia="Arial" w:hAnsi="Arial"/>
                <w:sz w:val="13"/>
                <w:szCs w:val="13"/>
                <w:color w:val="auto"/>
              </w:rPr>
              <w:t>(895,256)</w:t>
            </w:r>
          </w:p>
        </w:tc>
        <w:tc>
          <w:tcPr>
            <w:tcW w:w="2000" w:type="dxa"/>
            <w:vAlign w:val="bottom"/>
            <w:tcBorders>
              <w:bottom w:val="single" w:sz="8" w:color="E7E7E7"/>
            </w:tcBorders>
          </w:tcPr>
          <w:p>
            <w:pPr>
              <w:jc w:val="right"/>
              <w:ind w:right="433"/>
              <w:spacing w:after="0"/>
              <w:rPr>
                <w:sz w:val="20"/>
                <w:szCs w:val="20"/>
                <w:color w:val="auto"/>
              </w:rPr>
            </w:pPr>
            <w:r>
              <w:rPr>
                <w:rFonts w:ascii="Arial" w:cs="Arial" w:eastAsia="Arial" w:hAnsi="Arial"/>
                <w:sz w:val="13"/>
                <w:szCs w:val="13"/>
                <w:color w:val="auto"/>
              </w:rPr>
              <w:t>789,051</w:t>
            </w:r>
          </w:p>
        </w:tc>
        <w:tc>
          <w:tcPr>
            <w:tcW w:w="2080" w:type="dxa"/>
            <w:vAlign w:val="bottom"/>
            <w:tcBorders>
              <w:bottom w:val="single" w:sz="8" w:color="E7E7E7"/>
            </w:tcBorders>
          </w:tcPr>
          <w:p>
            <w:pPr>
              <w:jc w:val="right"/>
              <w:ind w:right="412"/>
              <w:spacing w:after="0"/>
              <w:rPr>
                <w:sz w:val="20"/>
                <w:szCs w:val="20"/>
                <w:color w:val="auto"/>
              </w:rPr>
            </w:pPr>
            <w:r>
              <w:rPr>
                <w:rFonts w:ascii="Arial" w:cs="Arial" w:eastAsia="Arial" w:hAnsi="Arial"/>
                <w:sz w:val="13"/>
                <w:szCs w:val="13"/>
                <w:color w:val="auto"/>
              </w:rPr>
              <w:t>2,304,789</w:t>
            </w:r>
          </w:p>
        </w:tc>
      </w:tr>
      <w:tr>
        <w:trPr>
          <w:trHeight w:val="163"/>
        </w:trPr>
        <w:tc>
          <w:tcPr>
            <w:tcW w:w="1660" w:type="dxa"/>
            <w:vAlign w:val="bottom"/>
            <w:tcBorders>
              <w:bottom w:val="single" w:sz="8" w:color="051972"/>
            </w:tcBorders>
            <w:shd w:val="clear" w:color="auto" w:fill="E7E7E8"/>
          </w:tcPr>
          <w:p>
            <w:pPr>
              <w:ind w:left="20"/>
              <w:spacing w:after="0" w:line="129" w:lineRule="exact"/>
              <w:rPr>
                <w:sz w:val="20"/>
                <w:szCs w:val="20"/>
                <w:color w:val="auto"/>
              </w:rPr>
            </w:pPr>
            <w:r>
              <w:rPr>
                <w:rFonts w:ascii="Arial" w:cs="Arial" w:eastAsia="Arial" w:hAnsi="Arial"/>
                <w:sz w:val="13"/>
                <w:szCs w:val="13"/>
                <w:color w:val="auto"/>
              </w:rPr>
              <w:t>2021</w:t>
            </w:r>
          </w:p>
        </w:tc>
        <w:tc>
          <w:tcPr>
            <w:tcW w:w="2500" w:type="dxa"/>
            <w:vAlign w:val="bottom"/>
            <w:tcBorders>
              <w:bottom w:val="single" w:sz="8" w:color="051972"/>
            </w:tcBorders>
            <w:shd w:val="clear" w:color="auto" w:fill="E7E7E8"/>
          </w:tcPr>
          <w:p>
            <w:pPr>
              <w:jc w:val="right"/>
              <w:ind w:right="472"/>
              <w:spacing w:after="0" w:line="129" w:lineRule="exact"/>
              <w:rPr>
                <w:sz w:val="20"/>
                <w:szCs w:val="20"/>
                <w:color w:val="auto"/>
              </w:rPr>
            </w:pPr>
            <w:r>
              <w:rPr>
                <w:rFonts w:ascii="Arial" w:cs="Arial" w:eastAsia="Arial" w:hAnsi="Arial"/>
                <w:sz w:val="13"/>
                <w:szCs w:val="13"/>
                <w:color w:val="auto"/>
              </w:rPr>
              <w:t>2,238,016</w:t>
            </w:r>
          </w:p>
        </w:tc>
        <w:tc>
          <w:tcPr>
            <w:tcW w:w="2100" w:type="dxa"/>
            <w:vAlign w:val="bottom"/>
            <w:tcBorders>
              <w:bottom w:val="single" w:sz="8" w:color="051972"/>
            </w:tcBorders>
            <w:shd w:val="clear" w:color="auto" w:fill="E7E7E8"/>
          </w:tcPr>
          <w:p>
            <w:pPr>
              <w:jc w:val="right"/>
              <w:ind w:right="453"/>
              <w:spacing w:after="0" w:line="129" w:lineRule="exact"/>
              <w:rPr>
                <w:sz w:val="20"/>
                <w:szCs w:val="20"/>
                <w:color w:val="auto"/>
              </w:rPr>
            </w:pPr>
            <w:r>
              <w:rPr>
                <w:rFonts w:ascii="Arial" w:cs="Arial" w:eastAsia="Arial" w:hAnsi="Arial"/>
                <w:sz w:val="13"/>
                <w:szCs w:val="13"/>
                <w:color w:val="auto"/>
              </w:rPr>
              <w:t>(895,202)</w:t>
            </w:r>
          </w:p>
        </w:tc>
        <w:tc>
          <w:tcPr>
            <w:tcW w:w="2000" w:type="dxa"/>
            <w:vAlign w:val="bottom"/>
            <w:tcBorders>
              <w:bottom w:val="single" w:sz="8" w:color="051972"/>
            </w:tcBorders>
            <w:shd w:val="clear" w:color="auto" w:fill="E7E7E8"/>
          </w:tcPr>
          <w:p>
            <w:pPr>
              <w:jc w:val="right"/>
              <w:ind w:right="433"/>
              <w:spacing w:after="0" w:line="129" w:lineRule="exact"/>
              <w:rPr>
                <w:sz w:val="20"/>
                <w:szCs w:val="20"/>
                <w:color w:val="auto"/>
              </w:rPr>
            </w:pPr>
            <w:r>
              <w:rPr>
                <w:rFonts w:ascii="Arial" w:cs="Arial" w:eastAsia="Arial" w:hAnsi="Arial"/>
                <w:sz w:val="13"/>
                <w:szCs w:val="13"/>
                <w:color w:val="auto"/>
              </w:rPr>
              <w:t>3,652,302</w:t>
            </w:r>
          </w:p>
        </w:tc>
        <w:tc>
          <w:tcPr>
            <w:tcW w:w="2080" w:type="dxa"/>
            <w:vAlign w:val="bottom"/>
            <w:tcBorders>
              <w:bottom w:val="single" w:sz="8" w:color="051972"/>
            </w:tcBorders>
            <w:shd w:val="clear" w:color="auto" w:fill="E7E7E8"/>
          </w:tcPr>
          <w:p>
            <w:pPr>
              <w:jc w:val="right"/>
              <w:ind w:right="412"/>
              <w:spacing w:after="0" w:line="129" w:lineRule="exact"/>
              <w:rPr>
                <w:sz w:val="20"/>
                <w:szCs w:val="20"/>
                <w:color w:val="auto"/>
              </w:rPr>
            </w:pPr>
            <w:r>
              <w:rPr>
                <w:rFonts w:ascii="Arial" w:cs="Arial" w:eastAsia="Arial" w:hAnsi="Arial"/>
                <w:sz w:val="13"/>
                <w:szCs w:val="13"/>
                <w:color w:val="auto"/>
              </w:rPr>
              <w:t>4,995,116</w:t>
            </w:r>
          </w:p>
        </w:tc>
      </w:tr>
    </w:tbl>
    <w:p>
      <w:pPr>
        <w:spacing w:after="0" w:line="234" w:lineRule="exact"/>
        <w:rPr>
          <w:sz w:val="20"/>
          <w:szCs w:val="20"/>
          <w:color w:val="auto"/>
        </w:rPr>
      </w:pPr>
    </w:p>
    <w:p>
      <w:pPr>
        <w:ind w:left="760" w:hanging="378"/>
        <w:spacing w:after="0"/>
        <w:tabs>
          <w:tab w:leader="none" w:pos="7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amounts deducted or added in calculating the equity award adjustments are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051972"/>
                <w:w w:val="99"/>
              </w:rPr>
              <w:t>Change in Fair</w:t>
            </w: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Value (from</w:t>
            </w: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Prior Fiscal</w:t>
            </w: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Year-End to</w:t>
            </w:r>
          </w:p>
        </w:tc>
        <w:tc>
          <w:tcPr>
            <w:tcW w:w="1260" w:type="dxa"/>
            <w:vAlign w:val="bottom"/>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Change in Fair</w:t>
            </w: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1"/>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6"/>
              </w:rPr>
              <w:t>Fiscal Year-End</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Covered Fiscal</w:t>
            </w:r>
          </w:p>
        </w:tc>
        <w:tc>
          <w:tcPr>
            <w:tcW w:w="1260" w:type="dxa"/>
            <w:vAlign w:val="bottom"/>
          </w:tcPr>
          <w:p>
            <w:pPr>
              <w:spacing w:after="0"/>
              <w:rPr>
                <w:sz w:val="10"/>
                <w:szCs w:val="10"/>
                <w:color w:val="auto"/>
              </w:rPr>
            </w:pP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Value (from</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Fair Value at</w:t>
            </w:r>
          </w:p>
        </w:tc>
        <w:tc>
          <w:tcPr>
            <w:tcW w:w="134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6"/>
              </w:rPr>
              <w:t>Fair Value of</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Year-End) of</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Fair Value as of</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Prior Fiscal</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End of the Prior</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Value of</w:t>
            </w:r>
          </w:p>
        </w:tc>
        <w:tc>
          <w:tcPr>
            <w:tcW w:w="122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7"/>
              </w:rPr>
              <w:t>Covered Fiscal</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Prior Year</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Vesting Date of</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Year-End to</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Fiscal Year of</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Dividends or</w:t>
            </w:r>
          </w:p>
        </w:tc>
        <w:tc>
          <w:tcPr>
            <w:tcW w:w="122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9"/>
              </w:rPr>
              <w:t>Year Equity</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Equity Awards</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Covered Fiscal</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Vesting Date) of</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Equity Awards</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7"/>
              </w:rPr>
              <w:t>other Earnings</w:t>
            </w:r>
          </w:p>
        </w:tc>
        <w:tc>
          <w:tcPr>
            <w:tcW w:w="122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6"/>
              </w:rPr>
              <w:t>Awards that are</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that are</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5"/>
              </w:rPr>
              <w:t>Year Equity</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Equity Awards</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that Failed to</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9"/>
              </w:rPr>
              <w:t>Paid on Stock or</w:t>
            </w:r>
          </w:p>
        </w:tc>
        <w:tc>
          <w:tcPr>
            <w:tcW w:w="1220" w:type="dxa"/>
            <w:vAlign w:val="bottom"/>
          </w:tcPr>
          <w:p>
            <w:pPr>
              <w:spacing w:after="0"/>
              <w:rPr>
                <w:sz w:val="10"/>
                <w:szCs w:val="10"/>
                <w:color w:val="auto"/>
              </w:rPr>
            </w:pPr>
          </w:p>
        </w:tc>
      </w:tr>
      <w:tr>
        <w:trPr>
          <w:trHeight w:val="121"/>
        </w:trPr>
        <w:tc>
          <w:tcPr>
            <w:tcW w:w="1160" w:type="dxa"/>
            <w:vAlign w:val="bottom"/>
          </w:tcPr>
          <w:p>
            <w:pPr>
              <w:spacing w:after="0"/>
              <w:rPr>
                <w:sz w:val="10"/>
                <w:szCs w:val="10"/>
                <w:color w:val="auto"/>
              </w:rPr>
            </w:pPr>
          </w:p>
        </w:tc>
        <w:tc>
          <w:tcPr>
            <w:tcW w:w="140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051972"/>
                <w:w w:val="98"/>
              </w:rPr>
              <w:t>Outstanding and</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Outstanding and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8"/>
              </w:rPr>
              <w:t>Awards that</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Granted in Prior</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Meet Vesting</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7"/>
              </w:rPr>
              <w:t>Option Awards</w:t>
            </w:r>
          </w:p>
        </w:tc>
        <w:tc>
          <w:tcPr>
            <w:tcW w:w="1220" w:type="dxa"/>
            <w:vAlign w:val="bottom"/>
          </w:tcPr>
          <w:p>
            <w:pPr>
              <w:spacing w:after="0"/>
              <w:rPr>
                <w:sz w:val="10"/>
                <w:szCs w:val="10"/>
                <w:color w:val="auto"/>
              </w:rPr>
            </w:pPr>
          </w:p>
        </w:tc>
      </w:tr>
      <w:tr>
        <w:trPr>
          <w:trHeight w:val="122"/>
        </w:trPr>
        <w:tc>
          <w:tcPr>
            <w:tcW w:w="1160" w:type="dxa"/>
            <w:vAlign w:val="bottom"/>
          </w:tcPr>
          <w:p>
            <w:pPr>
              <w:spacing w:after="0"/>
              <w:rPr>
                <w:sz w:val="10"/>
                <w:szCs w:val="10"/>
                <w:color w:val="auto"/>
              </w:rPr>
            </w:pP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6"/>
              </w:rPr>
              <w:t>Unvested at</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Unvested at</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Vested in the</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Years that Vested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Conditions in the</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8"/>
              </w:rPr>
              <w:t>not Otherwise</w:t>
            </w:r>
          </w:p>
        </w:tc>
        <w:tc>
          <w:tcPr>
            <w:tcW w:w="12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Total Equity</w:t>
            </w:r>
          </w:p>
        </w:tc>
      </w:tr>
      <w:tr>
        <w:trPr>
          <w:trHeight w:val="122"/>
        </w:trPr>
        <w:tc>
          <w:tcPr>
            <w:tcW w:w="1160" w:type="dxa"/>
            <w:vAlign w:val="bottom"/>
          </w:tcPr>
          <w:p>
            <w:pPr>
              <w:spacing w:after="0" w:line="122" w:lineRule="exact"/>
              <w:rPr>
                <w:sz w:val="20"/>
                <w:szCs w:val="20"/>
                <w:color w:val="auto"/>
              </w:rPr>
            </w:pPr>
            <w:r>
              <w:rPr>
                <w:rFonts w:ascii="Arial" w:cs="Arial" w:eastAsia="Arial" w:hAnsi="Arial"/>
                <w:sz w:val="11"/>
                <w:szCs w:val="11"/>
                <w:b w:val="1"/>
                <w:bCs w:val="1"/>
                <w:color w:val="051972"/>
              </w:rPr>
              <w:t>Fiscal</w:t>
            </w: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7"/>
              </w:rPr>
              <w:t>Covered Fiscal</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Covered Fiscal</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Covered Fiscal</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in the Covered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7"/>
              </w:rPr>
              <w:t>Covered Fiscal</w:t>
            </w:r>
          </w:p>
        </w:tc>
        <w:tc>
          <w:tcPr>
            <w:tcW w:w="13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Reflected in Total</w:t>
            </w:r>
          </w:p>
        </w:tc>
        <w:tc>
          <w:tcPr>
            <w:tcW w:w="12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rPr>
              <w:t>Award</w:t>
            </w:r>
          </w:p>
        </w:tc>
      </w:tr>
      <w:tr>
        <w:trPr>
          <w:trHeight w:val="122"/>
        </w:trPr>
        <w:tc>
          <w:tcPr>
            <w:tcW w:w="1160" w:type="dxa"/>
            <w:vAlign w:val="bottom"/>
          </w:tcPr>
          <w:p>
            <w:pPr>
              <w:spacing w:after="0" w:line="122" w:lineRule="exact"/>
              <w:rPr>
                <w:sz w:val="20"/>
                <w:szCs w:val="20"/>
                <w:color w:val="auto"/>
              </w:rPr>
            </w:pPr>
            <w:r>
              <w:rPr>
                <w:rFonts w:ascii="Arial" w:cs="Arial" w:eastAsia="Arial" w:hAnsi="Arial"/>
                <w:sz w:val="11"/>
                <w:szCs w:val="11"/>
                <w:b w:val="1"/>
                <w:bCs w:val="1"/>
                <w:color w:val="051972"/>
              </w:rPr>
              <w:t>Year Ended</w:t>
            </w:r>
          </w:p>
        </w:tc>
        <w:tc>
          <w:tcPr>
            <w:tcW w:w="14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051972"/>
                <w:w w:val="99"/>
              </w:rPr>
              <w:t>Year-End</w:t>
            </w: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9"/>
              </w:rPr>
              <w:t>Year-End</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2"/>
              </w:rPr>
              <w:t>Year</w:t>
            </w:r>
          </w:p>
        </w:tc>
        <w:tc>
          <w:tcPr>
            <w:tcW w:w="134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w w:val="96"/>
              </w:rPr>
              <w:t>Fiscal Year</w:t>
            </w:r>
          </w:p>
        </w:tc>
        <w:tc>
          <w:tcPr>
            <w:tcW w:w="1260" w:type="dxa"/>
            <w:vAlign w:val="bottom"/>
          </w:tcPr>
          <w:p>
            <w:pPr>
              <w:jc w:val="center"/>
              <w:spacing w:after="0" w:line="122" w:lineRule="exact"/>
              <w:rPr>
                <w:sz w:val="20"/>
                <w:szCs w:val="20"/>
                <w:color w:val="auto"/>
              </w:rPr>
            </w:pPr>
            <w:r>
              <w:rPr>
                <w:rFonts w:ascii="Arial" w:cs="Arial" w:eastAsia="Arial" w:hAnsi="Arial"/>
                <w:sz w:val="11"/>
                <w:szCs w:val="11"/>
                <w:b w:val="1"/>
                <w:bCs w:val="1"/>
                <w:color w:val="051972"/>
              </w:rPr>
              <w:t>Year</w:t>
            </w:r>
          </w:p>
        </w:tc>
        <w:tc>
          <w:tcPr>
            <w:tcW w:w="13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051972"/>
                <w:w w:val="99"/>
              </w:rPr>
              <w:t>Compensation</w:t>
            </w:r>
          </w:p>
        </w:tc>
        <w:tc>
          <w:tcPr>
            <w:tcW w:w="12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051972"/>
                <w:w w:val="98"/>
              </w:rPr>
              <w:t>Adjustments</w:t>
            </w:r>
          </w:p>
        </w:tc>
      </w:tr>
      <w:tr>
        <w:trPr>
          <w:trHeight w:val="148"/>
        </w:trPr>
        <w:tc>
          <w:tcPr>
            <w:tcW w:w="1160" w:type="dxa"/>
            <w:vAlign w:val="bottom"/>
            <w:tcBorders>
              <w:bottom w:val="single" w:sz="8" w:color="051972"/>
            </w:tcBorders>
          </w:tcPr>
          <w:p>
            <w:pPr>
              <w:spacing w:after="0"/>
              <w:rPr>
                <w:sz w:val="20"/>
                <w:szCs w:val="20"/>
                <w:color w:val="auto"/>
              </w:rPr>
            </w:pPr>
            <w:r>
              <w:rPr>
                <w:rFonts w:ascii="Arial" w:cs="Arial" w:eastAsia="Arial" w:hAnsi="Arial"/>
                <w:sz w:val="11"/>
                <w:szCs w:val="11"/>
                <w:b w:val="1"/>
                <w:bCs w:val="1"/>
                <w:color w:val="051972"/>
              </w:rPr>
              <w:t>March 31,</w:t>
            </w:r>
          </w:p>
        </w:tc>
        <w:tc>
          <w:tcPr>
            <w:tcW w:w="1400" w:type="dxa"/>
            <w:vAlign w:val="bottom"/>
            <w:tcBorders>
              <w:bottom w:val="single" w:sz="8" w:color="051972"/>
            </w:tcBorders>
          </w:tcPr>
          <w:p>
            <w:pPr>
              <w:jc w:val="center"/>
              <w:ind w:left="26"/>
              <w:spacing w:after="0"/>
              <w:rPr>
                <w:sz w:val="20"/>
                <w:szCs w:val="20"/>
                <w:color w:val="auto"/>
              </w:rPr>
            </w:pPr>
            <w:r>
              <w:rPr>
                <w:rFonts w:ascii="Arial" w:cs="Arial" w:eastAsia="Arial" w:hAnsi="Arial"/>
                <w:sz w:val="11"/>
                <w:szCs w:val="11"/>
                <w:b w:val="1"/>
                <w:bCs w:val="1"/>
                <w:color w:val="051972"/>
                <w:w w:val="88"/>
              </w:rPr>
              <w:t>($)</w:t>
            </w:r>
          </w:p>
        </w:tc>
        <w:tc>
          <w:tcPr>
            <w:tcW w:w="13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p>
        </w:tc>
        <w:tc>
          <w:tcPr>
            <w:tcW w:w="12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34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w w:val="88"/>
              </w:rPr>
              <w:t>($)</w:t>
            </w:r>
          </w:p>
        </w:tc>
        <w:tc>
          <w:tcPr>
            <w:tcW w:w="1260" w:type="dxa"/>
            <w:vAlign w:val="bottom"/>
            <w:tcBorders>
              <w:bottom w:val="single" w:sz="8" w:color="051972"/>
            </w:tcBorders>
          </w:tcPr>
          <w:p>
            <w:pPr>
              <w:jc w:val="center"/>
              <w:spacing w:after="0"/>
              <w:rPr>
                <w:sz w:val="20"/>
                <w:szCs w:val="20"/>
                <w:color w:val="auto"/>
              </w:rPr>
            </w:pPr>
            <w:r>
              <w:rPr>
                <w:rFonts w:ascii="Arial" w:cs="Arial" w:eastAsia="Arial" w:hAnsi="Arial"/>
                <w:sz w:val="11"/>
                <w:szCs w:val="11"/>
                <w:b w:val="1"/>
                <w:bCs w:val="1"/>
                <w:color w:val="051972"/>
              </w:rPr>
              <w:t>($)</w:t>
            </w:r>
          </w:p>
        </w:tc>
        <w:tc>
          <w:tcPr>
            <w:tcW w:w="1340" w:type="dxa"/>
            <w:vAlign w:val="bottom"/>
            <w:tcBorders>
              <w:bottom w:val="single" w:sz="8" w:color="051972"/>
            </w:tcBorders>
          </w:tcPr>
          <w:p>
            <w:pPr>
              <w:jc w:val="center"/>
              <w:ind w:right="26"/>
              <w:spacing w:after="0"/>
              <w:rPr>
                <w:sz w:val="20"/>
                <w:szCs w:val="20"/>
                <w:color w:val="auto"/>
              </w:rPr>
            </w:pPr>
            <w:r>
              <w:rPr>
                <w:rFonts w:ascii="Arial" w:cs="Arial" w:eastAsia="Arial" w:hAnsi="Arial"/>
                <w:sz w:val="11"/>
                <w:szCs w:val="11"/>
                <w:b w:val="1"/>
                <w:bCs w:val="1"/>
                <w:color w:val="051972"/>
              </w:rPr>
              <w:t>($)</w:t>
            </w:r>
          </w:p>
        </w:tc>
        <w:tc>
          <w:tcPr>
            <w:tcW w:w="1220" w:type="dxa"/>
            <w:vAlign w:val="bottom"/>
            <w:tcBorders>
              <w:bottom w:val="single" w:sz="8" w:color="051972"/>
            </w:tcBorders>
          </w:tcPr>
          <w:p>
            <w:pPr>
              <w:jc w:val="center"/>
              <w:ind w:right="26"/>
              <w:spacing w:after="0"/>
              <w:rPr>
                <w:sz w:val="20"/>
                <w:szCs w:val="20"/>
                <w:color w:val="auto"/>
              </w:rPr>
            </w:pPr>
            <w:r>
              <w:rPr>
                <w:rFonts w:ascii="Arial" w:cs="Arial" w:eastAsia="Arial" w:hAnsi="Arial"/>
                <w:sz w:val="11"/>
                <w:szCs w:val="11"/>
                <w:b w:val="1"/>
                <w:bCs w:val="1"/>
                <w:color w:val="051972"/>
              </w:rPr>
              <w:t>($)</w:t>
            </w:r>
          </w:p>
        </w:tc>
      </w:tr>
      <w:tr>
        <w:trPr>
          <w:trHeight w:val="142"/>
        </w:trPr>
        <w:tc>
          <w:tcPr>
            <w:tcW w:w="1160" w:type="dxa"/>
            <w:vAlign w:val="bottom"/>
            <w:shd w:val="clear" w:color="auto" w:fill="E7E7E7"/>
          </w:tcPr>
          <w:p>
            <w:pPr>
              <w:spacing w:after="0"/>
              <w:rPr>
                <w:sz w:val="20"/>
                <w:szCs w:val="20"/>
                <w:color w:val="auto"/>
              </w:rPr>
            </w:pPr>
            <w:r>
              <w:rPr>
                <w:rFonts w:ascii="Arial" w:cs="Arial" w:eastAsia="Arial" w:hAnsi="Arial"/>
                <w:sz w:val="11"/>
                <w:szCs w:val="11"/>
                <w:color w:val="auto"/>
              </w:rPr>
              <w:t>2025</w:t>
            </w:r>
          </w:p>
        </w:tc>
        <w:tc>
          <w:tcPr>
            <w:tcW w:w="1400" w:type="dxa"/>
            <w:vAlign w:val="bottom"/>
            <w:shd w:val="clear" w:color="auto" w:fill="E7E7E7"/>
          </w:tcPr>
          <w:p>
            <w:pPr>
              <w:jc w:val="right"/>
              <w:ind w:right="286"/>
              <w:spacing w:after="0"/>
              <w:rPr>
                <w:sz w:val="20"/>
                <w:szCs w:val="20"/>
                <w:color w:val="auto"/>
              </w:rPr>
            </w:pPr>
            <w:r>
              <w:rPr>
                <w:rFonts w:ascii="Arial" w:cs="Arial" w:eastAsia="Arial" w:hAnsi="Arial"/>
                <w:sz w:val="11"/>
                <w:szCs w:val="11"/>
                <w:color w:val="auto"/>
              </w:rPr>
              <w:t>1,068,079</w:t>
            </w:r>
          </w:p>
        </w:tc>
        <w:tc>
          <w:tcPr>
            <w:tcW w:w="1360" w:type="dxa"/>
            <w:vAlign w:val="bottom"/>
            <w:shd w:val="clear" w:color="auto" w:fill="E7E7E7"/>
          </w:tcPr>
          <w:p>
            <w:pPr>
              <w:jc w:val="right"/>
              <w:ind w:right="286"/>
              <w:spacing w:after="0"/>
              <w:rPr>
                <w:sz w:val="20"/>
                <w:szCs w:val="20"/>
                <w:color w:val="auto"/>
              </w:rPr>
            </w:pPr>
            <w:r>
              <w:rPr>
                <w:rFonts w:ascii="Arial" w:cs="Arial" w:eastAsia="Arial" w:hAnsi="Arial"/>
                <w:sz w:val="11"/>
                <w:szCs w:val="11"/>
                <w:color w:val="auto"/>
              </w:rPr>
              <w:t>(240,821)</w:t>
            </w:r>
          </w:p>
        </w:tc>
        <w:tc>
          <w:tcPr>
            <w:tcW w:w="1260" w:type="dxa"/>
            <w:vAlign w:val="bottom"/>
            <w:shd w:val="clear" w:color="auto" w:fill="E7E7E7"/>
          </w:tcPr>
          <w:p>
            <w:pPr>
              <w:jc w:val="right"/>
              <w:ind w:right="286"/>
              <w:spacing w:after="0"/>
              <w:rPr>
                <w:sz w:val="20"/>
                <w:szCs w:val="20"/>
                <w:color w:val="auto"/>
              </w:rPr>
            </w:pPr>
            <w:r>
              <w:rPr>
                <w:rFonts w:ascii="Arial" w:cs="Arial" w:eastAsia="Arial" w:hAnsi="Arial"/>
                <w:sz w:val="11"/>
                <w:szCs w:val="11"/>
                <w:color w:val="auto"/>
              </w:rPr>
              <w:t>-</w:t>
            </w:r>
          </w:p>
        </w:tc>
        <w:tc>
          <w:tcPr>
            <w:tcW w:w="1340" w:type="dxa"/>
            <w:vAlign w:val="bottom"/>
            <w:shd w:val="clear" w:color="auto" w:fill="E7E7E7"/>
          </w:tcPr>
          <w:p>
            <w:pPr>
              <w:jc w:val="right"/>
              <w:ind w:right="266"/>
              <w:spacing w:after="0"/>
              <w:rPr>
                <w:sz w:val="20"/>
                <w:szCs w:val="20"/>
                <w:color w:val="auto"/>
              </w:rPr>
            </w:pPr>
            <w:r>
              <w:rPr>
                <w:rFonts w:ascii="Arial" w:cs="Arial" w:eastAsia="Arial" w:hAnsi="Arial"/>
                <w:sz w:val="11"/>
                <w:szCs w:val="11"/>
                <w:color w:val="auto"/>
              </w:rPr>
              <w:t>(194,070)</w:t>
            </w:r>
          </w:p>
        </w:tc>
        <w:tc>
          <w:tcPr>
            <w:tcW w:w="1260" w:type="dxa"/>
            <w:vAlign w:val="bottom"/>
            <w:shd w:val="clear" w:color="auto" w:fill="E7E7E7"/>
          </w:tcPr>
          <w:p>
            <w:pPr>
              <w:jc w:val="right"/>
              <w:ind w:right="266"/>
              <w:spacing w:after="0"/>
              <w:rPr>
                <w:sz w:val="20"/>
                <w:szCs w:val="20"/>
                <w:color w:val="auto"/>
              </w:rPr>
            </w:pPr>
            <w:r>
              <w:rPr>
                <w:rFonts w:ascii="Arial" w:cs="Arial" w:eastAsia="Arial" w:hAnsi="Arial"/>
                <w:sz w:val="11"/>
                <w:szCs w:val="11"/>
                <w:color w:val="auto"/>
              </w:rPr>
              <w:t>—</w:t>
            </w:r>
          </w:p>
        </w:tc>
        <w:tc>
          <w:tcPr>
            <w:tcW w:w="1340" w:type="dxa"/>
            <w:vAlign w:val="bottom"/>
            <w:shd w:val="clear" w:color="auto" w:fill="E7E7E7"/>
          </w:tcPr>
          <w:p>
            <w:pPr>
              <w:jc w:val="right"/>
              <w:ind w:right="386"/>
              <w:spacing w:after="0"/>
              <w:rPr>
                <w:sz w:val="20"/>
                <w:szCs w:val="20"/>
                <w:color w:val="auto"/>
              </w:rPr>
            </w:pPr>
            <w:r>
              <w:rPr>
                <w:rFonts w:ascii="Arial" w:cs="Arial" w:eastAsia="Arial" w:hAnsi="Arial"/>
                <w:sz w:val="11"/>
                <w:szCs w:val="11"/>
                <w:color w:val="auto"/>
              </w:rPr>
              <w:t>10,686</w:t>
            </w:r>
          </w:p>
        </w:tc>
        <w:tc>
          <w:tcPr>
            <w:tcW w:w="1220" w:type="dxa"/>
            <w:vAlign w:val="bottom"/>
            <w:shd w:val="clear" w:color="auto" w:fill="E7E7E7"/>
          </w:tcPr>
          <w:p>
            <w:pPr>
              <w:jc w:val="right"/>
              <w:ind w:right="306"/>
              <w:spacing w:after="0"/>
              <w:rPr>
                <w:sz w:val="20"/>
                <w:szCs w:val="20"/>
                <w:color w:val="auto"/>
              </w:rPr>
            </w:pPr>
            <w:r>
              <w:rPr>
                <w:rFonts w:ascii="Arial" w:cs="Arial" w:eastAsia="Arial" w:hAnsi="Arial"/>
                <w:sz w:val="11"/>
                <w:szCs w:val="11"/>
                <w:color w:val="auto"/>
              </w:rPr>
              <w:t>643,874</w:t>
            </w:r>
          </w:p>
        </w:tc>
      </w:tr>
      <w:tr>
        <w:trPr>
          <w:trHeight w:val="145"/>
        </w:trPr>
        <w:tc>
          <w:tcPr>
            <w:tcW w:w="1160" w:type="dxa"/>
            <w:vAlign w:val="bottom"/>
          </w:tcPr>
          <w:p>
            <w:pPr>
              <w:spacing w:after="0"/>
              <w:rPr>
                <w:sz w:val="20"/>
                <w:szCs w:val="20"/>
                <w:color w:val="auto"/>
              </w:rPr>
            </w:pPr>
            <w:r>
              <w:rPr>
                <w:rFonts w:ascii="Arial" w:cs="Arial" w:eastAsia="Arial" w:hAnsi="Arial"/>
                <w:sz w:val="11"/>
                <w:szCs w:val="11"/>
                <w:color w:val="auto"/>
              </w:rPr>
              <w:t>2024</w:t>
            </w:r>
          </w:p>
        </w:tc>
        <w:tc>
          <w:tcPr>
            <w:tcW w:w="1400" w:type="dxa"/>
            <w:vAlign w:val="bottom"/>
          </w:tcPr>
          <w:p>
            <w:pPr>
              <w:jc w:val="right"/>
              <w:ind w:right="286"/>
              <w:spacing w:after="0"/>
              <w:rPr>
                <w:sz w:val="20"/>
                <w:szCs w:val="20"/>
                <w:color w:val="auto"/>
              </w:rPr>
            </w:pPr>
            <w:r>
              <w:rPr>
                <w:rFonts w:ascii="Arial" w:cs="Arial" w:eastAsia="Arial" w:hAnsi="Arial"/>
                <w:sz w:val="11"/>
                <w:szCs w:val="11"/>
                <w:color w:val="auto"/>
              </w:rPr>
              <w:t>751,594</w:t>
            </w:r>
          </w:p>
        </w:tc>
        <w:tc>
          <w:tcPr>
            <w:tcW w:w="1360" w:type="dxa"/>
            <w:vAlign w:val="bottom"/>
          </w:tcPr>
          <w:p>
            <w:pPr>
              <w:jc w:val="right"/>
              <w:ind w:right="346"/>
              <w:spacing w:after="0"/>
              <w:rPr>
                <w:sz w:val="20"/>
                <w:szCs w:val="20"/>
                <w:color w:val="auto"/>
              </w:rPr>
            </w:pPr>
            <w:r>
              <w:rPr>
                <w:rFonts w:ascii="Arial" w:cs="Arial" w:eastAsia="Arial" w:hAnsi="Arial"/>
                <w:sz w:val="11"/>
                <w:szCs w:val="11"/>
                <w:color w:val="auto"/>
              </w:rPr>
              <w:t>607,145</w:t>
            </w:r>
          </w:p>
        </w:tc>
        <w:tc>
          <w:tcPr>
            <w:tcW w:w="1260" w:type="dxa"/>
            <w:vAlign w:val="bottom"/>
          </w:tcPr>
          <w:p>
            <w:pPr>
              <w:jc w:val="right"/>
              <w:ind w:right="286"/>
              <w:spacing w:after="0"/>
              <w:rPr>
                <w:sz w:val="20"/>
                <w:szCs w:val="20"/>
                <w:color w:val="auto"/>
              </w:rPr>
            </w:pPr>
            <w:r>
              <w:rPr>
                <w:rFonts w:ascii="Arial" w:cs="Arial" w:eastAsia="Arial" w:hAnsi="Arial"/>
                <w:sz w:val="11"/>
                <w:szCs w:val="11"/>
                <w:color w:val="auto"/>
              </w:rPr>
              <w:t>135,875</w:t>
            </w:r>
          </w:p>
        </w:tc>
        <w:tc>
          <w:tcPr>
            <w:tcW w:w="1340" w:type="dxa"/>
            <w:vAlign w:val="bottom"/>
          </w:tcPr>
          <w:p>
            <w:pPr>
              <w:jc w:val="right"/>
              <w:ind w:right="326"/>
              <w:spacing w:after="0"/>
              <w:rPr>
                <w:sz w:val="20"/>
                <w:szCs w:val="20"/>
                <w:color w:val="auto"/>
              </w:rPr>
            </w:pPr>
            <w:r>
              <w:rPr>
                <w:rFonts w:ascii="Arial" w:cs="Arial" w:eastAsia="Arial" w:hAnsi="Arial"/>
                <w:sz w:val="11"/>
                <w:szCs w:val="11"/>
                <w:color w:val="auto"/>
              </w:rPr>
              <w:t>623,655</w:t>
            </w:r>
          </w:p>
        </w:tc>
        <w:tc>
          <w:tcPr>
            <w:tcW w:w="126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386"/>
              <w:spacing w:after="0"/>
              <w:rPr>
                <w:sz w:val="20"/>
                <w:szCs w:val="20"/>
                <w:color w:val="auto"/>
              </w:rPr>
            </w:pPr>
            <w:r>
              <w:rPr>
                <w:rFonts w:ascii="Arial" w:cs="Arial" w:eastAsia="Arial" w:hAnsi="Arial"/>
                <w:sz w:val="11"/>
                <w:szCs w:val="11"/>
                <w:color w:val="auto"/>
              </w:rPr>
              <w:t>13,363</w:t>
            </w:r>
          </w:p>
        </w:tc>
        <w:tc>
          <w:tcPr>
            <w:tcW w:w="1220" w:type="dxa"/>
            <w:vAlign w:val="bottom"/>
          </w:tcPr>
          <w:p>
            <w:pPr>
              <w:jc w:val="right"/>
              <w:ind w:right="306"/>
              <w:spacing w:after="0"/>
              <w:rPr>
                <w:sz w:val="20"/>
                <w:szCs w:val="20"/>
                <w:color w:val="auto"/>
              </w:rPr>
            </w:pPr>
            <w:r>
              <w:rPr>
                <w:rFonts w:ascii="Arial" w:cs="Arial" w:eastAsia="Arial" w:hAnsi="Arial"/>
                <w:sz w:val="11"/>
                <w:szCs w:val="11"/>
                <w:color w:val="auto"/>
              </w:rPr>
              <w:t>2,131,632</w:t>
            </w:r>
          </w:p>
        </w:tc>
      </w:tr>
      <w:tr>
        <w:trPr>
          <w:trHeight w:val="152"/>
        </w:trPr>
        <w:tc>
          <w:tcPr>
            <w:tcW w:w="1160" w:type="dxa"/>
            <w:vAlign w:val="bottom"/>
            <w:shd w:val="clear" w:color="auto" w:fill="E7E7E7"/>
          </w:tcPr>
          <w:p>
            <w:pPr>
              <w:spacing w:after="0"/>
              <w:rPr>
                <w:sz w:val="20"/>
                <w:szCs w:val="20"/>
                <w:color w:val="auto"/>
              </w:rPr>
            </w:pPr>
            <w:r>
              <w:rPr>
                <w:rFonts w:ascii="Arial" w:cs="Arial" w:eastAsia="Arial" w:hAnsi="Arial"/>
                <w:sz w:val="11"/>
                <w:szCs w:val="11"/>
                <w:color w:val="auto"/>
              </w:rPr>
              <w:t>2023</w:t>
            </w:r>
          </w:p>
        </w:tc>
        <w:tc>
          <w:tcPr>
            <w:tcW w:w="1400" w:type="dxa"/>
            <w:vAlign w:val="bottom"/>
            <w:shd w:val="clear" w:color="auto" w:fill="E7E7E7"/>
          </w:tcPr>
          <w:p>
            <w:pPr>
              <w:jc w:val="right"/>
              <w:ind w:right="286"/>
              <w:spacing w:after="0"/>
              <w:rPr>
                <w:sz w:val="20"/>
                <w:szCs w:val="20"/>
                <w:color w:val="auto"/>
              </w:rPr>
            </w:pPr>
            <w:r>
              <w:rPr>
                <w:rFonts w:ascii="Arial" w:cs="Arial" w:eastAsia="Arial" w:hAnsi="Arial"/>
                <w:sz w:val="11"/>
                <w:szCs w:val="11"/>
                <w:color w:val="auto"/>
              </w:rPr>
              <w:t>741,548</w:t>
            </w:r>
          </w:p>
        </w:tc>
        <w:tc>
          <w:tcPr>
            <w:tcW w:w="1360" w:type="dxa"/>
            <w:vAlign w:val="bottom"/>
            <w:shd w:val="clear" w:color="auto" w:fill="E7E7E7"/>
          </w:tcPr>
          <w:p>
            <w:pPr>
              <w:jc w:val="right"/>
              <w:ind w:right="346"/>
              <w:spacing w:after="0"/>
              <w:rPr>
                <w:sz w:val="20"/>
                <w:szCs w:val="20"/>
                <w:color w:val="auto"/>
              </w:rPr>
            </w:pPr>
            <w:r>
              <w:rPr>
                <w:rFonts w:ascii="Arial" w:cs="Arial" w:eastAsia="Arial" w:hAnsi="Arial"/>
                <w:sz w:val="11"/>
                <w:szCs w:val="11"/>
                <w:color w:val="auto"/>
              </w:rPr>
              <w:t>191,705</w:t>
            </w:r>
          </w:p>
        </w:tc>
        <w:tc>
          <w:tcPr>
            <w:tcW w:w="1260" w:type="dxa"/>
            <w:vAlign w:val="bottom"/>
            <w:shd w:val="clear" w:color="auto" w:fill="E7E7E7"/>
          </w:tcPr>
          <w:p>
            <w:pPr>
              <w:jc w:val="right"/>
              <w:ind w:right="286"/>
              <w:spacing w:after="0"/>
              <w:rPr>
                <w:sz w:val="20"/>
                <w:szCs w:val="20"/>
                <w:color w:val="auto"/>
              </w:rPr>
            </w:pPr>
            <w:r>
              <w:rPr>
                <w:rFonts w:ascii="Arial" w:cs="Arial" w:eastAsia="Arial" w:hAnsi="Arial"/>
                <w:sz w:val="11"/>
                <w:szCs w:val="11"/>
                <w:color w:val="auto"/>
              </w:rPr>
              <w:t>91,300</w:t>
            </w:r>
          </w:p>
        </w:tc>
        <w:tc>
          <w:tcPr>
            <w:tcW w:w="1340" w:type="dxa"/>
            <w:vAlign w:val="bottom"/>
            <w:shd w:val="clear" w:color="auto" w:fill="E7E7E7"/>
          </w:tcPr>
          <w:p>
            <w:pPr>
              <w:jc w:val="right"/>
              <w:ind w:right="326"/>
              <w:spacing w:after="0"/>
              <w:rPr>
                <w:sz w:val="20"/>
                <w:szCs w:val="20"/>
                <w:color w:val="auto"/>
              </w:rPr>
            </w:pPr>
            <w:r>
              <w:rPr>
                <w:rFonts w:ascii="Arial" w:cs="Arial" w:eastAsia="Arial" w:hAnsi="Arial"/>
                <w:sz w:val="11"/>
                <w:szCs w:val="11"/>
                <w:color w:val="auto"/>
              </w:rPr>
              <w:t>191,659</w:t>
            </w:r>
          </w:p>
        </w:tc>
        <w:tc>
          <w:tcPr>
            <w:tcW w:w="1260" w:type="dxa"/>
            <w:vAlign w:val="bottom"/>
            <w:shd w:val="clear" w:color="auto" w:fill="E7E7E7"/>
          </w:tcPr>
          <w:p>
            <w:pPr>
              <w:jc w:val="right"/>
              <w:ind w:right="266"/>
              <w:spacing w:after="0"/>
              <w:rPr>
                <w:sz w:val="20"/>
                <w:szCs w:val="20"/>
                <w:color w:val="auto"/>
              </w:rPr>
            </w:pPr>
            <w:r>
              <w:rPr>
                <w:rFonts w:ascii="Arial" w:cs="Arial" w:eastAsia="Arial" w:hAnsi="Arial"/>
                <w:sz w:val="11"/>
                <w:szCs w:val="11"/>
                <w:color w:val="auto"/>
              </w:rPr>
              <w:t>—</w:t>
            </w:r>
          </w:p>
        </w:tc>
        <w:tc>
          <w:tcPr>
            <w:tcW w:w="1340" w:type="dxa"/>
            <w:vAlign w:val="bottom"/>
            <w:shd w:val="clear" w:color="auto" w:fill="E7E7E7"/>
          </w:tcPr>
          <w:p>
            <w:pPr>
              <w:jc w:val="right"/>
              <w:ind w:right="386"/>
              <w:spacing w:after="0"/>
              <w:rPr>
                <w:sz w:val="20"/>
                <w:szCs w:val="20"/>
                <w:color w:val="auto"/>
              </w:rPr>
            </w:pPr>
            <w:r>
              <w:rPr>
                <w:rFonts w:ascii="Arial" w:cs="Arial" w:eastAsia="Arial" w:hAnsi="Arial"/>
                <w:sz w:val="11"/>
                <w:szCs w:val="11"/>
                <w:color w:val="auto"/>
              </w:rPr>
              <w:t>17,996</w:t>
            </w:r>
          </w:p>
        </w:tc>
        <w:tc>
          <w:tcPr>
            <w:tcW w:w="1220" w:type="dxa"/>
            <w:vAlign w:val="bottom"/>
            <w:shd w:val="clear" w:color="auto" w:fill="E7E7E7"/>
          </w:tcPr>
          <w:p>
            <w:pPr>
              <w:jc w:val="right"/>
              <w:ind w:right="306"/>
              <w:spacing w:after="0"/>
              <w:rPr>
                <w:sz w:val="20"/>
                <w:szCs w:val="20"/>
                <w:color w:val="auto"/>
              </w:rPr>
            </w:pPr>
            <w:r>
              <w:rPr>
                <w:rFonts w:ascii="Arial" w:cs="Arial" w:eastAsia="Arial" w:hAnsi="Arial"/>
                <w:sz w:val="11"/>
                <w:szCs w:val="11"/>
                <w:color w:val="auto"/>
              </w:rPr>
              <w:t>1,234,208</w:t>
            </w:r>
          </w:p>
        </w:tc>
      </w:tr>
      <w:tr>
        <w:trPr>
          <w:trHeight w:val="145"/>
        </w:trPr>
        <w:tc>
          <w:tcPr>
            <w:tcW w:w="1160" w:type="dxa"/>
            <w:vAlign w:val="bottom"/>
          </w:tcPr>
          <w:p>
            <w:pPr>
              <w:spacing w:after="0"/>
              <w:rPr>
                <w:sz w:val="20"/>
                <w:szCs w:val="20"/>
                <w:color w:val="auto"/>
              </w:rPr>
            </w:pPr>
            <w:r>
              <w:rPr>
                <w:rFonts w:ascii="Arial" w:cs="Arial" w:eastAsia="Arial" w:hAnsi="Arial"/>
                <w:sz w:val="11"/>
                <w:szCs w:val="11"/>
                <w:color w:val="auto"/>
              </w:rPr>
              <w:t>2022</w:t>
            </w:r>
          </w:p>
        </w:tc>
        <w:tc>
          <w:tcPr>
            <w:tcW w:w="1400" w:type="dxa"/>
            <w:vAlign w:val="bottom"/>
          </w:tcPr>
          <w:p>
            <w:pPr>
              <w:jc w:val="right"/>
              <w:ind w:right="286"/>
              <w:spacing w:after="0"/>
              <w:rPr>
                <w:sz w:val="20"/>
                <w:szCs w:val="20"/>
                <w:color w:val="auto"/>
              </w:rPr>
            </w:pPr>
            <w:r>
              <w:rPr>
                <w:rFonts w:ascii="Arial" w:cs="Arial" w:eastAsia="Arial" w:hAnsi="Arial"/>
                <w:sz w:val="11"/>
                <w:szCs w:val="11"/>
                <w:color w:val="auto"/>
              </w:rPr>
              <w:t>733,584</w:t>
            </w:r>
          </w:p>
        </w:tc>
        <w:tc>
          <w:tcPr>
            <w:tcW w:w="1360" w:type="dxa"/>
            <w:vAlign w:val="bottom"/>
          </w:tcPr>
          <w:p>
            <w:pPr>
              <w:jc w:val="right"/>
              <w:ind w:right="286"/>
              <w:spacing w:after="0"/>
              <w:rPr>
                <w:sz w:val="20"/>
                <w:szCs w:val="20"/>
                <w:color w:val="auto"/>
              </w:rPr>
            </w:pPr>
            <w:r>
              <w:rPr>
                <w:rFonts w:ascii="Arial" w:cs="Arial" w:eastAsia="Arial" w:hAnsi="Arial"/>
                <w:sz w:val="11"/>
                <w:szCs w:val="11"/>
                <w:color w:val="auto"/>
              </w:rPr>
              <w:t>(74,512)</w:t>
            </w:r>
          </w:p>
        </w:tc>
        <w:tc>
          <w:tcPr>
            <w:tcW w:w="1260" w:type="dxa"/>
            <w:vAlign w:val="bottom"/>
          </w:tcPr>
          <w:p>
            <w:pPr>
              <w:jc w:val="right"/>
              <w:ind w:right="286"/>
              <w:spacing w:after="0"/>
              <w:rPr>
                <w:sz w:val="20"/>
                <w:szCs w:val="20"/>
                <w:color w:val="auto"/>
              </w:rPr>
            </w:pPr>
            <w:r>
              <w:rPr>
                <w:rFonts w:ascii="Arial" w:cs="Arial" w:eastAsia="Arial" w:hAnsi="Arial"/>
                <w:sz w:val="11"/>
                <w:szCs w:val="11"/>
                <w:color w:val="auto"/>
              </w:rPr>
              <w:t>96,923</w:t>
            </w:r>
          </w:p>
        </w:tc>
        <w:tc>
          <w:tcPr>
            <w:tcW w:w="1340" w:type="dxa"/>
            <w:vAlign w:val="bottom"/>
          </w:tcPr>
          <w:p>
            <w:pPr>
              <w:jc w:val="right"/>
              <w:ind w:right="326"/>
              <w:spacing w:after="0"/>
              <w:rPr>
                <w:sz w:val="20"/>
                <w:szCs w:val="20"/>
                <w:color w:val="auto"/>
              </w:rPr>
            </w:pPr>
            <w:r>
              <w:rPr>
                <w:rFonts w:ascii="Arial" w:cs="Arial" w:eastAsia="Arial" w:hAnsi="Arial"/>
                <w:sz w:val="11"/>
                <w:szCs w:val="11"/>
                <w:color w:val="auto"/>
              </w:rPr>
              <w:t>17,738</w:t>
            </w:r>
          </w:p>
        </w:tc>
        <w:tc>
          <w:tcPr>
            <w:tcW w:w="1260" w:type="dxa"/>
            <w:vAlign w:val="bottom"/>
          </w:tcPr>
          <w:p>
            <w:pPr>
              <w:jc w:val="right"/>
              <w:ind w:right="266"/>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386"/>
              <w:spacing w:after="0"/>
              <w:rPr>
                <w:sz w:val="20"/>
                <w:szCs w:val="20"/>
                <w:color w:val="auto"/>
              </w:rPr>
            </w:pPr>
            <w:r>
              <w:rPr>
                <w:rFonts w:ascii="Arial" w:cs="Arial" w:eastAsia="Arial" w:hAnsi="Arial"/>
                <w:sz w:val="11"/>
                <w:szCs w:val="11"/>
                <w:color w:val="auto"/>
              </w:rPr>
              <w:t>15,318</w:t>
            </w:r>
          </w:p>
        </w:tc>
        <w:tc>
          <w:tcPr>
            <w:tcW w:w="1220" w:type="dxa"/>
            <w:vAlign w:val="bottom"/>
          </w:tcPr>
          <w:p>
            <w:pPr>
              <w:jc w:val="right"/>
              <w:ind w:right="306"/>
              <w:spacing w:after="0"/>
              <w:rPr>
                <w:sz w:val="20"/>
                <w:szCs w:val="20"/>
                <w:color w:val="auto"/>
              </w:rPr>
            </w:pPr>
            <w:r>
              <w:rPr>
                <w:rFonts w:ascii="Arial" w:cs="Arial" w:eastAsia="Arial" w:hAnsi="Arial"/>
                <w:sz w:val="11"/>
                <w:szCs w:val="11"/>
                <w:color w:val="auto"/>
              </w:rPr>
              <w:t>789,051</w:t>
            </w:r>
          </w:p>
        </w:tc>
      </w:tr>
      <w:tr>
        <w:trPr>
          <w:trHeight w:val="172"/>
        </w:trPr>
        <w:tc>
          <w:tcPr>
            <w:tcW w:w="1160" w:type="dxa"/>
            <w:vAlign w:val="bottom"/>
            <w:tcBorders>
              <w:bottom w:val="single" w:sz="8" w:color="051972"/>
            </w:tcBorders>
            <w:shd w:val="clear" w:color="auto" w:fill="E7E7E7"/>
          </w:tcPr>
          <w:p>
            <w:pPr>
              <w:spacing w:after="0"/>
              <w:rPr>
                <w:sz w:val="20"/>
                <w:szCs w:val="20"/>
                <w:color w:val="auto"/>
              </w:rPr>
            </w:pPr>
            <w:r>
              <w:rPr>
                <w:rFonts w:ascii="Arial" w:cs="Arial" w:eastAsia="Arial" w:hAnsi="Arial"/>
                <w:sz w:val="11"/>
                <w:szCs w:val="11"/>
                <w:color w:val="auto"/>
              </w:rPr>
              <w:t>2021</w:t>
            </w:r>
          </w:p>
        </w:tc>
        <w:tc>
          <w:tcPr>
            <w:tcW w:w="1400" w:type="dxa"/>
            <w:vAlign w:val="bottom"/>
            <w:tcBorders>
              <w:bottom w:val="single" w:sz="8" w:color="051972"/>
            </w:tcBorders>
            <w:shd w:val="clear" w:color="auto" w:fill="E7E7E7"/>
          </w:tcPr>
          <w:p>
            <w:pPr>
              <w:jc w:val="right"/>
              <w:ind w:right="286"/>
              <w:spacing w:after="0"/>
              <w:rPr>
                <w:sz w:val="20"/>
                <w:szCs w:val="20"/>
                <w:color w:val="auto"/>
              </w:rPr>
            </w:pPr>
            <w:r>
              <w:rPr>
                <w:rFonts w:ascii="Arial" w:cs="Arial" w:eastAsia="Arial" w:hAnsi="Arial"/>
                <w:sz w:val="11"/>
                <w:szCs w:val="11"/>
                <w:color w:val="auto"/>
              </w:rPr>
              <w:t>1,967,209</w:t>
            </w:r>
          </w:p>
        </w:tc>
        <w:tc>
          <w:tcPr>
            <w:tcW w:w="1360" w:type="dxa"/>
            <w:vAlign w:val="bottom"/>
            <w:tcBorders>
              <w:bottom w:val="single" w:sz="8" w:color="051972"/>
            </w:tcBorders>
            <w:shd w:val="clear" w:color="auto" w:fill="E7E7E7"/>
          </w:tcPr>
          <w:p>
            <w:pPr>
              <w:jc w:val="right"/>
              <w:ind w:right="346"/>
              <w:spacing w:after="0"/>
              <w:rPr>
                <w:sz w:val="20"/>
                <w:szCs w:val="20"/>
                <w:color w:val="auto"/>
              </w:rPr>
            </w:pPr>
            <w:r>
              <w:rPr>
                <w:rFonts w:ascii="Arial" w:cs="Arial" w:eastAsia="Arial" w:hAnsi="Arial"/>
                <w:sz w:val="11"/>
                <w:szCs w:val="11"/>
                <w:color w:val="auto"/>
              </w:rPr>
              <w:t>855,472</w:t>
            </w:r>
          </w:p>
        </w:tc>
        <w:tc>
          <w:tcPr>
            <w:tcW w:w="1260" w:type="dxa"/>
            <w:vAlign w:val="bottom"/>
            <w:tcBorders>
              <w:bottom w:val="single" w:sz="8" w:color="051972"/>
            </w:tcBorders>
            <w:shd w:val="clear" w:color="auto" w:fill="E7E7E7"/>
          </w:tcPr>
          <w:p>
            <w:pPr>
              <w:jc w:val="right"/>
              <w:ind w:right="286"/>
              <w:spacing w:after="0"/>
              <w:rPr>
                <w:sz w:val="20"/>
                <w:szCs w:val="20"/>
                <w:color w:val="auto"/>
              </w:rPr>
            </w:pPr>
            <w:r>
              <w:rPr>
                <w:rFonts w:ascii="Arial" w:cs="Arial" w:eastAsia="Arial" w:hAnsi="Arial"/>
                <w:sz w:val="11"/>
                <w:szCs w:val="11"/>
                <w:color w:val="auto"/>
              </w:rPr>
              <w:t>251,781</w:t>
            </w:r>
          </w:p>
        </w:tc>
        <w:tc>
          <w:tcPr>
            <w:tcW w:w="1340" w:type="dxa"/>
            <w:vAlign w:val="bottom"/>
            <w:tcBorders>
              <w:bottom w:val="single" w:sz="8" w:color="051972"/>
            </w:tcBorders>
            <w:shd w:val="clear" w:color="auto" w:fill="E7E7E7"/>
          </w:tcPr>
          <w:p>
            <w:pPr>
              <w:jc w:val="right"/>
              <w:ind w:right="326"/>
              <w:spacing w:after="0"/>
              <w:rPr>
                <w:sz w:val="20"/>
                <w:szCs w:val="20"/>
                <w:color w:val="auto"/>
              </w:rPr>
            </w:pPr>
            <w:r>
              <w:rPr>
                <w:rFonts w:ascii="Arial" w:cs="Arial" w:eastAsia="Arial" w:hAnsi="Arial"/>
                <w:sz w:val="11"/>
                <w:szCs w:val="11"/>
                <w:color w:val="auto"/>
              </w:rPr>
              <w:t>611,815</w:t>
            </w:r>
          </w:p>
        </w:tc>
        <w:tc>
          <w:tcPr>
            <w:tcW w:w="1260" w:type="dxa"/>
            <w:vAlign w:val="bottom"/>
            <w:tcBorders>
              <w:bottom w:val="single" w:sz="8" w:color="051972"/>
            </w:tcBorders>
            <w:shd w:val="clear" w:color="auto" w:fill="E7E7E7"/>
          </w:tcPr>
          <w:p>
            <w:pPr>
              <w:jc w:val="right"/>
              <w:ind w:right="226"/>
              <w:spacing w:after="0"/>
              <w:rPr>
                <w:sz w:val="20"/>
                <w:szCs w:val="20"/>
                <w:color w:val="auto"/>
              </w:rPr>
            </w:pPr>
            <w:r>
              <w:rPr>
                <w:rFonts w:ascii="Arial" w:cs="Arial" w:eastAsia="Arial" w:hAnsi="Arial"/>
                <w:sz w:val="11"/>
                <w:szCs w:val="11"/>
                <w:color w:val="auto"/>
              </w:rPr>
              <w:t>(36,464)</w:t>
            </w:r>
          </w:p>
        </w:tc>
        <w:tc>
          <w:tcPr>
            <w:tcW w:w="1340" w:type="dxa"/>
            <w:vAlign w:val="bottom"/>
            <w:tcBorders>
              <w:bottom w:val="single" w:sz="8" w:color="051972"/>
            </w:tcBorders>
            <w:shd w:val="clear" w:color="auto" w:fill="E7E7E7"/>
          </w:tcPr>
          <w:p>
            <w:pPr>
              <w:jc w:val="right"/>
              <w:ind w:right="386"/>
              <w:spacing w:after="0"/>
              <w:rPr>
                <w:sz w:val="20"/>
                <w:szCs w:val="20"/>
                <w:color w:val="auto"/>
              </w:rPr>
            </w:pPr>
            <w:r>
              <w:rPr>
                <w:rFonts w:ascii="Arial" w:cs="Arial" w:eastAsia="Arial" w:hAnsi="Arial"/>
                <w:sz w:val="11"/>
                <w:szCs w:val="11"/>
                <w:color w:val="auto"/>
              </w:rPr>
              <w:t>2,489</w:t>
            </w:r>
          </w:p>
        </w:tc>
        <w:tc>
          <w:tcPr>
            <w:tcW w:w="1220" w:type="dxa"/>
            <w:vAlign w:val="bottom"/>
            <w:tcBorders>
              <w:bottom w:val="single" w:sz="8" w:color="051972"/>
            </w:tcBorders>
            <w:shd w:val="clear" w:color="auto" w:fill="E7E7E7"/>
          </w:tcPr>
          <w:p>
            <w:pPr>
              <w:jc w:val="right"/>
              <w:ind w:right="306"/>
              <w:spacing w:after="0"/>
              <w:rPr>
                <w:sz w:val="20"/>
                <w:szCs w:val="20"/>
                <w:color w:val="auto"/>
              </w:rPr>
            </w:pPr>
            <w:r>
              <w:rPr>
                <w:rFonts w:ascii="Arial" w:cs="Arial" w:eastAsia="Arial" w:hAnsi="Arial"/>
                <w:sz w:val="11"/>
                <w:szCs w:val="11"/>
                <w:color w:val="auto"/>
              </w:rPr>
              <w:t>3,652,302</w:t>
            </w:r>
          </w:p>
        </w:tc>
      </w:tr>
    </w:tbl>
    <w:p>
      <w:pPr>
        <w:spacing w:after="0" w:line="234" w:lineRule="exact"/>
        <w:rPr>
          <w:sz w:val="20"/>
          <w:szCs w:val="20"/>
          <w:color w:val="auto"/>
        </w:rPr>
      </w:pPr>
    </w:p>
    <w:p>
      <w:pPr>
        <w:ind w:left="380" w:right="140" w:hanging="372"/>
        <w:spacing w:after="0" w:line="285" w:lineRule="auto"/>
        <w:tabs>
          <w:tab w:leader="none" w:pos="3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Each year reflects what the cumulative total shareholder return on a $100 investment would be, including the reinvestment of dividends, if such amount were invested on March 31, 2020. The peer group used for this purpose is the following published industry index: Dow Jones US Building Materials &amp; Fixtures.</w:t>
      </w:r>
    </w:p>
    <w:p>
      <w:pPr>
        <w:spacing w:after="0" w:line="49" w:lineRule="exact"/>
        <w:rPr>
          <w:rFonts w:ascii="Arial" w:cs="Arial" w:eastAsia="Arial" w:hAnsi="Arial"/>
          <w:sz w:val="14"/>
          <w:szCs w:val="14"/>
          <w:color w:val="auto"/>
        </w:rPr>
      </w:pPr>
    </w:p>
    <w:p>
      <w:pPr>
        <w:ind w:left="380" w:hanging="372"/>
        <w:spacing w:after="0"/>
        <w:tabs>
          <w:tab w:leader="none" w:pos="3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income reflected in the Company’s audited financial statements for the applicable fiscal year.</w:t>
      </w:r>
    </w:p>
    <w:p>
      <w:pPr>
        <w:spacing w:after="0" w:line="109" w:lineRule="exact"/>
        <w:rPr>
          <w:rFonts w:ascii="Arial" w:cs="Arial" w:eastAsia="Arial" w:hAnsi="Arial"/>
          <w:sz w:val="14"/>
          <w:szCs w:val="14"/>
          <w:color w:val="auto"/>
        </w:rPr>
      </w:pPr>
    </w:p>
    <w:p>
      <w:pPr>
        <w:ind w:left="380" w:right="40" w:hanging="372"/>
        <w:spacing w:after="0" w:line="256" w:lineRule="auto"/>
        <w:tabs>
          <w:tab w:leader="none" w:pos="3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Return on Equity for a given fiscal year is defined as the net earnings of the Company for such fiscal year; divided by the Company’s average stockholders’ equity for such fiscal year (which is defined for any period to mean the Company’s total stockholders’ equity as of the beginning of such period plus the Company’s total stockholders’ equity at the end of such period; divided by 2). In calculating the average Return on Equity, the impact of certain extraordinary items not related to operating performance, including downward adjustment for the gain from the sale of non-core businesses, are excluded.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C6001E"/>
        </w:rPr>
        <w:t>Financial Performance Measures</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As described in greater detail in “Compensation Discussion and Analysis,” the Company’s executive compensation program reflects a pay-for-performance philosophy. The metrics that the Company uses for both our long-term and short-term incentive awards are selected based on an objective of incentivizing our Named Executive Officers to increase the value of our enterprise for our shareholders. The most important financial performance measures used by the Company to link executive compensation actually paid to the Company’s Named Executive Officers, for the most recently completed fiscal year, to the Company’s performance are as follows:</w:t>
      </w:r>
    </w:p>
    <w:p>
      <w:pPr>
        <w:spacing w:after="0" w:line="99" w:lineRule="exact"/>
        <w:rPr>
          <w:sz w:val="20"/>
          <w:szCs w:val="20"/>
          <w:color w:val="auto"/>
        </w:rPr>
      </w:pPr>
    </w:p>
    <w:p>
      <w:pPr>
        <w:ind w:left="460" w:hanging="228"/>
        <w:spacing w:after="0"/>
        <w:tabs>
          <w:tab w:leader="none" w:pos="460"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Return on Equity</w:t>
      </w:r>
    </w:p>
    <w:p>
      <w:pPr>
        <w:spacing w:after="0" w:line="29"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Earnings</w:t>
      </w:r>
    </w:p>
    <w:p>
      <w:pPr>
        <w:spacing w:after="0" w:line="17"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94"/>
        </w:numPr>
        <w:rPr>
          <w:rFonts w:ascii="Times New Roman" w:cs="Times New Roman" w:eastAsia="Times New Roman" w:hAnsi="Times New Roman"/>
          <w:sz w:val="16"/>
          <w:szCs w:val="16"/>
          <w:color w:val="auto"/>
        </w:rPr>
      </w:pPr>
      <w:r>
        <w:rPr>
          <w:rFonts w:ascii="Arial" w:cs="Arial" w:eastAsia="Arial" w:hAnsi="Arial"/>
          <w:sz w:val="16"/>
          <w:szCs w:val="16"/>
          <w:color w:val="auto"/>
        </w:rPr>
        <w:t>EBITDA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64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69" w:name="page70"/>
    <w:bookmarkEnd w:id="69"/>
    <w:p>
      <w:pPr>
        <w:ind w:left="82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5137150</wp:posOffset>
            </wp:positionH>
            <wp:positionV relativeFrom="page">
              <wp:posOffset>526415</wp:posOffset>
            </wp:positionV>
            <wp:extent cx="2202815"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202815" cy="171450"/>
                    </a:xfrm>
                    <a:prstGeom prst="rect">
                      <a:avLst/>
                    </a:prstGeom>
                    <a:noFill/>
                  </pic:spPr>
                </pic:pic>
              </a:graphicData>
            </a:graphic>
          </wp:anchor>
        </w:drawing>
        <w:t>PAY VERSUS PERFORMANCE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C6001E"/>
        </w:rPr>
        <w:t>Relationship Between CAP and Performance</w:t>
      </w:r>
    </w:p>
    <w:p>
      <w:pPr>
        <w:spacing w:after="0" w:line="158"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As noted above, the Company utilizes several performance measures to align executive compensation with Company performance. Not all of these Company measures, however, are presented in the Pay versus Performance table, which covers only total shareholder return, net income and return on equity. The tables below compare CAP to the three performance measures covered by the Pay versus Performance table. Although the Compensation Committee focuses on pay relative to performance in its executive compensation decisions, it has not historically utilized CAP as a key measure in implementing its pay-for-performance philosophy.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Actually Paid versus Return 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173990</wp:posOffset>
            </wp:positionV>
            <wp:extent cx="3368675" cy="19627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867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Actually Paid 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173990</wp:posOffset>
            </wp:positionV>
            <wp:extent cx="3343275" cy="19627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4327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65</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0" w:name="page71"/>
    <w:bookmarkEnd w:id="70"/>
    <w:p>
      <w:pPr>
        <w:ind w:left="820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5137150</wp:posOffset>
            </wp:positionH>
            <wp:positionV relativeFrom="page">
              <wp:posOffset>526415</wp:posOffset>
            </wp:positionV>
            <wp:extent cx="2202815"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202815" cy="171450"/>
                    </a:xfrm>
                    <a:prstGeom prst="rect">
                      <a:avLst/>
                    </a:prstGeom>
                    <a:noFill/>
                  </pic:spPr>
                </pic:pic>
              </a:graphicData>
            </a:graphic>
          </wp:anchor>
        </w:drawing>
        <w:t>PAY VERSUS PERFORMANCE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Compensation Actually Paid versus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173990</wp:posOffset>
            </wp:positionV>
            <wp:extent cx="3368675" cy="21431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86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66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1" w:name="page72"/>
    <w:bookmarkEnd w:id="71"/>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STOCK OWNERSHIP</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Stock Ownership</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Management</w:t>
      </w:r>
    </w:p>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encourage stock ownership by our directors, officers and employees to align their interests with your interests as stockholders. The following table shows the beneficial ownership of our Common Stock, as of the record date for the annual meeting (June 6, 2025) by: (a) each person who has been a director or executive officer of the Company since April 1, 2024 and (b) by all such directors and executive officers of the Company as a group (17 persons). Except as otherwise indicated, all shares are owned directly, and the owner of such shares has the sole voting and investment power with respect thereto.</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60" w:type="dxa"/>
            <w:vAlign w:val="bottom"/>
          </w:tcPr>
          <w:p>
            <w:pPr>
              <w:spacing w:after="0"/>
              <w:rPr>
                <w:sz w:val="19"/>
                <w:szCs w:val="19"/>
                <w:color w:val="auto"/>
              </w:rPr>
            </w:pPr>
          </w:p>
        </w:tc>
        <w:tc>
          <w:tcPr>
            <w:tcW w:w="43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051972"/>
              </w:rPr>
              <w:t>Amount and Nature of Beneficial Ownership</w:t>
            </w:r>
            <w:r>
              <w:rPr>
                <w:rFonts w:ascii="Arial" w:cs="Arial" w:eastAsia="Arial" w:hAnsi="Arial"/>
                <w:sz w:val="19"/>
                <w:szCs w:val="19"/>
                <w:b w:val="1"/>
                <w:bCs w:val="1"/>
                <w:color w:val="051972"/>
                <w:vertAlign w:val="superscript"/>
              </w:rPr>
              <w:t>(1)</w:t>
            </w:r>
          </w:p>
        </w:tc>
        <w:tc>
          <w:tcPr>
            <w:tcW w:w="18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146"/>
        </w:trPr>
        <w:tc>
          <w:tcPr>
            <w:tcW w:w="34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80" w:type="dxa"/>
            <w:vAlign w:val="bottom"/>
          </w:tcPr>
          <w:p>
            <w:pPr>
              <w:jc w:val="center"/>
              <w:ind w:right="33"/>
              <w:spacing w:after="0" w:line="147" w:lineRule="exact"/>
              <w:rPr>
                <w:sz w:val="20"/>
                <w:szCs w:val="20"/>
                <w:color w:val="auto"/>
              </w:rPr>
            </w:pPr>
            <w:r>
              <w:rPr>
                <w:rFonts w:ascii="Arial" w:cs="Arial" w:eastAsia="Arial" w:hAnsi="Arial"/>
                <w:sz w:val="14"/>
                <w:szCs w:val="14"/>
                <w:b w:val="1"/>
                <w:bCs w:val="1"/>
                <w:color w:val="051972"/>
              </w:rPr>
              <w:t>Number of</w:t>
            </w:r>
          </w:p>
        </w:tc>
        <w:tc>
          <w:tcPr>
            <w:tcW w:w="1560" w:type="dxa"/>
            <w:vAlign w:val="bottom"/>
          </w:tcPr>
          <w:p>
            <w:pPr>
              <w:spacing w:after="0"/>
              <w:rPr>
                <w:sz w:val="12"/>
                <w:szCs w:val="12"/>
                <w:color w:val="auto"/>
              </w:rPr>
            </w:pPr>
          </w:p>
        </w:tc>
      </w:tr>
      <w:tr>
        <w:trPr>
          <w:trHeight w:val="162"/>
        </w:trPr>
        <w:tc>
          <w:tcPr>
            <w:tcW w:w="34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80" w:type="dxa"/>
            <w:vAlign w:val="bottom"/>
          </w:tcPr>
          <w:p>
            <w:pPr>
              <w:jc w:val="center"/>
              <w:ind w:right="33"/>
              <w:spacing w:after="0"/>
              <w:rPr>
                <w:sz w:val="20"/>
                <w:szCs w:val="20"/>
                <w:color w:val="auto"/>
              </w:rPr>
            </w:pPr>
            <w:r>
              <w:rPr>
                <w:rFonts w:ascii="Arial" w:cs="Arial" w:eastAsia="Arial" w:hAnsi="Arial"/>
                <w:sz w:val="14"/>
                <w:szCs w:val="14"/>
                <w:b w:val="1"/>
                <w:bCs w:val="1"/>
                <w:color w:val="051972"/>
              </w:rPr>
              <w:t>Shares</w:t>
            </w:r>
          </w:p>
        </w:tc>
        <w:tc>
          <w:tcPr>
            <w:tcW w:w="1560" w:type="dxa"/>
            <w:vAlign w:val="bottom"/>
          </w:tcPr>
          <w:p>
            <w:pPr>
              <w:jc w:val="center"/>
              <w:ind w:right="93"/>
              <w:spacing w:after="0"/>
              <w:rPr>
                <w:sz w:val="20"/>
                <w:szCs w:val="20"/>
                <w:color w:val="auto"/>
              </w:rPr>
            </w:pPr>
            <w:r>
              <w:rPr>
                <w:rFonts w:ascii="Arial" w:cs="Arial" w:eastAsia="Arial" w:hAnsi="Arial"/>
                <w:sz w:val="14"/>
                <w:szCs w:val="14"/>
                <w:b w:val="1"/>
                <w:bCs w:val="1"/>
                <w:color w:val="051972"/>
              </w:rPr>
              <w:t>Percentage</w:t>
            </w:r>
          </w:p>
        </w:tc>
      </w:tr>
      <w:tr>
        <w:trPr>
          <w:trHeight w:val="144"/>
        </w:trPr>
        <w:tc>
          <w:tcPr>
            <w:tcW w:w="34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80" w:type="dxa"/>
            <w:vAlign w:val="bottom"/>
          </w:tcPr>
          <w:p>
            <w:pPr>
              <w:jc w:val="center"/>
              <w:ind w:right="33"/>
              <w:spacing w:after="0" w:line="145" w:lineRule="exact"/>
              <w:rPr>
                <w:sz w:val="20"/>
                <w:szCs w:val="20"/>
                <w:color w:val="auto"/>
              </w:rPr>
            </w:pPr>
            <w:r>
              <w:rPr>
                <w:rFonts w:ascii="Arial" w:cs="Arial" w:eastAsia="Arial" w:hAnsi="Arial"/>
                <w:sz w:val="14"/>
                <w:szCs w:val="14"/>
                <w:b w:val="1"/>
                <w:bCs w:val="1"/>
                <w:color w:val="051972"/>
              </w:rPr>
              <w:t>Beneficially</w:t>
            </w:r>
          </w:p>
        </w:tc>
        <w:tc>
          <w:tcPr>
            <w:tcW w:w="1560" w:type="dxa"/>
            <w:vAlign w:val="bottom"/>
          </w:tcPr>
          <w:p>
            <w:pPr>
              <w:jc w:val="center"/>
              <w:ind w:right="113"/>
              <w:spacing w:after="0" w:line="145" w:lineRule="exact"/>
              <w:rPr>
                <w:sz w:val="20"/>
                <w:szCs w:val="20"/>
                <w:color w:val="auto"/>
              </w:rPr>
            </w:pPr>
            <w:r>
              <w:rPr>
                <w:rFonts w:ascii="Arial" w:cs="Arial" w:eastAsia="Arial" w:hAnsi="Arial"/>
                <w:sz w:val="14"/>
                <w:szCs w:val="14"/>
                <w:b w:val="1"/>
                <w:bCs w:val="1"/>
                <w:color w:val="051972"/>
              </w:rPr>
              <w:t>of Common</w:t>
            </w:r>
          </w:p>
        </w:tc>
      </w:tr>
      <w:tr>
        <w:trPr>
          <w:trHeight w:val="203"/>
        </w:trPr>
        <w:tc>
          <w:tcPr>
            <w:tcW w:w="3460" w:type="dxa"/>
            <w:vAlign w:val="bottom"/>
            <w:tcBorders>
              <w:bottom w:val="single" w:sz="8" w:color="051972"/>
            </w:tcBorders>
          </w:tcPr>
          <w:p>
            <w:pPr>
              <w:spacing w:after="0"/>
              <w:rPr>
                <w:sz w:val="17"/>
                <w:szCs w:val="17"/>
                <w:color w:val="auto"/>
              </w:rPr>
            </w:pPr>
          </w:p>
        </w:tc>
        <w:tc>
          <w:tcPr>
            <w:tcW w:w="4340" w:type="dxa"/>
            <w:vAlign w:val="bottom"/>
            <w:tcBorders>
              <w:bottom w:val="single" w:sz="8" w:color="051972"/>
            </w:tcBorders>
          </w:tcPr>
          <w:p>
            <w:pPr>
              <w:spacing w:after="0"/>
              <w:rPr>
                <w:sz w:val="17"/>
                <w:szCs w:val="17"/>
                <w:color w:val="auto"/>
              </w:rPr>
            </w:pPr>
          </w:p>
        </w:tc>
        <w:tc>
          <w:tcPr>
            <w:tcW w:w="1880" w:type="dxa"/>
            <w:vAlign w:val="bottom"/>
            <w:tcBorders>
              <w:bottom w:val="single" w:sz="8" w:color="051972"/>
            </w:tcBorders>
          </w:tcPr>
          <w:p>
            <w:pPr>
              <w:jc w:val="center"/>
              <w:ind w:right="33"/>
              <w:spacing w:after="0" w:line="203" w:lineRule="exact"/>
              <w:rPr>
                <w:sz w:val="20"/>
                <w:szCs w:val="20"/>
                <w:color w:val="auto"/>
              </w:rPr>
            </w:pPr>
            <w:r>
              <w:rPr>
                <w:rFonts w:ascii="Arial" w:cs="Arial" w:eastAsia="Arial" w:hAnsi="Arial"/>
                <w:sz w:val="14"/>
                <w:szCs w:val="14"/>
                <w:b w:val="1"/>
                <w:bCs w:val="1"/>
                <w:color w:val="051972"/>
                <w:w w:val="96"/>
              </w:rPr>
              <w:t>Owned</w:t>
            </w:r>
            <w:r>
              <w:rPr>
                <w:rFonts w:ascii="Arial" w:cs="Arial" w:eastAsia="Arial" w:hAnsi="Arial"/>
                <w:sz w:val="19"/>
                <w:szCs w:val="19"/>
                <w:b w:val="1"/>
                <w:bCs w:val="1"/>
                <w:color w:val="051972"/>
                <w:w w:val="96"/>
                <w:vertAlign w:val="superscript"/>
              </w:rPr>
              <w:t>(2)</w:t>
            </w:r>
          </w:p>
        </w:tc>
        <w:tc>
          <w:tcPr>
            <w:tcW w:w="1560" w:type="dxa"/>
            <w:vAlign w:val="bottom"/>
            <w:tcBorders>
              <w:bottom w:val="single" w:sz="8" w:color="051972"/>
            </w:tcBorders>
          </w:tcPr>
          <w:p>
            <w:pPr>
              <w:jc w:val="center"/>
              <w:ind w:right="113"/>
              <w:spacing w:after="0"/>
              <w:rPr>
                <w:sz w:val="20"/>
                <w:szCs w:val="20"/>
                <w:color w:val="auto"/>
              </w:rPr>
            </w:pPr>
            <w:r>
              <w:rPr>
                <w:rFonts w:ascii="Arial" w:cs="Arial" w:eastAsia="Arial" w:hAnsi="Arial"/>
                <w:sz w:val="14"/>
                <w:szCs w:val="14"/>
                <w:b w:val="1"/>
                <w:bCs w:val="1"/>
                <w:color w:val="051972"/>
              </w:rPr>
              <w:t>Stock</w:t>
            </w:r>
          </w:p>
        </w:tc>
      </w:tr>
      <w:tr>
        <w:trPr>
          <w:trHeight w:val="250"/>
        </w:trPr>
        <w:tc>
          <w:tcPr>
            <w:tcW w:w="780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Rick Beckwitt</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24,111</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1"/>
        </w:trPr>
        <w:tc>
          <w:tcPr>
            <w:tcW w:w="7800" w:type="dxa"/>
            <w:vAlign w:val="bottom"/>
            <w:gridSpan w:val="2"/>
          </w:tcPr>
          <w:p>
            <w:pPr>
              <w:ind w:left="100"/>
              <w:spacing w:after="0"/>
              <w:rPr>
                <w:sz w:val="20"/>
                <w:szCs w:val="20"/>
                <w:color w:val="auto"/>
              </w:rPr>
            </w:pPr>
            <w:r>
              <w:rPr>
                <w:rFonts w:ascii="Arial" w:cs="Arial" w:eastAsia="Arial" w:hAnsi="Arial"/>
                <w:sz w:val="18"/>
                <w:szCs w:val="18"/>
                <w:color w:val="auto"/>
              </w:rPr>
              <w:t>Margot L. Carter</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10,011</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5"/>
        </w:trPr>
        <w:tc>
          <w:tcPr>
            <w:tcW w:w="780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Eric Cribbs</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12,536</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1"/>
        </w:trPr>
        <w:tc>
          <w:tcPr>
            <w:tcW w:w="7800" w:type="dxa"/>
            <w:vAlign w:val="bottom"/>
            <w:gridSpan w:val="2"/>
          </w:tcPr>
          <w:p>
            <w:pPr>
              <w:ind w:left="100"/>
              <w:spacing w:after="0"/>
              <w:rPr>
                <w:sz w:val="20"/>
                <w:szCs w:val="20"/>
                <w:color w:val="auto"/>
              </w:rPr>
            </w:pPr>
            <w:r>
              <w:rPr>
                <w:rFonts w:ascii="Arial" w:cs="Arial" w:eastAsia="Arial" w:hAnsi="Arial"/>
                <w:sz w:val="18"/>
                <w:szCs w:val="18"/>
                <w:color w:val="auto"/>
              </w:rPr>
              <w:t>George J. Damiris</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7,943</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5"/>
        </w:trPr>
        <w:tc>
          <w:tcPr>
            <w:tcW w:w="780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William R. Devlin</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23,775</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1"/>
        </w:trPr>
        <w:tc>
          <w:tcPr>
            <w:tcW w:w="7800" w:type="dxa"/>
            <w:vAlign w:val="bottom"/>
            <w:gridSpan w:val="2"/>
          </w:tcPr>
          <w:p>
            <w:pPr>
              <w:ind w:left="100"/>
              <w:spacing w:after="0"/>
              <w:rPr>
                <w:sz w:val="20"/>
                <w:szCs w:val="20"/>
                <w:color w:val="auto"/>
              </w:rPr>
            </w:pPr>
            <w:r>
              <w:rPr>
                <w:rFonts w:ascii="Arial" w:cs="Arial" w:eastAsia="Arial" w:hAnsi="Arial"/>
                <w:sz w:val="18"/>
                <w:szCs w:val="18"/>
                <w:color w:val="auto"/>
              </w:rPr>
              <w:t>Martin M. Ellen</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10,827</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5"/>
        </w:trPr>
        <w:tc>
          <w:tcPr>
            <w:tcW w:w="780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Mauro Gregorio</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5,717</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1"/>
        </w:trPr>
        <w:tc>
          <w:tcPr>
            <w:tcW w:w="7800" w:type="dxa"/>
            <w:vAlign w:val="bottom"/>
            <w:gridSpan w:val="2"/>
          </w:tcPr>
          <w:p>
            <w:pPr>
              <w:ind w:left="100"/>
              <w:spacing w:after="0"/>
              <w:rPr>
                <w:sz w:val="20"/>
                <w:szCs w:val="20"/>
                <w:color w:val="auto"/>
              </w:rPr>
            </w:pPr>
            <w:r>
              <w:rPr>
                <w:rFonts w:ascii="Arial" w:cs="Arial" w:eastAsia="Arial" w:hAnsi="Arial"/>
                <w:sz w:val="18"/>
                <w:szCs w:val="18"/>
                <w:color w:val="auto"/>
              </w:rPr>
              <w:t>Michael R. Haack</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145,655</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5"/>
        </w:trPr>
        <w:tc>
          <w:tcPr>
            <w:tcW w:w="780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Alex Haddock</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4,489</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2"/>
          </w:tcPr>
          <w:p>
            <w:pPr>
              <w:ind w:left="100"/>
              <w:spacing w:after="0" w:line="243" w:lineRule="exact"/>
              <w:rPr>
                <w:sz w:val="20"/>
                <w:szCs w:val="20"/>
                <w:color w:val="auto"/>
              </w:rPr>
            </w:pPr>
            <w:r>
              <w:rPr>
                <w:rFonts w:ascii="Arial" w:cs="Arial" w:eastAsia="Arial" w:hAnsi="Arial"/>
                <w:sz w:val="18"/>
                <w:szCs w:val="18"/>
                <w:color w:val="auto"/>
              </w:rPr>
              <w:t>D. Craig Kesler</w:t>
            </w:r>
            <w:r>
              <w:rPr>
                <w:rFonts w:ascii="Arial" w:cs="Arial" w:eastAsia="Arial" w:hAnsi="Arial"/>
                <w:sz w:val="24"/>
                <w:szCs w:val="24"/>
                <w:color w:val="auto"/>
                <w:vertAlign w:val="superscript"/>
              </w:rPr>
              <w:t>(3)</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88,345</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Matt Newby</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32,532</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2"/>
          </w:tcPr>
          <w:p>
            <w:pPr>
              <w:ind w:left="100"/>
              <w:spacing w:after="0" w:line="243" w:lineRule="exact"/>
              <w:rPr>
                <w:sz w:val="20"/>
                <w:szCs w:val="20"/>
                <w:color w:val="auto"/>
              </w:rPr>
            </w:pPr>
            <w:r>
              <w:rPr>
                <w:rFonts w:ascii="Arial" w:cs="Arial" w:eastAsia="Arial" w:hAnsi="Arial"/>
                <w:sz w:val="18"/>
                <w:szCs w:val="18"/>
                <w:color w:val="auto"/>
              </w:rPr>
              <w:t>Michael R. Nicolais</w:t>
            </w:r>
            <w:r>
              <w:rPr>
                <w:rFonts w:ascii="Arial" w:cs="Arial" w:eastAsia="Arial" w:hAnsi="Arial"/>
                <w:sz w:val="24"/>
                <w:szCs w:val="24"/>
                <w:color w:val="auto"/>
                <w:vertAlign w:val="superscript"/>
              </w:rPr>
              <w:t>(4)</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72,170</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2"/>
            <w:shd w:val="clear" w:color="auto" w:fill="E7E7E8"/>
          </w:tcPr>
          <w:p>
            <w:pPr>
              <w:ind w:left="100"/>
              <w:spacing w:after="0" w:line="243" w:lineRule="exact"/>
              <w:rPr>
                <w:sz w:val="20"/>
                <w:szCs w:val="20"/>
                <w:color w:val="auto"/>
              </w:rPr>
            </w:pPr>
            <w:r>
              <w:rPr>
                <w:rFonts w:ascii="Arial" w:cs="Arial" w:eastAsia="Arial" w:hAnsi="Arial"/>
                <w:sz w:val="18"/>
                <w:szCs w:val="18"/>
                <w:color w:val="auto"/>
              </w:rPr>
              <w:t>David B. Powers</w:t>
            </w:r>
            <w:r>
              <w:rPr>
                <w:rFonts w:ascii="Arial" w:cs="Arial" w:eastAsia="Arial" w:hAnsi="Arial"/>
                <w:sz w:val="24"/>
                <w:szCs w:val="24"/>
                <w:color w:val="auto"/>
                <w:vertAlign w:val="superscript"/>
              </w:rPr>
              <w:t>(5)</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19,142</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1"/>
        </w:trPr>
        <w:tc>
          <w:tcPr>
            <w:tcW w:w="7800" w:type="dxa"/>
            <w:vAlign w:val="bottom"/>
            <w:gridSpan w:val="2"/>
          </w:tcPr>
          <w:p>
            <w:pPr>
              <w:ind w:left="100"/>
              <w:spacing w:after="0"/>
              <w:rPr>
                <w:sz w:val="20"/>
                <w:szCs w:val="20"/>
                <w:color w:val="auto"/>
              </w:rPr>
            </w:pPr>
            <w:r>
              <w:rPr>
                <w:rFonts w:ascii="Arial" w:cs="Arial" w:eastAsia="Arial" w:hAnsi="Arial"/>
                <w:sz w:val="18"/>
                <w:szCs w:val="18"/>
                <w:color w:val="auto"/>
              </w:rPr>
              <w:t>Mary Ricciardello</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14,142</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5"/>
        </w:trPr>
        <w:tc>
          <w:tcPr>
            <w:tcW w:w="7800" w:type="dxa"/>
            <w:vAlign w:val="bottom"/>
            <w:gridSpan w:val="2"/>
            <w:shd w:val="clear" w:color="auto" w:fill="E7E7E8"/>
          </w:tcPr>
          <w:p>
            <w:pPr>
              <w:ind w:left="100"/>
              <w:spacing w:after="0" w:line="245" w:lineRule="exact"/>
              <w:rPr>
                <w:sz w:val="20"/>
                <w:szCs w:val="20"/>
                <w:color w:val="auto"/>
              </w:rPr>
            </w:pPr>
            <w:r>
              <w:rPr>
                <w:rFonts w:ascii="Arial" w:cs="Arial" w:eastAsia="Arial" w:hAnsi="Arial"/>
                <w:sz w:val="18"/>
                <w:szCs w:val="18"/>
                <w:color w:val="auto"/>
              </w:rPr>
              <w:t>David Rush</w:t>
            </w:r>
            <w:r>
              <w:rPr>
                <w:rFonts w:ascii="Arial" w:cs="Arial" w:eastAsia="Arial" w:hAnsi="Arial"/>
                <w:sz w:val="24"/>
                <w:szCs w:val="24"/>
                <w:color w:val="auto"/>
                <w:vertAlign w:val="superscript"/>
              </w:rPr>
              <w:t>(6)</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2,000</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2"/>
          </w:tcPr>
          <w:p>
            <w:pPr>
              <w:ind w:left="100"/>
              <w:spacing w:after="0" w:line="243" w:lineRule="exact"/>
              <w:rPr>
                <w:sz w:val="20"/>
                <w:szCs w:val="20"/>
                <w:color w:val="auto"/>
              </w:rPr>
            </w:pPr>
            <w:r>
              <w:rPr>
                <w:rFonts w:ascii="Arial" w:cs="Arial" w:eastAsia="Arial" w:hAnsi="Arial"/>
                <w:sz w:val="18"/>
                <w:szCs w:val="18"/>
                <w:color w:val="auto"/>
              </w:rPr>
              <w:t>Richard R. Stewart</w:t>
            </w:r>
            <w:r>
              <w:rPr>
                <w:rFonts w:ascii="Arial" w:cs="Arial" w:eastAsia="Arial" w:hAnsi="Arial"/>
                <w:sz w:val="24"/>
                <w:szCs w:val="24"/>
                <w:color w:val="auto"/>
                <w:vertAlign w:val="superscript"/>
              </w:rPr>
              <w:t>(7)</w:t>
            </w:r>
          </w:p>
        </w:tc>
        <w:tc>
          <w:tcPr>
            <w:tcW w:w="1880" w:type="dxa"/>
            <w:vAlign w:val="bottom"/>
          </w:tcPr>
          <w:p>
            <w:pPr>
              <w:jc w:val="right"/>
              <w:ind w:right="193"/>
              <w:spacing w:after="0"/>
              <w:rPr>
                <w:sz w:val="20"/>
                <w:szCs w:val="20"/>
                <w:color w:val="auto"/>
              </w:rPr>
            </w:pPr>
            <w:r>
              <w:rPr>
                <w:rFonts w:ascii="Arial" w:cs="Arial" w:eastAsia="Arial" w:hAnsi="Arial"/>
                <w:sz w:val="18"/>
                <w:szCs w:val="18"/>
                <w:color w:val="auto"/>
              </w:rPr>
              <w:t>7,945</w:t>
            </w: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gridSpan w:val="2"/>
            <w:shd w:val="clear" w:color="auto" w:fill="E7E7E8"/>
          </w:tcPr>
          <w:p>
            <w:pPr>
              <w:ind w:left="100"/>
              <w:spacing w:after="0"/>
              <w:rPr>
                <w:sz w:val="20"/>
                <w:szCs w:val="20"/>
                <w:color w:val="auto"/>
              </w:rPr>
            </w:pPr>
            <w:r>
              <w:rPr>
                <w:rFonts w:ascii="Arial" w:cs="Arial" w:eastAsia="Arial" w:hAnsi="Arial"/>
                <w:sz w:val="18"/>
                <w:szCs w:val="18"/>
                <w:color w:val="auto"/>
              </w:rPr>
              <w:t>Tony Thompson</w:t>
            </w:r>
          </w:p>
        </w:tc>
        <w:tc>
          <w:tcPr>
            <w:tcW w:w="1880" w:type="dxa"/>
            <w:vAlign w:val="bottom"/>
            <w:shd w:val="clear" w:color="auto" w:fill="E7E7E8"/>
          </w:tcPr>
          <w:p>
            <w:pPr>
              <w:jc w:val="right"/>
              <w:ind w:right="193"/>
              <w:spacing w:after="0"/>
              <w:rPr>
                <w:sz w:val="20"/>
                <w:szCs w:val="20"/>
                <w:color w:val="auto"/>
              </w:rPr>
            </w:pPr>
            <w:r>
              <w:rPr>
                <w:rFonts w:ascii="Arial" w:cs="Arial" w:eastAsia="Arial" w:hAnsi="Arial"/>
                <w:sz w:val="18"/>
                <w:szCs w:val="18"/>
                <w:color w:val="auto"/>
              </w:rPr>
              <w:t>14,087</w:t>
            </w:r>
          </w:p>
        </w:tc>
        <w:tc>
          <w:tcPr>
            <w:tcW w:w="1560" w:type="dxa"/>
            <w:vAlign w:val="bottom"/>
            <w:shd w:val="clear" w:color="auto" w:fill="E7E7E8"/>
          </w:tcPr>
          <w:p>
            <w:pPr>
              <w:jc w:val="right"/>
              <w:ind w:right="13"/>
              <w:spacing w:after="0"/>
              <w:rPr>
                <w:sz w:val="20"/>
                <w:szCs w:val="20"/>
                <w:color w:val="auto"/>
              </w:rPr>
            </w:pPr>
            <w:r>
              <w:rPr>
                <w:rFonts w:ascii="Arial" w:cs="Arial" w:eastAsia="Arial" w:hAnsi="Arial"/>
                <w:sz w:val="18"/>
                <w:szCs w:val="18"/>
                <w:color w:val="auto"/>
              </w:rPr>
              <w:t>*</w:t>
            </w:r>
          </w:p>
        </w:tc>
      </w:tr>
      <w:tr>
        <w:trPr>
          <w:trHeight w:val="184"/>
        </w:trPr>
        <w:tc>
          <w:tcPr>
            <w:tcW w:w="7800" w:type="dxa"/>
            <w:vAlign w:val="bottom"/>
            <w:gridSpan w:val="2"/>
          </w:tcPr>
          <w:p>
            <w:pPr>
              <w:ind w:left="100"/>
              <w:spacing w:after="0" w:line="183" w:lineRule="exact"/>
              <w:rPr>
                <w:sz w:val="20"/>
                <w:szCs w:val="20"/>
                <w:color w:val="auto"/>
              </w:rPr>
            </w:pPr>
            <w:r>
              <w:rPr>
                <w:rFonts w:ascii="Arial" w:cs="Arial" w:eastAsia="Arial" w:hAnsi="Arial"/>
                <w:sz w:val="18"/>
                <w:szCs w:val="18"/>
                <w:color w:val="auto"/>
              </w:rPr>
              <w:t>All current directors, nominees and executive officers as a group</w:t>
            </w:r>
          </w:p>
        </w:tc>
        <w:tc>
          <w:tcPr>
            <w:tcW w:w="18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55"/>
        </w:trPr>
        <w:tc>
          <w:tcPr>
            <w:tcW w:w="7800" w:type="dxa"/>
            <w:vAlign w:val="bottom"/>
            <w:tcBorders>
              <w:bottom w:val="single" w:sz="8" w:color="051972"/>
            </w:tcBorders>
            <w:gridSpan w:val="2"/>
          </w:tcPr>
          <w:p>
            <w:pPr>
              <w:ind w:left="260"/>
              <w:spacing w:after="0"/>
              <w:rPr>
                <w:sz w:val="20"/>
                <w:szCs w:val="20"/>
                <w:color w:val="auto"/>
              </w:rPr>
            </w:pPr>
            <w:r>
              <w:rPr>
                <w:rFonts w:ascii="Arial" w:cs="Arial" w:eastAsia="Arial" w:hAnsi="Arial"/>
                <w:sz w:val="18"/>
                <w:szCs w:val="18"/>
                <w:color w:val="auto"/>
              </w:rPr>
              <w:t>(17 persons)</w:t>
            </w:r>
          </w:p>
        </w:tc>
        <w:tc>
          <w:tcPr>
            <w:tcW w:w="1880" w:type="dxa"/>
            <w:vAlign w:val="bottom"/>
            <w:tcBorders>
              <w:bottom w:val="single" w:sz="8" w:color="051972"/>
            </w:tcBorders>
          </w:tcPr>
          <w:p>
            <w:pPr>
              <w:jc w:val="right"/>
              <w:ind w:right="193"/>
              <w:spacing w:after="0"/>
              <w:rPr>
                <w:sz w:val="20"/>
                <w:szCs w:val="20"/>
                <w:color w:val="auto"/>
              </w:rPr>
            </w:pPr>
            <w:r>
              <w:rPr>
                <w:rFonts w:ascii="Arial" w:cs="Arial" w:eastAsia="Arial" w:hAnsi="Arial"/>
                <w:sz w:val="18"/>
                <w:szCs w:val="18"/>
                <w:color w:val="auto"/>
              </w:rPr>
              <w:t>495,427</w:t>
            </w:r>
          </w:p>
        </w:tc>
        <w:tc>
          <w:tcPr>
            <w:tcW w:w="1560" w:type="dxa"/>
            <w:vAlign w:val="bottom"/>
            <w:tcBorders>
              <w:bottom w:val="single" w:sz="8" w:color="051972"/>
            </w:tcBorders>
          </w:tcPr>
          <w:p>
            <w:pPr>
              <w:jc w:val="right"/>
              <w:spacing w:after="0"/>
              <w:rPr>
                <w:sz w:val="20"/>
                <w:szCs w:val="20"/>
                <w:color w:val="auto"/>
              </w:rPr>
            </w:pPr>
            <w:r>
              <w:rPr>
                <w:rFonts w:ascii="Arial" w:cs="Arial" w:eastAsia="Arial" w:hAnsi="Arial"/>
                <w:sz w:val="18"/>
                <w:szCs w:val="18"/>
                <w:color w:val="auto"/>
              </w:rPr>
              <w:t>1.5%</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109" w:lineRule="exact"/>
        <w:rPr>
          <w:sz w:val="20"/>
          <w:szCs w:val="20"/>
          <w:color w:val="auto"/>
        </w:rPr>
      </w:pPr>
    </w:p>
    <w:p>
      <w:pPr>
        <w:ind w:left="380" w:right="80" w:hanging="372"/>
        <w:spacing w:after="0" w:line="255" w:lineRule="auto"/>
        <w:tabs>
          <w:tab w:leader="none" w:pos="380" w:val="left"/>
        </w:tabs>
        <w:numPr>
          <w:ilvl w:val="0"/>
          <w:numId w:val="95"/>
        </w:numPr>
        <w:rPr>
          <w:rFonts w:ascii="Times New Roman" w:cs="Times New Roman" w:eastAsia="Times New Roman" w:hAnsi="Times New Roman"/>
          <w:sz w:val="14"/>
          <w:szCs w:val="14"/>
          <w:color w:val="auto"/>
        </w:rPr>
      </w:pPr>
      <w:r>
        <w:rPr>
          <w:rFonts w:ascii="Arial" w:cs="Arial" w:eastAsia="Arial" w:hAnsi="Arial"/>
          <w:sz w:val="14"/>
          <w:szCs w:val="14"/>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 deemed to be outstanding, but are not deemed to be outstanding for the purpose of computing the percentage ownership of any other persons.</w:t>
      </w:r>
    </w:p>
    <w:p>
      <w:pPr>
        <w:spacing w:after="0" w:line="71" w:lineRule="exact"/>
        <w:rPr>
          <w:rFonts w:ascii="Times New Roman" w:cs="Times New Roman" w:eastAsia="Times New Roman" w:hAnsi="Times New Roman"/>
          <w:sz w:val="14"/>
          <w:szCs w:val="14"/>
          <w:color w:val="auto"/>
        </w:rPr>
      </w:pPr>
    </w:p>
    <w:p>
      <w:pPr>
        <w:ind w:left="380" w:right="120" w:hanging="372"/>
        <w:spacing w:after="0" w:line="251" w:lineRule="auto"/>
        <w:tabs>
          <w:tab w:leader="none" w:pos="380" w:val="left"/>
        </w:tabs>
        <w:numPr>
          <w:ilvl w:val="0"/>
          <w:numId w:val="95"/>
        </w:numPr>
        <w:rPr>
          <w:rFonts w:ascii="Times New Roman" w:cs="Times New Roman" w:eastAsia="Times New Roman" w:hAnsi="Times New Roman"/>
          <w:sz w:val="14"/>
          <w:szCs w:val="14"/>
          <w:color w:val="auto"/>
        </w:rPr>
      </w:pPr>
      <w:r>
        <w:rPr>
          <w:rFonts w:ascii="Arial" w:cs="Arial" w:eastAsia="Arial" w:hAnsi="Arial"/>
          <w:sz w:val="14"/>
          <w:szCs w:val="14"/>
          <w:color w:val="auto"/>
        </w:rPr>
        <w:t>Amounts include the following shares of Common Stock that may be acquired upon exercise of stock options awarded under our 2013 Incentive Plan and our 2023 Incentive Plan: Mr. Beckwitt – 2,070 shares; Mr. Devlin – 2,677 shares; Mr. Haack – 62,709 shares; Mr. Haddock – 1,199 shares; Mr. Kesler – 32,940 shares; Mr. Newby</w:t>
      </w:r>
    </w:p>
    <w:p>
      <w:pPr>
        <w:jc w:val="both"/>
        <w:ind w:left="380" w:right="100"/>
        <w:spacing w:after="0" w:line="241" w:lineRule="auto"/>
        <w:rPr>
          <w:rFonts w:ascii="Times New Roman" w:cs="Times New Roman" w:eastAsia="Times New Roman" w:hAnsi="Times New Roman"/>
          <w:sz w:val="14"/>
          <w:szCs w:val="14"/>
          <w:color w:val="auto"/>
        </w:rPr>
      </w:pPr>
      <w:r>
        <w:rPr>
          <w:rFonts w:ascii="Arial" w:cs="Arial" w:eastAsia="Arial" w:hAnsi="Arial"/>
          <w:sz w:val="14"/>
          <w:szCs w:val="14"/>
          <w:color w:val="auto"/>
        </w:rPr>
        <w:t>– 12,496 shares; Mr. Nicolais – 17,026 shares; Ms. Ricciardello – 5,338 shares; Mr. Thompson – 1,276 shares and all directors and executive officers of the Company as a group (17 persons) – 137,631 shares. In addition, this table includes shares of Common Stock that are held for the account of participants as of June 6, 2025, pursuant to the Common Stock fund of the Retirement Plan, as follows: Mr. Devlin – 1,947 shares; and all directors and executive officers of the Company as a group (17 persons)</w:t>
      </w:r>
    </w:p>
    <w:p>
      <w:pPr>
        <w:spacing w:after="0" w:line="1" w:lineRule="exact"/>
        <w:rPr>
          <w:rFonts w:ascii="Times New Roman" w:cs="Times New Roman" w:eastAsia="Times New Roman" w:hAnsi="Times New Roman"/>
          <w:sz w:val="14"/>
          <w:szCs w:val="14"/>
          <w:color w:val="auto"/>
        </w:rPr>
      </w:pPr>
    </w:p>
    <w:p>
      <w:pPr>
        <w:ind w:left="380"/>
        <w:spacing w:after="0"/>
        <w:rPr>
          <w:rFonts w:ascii="Times New Roman" w:cs="Times New Roman" w:eastAsia="Times New Roman" w:hAnsi="Times New Roman"/>
          <w:sz w:val="14"/>
          <w:szCs w:val="14"/>
          <w:color w:val="auto"/>
        </w:rPr>
      </w:pPr>
      <w:r>
        <w:rPr>
          <w:rFonts w:ascii="Arial" w:cs="Arial" w:eastAsia="Arial" w:hAnsi="Arial"/>
          <w:sz w:val="14"/>
          <w:szCs w:val="14"/>
          <w:color w:val="auto"/>
        </w:rPr>
        <w:t>– 1,947 shares. These amounts do not include RSUs or PSUs held by the directors or executive officers.</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95"/>
        </w:numPr>
        <w:rPr>
          <w:rFonts w:ascii="Times New Roman" w:cs="Times New Roman" w:eastAsia="Times New Roman" w:hAnsi="Times New Roman"/>
          <w:sz w:val="14"/>
          <w:szCs w:val="14"/>
          <w:color w:val="auto"/>
        </w:rPr>
      </w:pPr>
      <w:r>
        <w:rPr>
          <w:rFonts w:ascii="Arial" w:cs="Arial" w:eastAsia="Arial" w:hAnsi="Arial"/>
          <w:sz w:val="14"/>
          <w:szCs w:val="14"/>
          <w:color w:val="auto"/>
        </w:rPr>
        <w:t>Includes 160 shares of Common Stock held in Mr. Kesler’s IRA.</w:t>
      </w:r>
    </w:p>
    <w:p>
      <w:pPr>
        <w:spacing w:after="0" w:line="108" w:lineRule="exact"/>
        <w:rPr>
          <w:rFonts w:ascii="Times New Roman" w:cs="Times New Roman" w:eastAsia="Times New Roman" w:hAnsi="Times New Roman"/>
          <w:sz w:val="14"/>
          <w:szCs w:val="14"/>
          <w:color w:val="auto"/>
        </w:rPr>
      </w:pPr>
    </w:p>
    <w:p>
      <w:pPr>
        <w:ind w:left="380" w:right="240" w:hanging="372"/>
        <w:spacing w:after="0" w:line="284" w:lineRule="auto"/>
        <w:tabs>
          <w:tab w:leader="none" w:pos="380" w:val="left"/>
        </w:tabs>
        <w:numPr>
          <w:ilvl w:val="0"/>
          <w:numId w:val="95"/>
        </w:numPr>
        <w:rPr>
          <w:rFonts w:ascii="Times New Roman" w:cs="Times New Roman" w:eastAsia="Times New Roman" w:hAnsi="Times New Roman"/>
          <w:sz w:val="14"/>
          <w:szCs w:val="14"/>
          <w:color w:val="auto"/>
        </w:rPr>
      </w:pPr>
      <w:r>
        <w:rPr>
          <w:rFonts w:ascii="Arial" w:cs="Arial" w:eastAsia="Arial" w:hAnsi="Arial"/>
          <w:sz w:val="14"/>
          <w:szCs w:val="14"/>
          <w:color w:val="auto"/>
        </w:rPr>
        <w:t>Includes (a) 1,386 shares of Common Stock owned by the wife of Mr. Nicolais; (b) 1,705 shares of Common Stock held by the profit sharing plan of the employer of Mr. Nicolais; and (c) 3,655 shares of Common Stock held in an IRA owned by Mr. Nicolais.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67</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2" w:name="page73"/>
    <w:bookmarkEnd w:id="72"/>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STOCK OWNERSHIP</w:t>
      </w:r>
    </w:p>
    <w:p>
      <w:pPr>
        <w:spacing w:after="0" w:line="154" w:lineRule="exact"/>
        <w:rPr>
          <w:sz w:val="20"/>
          <w:szCs w:val="20"/>
          <w:color w:val="auto"/>
        </w:rPr>
      </w:pPr>
    </w:p>
    <w:p>
      <w:pPr>
        <w:ind w:left="380" w:hanging="372"/>
        <w:spacing w:after="0"/>
        <w:tabs>
          <w:tab w:leader="none" w:pos="380" w:val="left"/>
        </w:tabs>
        <w:numPr>
          <w:ilvl w:val="0"/>
          <w:numId w:val="96"/>
        </w:numPr>
        <w:rPr>
          <w:rFonts w:ascii="Times New Roman" w:cs="Times New Roman" w:eastAsia="Times New Roman" w:hAnsi="Times New Roman"/>
          <w:sz w:val="14"/>
          <w:szCs w:val="14"/>
          <w:color w:val="auto"/>
        </w:rPr>
      </w:pPr>
      <w:r>
        <w:rPr>
          <w:rFonts w:ascii="Arial" w:cs="Arial" w:eastAsia="Arial" w:hAnsi="Arial"/>
          <w:sz w:val="14"/>
          <w:szCs w:val="14"/>
          <w:color w:val="auto"/>
        </w:rPr>
        <w:t>Includes 18,009 shares of Common Stock owned by a spousal trust.</w:t>
      </w:r>
    </w:p>
    <w:p>
      <w:pPr>
        <w:spacing w:after="0" w:line="108"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96"/>
        </w:numPr>
        <w:rPr>
          <w:rFonts w:ascii="Times New Roman" w:cs="Times New Roman" w:eastAsia="Times New Roman" w:hAnsi="Times New Roman"/>
          <w:sz w:val="14"/>
          <w:szCs w:val="14"/>
          <w:color w:val="auto"/>
        </w:rPr>
      </w:pPr>
      <w:r>
        <w:rPr>
          <w:rFonts w:ascii="Arial" w:cs="Arial" w:eastAsia="Arial" w:hAnsi="Arial"/>
          <w:sz w:val="14"/>
          <w:szCs w:val="14"/>
          <w:color w:val="auto"/>
        </w:rPr>
        <w:t>Mr. Rush was appointed as a director on May 15, 2025.</w:t>
      </w:r>
    </w:p>
    <w:p>
      <w:pPr>
        <w:spacing w:after="0" w:line="108"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96"/>
        </w:numPr>
        <w:rPr>
          <w:rFonts w:ascii="Times New Roman" w:cs="Times New Roman" w:eastAsia="Times New Roman" w:hAnsi="Times New Roman"/>
          <w:sz w:val="14"/>
          <w:szCs w:val="14"/>
          <w:color w:val="auto"/>
        </w:rPr>
      </w:pPr>
      <w:r>
        <w:rPr>
          <w:rFonts w:ascii="Arial" w:cs="Arial" w:eastAsia="Arial" w:hAnsi="Arial"/>
          <w:sz w:val="14"/>
          <w:szCs w:val="14"/>
          <w:color w:val="auto"/>
        </w:rPr>
        <w:t>Includes 1,100 shares of Common Stock owned by Stewart Family Trust and 2,817 shares of Common Stock owned by Richard Ross Stewart GST Exempt Trust.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Certain Beneficial Owners</w:t>
      </w:r>
    </w:p>
    <w:p>
      <w:pPr>
        <w:spacing w:after="0" w:line="15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 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6, 2025, the record date for our annual meeting of stockholders.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1720" w:type="dxa"/>
            <w:vAlign w:val="bottom"/>
          </w:tcPr>
          <w:p>
            <w:pPr>
              <w:jc w:val="center"/>
              <w:ind w:left="39"/>
              <w:spacing w:after="0"/>
              <w:rPr>
                <w:sz w:val="20"/>
                <w:szCs w:val="20"/>
                <w:color w:val="auto"/>
              </w:rPr>
            </w:pPr>
            <w:r>
              <w:rPr>
                <w:rFonts w:ascii="Arial" w:cs="Arial" w:eastAsia="Arial" w:hAnsi="Arial"/>
                <w:sz w:val="14"/>
                <w:szCs w:val="14"/>
                <w:b w:val="1"/>
                <w:bCs w:val="1"/>
                <w:color w:val="051972"/>
              </w:rPr>
              <w:t>Number of</w:t>
            </w:r>
          </w:p>
        </w:tc>
        <w:tc>
          <w:tcPr>
            <w:tcW w:w="2000" w:type="dxa"/>
            <w:vAlign w:val="bottom"/>
          </w:tcPr>
          <w:p>
            <w:pPr>
              <w:spacing w:after="0"/>
              <w:rPr>
                <w:sz w:val="14"/>
                <w:szCs w:val="14"/>
                <w:color w:val="auto"/>
              </w:rPr>
            </w:pPr>
          </w:p>
        </w:tc>
      </w:tr>
      <w:tr>
        <w:trPr>
          <w:trHeight w:val="162"/>
        </w:trPr>
        <w:tc>
          <w:tcPr>
            <w:tcW w:w="7520" w:type="dxa"/>
            <w:vAlign w:val="bottom"/>
          </w:tcPr>
          <w:p>
            <w:pPr>
              <w:spacing w:after="0"/>
              <w:rPr>
                <w:sz w:val="14"/>
                <w:szCs w:val="14"/>
                <w:color w:val="auto"/>
              </w:rPr>
            </w:pPr>
          </w:p>
        </w:tc>
        <w:tc>
          <w:tcPr>
            <w:tcW w:w="1720" w:type="dxa"/>
            <w:vAlign w:val="bottom"/>
          </w:tcPr>
          <w:p>
            <w:pPr>
              <w:jc w:val="center"/>
              <w:ind w:left="39"/>
              <w:spacing w:after="0"/>
              <w:rPr>
                <w:sz w:val="20"/>
                <w:szCs w:val="20"/>
                <w:color w:val="auto"/>
              </w:rPr>
            </w:pPr>
            <w:r>
              <w:rPr>
                <w:rFonts w:ascii="Arial" w:cs="Arial" w:eastAsia="Arial" w:hAnsi="Arial"/>
                <w:sz w:val="14"/>
                <w:szCs w:val="14"/>
                <w:b w:val="1"/>
                <w:bCs w:val="1"/>
                <w:color w:val="051972"/>
              </w:rPr>
              <w:t>Shares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051972"/>
              </w:rPr>
              <w:t>Percentage of</w:t>
            </w:r>
          </w:p>
        </w:tc>
      </w:tr>
      <w:tr>
        <w:trPr>
          <w:trHeight w:val="162"/>
        </w:trPr>
        <w:tc>
          <w:tcPr>
            <w:tcW w:w="7520" w:type="dxa"/>
            <w:vAlign w:val="bottom"/>
          </w:tcPr>
          <w:p>
            <w:pPr>
              <w:spacing w:after="0"/>
              <w:rPr>
                <w:sz w:val="14"/>
                <w:szCs w:val="14"/>
                <w:color w:val="auto"/>
              </w:rPr>
            </w:pPr>
          </w:p>
        </w:tc>
        <w:tc>
          <w:tcPr>
            <w:tcW w:w="1720" w:type="dxa"/>
            <w:vAlign w:val="bottom"/>
          </w:tcPr>
          <w:p>
            <w:pPr>
              <w:jc w:val="center"/>
              <w:ind w:left="39"/>
              <w:spacing w:after="0"/>
              <w:rPr>
                <w:sz w:val="20"/>
                <w:szCs w:val="20"/>
                <w:color w:val="auto"/>
              </w:rPr>
            </w:pPr>
            <w:r>
              <w:rPr>
                <w:rFonts w:ascii="Arial" w:cs="Arial" w:eastAsia="Arial" w:hAnsi="Arial"/>
                <w:sz w:val="14"/>
                <w:szCs w:val="14"/>
                <w:b w:val="1"/>
                <w:bCs w:val="1"/>
                <w:color w:val="051972"/>
              </w:rPr>
              <w:t>Beneficially</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051972"/>
              </w:rPr>
              <w:t>Common</w:t>
            </w:r>
          </w:p>
        </w:tc>
      </w:tr>
      <w:tr>
        <w:trPr>
          <w:trHeight w:val="185"/>
        </w:trPr>
        <w:tc>
          <w:tcPr>
            <w:tcW w:w="7520" w:type="dxa"/>
            <w:vAlign w:val="bottom"/>
            <w:tcBorders>
              <w:bottom w:val="single" w:sz="8" w:color="051972"/>
            </w:tcBorders>
          </w:tcPr>
          <w:p>
            <w:pPr>
              <w:ind w:left="80"/>
              <w:spacing w:after="0"/>
              <w:rPr>
                <w:sz w:val="20"/>
                <w:szCs w:val="20"/>
                <w:color w:val="auto"/>
              </w:rPr>
            </w:pPr>
            <w:r>
              <w:rPr>
                <w:rFonts w:ascii="Arial" w:cs="Arial" w:eastAsia="Arial" w:hAnsi="Arial"/>
                <w:sz w:val="14"/>
                <w:szCs w:val="14"/>
                <w:b w:val="1"/>
                <w:bCs w:val="1"/>
                <w:color w:val="051972"/>
              </w:rPr>
              <w:t>Name and Address of Beneficial Owner</w:t>
            </w:r>
          </w:p>
        </w:tc>
        <w:tc>
          <w:tcPr>
            <w:tcW w:w="1720" w:type="dxa"/>
            <w:vAlign w:val="bottom"/>
            <w:tcBorders>
              <w:bottom w:val="single" w:sz="8" w:color="051972"/>
            </w:tcBorders>
          </w:tcPr>
          <w:p>
            <w:pPr>
              <w:jc w:val="center"/>
              <w:ind w:left="39"/>
              <w:spacing w:after="0"/>
              <w:rPr>
                <w:sz w:val="20"/>
                <w:szCs w:val="20"/>
                <w:color w:val="auto"/>
              </w:rPr>
            </w:pPr>
            <w:r>
              <w:rPr>
                <w:rFonts w:ascii="Arial" w:cs="Arial" w:eastAsia="Arial" w:hAnsi="Arial"/>
                <w:sz w:val="14"/>
                <w:szCs w:val="14"/>
                <w:b w:val="1"/>
                <w:bCs w:val="1"/>
                <w:color w:val="051972"/>
              </w:rPr>
              <w:t>Owned</w:t>
            </w:r>
          </w:p>
        </w:tc>
        <w:tc>
          <w:tcPr>
            <w:tcW w:w="2000" w:type="dxa"/>
            <w:vAlign w:val="bottom"/>
            <w:tcBorders>
              <w:bottom w:val="single" w:sz="8" w:color="051972"/>
            </w:tcBorders>
          </w:tcPr>
          <w:p>
            <w:pPr>
              <w:jc w:val="center"/>
              <w:spacing w:after="0"/>
              <w:rPr>
                <w:sz w:val="20"/>
                <w:szCs w:val="20"/>
                <w:color w:val="auto"/>
              </w:rPr>
            </w:pPr>
            <w:r>
              <w:rPr>
                <w:rFonts w:ascii="Arial" w:cs="Arial" w:eastAsia="Arial" w:hAnsi="Arial"/>
                <w:sz w:val="14"/>
                <w:szCs w:val="14"/>
                <w:b w:val="1"/>
                <w:bCs w:val="1"/>
                <w:color w:val="051972"/>
                <w:w w:val="99"/>
              </w:rPr>
              <w:t>Stock</w:t>
            </w:r>
          </w:p>
        </w:tc>
      </w:tr>
      <w:tr>
        <w:trPr>
          <w:trHeight w:val="191"/>
        </w:trPr>
        <w:tc>
          <w:tcPr>
            <w:tcW w:w="7520" w:type="dxa"/>
            <w:vAlign w:val="bottom"/>
          </w:tcPr>
          <w:p>
            <w:pPr>
              <w:ind w:left="100"/>
              <w:spacing w:after="0" w:line="190" w:lineRule="exact"/>
              <w:rPr>
                <w:sz w:val="20"/>
                <w:szCs w:val="20"/>
                <w:color w:val="auto"/>
              </w:rPr>
            </w:pPr>
            <w:r>
              <w:rPr>
                <w:rFonts w:ascii="Arial" w:cs="Arial" w:eastAsia="Arial" w:hAnsi="Arial"/>
                <w:sz w:val="17"/>
                <w:szCs w:val="17"/>
                <w:color w:val="auto"/>
              </w:rPr>
              <w:t xml:space="preserve">FMR LLC </w:t>
            </w:r>
            <w:r>
              <w:rPr>
                <w:rFonts w:ascii="Arial" w:cs="Arial" w:eastAsia="Arial" w:hAnsi="Arial"/>
                <w:sz w:val="22"/>
                <w:szCs w:val="22"/>
                <w:color w:val="auto"/>
                <w:vertAlign w:val="superscript"/>
              </w:rPr>
              <w:t>(1)</w:t>
            </w:r>
          </w:p>
        </w:tc>
        <w:tc>
          <w:tcPr>
            <w:tcW w:w="1720" w:type="dxa"/>
            <w:vAlign w:val="bottom"/>
            <w:shd w:val="clear" w:color="auto" w:fill="E7E7E8"/>
          </w:tcPr>
          <w:p>
            <w:pPr>
              <w:spacing w:after="0"/>
              <w:rPr>
                <w:sz w:val="16"/>
                <w:szCs w:val="16"/>
                <w:color w:val="auto"/>
              </w:rPr>
            </w:pPr>
          </w:p>
        </w:tc>
        <w:tc>
          <w:tcPr>
            <w:tcW w:w="2000" w:type="dxa"/>
            <w:vAlign w:val="bottom"/>
            <w:shd w:val="clear" w:color="auto" w:fill="E7E7E8"/>
          </w:tcPr>
          <w:p>
            <w:pPr>
              <w:spacing w:after="0"/>
              <w:rPr>
                <w:sz w:val="16"/>
                <w:szCs w:val="16"/>
                <w:color w:val="auto"/>
              </w:rPr>
            </w:pPr>
          </w:p>
        </w:tc>
      </w:tr>
      <w:tr>
        <w:trPr>
          <w:trHeight w:val="203"/>
        </w:trPr>
        <w:tc>
          <w:tcPr>
            <w:tcW w:w="7520" w:type="dxa"/>
            <w:vAlign w:val="bottom"/>
          </w:tcPr>
          <w:p>
            <w:pPr>
              <w:ind w:left="300"/>
              <w:spacing w:after="0" w:line="202" w:lineRule="exact"/>
              <w:rPr>
                <w:sz w:val="20"/>
                <w:szCs w:val="20"/>
                <w:color w:val="auto"/>
              </w:rPr>
            </w:pPr>
            <w:r>
              <w:rPr>
                <w:rFonts w:ascii="Arial" w:cs="Arial" w:eastAsia="Arial" w:hAnsi="Arial"/>
                <w:sz w:val="18"/>
                <w:szCs w:val="18"/>
                <w:color w:val="auto"/>
              </w:rPr>
              <w:t>245 Summer Street</w:t>
            </w:r>
          </w:p>
        </w:tc>
        <w:tc>
          <w:tcPr>
            <w:tcW w:w="1720" w:type="dxa"/>
            <w:vAlign w:val="bottom"/>
            <w:shd w:val="clear" w:color="auto" w:fill="E7E7E8"/>
          </w:tcPr>
          <w:p>
            <w:pPr>
              <w:jc w:val="right"/>
              <w:spacing w:after="0" w:line="202" w:lineRule="exact"/>
              <w:rPr>
                <w:sz w:val="20"/>
                <w:szCs w:val="20"/>
                <w:color w:val="auto"/>
              </w:rPr>
            </w:pPr>
            <w:r>
              <w:rPr>
                <w:rFonts w:ascii="Arial" w:cs="Arial" w:eastAsia="Arial" w:hAnsi="Arial"/>
                <w:sz w:val="18"/>
                <w:szCs w:val="18"/>
                <w:color w:val="auto"/>
              </w:rPr>
              <w:t>3,562,058</w:t>
            </w:r>
          </w:p>
        </w:tc>
        <w:tc>
          <w:tcPr>
            <w:tcW w:w="2000" w:type="dxa"/>
            <w:vAlign w:val="bottom"/>
            <w:shd w:val="clear" w:color="auto" w:fill="E7E7E8"/>
          </w:tcPr>
          <w:p>
            <w:pPr>
              <w:jc w:val="right"/>
              <w:spacing w:after="0" w:line="202" w:lineRule="exact"/>
              <w:rPr>
                <w:sz w:val="20"/>
                <w:szCs w:val="20"/>
                <w:color w:val="auto"/>
              </w:rPr>
            </w:pPr>
            <w:r>
              <w:rPr>
                <w:rFonts w:ascii="Arial" w:cs="Arial" w:eastAsia="Arial" w:hAnsi="Arial"/>
                <w:sz w:val="18"/>
                <w:szCs w:val="18"/>
                <w:color w:val="auto"/>
              </w:rPr>
              <w:t>10.9%</w:t>
            </w:r>
          </w:p>
        </w:tc>
      </w:tr>
      <w:tr>
        <w:trPr>
          <w:trHeight w:val="201"/>
        </w:trPr>
        <w:tc>
          <w:tcPr>
            <w:tcW w:w="7520" w:type="dxa"/>
            <w:vAlign w:val="bottom"/>
          </w:tcPr>
          <w:p>
            <w:pPr>
              <w:ind w:left="300"/>
              <w:spacing w:after="0" w:line="181" w:lineRule="exact"/>
              <w:rPr>
                <w:sz w:val="20"/>
                <w:szCs w:val="20"/>
                <w:color w:val="auto"/>
              </w:rPr>
            </w:pPr>
            <w:r>
              <w:rPr>
                <w:rFonts w:ascii="Arial" w:cs="Arial" w:eastAsia="Arial" w:hAnsi="Arial"/>
                <w:sz w:val="18"/>
                <w:szCs w:val="18"/>
                <w:color w:val="auto"/>
              </w:rPr>
              <w:t>Boston, MA 02210</w:t>
            </w:r>
          </w:p>
        </w:tc>
        <w:tc>
          <w:tcPr>
            <w:tcW w:w="1720" w:type="dxa"/>
            <w:vAlign w:val="bottom"/>
            <w:tcBorders>
              <w:bottom w:val="single" w:sz="8" w:color="E7E7E8"/>
            </w:tcBorders>
            <w:shd w:val="clear" w:color="auto" w:fill="E7E7E8"/>
          </w:tcPr>
          <w:p>
            <w:pPr>
              <w:spacing w:after="0"/>
              <w:rPr>
                <w:sz w:val="17"/>
                <w:szCs w:val="17"/>
                <w:color w:val="auto"/>
              </w:rPr>
            </w:pPr>
          </w:p>
        </w:tc>
        <w:tc>
          <w:tcPr>
            <w:tcW w:w="2000" w:type="dxa"/>
            <w:vAlign w:val="bottom"/>
            <w:tcBorders>
              <w:bottom w:val="single" w:sz="8" w:color="E7E7E8"/>
            </w:tcBorders>
            <w:shd w:val="clear" w:color="auto" w:fill="E7E7E8"/>
          </w:tcPr>
          <w:p>
            <w:pPr>
              <w:spacing w:after="0"/>
              <w:rPr>
                <w:sz w:val="17"/>
                <w:szCs w:val="17"/>
                <w:color w:val="auto"/>
              </w:rPr>
            </w:pPr>
          </w:p>
        </w:tc>
      </w:tr>
      <w:tr>
        <w:trPr>
          <w:trHeight w:val="184"/>
        </w:trPr>
        <w:tc>
          <w:tcPr>
            <w:tcW w:w="7520" w:type="dxa"/>
            <w:vAlign w:val="bottom"/>
          </w:tcPr>
          <w:p>
            <w:pPr>
              <w:ind w:left="100"/>
              <w:spacing w:after="0" w:line="184" w:lineRule="exact"/>
              <w:rPr>
                <w:sz w:val="20"/>
                <w:szCs w:val="20"/>
                <w:color w:val="auto"/>
              </w:rPr>
            </w:pPr>
            <w:r>
              <w:rPr>
                <w:rFonts w:ascii="Arial" w:cs="Arial" w:eastAsia="Arial" w:hAnsi="Arial"/>
                <w:sz w:val="16"/>
                <w:szCs w:val="16"/>
                <w:color w:val="auto"/>
              </w:rPr>
              <w:t xml:space="preserve">The Vanguard Group </w:t>
            </w:r>
            <w:r>
              <w:rPr>
                <w:rFonts w:ascii="Arial" w:cs="Arial" w:eastAsia="Arial" w:hAnsi="Arial"/>
                <w:sz w:val="21"/>
                <w:szCs w:val="21"/>
                <w:color w:val="auto"/>
                <w:vertAlign w:val="superscript"/>
              </w:rPr>
              <w:t>(2)</w:t>
            </w: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03"/>
        </w:trPr>
        <w:tc>
          <w:tcPr>
            <w:tcW w:w="7520" w:type="dxa"/>
            <w:vAlign w:val="bottom"/>
          </w:tcPr>
          <w:p>
            <w:pPr>
              <w:ind w:left="300"/>
              <w:spacing w:after="0" w:line="202" w:lineRule="exact"/>
              <w:rPr>
                <w:sz w:val="20"/>
                <w:szCs w:val="20"/>
                <w:color w:val="auto"/>
              </w:rPr>
            </w:pPr>
            <w:r>
              <w:rPr>
                <w:rFonts w:ascii="Arial" w:cs="Arial" w:eastAsia="Arial" w:hAnsi="Arial"/>
                <w:sz w:val="18"/>
                <w:szCs w:val="18"/>
                <w:color w:val="auto"/>
              </w:rPr>
              <w:t>100 Vanguard Blvd.</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3,379,953</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r>
      <w:tr>
        <w:trPr>
          <w:trHeight w:val="181"/>
        </w:trPr>
        <w:tc>
          <w:tcPr>
            <w:tcW w:w="7520" w:type="dxa"/>
            <w:vAlign w:val="bottom"/>
          </w:tcPr>
          <w:p>
            <w:pPr>
              <w:ind w:left="300"/>
              <w:spacing w:after="0" w:line="181" w:lineRule="exact"/>
              <w:rPr>
                <w:sz w:val="20"/>
                <w:szCs w:val="20"/>
                <w:color w:val="auto"/>
              </w:rPr>
            </w:pPr>
            <w:r>
              <w:rPr>
                <w:rFonts w:ascii="Arial" w:cs="Arial" w:eastAsia="Arial" w:hAnsi="Arial"/>
                <w:sz w:val="18"/>
                <w:szCs w:val="18"/>
                <w:color w:val="auto"/>
              </w:rPr>
              <w:t>Malvern, PA 19355</w:t>
            </w: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24"/>
        </w:trPr>
        <w:tc>
          <w:tcPr>
            <w:tcW w:w="7520" w:type="dxa"/>
            <w:vAlign w:val="bottom"/>
          </w:tcPr>
          <w:p>
            <w:pPr>
              <w:ind w:left="100"/>
              <w:spacing w:after="0" w:line="224" w:lineRule="exact"/>
              <w:rPr>
                <w:sz w:val="20"/>
                <w:szCs w:val="20"/>
                <w:color w:val="auto"/>
              </w:rPr>
            </w:pPr>
            <w:r>
              <w:rPr>
                <w:rFonts w:ascii="Arial" w:cs="Arial" w:eastAsia="Arial" w:hAnsi="Arial"/>
                <w:sz w:val="18"/>
                <w:szCs w:val="18"/>
                <w:color w:val="auto"/>
              </w:rPr>
              <w:t xml:space="preserve">BlackRock, Inc. </w:t>
            </w:r>
            <w:r>
              <w:rPr>
                <w:rFonts w:ascii="Arial" w:cs="Arial" w:eastAsia="Arial" w:hAnsi="Arial"/>
                <w:sz w:val="24"/>
                <w:szCs w:val="24"/>
                <w:color w:val="auto"/>
                <w:vertAlign w:val="superscript"/>
              </w:rPr>
              <w:t>(3)</w:t>
            </w:r>
          </w:p>
        </w:tc>
        <w:tc>
          <w:tcPr>
            <w:tcW w:w="17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03"/>
        </w:trPr>
        <w:tc>
          <w:tcPr>
            <w:tcW w:w="7520" w:type="dxa"/>
            <w:vAlign w:val="bottom"/>
          </w:tcPr>
          <w:p>
            <w:pPr>
              <w:ind w:left="300"/>
              <w:spacing w:after="0" w:line="202" w:lineRule="exact"/>
              <w:rPr>
                <w:sz w:val="20"/>
                <w:szCs w:val="20"/>
                <w:color w:val="auto"/>
              </w:rPr>
            </w:pPr>
            <w:r>
              <w:rPr>
                <w:rFonts w:ascii="Arial" w:cs="Arial" w:eastAsia="Arial" w:hAnsi="Arial"/>
                <w:sz w:val="18"/>
                <w:szCs w:val="18"/>
                <w:color w:val="auto"/>
              </w:rPr>
              <w:t>55 East 52nd Street</w:t>
            </w:r>
          </w:p>
        </w:tc>
        <w:tc>
          <w:tcPr>
            <w:tcW w:w="1720" w:type="dxa"/>
            <w:vAlign w:val="bottom"/>
            <w:shd w:val="clear" w:color="auto" w:fill="E7E7E8"/>
          </w:tcPr>
          <w:p>
            <w:pPr>
              <w:jc w:val="right"/>
              <w:spacing w:after="0" w:line="202" w:lineRule="exact"/>
              <w:rPr>
                <w:sz w:val="20"/>
                <w:szCs w:val="20"/>
                <w:color w:val="auto"/>
              </w:rPr>
            </w:pPr>
            <w:r>
              <w:rPr>
                <w:rFonts w:ascii="Arial" w:cs="Arial" w:eastAsia="Arial" w:hAnsi="Arial"/>
                <w:sz w:val="18"/>
                <w:szCs w:val="18"/>
                <w:color w:val="auto"/>
              </w:rPr>
              <w:t>3,137,687</w:t>
            </w:r>
          </w:p>
        </w:tc>
        <w:tc>
          <w:tcPr>
            <w:tcW w:w="2000" w:type="dxa"/>
            <w:vAlign w:val="bottom"/>
            <w:shd w:val="clear" w:color="auto" w:fill="E7E7E8"/>
          </w:tcPr>
          <w:p>
            <w:pPr>
              <w:jc w:val="right"/>
              <w:spacing w:after="0" w:line="202" w:lineRule="exact"/>
              <w:rPr>
                <w:sz w:val="20"/>
                <w:szCs w:val="20"/>
                <w:color w:val="auto"/>
              </w:rPr>
            </w:pPr>
            <w:r>
              <w:rPr>
                <w:rFonts w:ascii="Arial" w:cs="Arial" w:eastAsia="Arial" w:hAnsi="Arial"/>
                <w:sz w:val="18"/>
                <w:szCs w:val="18"/>
                <w:color w:val="auto"/>
              </w:rPr>
              <w:t>9.6%</w:t>
            </w:r>
          </w:p>
        </w:tc>
      </w:tr>
      <w:tr>
        <w:trPr>
          <w:trHeight w:val="201"/>
        </w:trPr>
        <w:tc>
          <w:tcPr>
            <w:tcW w:w="7520" w:type="dxa"/>
            <w:vAlign w:val="bottom"/>
          </w:tcPr>
          <w:p>
            <w:pPr>
              <w:ind w:left="300"/>
              <w:spacing w:after="0" w:line="181" w:lineRule="exact"/>
              <w:rPr>
                <w:sz w:val="20"/>
                <w:szCs w:val="20"/>
                <w:color w:val="auto"/>
              </w:rPr>
            </w:pPr>
            <w:r>
              <w:rPr>
                <w:rFonts w:ascii="Arial" w:cs="Arial" w:eastAsia="Arial" w:hAnsi="Arial"/>
                <w:sz w:val="18"/>
                <w:szCs w:val="18"/>
                <w:color w:val="auto"/>
              </w:rPr>
              <w:t>New York, NY 10055</w:t>
            </w:r>
          </w:p>
        </w:tc>
        <w:tc>
          <w:tcPr>
            <w:tcW w:w="1720" w:type="dxa"/>
            <w:vAlign w:val="bottom"/>
            <w:tcBorders>
              <w:bottom w:val="single" w:sz="8" w:color="E7E7E8"/>
            </w:tcBorders>
            <w:shd w:val="clear" w:color="auto" w:fill="E7E7E8"/>
          </w:tcPr>
          <w:p>
            <w:pPr>
              <w:spacing w:after="0"/>
              <w:rPr>
                <w:sz w:val="17"/>
                <w:szCs w:val="17"/>
                <w:color w:val="auto"/>
              </w:rPr>
            </w:pPr>
          </w:p>
        </w:tc>
        <w:tc>
          <w:tcPr>
            <w:tcW w:w="2000" w:type="dxa"/>
            <w:vAlign w:val="bottom"/>
            <w:tcBorders>
              <w:bottom w:val="single" w:sz="8" w:color="E7E7E8"/>
            </w:tcBorders>
            <w:shd w:val="clear" w:color="auto" w:fill="E7E7E8"/>
          </w:tcPr>
          <w:p>
            <w:pPr>
              <w:spacing w:after="0"/>
              <w:rPr>
                <w:sz w:val="17"/>
                <w:szCs w:val="17"/>
                <w:color w:val="auto"/>
              </w:rPr>
            </w:pPr>
          </w:p>
        </w:tc>
      </w:tr>
      <w:tr>
        <w:trPr>
          <w:trHeight w:val="184"/>
        </w:trPr>
        <w:tc>
          <w:tcPr>
            <w:tcW w:w="7520" w:type="dxa"/>
            <w:vAlign w:val="bottom"/>
          </w:tcPr>
          <w:p>
            <w:pPr>
              <w:ind w:left="100"/>
              <w:spacing w:after="0" w:line="184" w:lineRule="exact"/>
              <w:rPr>
                <w:sz w:val="20"/>
                <w:szCs w:val="20"/>
                <w:color w:val="auto"/>
              </w:rPr>
            </w:pPr>
            <w:r>
              <w:rPr>
                <w:rFonts w:ascii="Arial" w:cs="Arial" w:eastAsia="Arial" w:hAnsi="Arial"/>
                <w:sz w:val="16"/>
                <w:szCs w:val="16"/>
                <w:color w:val="auto"/>
              </w:rPr>
              <w:t xml:space="preserve">JPMorgan Chase &amp; Co. </w:t>
            </w:r>
            <w:r>
              <w:rPr>
                <w:rFonts w:ascii="Arial" w:cs="Arial" w:eastAsia="Arial" w:hAnsi="Arial"/>
                <w:sz w:val="21"/>
                <w:szCs w:val="21"/>
                <w:color w:val="auto"/>
                <w:vertAlign w:val="superscript"/>
              </w:rPr>
              <w:t>(4)</w:t>
            </w:r>
          </w:p>
        </w:tc>
        <w:tc>
          <w:tcPr>
            <w:tcW w:w="172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03"/>
        </w:trPr>
        <w:tc>
          <w:tcPr>
            <w:tcW w:w="7520" w:type="dxa"/>
            <w:vAlign w:val="bottom"/>
          </w:tcPr>
          <w:p>
            <w:pPr>
              <w:ind w:left="300"/>
              <w:spacing w:after="0" w:line="202" w:lineRule="exact"/>
              <w:rPr>
                <w:sz w:val="20"/>
                <w:szCs w:val="20"/>
                <w:color w:val="auto"/>
              </w:rPr>
            </w:pPr>
            <w:r>
              <w:rPr>
                <w:rFonts w:ascii="Arial" w:cs="Arial" w:eastAsia="Arial" w:hAnsi="Arial"/>
                <w:sz w:val="18"/>
                <w:szCs w:val="18"/>
                <w:color w:val="auto"/>
              </w:rPr>
              <w:t>383 Madison Ave.</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2,092,751</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55"/>
        </w:trPr>
        <w:tc>
          <w:tcPr>
            <w:tcW w:w="7520" w:type="dxa"/>
            <w:vAlign w:val="bottom"/>
            <w:tcBorders>
              <w:bottom w:val="single" w:sz="8" w:color="051972"/>
            </w:tcBorders>
          </w:tcPr>
          <w:p>
            <w:pPr>
              <w:ind w:left="300"/>
              <w:spacing w:after="0"/>
              <w:rPr>
                <w:sz w:val="20"/>
                <w:szCs w:val="20"/>
                <w:color w:val="auto"/>
              </w:rPr>
            </w:pPr>
            <w:r>
              <w:rPr>
                <w:rFonts w:ascii="Arial" w:cs="Arial" w:eastAsia="Arial" w:hAnsi="Arial"/>
                <w:sz w:val="18"/>
                <w:szCs w:val="18"/>
                <w:color w:val="auto"/>
              </w:rPr>
              <w:t>New York, NY 10179</w:t>
            </w:r>
          </w:p>
        </w:tc>
        <w:tc>
          <w:tcPr>
            <w:tcW w:w="1720" w:type="dxa"/>
            <w:vAlign w:val="bottom"/>
            <w:tcBorders>
              <w:bottom w:val="single" w:sz="8" w:color="051972"/>
            </w:tcBorders>
          </w:tcPr>
          <w:p>
            <w:pPr>
              <w:spacing w:after="0"/>
              <w:rPr>
                <w:sz w:val="22"/>
                <w:szCs w:val="22"/>
                <w:color w:val="auto"/>
              </w:rPr>
            </w:pPr>
          </w:p>
        </w:tc>
        <w:tc>
          <w:tcPr>
            <w:tcW w:w="2000" w:type="dxa"/>
            <w:vAlign w:val="bottom"/>
            <w:tcBorders>
              <w:bottom w:val="single" w:sz="8" w:color="051972"/>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-1584960</wp:posOffset>
            </wp:positionV>
            <wp:extent cx="4774565" cy="3943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74565" cy="3943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3860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92" w:lineRule="exact"/>
        <w:rPr>
          <w:sz w:val="20"/>
          <w:szCs w:val="20"/>
          <w:color w:val="auto"/>
        </w:rPr>
      </w:pPr>
    </w:p>
    <w:p>
      <w:pPr>
        <w:ind w:left="380" w:right="100" w:hanging="372"/>
        <w:spacing w:after="0" w:line="284" w:lineRule="auto"/>
        <w:tabs>
          <w:tab w:leader="none" w:pos="380" w:val="left"/>
        </w:tabs>
        <w:numPr>
          <w:ilvl w:val="0"/>
          <w:numId w:val="97"/>
        </w:numPr>
        <w:rPr>
          <w:rFonts w:ascii="Times New Roman" w:cs="Times New Roman" w:eastAsia="Times New Roman" w:hAnsi="Times New Roman"/>
          <w:sz w:val="14"/>
          <w:szCs w:val="14"/>
          <w:color w:val="auto"/>
        </w:rPr>
      </w:pPr>
      <w:r>
        <w:rPr>
          <w:rFonts w:ascii="Arial" w:cs="Arial" w:eastAsia="Arial" w:hAnsi="Arial"/>
          <w:sz w:val="14"/>
          <w:szCs w:val="14"/>
          <w:color w:val="auto"/>
        </w:rPr>
        <w:t>Based solely on the information contained in a Schedule 13G/A filed with the SEC on August 12, 2024. Of the shares reported in the Schedule 13G/A, FMR LLC has sole voting power with respect to 3,559,785 shares and sole dispositive power with respect to 3,562,058 shares .</w:t>
      </w:r>
    </w:p>
    <w:p>
      <w:pPr>
        <w:spacing w:after="0" w:line="50" w:lineRule="exact"/>
        <w:rPr>
          <w:rFonts w:ascii="Times New Roman" w:cs="Times New Roman" w:eastAsia="Times New Roman" w:hAnsi="Times New Roman"/>
          <w:sz w:val="14"/>
          <w:szCs w:val="14"/>
          <w:color w:val="auto"/>
        </w:rPr>
      </w:pPr>
    </w:p>
    <w:p>
      <w:pPr>
        <w:ind w:left="380" w:right="100" w:hanging="372"/>
        <w:spacing w:after="0" w:line="262" w:lineRule="auto"/>
        <w:tabs>
          <w:tab w:leader="none" w:pos="380" w:val="left"/>
        </w:tabs>
        <w:numPr>
          <w:ilvl w:val="0"/>
          <w:numId w:val="97"/>
        </w:numPr>
        <w:rPr>
          <w:rFonts w:ascii="Times New Roman" w:cs="Times New Roman" w:eastAsia="Times New Roman" w:hAnsi="Times New Roman"/>
          <w:sz w:val="14"/>
          <w:szCs w:val="14"/>
          <w:color w:val="auto"/>
        </w:rPr>
      </w:pPr>
      <w:r>
        <w:rPr>
          <w:rFonts w:ascii="Arial" w:cs="Arial" w:eastAsia="Arial" w:hAnsi="Arial"/>
          <w:sz w:val="14"/>
          <w:szCs w:val="14"/>
          <w:color w:val="auto"/>
        </w:rPr>
        <w:t>Based solely on the information contained in a Schedule 13G/A filed with the SEC on April 30, 2025. Of the shares reported in the Schedule 13G/A, The Vanguard Group has (i) shared voting power with respect to 15,110 shares; (ii) sole dispositive power with respect to 3,323,334 shares; and (iii) shared dispositive power with respect to 56,619 shares.</w:t>
      </w:r>
    </w:p>
    <w:p>
      <w:pPr>
        <w:spacing w:after="0" w:line="66" w:lineRule="exact"/>
        <w:rPr>
          <w:rFonts w:ascii="Times New Roman" w:cs="Times New Roman" w:eastAsia="Times New Roman" w:hAnsi="Times New Roman"/>
          <w:sz w:val="14"/>
          <w:szCs w:val="14"/>
          <w:color w:val="auto"/>
        </w:rPr>
      </w:pPr>
    </w:p>
    <w:p>
      <w:pPr>
        <w:ind w:left="380" w:right="220" w:hanging="372"/>
        <w:spacing w:after="0" w:line="284" w:lineRule="auto"/>
        <w:tabs>
          <w:tab w:leader="none" w:pos="380" w:val="left"/>
        </w:tabs>
        <w:numPr>
          <w:ilvl w:val="0"/>
          <w:numId w:val="97"/>
        </w:numPr>
        <w:rPr>
          <w:rFonts w:ascii="Times New Roman" w:cs="Times New Roman" w:eastAsia="Times New Roman" w:hAnsi="Times New Roman"/>
          <w:sz w:val="14"/>
          <w:szCs w:val="14"/>
          <w:color w:val="auto"/>
        </w:rPr>
      </w:pPr>
      <w:r>
        <w:rPr>
          <w:rFonts w:ascii="Arial" w:cs="Arial" w:eastAsia="Arial" w:hAnsi="Arial"/>
          <w:sz w:val="14"/>
          <w:szCs w:val="14"/>
          <w:color w:val="auto"/>
        </w:rPr>
        <w:t>Based solely on the information contained in a Schedule 13G/A filed with the SEC on January 25, 2024. Of the shares reported in the Schedule 13G/A, BlackRock, Inc. has sole voting power with respect to 3,073,605 shares and sole dispositive power with respect to 3,137,687 shares.</w:t>
      </w:r>
    </w:p>
    <w:p>
      <w:pPr>
        <w:spacing w:after="0" w:line="50" w:lineRule="exact"/>
        <w:rPr>
          <w:rFonts w:ascii="Times New Roman" w:cs="Times New Roman" w:eastAsia="Times New Roman" w:hAnsi="Times New Roman"/>
          <w:sz w:val="14"/>
          <w:szCs w:val="14"/>
          <w:color w:val="auto"/>
        </w:rPr>
      </w:pPr>
    </w:p>
    <w:p>
      <w:pPr>
        <w:jc w:val="both"/>
        <w:ind w:left="380" w:right="200" w:hanging="372"/>
        <w:spacing w:after="0" w:line="270" w:lineRule="auto"/>
        <w:tabs>
          <w:tab w:leader="none" w:pos="380" w:val="left"/>
        </w:tabs>
        <w:numPr>
          <w:ilvl w:val="0"/>
          <w:numId w:val="97"/>
        </w:numPr>
        <w:rPr>
          <w:rFonts w:ascii="Times New Roman" w:cs="Times New Roman" w:eastAsia="Times New Roman" w:hAnsi="Times New Roman"/>
          <w:sz w:val="14"/>
          <w:szCs w:val="14"/>
          <w:color w:val="auto"/>
        </w:rPr>
      </w:pPr>
      <w:r>
        <w:rPr>
          <w:rFonts w:ascii="Arial" w:cs="Arial" w:eastAsia="Arial" w:hAnsi="Arial"/>
          <w:sz w:val="14"/>
          <w:szCs w:val="14"/>
          <w:color w:val="auto"/>
        </w:rPr>
        <w:t>Based solely on the information contained in a Schedule 13G/A filed with the SEC on April 22, 2025. Of the shares reported in the Schedule 13G/A, JPMorgan Chase &amp; Co. has sole voting power with respect to 1,840,1745 shares, sole dispositive power with respect to 2,092,439 shares and shared dispositive power with respect to 155 shares.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Related Party Transactions</w:t>
      </w:r>
    </w:p>
    <w:p>
      <w:pPr>
        <w:spacing w:after="0" w:line="142"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Our code of conduct adopted by the Board, which we refer to as “The Eagle Way,” includes provisions addressing conflicts of interest which arise when a director, officer, or employee has an interest in a transaction in which the Company is a participant. The Eagle Way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11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Under The Eagle Way, officers or employees are encouraged to consult with their supervisors regarding any matter that may involve a conflict of interest. In addition, The Eagle Way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68</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3" w:name="page74"/>
    <w:bookmarkEnd w:id="73"/>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STOCK OWNERSHIP</w:t>
      </w:r>
    </w:p>
    <w:p>
      <w:pPr>
        <w:spacing w:after="0" w:line="29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competitor, subject to certain exceptions relating to the ownership of publicly traded securities; (2) 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 With respect to senior executive officers of the Company subject to Section 16 of the Exchange Act, The Eagle Way requires that the Chair of the Audit Committee be notified of any conflict of interest transaction involving such officers.</w:t>
      </w:r>
    </w:p>
    <w:p>
      <w:pPr>
        <w:spacing w:after="0" w:line="9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addition to the above policies included in The Eagle Way,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 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As required under SEC rules, transactions that are determined to be directly or indirectly material to the Company or a related person are disclosed in the annual proxy statement.</w:t>
      </w:r>
    </w:p>
    <w:p>
      <w:pPr>
        <w:spacing w:after="0" w:line="119"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During fiscal 2025, the Company engaged KPMG to perform certain tax consulting work, paying KPMG approximately $267,000. The spouse of Mr. Kesler, our Chief Financial Officer, is a partner at KPMG. Mr. Kesler's spouse did not work on any Company matters, and the Company's Vice President - Tax was the project coordinator for this work. Prior approval of this engagement was obtained in accordance with our code of conduct.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Insider Trading and Prohibited Transactions in Company Securities</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Company maintains insider trading policies and procedures governing the purchase, sale, and/or other dispositions of Company securities by directors, executive officers, and employees, that it believes are reasonably designed to promote compliance with insider trading laws, rules, and regulations, as well as the NYSE Corporate Governance Standards. Persons subject to the policies and procedures are prohibited from trading while aware of material, nonpublic information. These policies and procedures provide for restricted periods and pre-clearance procedures for insiders.</w:t>
      </w:r>
    </w:p>
    <w:p>
      <w:pPr>
        <w:spacing w:after="0" w:line="97"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Under our insider trading policy, the Company’s directors, officers and employees are prohibited from engaging in certain transactions in the Company’s securities which, though legal, might give the appearance of misalignment with stockholders or potentially result in involuntary sales of Company securities held by insiders. The transactions specifically prohibited by the policy are:</w:t>
      </w:r>
    </w:p>
    <w:p>
      <w:pPr>
        <w:spacing w:after="0" w:line="104" w:lineRule="exact"/>
        <w:rPr>
          <w:sz w:val="20"/>
          <w:szCs w:val="20"/>
          <w:color w:val="auto"/>
        </w:rPr>
      </w:pPr>
    </w:p>
    <w:p>
      <w:pPr>
        <w:ind w:left="460" w:right="140" w:hanging="228"/>
        <w:spacing w:after="0" w:line="256" w:lineRule="auto"/>
        <w:tabs>
          <w:tab w:leader="none" w:pos="460"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short sales, which may evidence an expectation on the part of the seller/insider that the securities will decline in value and signal to the market a lack of confidence in the Company’s short-term prospects;</w:t>
      </w:r>
    </w:p>
    <w:p>
      <w:pPr>
        <w:ind w:left="460" w:right="380" w:hanging="228"/>
        <w:spacing w:after="0" w:line="246" w:lineRule="auto"/>
        <w:tabs>
          <w:tab w:leader="none" w:pos="460"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publicly-traded options (examples include puts, calls and other derivative securities involving Company securities, on an exchange or in any other organized market), which may create the appearance that an insider is trading based on material, nonpublic information;</w:t>
      </w:r>
    </w:p>
    <w:p>
      <w:pPr>
        <w:ind w:left="460" w:right="120" w:hanging="228"/>
        <w:spacing w:after="0" w:line="246" w:lineRule="auto"/>
        <w:tabs>
          <w:tab w:leader="none" w:pos="460"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hedging transactions (examples include zero-cost collars and forward sale contracts), which allow a holder to lock in much of the value of his or her stock holdings, often in exchange for all or part of the potential upside appreciation in the stock--creating a potential mis-alignment with the objectives of the Company’s other stockholders); and</w:t>
      </w:r>
    </w:p>
    <w:p>
      <w:pPr>
        <w:ind w:left="460" w:right="560" w:hanging="228"/>
        <w:spacing w:after="0" w:line="264" w:lineRule="auto"/>
        <w:tabs>
          <w:tab w:leader="none" w:pos="460" w:val="left"/>
        </w:tabs>
        <w:numPr>
          <w:ilvl w:val="0"/>
          <w:numId w:val="98"/>
        </w:numPr>
        <w:rPr>
          <w:rFonts w:ascii="Times New Roman" w:cs="Times New Roman" w:eastAsia="Times New Roman" w:hAnsi="Times New Roman"/>
          <w:sz w:val="16"/>
          <w:szCs w:val="16"/>
          <w:color w:val="auto"/>
        </w:rPr>
      </w:pPr>
      <w:r>
        <w:rPr>
          <w:rFonts w:ascii="Arial" w:cs="Arial" w:eastAsia="Arial" w:hAnsi="Arial"/>
          <w:sz w:val="16"/>
          <w:szCs w:val="16"/>
          <w:color w:val="auto"/>
        </w:rPr>
        <w:t>pledging Company securities or holding Company securities in a margin account, which might result in involuntary sales of Company securities (including during trading blackouts) in the context of a margin call or foreclosure.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Code of Conduct</w:t>
      </w:r>
    </w:p>
    <w:p>
      <w:pPr>
        <w:spacing w:after="0" w:line="15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Company’s code of conduct, The Eagle Way, applies to all of the Company’s employees, including the Company’s officers. The Eagle Way also applies to the Board of Directors. The Company’s code of conduct is designed to deter wrongdoing and to promote:</w:t>
      </w:r>
    </w:p>
    <w:p>
      <w:pPr>
        <w:spacing w:after="0" w:line="75" w:lineRule="exact"/>
        <w:rPr>
          <w:sz w:val="20"/>
          <w:szCs w:val="20"/>
          <w:color w:val="auto"/>
        </w:rPr>
      </w:pPr>
    </w:p>
    <w:p>
      <w:pPr>
        <w:ind w:left="460" w:hanging="228"/>
        <w:spacing w:after="0"/>
        <w:tabs>
          <w:tab w:leader="none" w:pos="46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29"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99"/>
        </w:numPr>
        <w:rPr>
          <w:rFonts w:ascii="Times New Roman" w:cs="Times New Roman" w:eastAsia="Times New Roman" w:hAnsi="Times New Roman"/>
          <w:sz w:val="16"/>
          <w:szCs w:val="16"/>
          <w:color w:val="auto"/>
        </w:rPr>
      </w:pPr>
      <w:r>
        <w:rPr>
          <w:rFonts w:ascii="Arial" w:cs="Arial" w:eastAsia="Arial" w:hAnsi="Arial"/>
          <w:sz w:val="16"/>
          <w:szCs w:val="16"/>
          <w:color w:val="auto"/>
        </w:rPr>
        <w:t>compliance with applicable governmental laws, rules and regulations;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69</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4" w:name="page75"/>
    <w:bookmarkEnd w:id="74"/>
    <w:p>
      <w:pPr>
        <w:ind w:left="918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5848985</wp:posOffset>
            </wp:positionH>
            <wp:positionV relativeFrom="page">
              <wp:posOffset>526415</wp:posOffset>
            </wp:positionV>
            <wp:extent cx="1491615"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91615" cy="171450"/>
                    </a:xfrm>
                    <a:prstGeom prst="rect">
                      <a:avLst/>
                    </a:prstGeom>
                    <a:noFill/>
                  </pic:spPr>
                </pic:pic>
              </a:graphicData>
            </a:graphic>
          </wp:anchor>
        </w:drawing>
        <w:t>STOCK OWNERSHIP</w:t>
      </w:r>
    </w:p>
    <w:p>
      <w:pPr>
        <w:spacing w:after="0" w:line="149" w:lineRule="exact"/>
        <w:rPr>
          <w:sz w:val="20"/>
          <w:szCs w:val="20"/>
          <w:color w:val="auto"/>
        </w:rPr>
      </w:pPr>
    </w:p>
    <w:p>
      <w:pPr>
        <w:ind w:left="460" w:hanging="228"/>
        <w:spacing w:after="0"/>
        <w:tabs>
          <w:tab w:leader="none" w:pos="460" w:val="left"/>
        </w:tabs>
        <w:numPr>
          <w:ilvl w:val="0"/>
          <w:numId w:val="100"/>
        </w:numPr>
        <w:rPr>
          <w:rFonts w:ascii="Times New Roman" w:cs="Times New Roman" w:eastAsia="Times New Roman" w:hAnsi="Times New Roman"/>
          <w:sz w:val="16"/>
          <w:szCs w:val="16"/>
          <w:color w:val="auto"/>
        </w:rPr>
      </w:pPr>
      <w:r>
        <w:rPr>
          <w:rFonts w:ascii="Arial" w:cs="Arial" w:eastAsia="Arial" w:hAnsi="Arial"/>
          <w:sz w:val="16"/>
          <w:szCs w:val="16"/>
          <w:color w:val="auto"/>
        </w:rPr>
        <w:t>the prompt internal reporting of violations of the code of conduct to an appropriate person or persons identified in the code of conduct; and</w:t>
      </w:r>
    </w:p>
    <w:p>
      <w:pPr>
        <w:spacing w:after="0" w:line="29" w:lineRule="exact"/>
        <w:rPr>
          <w:rFonts w:ascii="Times New Roman" w:cs="Times New Roman" w:eastAsia="Times New Roman" w:hAnsi="Times New Roman"/>
          <w:sz w:val="16"/>
          <w:szCs w:val="16"/>
          <w:color w:val="auto"/>
        </w:rPr>
      </w:pPr>
    </w:p>
    <w:p>
      <w:pPr>
        <w:ind w:left="460" w:hanging="228"/>
        <w:spacing w:after="0"/>
        <w:tabs>
          <w:tab w:leader="none" w:pos="460" w:val="left"/>
        </w:tabs>
        <w:numPr>
          <w:ilvl w:val="0"/>
          <w:numId w:val="100"/>
        </w:numPr>
        <w:rPr>
          <w:rFonts w:ascii="Times New Roman" w:cs="Times New Roman" w:eastAsia="Times New Roman" w:hAnsi="Times New Roman"/>
          <w:sz w:val="16"/>
          <w:szCs w:val="16"/>
          <w:color w:val="auto"/>
        </w:rPr>
      </w:pPr>
      <w:r>
        <w:rPr>
          <w:rFonts w:ascii="Arial" w:cs="Arial" w:eastAsia="Arial" w:hAnsi="Arial"/>
          <w:sz w:val="16"/>
          <w:szCs w:val="16"/>
          <w:color w:val="auto"/>
        </w:rPr>
        <w:t>accountability for adherence to the code of conduct.</w:t>
      </w:r>
    </w:p>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All of the Company’s employees and directors are required to certify to the Company, on an annual basis, that they have complied with the Company’s code of conduct without exception or, if they have not so complied, to list the exceptions. The Company has posted the text of its code of conduct on its Internet website at www.eaglematerials.com (click on “Investor Relations”, then on “Corporate Governance”, then on “The Eagle Way” under the heading “Code of Ethics”). Additionally, the Company will provide without charge a copy of the code of conduct to any person upon written request to our Secretary at our principal executive office. This reference to our website is intended to inform investors where they may obtain additional information; the materials and other information presented on our website are not incorporated in and should not be considered part of this proxy statement.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70</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4"/>
          <w:szCs w:val="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1905</wp:posOffset>
            </wp:positionV>
            <wp:extent cx="1354455" cy="1714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Proposal No. 2:</w:t>
      </w:r>
    </w:p>
    <w:p>
      <w:pPr>
        <w:spacing w:after="0" w:line="81"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65"/>
          <w:szCs w:val="65"/>
          <w:b w:val="1"/>
          <w:bCs w:val="1"/>
          <w:color w:val="051972"/>
        </w:rPr>
        <w:t>Advisory Vote to Approve Compensation of Our Named Executive Officers</w:t>
      </w:r>
    </w:p>
    <w:p>
      <w:pPr>
        <w:spacing w:after="0" w:line="260"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As required pursuant to Section 14A of the Securities Exchange Act of 1934, as amended, we are seeking your advisory vote approving the compensation paid to our Named Executive Officers as disclosed in this proxy statement, commonly known as the "say-on-pay" vote. We believe the structure of our executive compensation programs promotes our business objectives, aligns executives’ interests with those of stockholders and serves to motivate, attract and retain executive talent. We currently hold a say-on-pay vote annually and our next say-on-pay vote is expected to occur at our 2026 annual meeting of stockholders.</w:t>
      </w:r>
    </w:p>
    <w:p>
      <w:pPr>
        <w:spacing w:after="0" w:line="112"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We urge stockholders to read the “Compensation Discussion and Analysis” section of this Proxy Statement, which describes in more detail how our executive compensation policies and programs operate. We are seeking stockholder approval of the following advisory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4972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71" w:lineRule="exact"/>
        <w:rPr>
          <w:sz w:val="20"/>
          <w:szCs w:val="20"/>
          <w:color w:val="auto"/>
        </w:rPr>
      </w:pPr>
    </w:p>
    <w:p>
      <w:pPr>
        <w:jc w:val="both"/>
        <w:ind w:left="160" w:right="160"/>
        <w:spacing w:after="0" w:line="26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compensation paid to the Company’s Named Executive Officers, as disclosed pursuant to the compensation disclosure rules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and Exchange Commission, including the Compensation Discussion and Analysis, the compensation tables and the related material disclosed in this Proxy Statement, is hereby approved by the stockholders of the Company on an advisory basis.</w:t>
      </w:r>
    </w:p>
    <w:p>
      <w:pPr>
        <w:spacing w:after="0" w:line="30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shares present in person or represented by proxy at the meeting and entitled to vote on the subject matter is required for the approval of the foregoing resolution. Broker non-votes are not entitled to vote on this proposal, and therefore they have no effect on the approval of the proposal. An abstention will have the same effect as a vote against the proposal.</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150495</wp:posOffset>
            </wp:positionV>
            <wp:extent cx="6180455" cy="4800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80455" cy="480060"/>
                    </a:xfrm>
                    <a:prstGeom prst="rect">
                      <a:avLst/>
                    </a:prstGeom>
                    <a:noFill/>
                  </pic:spPr>
                </pic:pic>
              </a:graphicData>
            </a:graphic>
          </wp:anchor>
        </w:drawing>
      </w:r>
    </w:p>
    <w:p>
      <w:pPr>
        <w:spacing w:after="0" w:line="351" w:lineRule="exact"/>
        <w:rPr>
          <w:sz w:val="20"/>
          <w:szCs w:val="20"/>
          <w:color w:val="auto"/>
        </w:rPr>
      </w:pPr>
    </w:p>
    <w:p>
      <w:pPr>
        <w:ind w:left="2600" w:right="560"/>
        <w:spacing w:after="0" w:line="311" w:lineRule="auto"/>
        <w:rPr>
          <w:sz w:val="20"/>
          <w:szCs w:val="20"/>
          <w:color w:val="auto"/>
        </w:rPr>
      </w:pPr>
      <w:r>
        <w:rPr>
          <w:rFonts w:ascii="Arial" w:cs="Arial" w:eastAsia="Arial" w:hAnsi="Arial"/>
          <w:sz w:val="16"/>
          <w:szCs w:val="16"/>
          <w:b w:val="1"/>
          <w:bCs w:val="1"/>
          <w:color w:val="auto"/>
        </w:rPr>
        <w:t xml:space="preserve">Our Board of Directors recommends that holders of Common Stock vote </w:t>
      </w:r>
      <w:r>
        <w:rPr>
          <w:rFonts w:ascii="Arial" w:cs="Arial" w:eastAsia="Arial" w:hAnsi="Arial"/>
          <w:sz w:val="21"/>
          <w:szCs w:val="21"/>
          <w:b w:val="1"/>
          <w:bCs w:val="1"/>
          <w:color w:val="051972"/>
        </w:rPr>
        <w:t>FOR</w:t>
      </w:r>
      <w:r>
        <w:rPr>
          <w:rFonts w:ascii="Arial" w:cs="Arial" w:eastAsia="Arial" w:hAnsi="Arial"/>
          <w:sz w:val="16"/>
          <w:szCs w:val="16"/>
          <w:b w:val="1"/>
          <w:bCs w:val="1"/>
          <w:color w:val="auto"/>
        </w:rPr>
        <w:t xml:space="preserve"> the non-binding advisory resolution approving the compensation paid to our Named Executive Officers.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71</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4"/>
          <w:szCs w:val="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Proposal No. 3:</w:t>
      </w:r>
    </w:p>
    <w:p>
      <w:pPr>
        <w:spacing w:after="0" w:line="8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65"/>
          <w:szCs w:val="65"/>
          <w:b w:val="1"/>
          <w:bCs w:val="1"/>
          <w:color w:val="051972"/>
        </w:rPr>
        <w:t>Advisory Vote on a Stockholder Proposal Requesting the Declassification of our Board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received the following from K-Bar Holdings, LLC, 4030 S. Whitehorse Road, #408, Malvern, PA 19355:</w:t>
      </w:r>
    </w:p>
    <w:p>
      <w:pPr>
        <w:spacing w:after="0" w:line="194" w:lineRule="exact"/>
        <w:rPr>
          <w:sz w:val="20"/>
          <w:szCs w:val="20"/>
          <w:color w:val="auto"/>
        </w:rPr>
      </w:pPr>
    </w:p>
    <w:p>
      <w:pPr>
        <w:ind w:left="600" w:right="680" w:firstLine="706"/>
        <w:spacing w:after="0" w:line="256" w:lineRule="auto"/>
        <w:rPr>
          <w:sz w:val="20"/>
          <w:szCs w:val="20"/>
          <w:color w:val="auto"/>
        </w:rPr>
      </w:pPr>
      <w:r>
        <w:rPr>
          <w:rFonts w:ascii="Arial" w:cs="Arial" w:eastAsia="Arial" w:hAnsi="Arial"/>
          <w:sz w:val="16"/>
          <w:szCs w:val="16"/>
          <w:color w:val="auto"/>
        </w:rPr>
        <w:t>RESOLVED: Stockholders of Eagle Materials, Inc. hereby entreat the Board of Directors to take the steps necessary to promptly, such as via a Special Meeting, amend the Restated Certificate of Incorporation dated 04/11/06 (the “Certificate of Incorporation”), and any other appropriate governing document(s), to eliminate the outdated classified board structure over a three-year transition period to increase the timely accountability of all Directors to all stockholders (the “Amendment”). The full text of the proposed Amendment to Article V-b(2) of the Certificate of Incorporation is included below.</w:t>
      </w:r>
    </w:p>
    <w:p>
      <w:pPr>
        <w:spacing w:after="0" w:line="153" w:lineRule="exact"/>
        <w:rPr>
          <w:sz w:val="20"/>
          <w:szCs w:val="20"/>
          <w:color w:val="auto"/>
        </w:rPr>
      </w:pPr>
    </w:p>
    <w:p>
      <w:pPr>
        <w:ind w:left="1320"/>
        <w:spacing w:after="0"/>
        <w:rPr>
          <w:sz w:val="20"/>
          <w:szCs w:val="20"/>
          <w:color w:val="auto"/>
        </w:rPr>
      </w:pPr>
      <w:r>
        <w:rPr>
          <w:rFonts w:ascii="Arial" w:cs="Arial" w:eastAsia="Arial" w:hAnsi="Arial"/>
          <w:sz w:val="16"/>
          <w:szCs w:val="16"/>
          <w:b w:val="1"/>
          <w:bCs w:val="1"/>
          <w:u w:val="single" w:color="auto"/>
          <w:color w:val="auto"/>
        </w:rPr>
        <w:t>Proposed Amendment to Restated Certificate of Incorporation dated 04/11/06 - Article V-b(2):</w:t>
      </w:r>
    </w:p>
    <w:p>
      <w:pPr>
        <w:spacing w:after="0" w:line="194" w:lineRule="exact"/>
        <w:rPr>
          <w:sz w:val="20"/>
          <w:szCs w:val="20"/>
          <w:color w:val="auto"/>
        </w:rPr>
      </w:pPr>
    </w:p>
    <w:p>
      <w:pPr>
        <w:ind w:left="600" w:right="620" w:firstLine="706"/>
        <w:spacing w:after="0" w:line="252" w:lineRule="auto"/>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i w:val="1"/>
          <w:iCs w:val="1"/>
          <w:color w:val="auto"/>
        </w:rPr>
        <w:t>Transition to De-Classified Board</w:t>
      </w:r>
      <w:r>
        <w:rPr>
          <w:rFonts w:ascii="Arial" w:cs="Arial" w:eastAsia="Arial" w:hAnsi="Arial"/>
          <w:sz w:val="16"/>
          <w:szCs w:val="16"/>
          <w:color w:val="auto"/>
        </w:rPr>
        <w:t>. Until the conclusion of the Corporation's 2028 annual meeting of stockholders (the "2028 Annual Meeting"), the directors shall be divided into three classes, designated Class I, Class II and Class III. Each class shall consist, as nearly as possible, of one-third of the total number of directors constituting the entire Board of Directors. Each person elected as a director of the Corporation at or after the annual meeting of stockholders that is held in calendar year 2026 (the "2026 Annual Meeting"), whether to succeed a person whose term of office as a director has expired or to fill any vacancy, shall be elected for a term expiring at the next annual meeting of stockholders. Each director elected prior to the 2028 Annual Meeting shall continue to serve as a director for the term for which he or she was originally elected. In each case, each director shall hold office until such director's successor is duly elected and qualified, or until such director's earlier death, resignation, retirement, disqualification or removal from office."</w:t>
      </w:r>
    </w:p>
    <w:p>
      <w:pPr>
        <w:spacing w:after="0" w:line="156" w:lineRule="exact"/>
        <w:rPr>
          <w:sz w:val="20"/>
          <w:szCs w:val="20"/>
          <w:color w:val="auto"/>
        </w:rPr>
      </w:pPr>
    </w:p>
    <w:p>
      <w:pPr>
        <w:ind w:left="1320"/>
        <w:spacing w:after="0"/>
        <w:rPr>
          <w:sz w:val="20"/>
          <w:szCs w:val="20"/>
          <w:color w:val="auto"/>
        </w:rPr>
      </w:pPr>
      <w:r>
        <w:rPr>
          <w:rFonts w:ascii="Arial" w:cs="Arial" w:eastAsia="Arial" w:hAnsi="Arial"/>
          <w:sz w:val="16"/>
          <w:szCs w:val="16"/>
          <w:b w:val="1"/>
          <w:bCs w:val="1"/>
          <w:u w:val="single" w:color="auto"/>
          <w:color w:val="auto"/>
        </w:rPr>
        <w:t>Strike From Current Restated Certificate of Incorporation dated 04/11/06 Article V-b(2):</w:t>
      </w:r>
    </w:p>
    <w:p>
      <w:pPr>
        <w:spacing w:after="0" w:line="194" w:lineRule="exact"/>
        <w:rPr>
          <w:sz w:val="20"/>
          <w:szCs w:val="20"/>
          <w:color w:val="auto"/>
        </w:rPr>
      </w:pPr>
    </w:p>
    <w:p>
      <w:pPr>
        <w:ind w:left="600" w:right="620" w:firstLine="713"/>
        <w:spacing w:after="0" w:line="248" w:lineRule="auto"/>
        <w:tabs>
          <w:tab w:leader="none" w:pos="1549" w:val="left"/>
        </w:tabs>
        <w:numPr>
          <w:ilvl w:val="0"/>
          <w:numId w:val="101"/>
        </w:numPr>
        <w:rPr>
          <w:rFonts w:ascii="Arial" w:cs="Arial" w:eastAsia="Arial" w:hAnsi="Arial"/>
          <w:sz w:val="16"/>
          <w:szCs w:val="16"/>
          <w:color w:val="auto"/>
          <w:strike w:val="1"/>
        </w:rPr>
      </w:pPr>
      <w:r>
        <w:rPr>
          <w:rFonts w:ascii="Arial" w:cs="Arial" w:eastAsia="Arial" w:hAnsi="Arial"/>
          <w:sz w:val="16"/>
          <w:szCs w:val="16"/>
          <w:i w:val="1"/>
          <w:iCs w:val="1"/>
          <w:color w:val="auto"/>
          <w:strike w:val="1"/>
        </w:rPr>
        <w:t>Classified Board</w:t>
      </w:r>
      <w:r>
        <w:rPr>
          <w:rFonts w:ascii="Arial" w:cs="Arial" w:eastAsia="Arial" w:hAnsi="Arial"/>
          <w:sz w:val="16"/>
          <w:szCs w:val="16"/>
          <w:color w:val="auto"/>
          <w:strike w:val="1"/>
        </w:rPr>
        <w:t>. The directors, other than those who may be elected by the holders of any series of Preferred Stock, shall be</w:t>
      </w:r>
      <w:r>
        <w:rPr>
          <w:rFonts w:ascii="Arial" w:cs="Arial" w:eastAsia="Arial" w:hAnsi="Arial"/>
          <w:sz w:val="16"/>
          <w:szCs w:val="16"/>
          <w:i w:val="1"/>
          <w:iCs w:val="1"/>
          <w:color w:val="auto"/>
          <w:strike w:val="1"/>
        </w:rPr>
        <w:t xml:space="preserve"> </w:t>
      </w:r>
      <w:r>
        <w:rPr>
          <w:rFonts w:ascii="Arial" w:cs="Arial" w:eastAsia="Arial" w:hAnsi="Arial"/>
          <w:sz w:val="16"/>
          <w:szCs w:val="16"/>
          <w:color w:val="auto"/>
          <w:strike w:val="1"/>
        </w:rPr>
        <w:t>divided into three classes: Class I, Class II and Class III. Each person serving as a member of the Board of Directors as of the Effective Time has been assigned to one of such classes, pursuant to the provisions of this Restated Certificate of Incorporation as in effect prior to the Effective Time. Such classes shall be as nearly equal in number of directors as possible. Each director shall serve for a term ending on the third annual meeting of stockholders following the annual meeting of stockholders at which that director was elected; provided, however, that the directors first designated as Class III directors shall serve for a term expiring at the third annual meeting of stockholders next following the date of their designation as Class III directors. Each director shall hold office until the annual meeting of stockholders at which his term expires and, the foregoing notwithstanding, shall serve until his successor shall have been duly elected and qualified or until his earlier death, resignation or removal.</w:t>
      </w:r>
    </w:p>
    <w:p>
      <w:pPr>
        <w:spacing w:after="0" w:line="5" w:lineRule="exact"/>
        <w:rPr>
          <w:rFonts w:ascii="Arial" w:cs="Arial" w:eastAsia="Arial" w:hAnsi="Arial"/>
          <w:sz w:val="16"/>
          <w:szCs w:val="16"/>
          <w:color w:val="auto"/>
          <w:strike w:val="1"/>
        </w:rPr>
      </w:pPr>
    </w:p>
    <w:p>
      <w:pPr>
        <w:ind w:left="600" w:right="940" w:firstLine="706"/>
        <w:spacing w:after="0" w:line="246" w:lineRule="auto"/>
        <w:rPr>
          <w:rFonts w:ascii="Arial" w:cs="Arial" w:eastAsia="Arial" w:hAnsi="Arial"/>
          <w:sz w:val="16"/>
          <w:szCs w:val="16"/>
          <w:color w:val="auto"/>
          <w:strike w:val="1"/>
        </w:rPr>
      </w:pPr>
      <w:r>
        <w:rPr>
          <w:rFonts w:ascii="Arial" w:cs="Arial" w:eastAsia="Arial" w:hAnsi="Arial"/>
          <w:sz w:val="16"/>
          <w:szCs w:val="16"/>
          <w:color w:val="auto"/>
          <w:strike w:val="1"/>
        </w:rPr>
        <w:t>At each annual election, the directors chosen to succeed those whose terms then expire shall be of the same class as the directors they succeed, unless, by reason of any intervening changes in the authorized number of directors, the Board of Directors shall have designated one or more directorships whose term then expires as directorships of another class in order to more nearly achieve equality of number of directors among the classes.</w:t>
      </w:r>
    </w:p>
    <w:p>
      <w:pPr>
        <w:spacing w:after="0" w:line="1" w:lineRule="exact"/>
        <w:rPr>
          <w:rFonts w:ascii="Arial" w:cs="Arial" w:eastAsia="Arial" w:hAnsi="Arial"/>
          <w:sz w:val="16"/>
          <w:szCs w:val="16"/>
          <w:color w:val="auto"/>
          <w:strike w:val="1"/>
        </w:rPr>
      </w:pPr>
    </w:p>
    <w:p>
      <w:pPr>
        <w:ind w:left="600" w:right="1400" w:firstLine="706"/>
        <w:spacing w:after="0" w:line="256" w:lineRule="auto"/>
        <w:rPr>
          <w:rFonts w:ascii="Arial" w:cs="Arial" w:eastAsia="Arial" w:hAnsi="Arial"/>
          <w:sz w:val="16"/>
          <w:szCs w:val="16"/>
          <w:color w:val="auto"/>
          <w:strike w:val="1"/>
        </w:rPr>
      </w:pPr>
      <w:r>
        <w:rPr>
          <w:rFonts w:ascii="Arial" w:cs="Arial" w:eastAsia="Arial" w:hAnsi="Arial"/>
          <w:sz w:val="16"/>
          <w:szCs w:val="16"/>
          <w:color w:val="auto"/>
          <w:strike w:val="1"/>
        </w:rPr>
        <w:t>In the event of any change in the authorized number of directors, each director then continuing to serve as such shall nevertheless continue as a director of the class of which he is a member until the expiration of his current term, or his prior death, resignation or removal. The Board of Directors shall specify the class to which a newly created directorship shall be allocated.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Increase Long-Term Stockholder Value!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Vote </w:t>
      </w:r>
      <w:r>
        <w:rPr>
          <w:rFonts w:ascii="Arial" w:cs="Arial" w:eastAsia="Arial" w:hAnsi="Arial"/>
          <w:sz w:val="16"/>
          <w:szCs w:val="16"/>
          <w:b w:val="1"/>
          <w:bCs w:val="1"/>
          <w:u w:val="single" w:color="auto"/>
          <w:color w:val="auto"/>
        </w:rPr>
        <w:t>FOR</w:t>
      </w:r>
      <w:r>
        <w:rPr>
          <w:rFonts w:ascii="Arial" w:cs="Arial" w:eastAsia="Arial" w:hAnsi="Arial"/>
          <w:sz w:val="16"/>
          <w:szCs w:val="16"/>
          <w:color w:val="auto"/>
        </w:rPr>
        <w:t xml:space="preserve"> the De-Classification of the Board of Directors - Proposal 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72</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4"/>
          <w:szCs w:val="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Board Statement in Opposition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472C4"/>
        </w:rPr>
        <w:t>The Board unanimously recommends a vote “AGAINST” this stockholder proposal</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Board has carefully considered the stockholder proposal and believes it is not in the best interests of the Company or our stockholders.</w:t>
      </w:r>
    </w:p>
    <w:p>
      <w:pPr>
        <w:spacing w:after="0" w:line="154" w:lineRule="exact"/>
        <w:rPr>
          <w:sz w:val="20"/>
          <w:szCs w:val="20"/>
          <w:color w:val="auto"/>
        </w:rPr>
      </w:pPr>
    </w:p>
    <w:p>
      <w:pPr>
        <w:ind w:right="240" w:firstLine="749"/>
        <w:spacing w:after="0" w:line="259" w:lineRule="auto"/>
        <w:rPr>
          <w:sz w:val="20"/>
          <w:szCs w:val="20"/>
          <w:color w:val="auto"/>
        </w:rPr>
      </w:pPr>
      <w:r>
        <w:rPr>
          <w:rFonts w:ascii="Arial" w:cs="Arial" w:eastAsia="Arial" w:hAnsi="Arial"/>
          <w:sz w:val="16"/>
          <w:szCs w:val="16"/>
          <w:color w:val="auto"/>
        </w:rPr>
        <w:t>Our Board is divided into three classes, with the members of each class serving for a three-year term. We have had a classified board structure since the time of our initial public offering, and we believe that this structure continues to serve the interests of the Company and its stockholders, for the reasons described below. We are committed to strong and responsive corporate governance, and our Board regularly reviews our governance structure, including our classified board structure, the composition of our Board and the contribution of its members.</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After thorough review, the Board unanimously recommends voting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proposal.</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472C4"/>
        </w:rPr>
        <w:t>Long-Term Strategic Focus</w:t>
      </w:r>
    </w:p>
    <w:p>
      <w:pPr>
        <w:spacing w:after="0" w:line="152" w:lineRule="exact"/>
        <w:rPr>
          <w:sz w:val="20"/>
          <w:szCs w:val="20"/>
          <w:color w:val="auto"/>
        </w:rPr>
      </w:pPr>
    </w:p>
    <w:p>
      <w:pPr>
        <w:ind w:right="60" w:firstLine="749"/>
        <w:spacing w:after="0" w:line="259" w:lineRule="auto"/>
        <w:rPr>
          <w:sz w:val="20"/>
          <w:szCs w:val="20"/>
          <w:color w:val="auto"/>
        </w:rPr>
      </w:pPr>
      <w:r>
        <w:rPr>
          <w:rFonts w:ascii="Arial" w:cs="Arial" w:eastAsia="Arial" w:hAnsi="Arial"/>
          <w:sz w:val="16"/>
          <w:szCs w:val="16"/>
          <w:color w:val="auto"/>
        </w:rPr>
        <w:t>Our classified board structure creates an environment that enhances the Company’s ability to carry out and implement long-term strategic planning. In addition, it reduces the potential influence of certain investors and special interest groups with agendas that may not take into account factors affecting the Company and its stockholders in the long term. We believe that annual elections of directors can, in some cases, lead to short-term focus or an over-concentration on immediate results.</w:t>
      </w:r>
    </w:p>
    <w:p>
      <w:pPr>
        <w:spacing w:after="0" w:line="110" w:lineRule="exact"/>
        <w:rPr>
          <w:sz w:val="20"/>
          <w:szCs w:val="20"/>
          <w:color w:val="auto"/>
        </w:rPr>
      </w:pPr>
    </w:p>
    <w:p>
      <w:pPr>
        <w:ind w:right="20" w:firstLine="749"/>
        <w:spacing w:after="0" w:line="256" w:lineRule="auto"/>
        <w:rPr>
          <w:sz w:val="20"/>
          <w:szCs w:val="20"/>
          <w:color w:val="auto"/>
        </w:rPr>
      </w:pPr>
      <w:r>
        <w:rPr>
          <w:rFonts w:ascii="Arial" w:cs="Arial" w:eastAsia="Arial" w:hAnsi="Arial"/>
          <w:sz w:val="16"/>
          <w:szCs w:val="16"/>
          <w:color w:val="auto"/>
        </w:rPr>
        <w:t>We also believe that our classified board structure assists us in recruiting highly qualified directors who are willing and able to commit to the Company over the long term and develop a deep understanding of our business. A long-term perspective is particularly beneficial for mid-cap companies like ours, which require sustained investments and consistency in strategic planning to successfully compete and grow in highly competitive and diverse market environments. In addition, mid-cap companies—especially those that, like the Company, operate in capital-intensive industries requiring multi-year investment horizons—can be more vulnerable to short-term-oriented activist investors.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472C4"/>
        </w:rPr>
        <w:t>Continuity, Stability, and Institutional Knowledge</w:t>
      </w:r>
    </w:p>
    <w:p>
      <w:pPr>
        <w:spacing w:after="0" w:line="152" w:lineRule="exact"/>
        <w:rPr>
          <w:sz w:val="20"/>
          <w:szCs w:val="20"/>
          <w:color w:val="auto"/>
        </w:rPr>
      </w:pPr>
    </w:p>
    <w:p>
      <w:pPr>
        <w:ind w:right="180" w:firstLine="749"/>
        <w:spacing w:after="0" w:line="266" w:lineRule="auto"/>
        <w:rPr>
          <w:sz w:val="20"/>
          <w:szCs w:val="20"/>
          <w:color w:val="auto"/>
        </w:rPr>
      </w:pPr>
      <w:r>
        <w:rPr>
          <w:rFonts w:ascii="Arial" w:cs="Arial" w:eastAsia="Arial" w:hAnsi="Arial"/>
          <w:sz w:val="16"/>
          <w:szCs w:val="16"/>
          <w:color w:val="auto"/>
        </w:rPr>
        <w:t>Our Board believes the current classified structure provides essential continuity and helps ensure that our directors are able to acquire, develop, and transmit substantial institutional knowledge regarding the Company and its business. It also creates balance by allowing new directors to bring “fresh viewpoints” to the Company while relying on the experience and insights of longer serving directors.</w:t>
      </w:r>
    </w:p>
    <w:p>
      <w:pPr>
        <w:spacing w:after="0" w:line="104" w:lineRule="exact"/>
        <w:rPr>
          <w:sz w:val="20"/>
          <w:szCs w:val="20"/>
          <w:color w:val="auto"/>
        </w:rPr>
      </w:pPr>
    </w:p>
    <w:p>
      <w:pPr>
        <w:ind w:right="100" w:firstLine="749"/>
        <w:spacing w:after="0" w:line="266" w:lineRule="auto"/>
        <w:rPr>
          <w:sz w:val="20"/>
          <w:szCs w:val="20"/>
          <w:color w:val="auto"/>
        </w:rPr>
      </w:pPr>
      <w:r>
        <w:rPr>
          <w:rFonts w:ascii="Arial" w:cs="Arial" w:eastAsia="Arial" w:hAnsi="Arial"/>
          <w:sz w:val="16"/>
          <w:szCs w:val="16"/>
          <w:color w:val="auto"/>
        </w:rPr>
        <w:t>Unlike a declassified board—which could be completely replaced in a single year by directors unfamiliar with the Company—a classified board structure supports gradual, managed transitions. In contrast, declassification has the potential of leading to abrupt changes to the composition of our Board, potentially disrupting ongoing strategic initiatives and diminishing the Board’s effectiveness during periods of market volatility or operational challenges.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472C4"/>
        </w:rPr>
        <w:t>Protection of Stockholder Value</w:t>
      </w:r>
    </w:p>
    <w:p>
      <w:pPr>
        <w:spacing w:after="0" w:line="152" w:lineRule="exact"/>
        <w:rPr>
          <w:sz w:val="20"/>
          <w:szCs w:val="20"/>
          <w:color w:val="auto"/>
        </w:rPr>
      </w:pPr>
    </w:p>
    <w:p>
      <w:pPr>
        <w:ind w:right="60" w:firstLine="749"/>
        <w:spacing w:after="0" w:line="255" w:lineRule="auto"/>
        <w:rPr>
          <w:sz w:val="20"/>
          <w:szCs w:val="20"/>
          <w:color w:val="auto"/>
        </w:rPr>
      </w:pPr>
      <w:r>
        <w:rPr>
          <w:rFonts w:ascii="Arial" w:cs="Arial" w:eastAsia="Arial" w:hAnsi="Arial"/>
          <w:sz w:val="16"/>
          <w:szCs w:val="16"/>
          <w:color w:val="auto"/>
        </w:rPr>
        <w:t>A classified board structure is widely recognized as an effective defense against hostile takeover attempts or activist campaigns focused on short-term financial gains. In the absence of a classified board, a hostile bidder could potentially replace a declassified board in a single election cycle with directors unfamiliar with our Company, thereby reducing the Board’s ability to protect the long-term strategic interests of the Company and its stockholders. Our classified structure does not preclude a takeover, but it does provide the Board sufficient flexibility, time and leverage to thoroughly evaluate unsolicited offers or proposals, negotiate effectively with potential bidders, and consider alternative strategies that are designed to maximize long-term stockholder value.</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472C4"/>
        </w:rPr>
        <w:t>Economic Analyses</w:t>
      </w:r>
    </w:p>
    <w:p>
      <w:pPr>
        <w:spacing w:after="0" w:line="138" w:lineRule="exact"/>
        <w:rPr>
          <w:sz w:val="20"/>
          <w:szCs w:val="20"/>
          <w:color w:val="auto"/>
        </w:rPr>
      </w:pPr>
    </w:p>
    <w:p>
      <w:pPr>
        <w:ind w:right="120" w:firstLine="749"/>
        <w:spacing w:after="0" w:line="256" w:lineRule="auto"/>
        <w:rPr>
          <w:sz w:val="20"/>
          <w:szCs w:val="20"/>
          <w:color w:val="auto"/>
        </w:rPr>
      </w:pPr>
      <w:r>
        <w:rPr>
          <w:rFonts w:ascii="Arial" w:cs="Arial" w:eastAsia="Arial" w:hAnsi="Arial"/>
          <w:sz w:val="16"/>
          <w:szCs w:val="16"/>
          <w:color w:val="auto"/>
        </w:rPr>
        <w:t>The economic literature on staggered boards is robust, as there have been numerous studies attempting to examine the effects of board classification and declassification on company value. Many of the most recent studies, including those authored by Martijn Cremers, Lubomir Litov and Simone Sepe in 2016 and 2017, have tended to show that the adoption of staggered boards is associated with an increase in company value and that the declassification of boards is associated with a decrease in company value. These studies suggest that staggered boards could contribute to company value by preventing inefficient takeovers and/or serving to confirm a company’s commitment to the long-term interests of stockholders.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73</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4"/>
          <w:szCs w:val="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3</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472C4"/>
        </w:rPr>
        <w:t>Prevalence Among Similarly Situated Companies</w:t>
      </w:r>
    </w:p>
    <w:p>
      <w:pPr>
        <w:spacing w:after="0" w:line="138" w:lineRule="exact"/>
        <w:rPr>
          <w:sz w:val="20"/>
          <w:szCs w:val="20"/>
          <w:color w:val="auto"/>
        </w:rPr>
      </w:pPr>
    </w:p>
    <w:p>
      <w:pPr>
        <w:ind w:right="140" w:firstLine="749"/>
        <w:spacing w:after="0" w:line="256" w:lineRule="auto"/>
        <w:rPr>
          <w:sz w:val="20"/>
          <w:szCs w:val="20"/>
          <w:color w:val="auto"/>
        </w:rPr>
      </w:pPr>
      <w:r>
        <w:rPr>
          <w:rFonts w:ascii="Arial" w:cs="Arial" w:eastAsia="Arial" w:hAnsi="Arial"/>
          <w:sz w:val="16"/>
          <w:szCs w:val="16"/>
          <w:color w:val="auto"/>
        </w:rPr>
        <w:t>Despite a trend toward declassification among some categories of companies (such as companies included in the S&amp;P 500), classified boards remain prevalent among mid-cap companies. Our Board believes that maintaining a classified structure not only provides the benefits described above, but is also consistent with the governance approach adopted by similar companies. For example, over half of the members of the Company’s peer group described in this proxy statement maintain a classified board. Our classified structure aligns with industry practice and peer company standards, reinforcing our Board’s judgment that the current structure best serves our stockholders.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472C4"/>
        </w:rPr>
        <w:t>Accountability to Stockholders</w:t>
      </w:r>
    </w:p>
    <w:p>
      <w:pPr>
        <w:spacing w:after="0" w:line="152" w:lineRule="exact"/>
        <w:rPr>
          <w:sz w:val="20"/>
          <w:szCs w:val="20"/>
          <w:color w:val="auto"/>
        </w:rPr>
      </w:pPr>
    </w:p>
    <w:p>
      <w:pPr>
        <w:ind w:right="80" w:firstLine="749"/>
        <w:spacing w:after="0" w:line="259" w:lineRule="auto"/>
        <w:rPr>
          <w:sz w:val="20"/>
          <w:szCs w:val="20"/>
          <w:color w:val="auto"/>
        </w:rPr>
      </w:pPr>
      <w:r>
        <w:rPr>
          <w:rFonts w:ascii="Arial" w:cs="Arial" w:eastAsia="Arial" w:hAnsi="Arial"/>
          <w:sz w:val="16"/>
          <w:szCs w:val="16"/>
          <w:color w:val="auto"/>
        </w:rPr>
        <w:t>We believe our Board remains accountable to the Company’s stockholders, and that accountability should be defined by the degree of responsiveness of our directors to stockholder issues and concerns, rather than by the duration of their terms. Moreover, we believe that a classified board structure bolsters the autonomy of independent directors, by insulating them from pressure to meet short-term goals and allowing them to focus on the long-term interests of stockholders.</w:t>
      </w:r>
    </w:p>
    <w:p>
      <w:pPr>
        <w:spacing w:after="0" w:line="97" w:lineRule="exact"/>
        <w:rPr>
          <w:sz w:val="20"/>
          <w:szCs w:val="20"/>
          <w:color w:val="auto"/>
        </w:rPr>
      </w:pPr>
    </w:p>
    <w:p>
      <w:pPr>
        <w:ind w:right="20" w:firstLine="749"/>
        <w:spacing w:after="0" w:line="259" w:lineRule="auto"/>
        <w:rPr>
          <w:sz w:val="20"/>
          <w:szCs w:val="20"/>
          <w:color w:val="auto"/>
        </w:rPr>
      </w:pPr>
      <w:r>
        <w:rPr>
          <w:rFonts w:ascii="Arial" w:cs="Arial" w:eastAsia="Arial" w:hAnsi="Arial"/>
          <w:sz w:val="16"/>
          <w:szCs w:val="16"/>
          <w:color w:val="auto"/>
        </w:rPr>
        <w:t>Under Delaware law, all of our directors, irrespective of their term length, have a fiduciary responsibility to act in a manner they genuinely believe is in the best interests of the Company and its stockholders. Our entire Board is evaluated annually during our Board self-assessment process. In addition, at each annual meeting, stockholders have the opportunity to evaluate and elect approximately one-third of the Board. Our robust governance practices are intended to ensure ongoing accountability, responsiveness to stockholder concerns, and continuous improvement of Board effectiveness.</w:t>
      </w:r>
    </w:p>
    <w:p>
      <w:pPr>
        <w:spacing w:after="0" w:line="110" w:lineRule="exact"/>
        <w:rPr>
          <w:sz w:val="20"/>
          <w:szCs w:val="20"/>
          <w:color w:val="auto"/>
        </w:rPr>
      </w:pPr>
    </w:p>
    <w:p>
      <w:pPr>
        <w:ind w:firstLine="749"/>
        <w:spacing w:after="0" w:line="254" w:lineRule="auto"/>
        <w:rPr>
          <w:sz w:val="20"/>
          <w:szCs w:val="20"/>
          <w:color w:val="auto"/>
        </w:rPr>
      </w:pPr>
      <w:r>
        <w:rPr>
          <w:rFonts w:ascii="Arial" w:cs="Arial" w:eastAsia="Arial" w:hAnsi="Arial"/>
          <w:sz w:val="16"/>
          <w:szCs w:val="16"/>
          <w:color w:val="auto"/>
        </w:rPr>
        <w:t>As a result of our governance practices, the composition of our Board has recently undergone and continues to undergo significant changes. Mary P. Ricciardello and Mauro Gregorio joined our Board as independent directors in 2020 and 2021, respectively. Each of F. William Barnett and Ed H. Bowman ceased to serve as an independent member of our Board in 2022. David Rush joined our Board as an independent director on May 15, 2025. Finally, each of David B. Powers and Richard R. Stewart is expected to cease to serve as an independent member of our Board on the date of our 2025 annual stockholder meeting in accordance with our director retirement policy. These changes evidence our commitment to evaluating the composition of our Board on a continuous basis and promoting refreshment where appropriate to ensure effective governance.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150495</wp:posOffset>
            </wp:positionV>
            <wp:extent cx="6180455" cy="5314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180455" cy="531495"/>
                    </a:xfrm>
                    <a:prstGeom prst="rect">
                      <a:avLst/>
                    </a:prstGeom>
                    <a:noFill/>
                  </pic:spPr>
                </pic:pic>
              </a:graphicData>
            </a:graphic>
          </wp:anchor>
        </w:drawing>
      </w:r>
    </w:p>
    <w:p>
      <w:pPr>
        <w:spacing w:after="0" w:line="311" w:lineRule="exact"/>
        <w:rPr>
          <w:sz w:val="20"/>
          <w:szCs w:val="20"/>
          <w:color w:val="auto"/>
        </w:rPr>
      </w:pPr>
    </w:p>
    <w:p>
      <w:pPr>
        <w:ind w:left="2600" w:right="320"/>
        <w:spacing w:after="0" w:line="269" w:lineRule="auto"/>
        <w:rPr>
          <w:sz w:val="20"/>
          <w:szCs w:val="20"/>
          <w:color w:val="auto"/>
        </w:rPr>
      </w:pPr>
      <w:r>
        <w:rPr>
          <w:rFonts w:ascii="Arial" w:cs="Arial" w:eastAsia="Arial" w:hAnsi="Arial"/>
          <w:sz w:val="16"/>
          <w:szCs w:val="16"/>
          <w:b w:val="1"/>
          <w:bCs w:val="1"/>
          <w:color w:val="auto"/>
        </w:rPr>
        <w:t xml:space="preserve">For the reasons outlined above, our Board of Directors believes that retaining our classified board structure enhances long-term stockholder value. Our Board of Directors unanimously recommends that holders of Common Stock vote </w:t>
      </w:r>
      <w:r>
        <w:rPr>
          <w:rFonts w:ascii="Arial" w:cs="Arial" w:eastAsia="Arial" w:hAnsi="Arial"/>
          <w:sz w:val="21"/>
          <w:szCs w:val="21"/>
          <w:b w:val="1"/>
          <w:bCs w:val="1"/>
          <w:color w:val="C6001E"/>
        </w:rPr>
        <w:t>AGAINST</w:t>
      </w:r>
      <w:r>
        <w:rPr>
          <w:rFonts w:ascii="Arial" w:cs="Arial" w:eastAsia="Arial" w:hAnsi="Arial"/>
          <w:sz w:val="16"/>
          <w:szCs w:val="16"/>
          <w:b w:val="1"/>
          <w:bCs w:val="1"/>
          <w:color w:val="auto"/>
        </w:rPr>
        <w:t xml:space="preserve"> this stockholder proposal.</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74</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4"/>
          <w:szCs w:val="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2540</wp:posOffset>
            </wp:positionV>
            <wp:extent cx="1354455"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54455" cy="171450"/>
                    </a:xfrm>
                    <a:prstGeom prst="rect">
                      <a:avLst/>
                    </a:prstGeom>
                    <a:noFill/>
                  </pic:spPr>
                </pic:pic>
              </a:graphicData>
            </a:graphic>
          </wp:anchor>
        </w:drawing>
      </w:r>
    </w:p>
    <w:p>
      <w:pPr>
        <w:spacing w:after="0" w:line="5" w:lineRule="exact"/>
        <w:rPr>
          <w:sz w:val="20"/>
          <w:szCs w:val="20"/>
          <w:color w:val="auto"/>
        </w:rPr>
      </w:pPr>
    </w:p>
    <w:p>
      <w:pPr>
        <w:ind w:left="9400"/>
        <w:spacing w:after="0"/>
        <w:rPr>
          <w:sz w:val="20"/>
          <w:szCs w:val="20"/>
          <w:color w:val="auto"/>
        </w:rPr>
      </w:pPr>
      <w:r>
        <w:rPr>
          <w:rFonts w:ascii="Arial" w:cs="Arial" w:eastAsia="Arial" w:hAnsi="Arial"/>
          <w:sz w:val="18"/>
          <w:szCs w:val="18"/>
          <w:b w:val="1"/>
          <w:bCs w:val="1"/>
          <w:color w:val="FFFFFF"/>
        </w:rPr>
        <w:t>PROPOSAL NO. 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Proposal No. 4:</w:t>
      </w:r>
    </w:p>
    <w:p>
      <w:pPr>
        <w:spacing w:after="0" w:line="81" w:lineRule="exact"/>
        <w:rPr>
          <w:sz w:val="20"/>
          <w:szCs w:val="20"/>
          <w:color w:val="auto"/>
        </w:rPr>
      </w:pPr>
    </w:p>
    <w:p>
      <w:pPr>
        <w:ind w:right="640"/>
        <w:spacing w:after="0" w:line="247" w:lineRule="auto"/>
        <w:rPr>
          <w:sz w:val="20"/>
          <w:szCs w:val="20"/>
          <w:color w:val="auto"/>
        </w:rPr>
      </w:pPr>
      <w:r>
        <w:rPr>
          <w:rFonts w:ascii="Times New Roman" w:cs="Times New Roman" w:eastAsia="Times New Roman" w:hAnsi="Times New Roman"/>
          <w:sz w:val="65"/>
          <w:szCs w:val="65"/>
          <w:b w:val="1"/>
          <w:bCs w:val="1"/>
          <w:color w:val="051972"/>
        </w:rPr>
        <w:t>Approval of Expected Appointment of Independent Auditors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General</w:t>
      </w:r>
    </w:p>
    <w:p>
      <w:pPr>
        <w:spacing w:after="0" w:line="15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Ernst &amp; Young acted as our independent auditors to audit our books and records for fiscal 2025, and the Audit Committee expects to appoint Ernst &amp; Young as our independent auditors for fiscal year 2026 if its proposal for audit services is satisfactory.</w:t>
      </w:r>
    </w:p>
    <w:p>
      <w:pPr>
        <w:spacing w:after="0" w:line="7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 appointment. Once it has appointed an auditor, our Audit Committee may elect to change the appointment at any time during the year if it determines that such a change would be in our best interests and the best interests of our stockholders.</w:t>
      </w:r>
    </w:p>
    <w:p>
      <w:pPr>
        <w:spacing w:after="0" w:line="11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150495</wp:posOffset>
            </wp:positionV>
            <wp:extent cx="6180455" cy="4800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180455" cy="480060"/>
                    </a:xfrm>
                    <a:prstGeom prst="rect">
                      <a:avLst/>
                    </a:prstGeom>
                    <a:noFill/>
                  </pic:spPr>
                </pic:pic>
              </a:graphicData>
            </a:graphic>
          </wp:anchor>
        </w:drawing>
      </w:r>
    </w:p>
    <w:p>
      <w:pPr>
        <w:spacing w:after="0" w:line="351" w:lineRule="exact"/>
        <w:rPr>
          <w:sz w:val="20"/>
          <w:szCs w:val="20"/>
          <w:color w:val="auto"/>
        </w:rPr>
      </w:pPr>
    </w:p>
    <w:p>
      <w:pPr>
        <w:ind w:left="2600" w:right="180"/>
        <w:spacing w:after="0" w:line="311" w:lineRule="auto"/>
        <w:rPr>
          <w:sz w:val="20"/>
          <w:szCs w:val="20"/>
          <w:color w:val="auto"/>
        </w:rPr>
      </w:pPr>
      <w:r>
        <w:rPr>
          <w:rFonts w:ascii="Arial" w:cs="Arial" w:eastAsia="Arial" w:hAnsi="Arial"/>
          <w:sz w:val="16"/>
          <w:szCs w:val="16"/>
          <w:b w:val="1"/>
          <w:bCs w:val="1"/>
          <w:color w:val="auto"/>
        </w:rPr>
        <w:t xml:space="preserve">Our Board of Directors recommends a vote </w:t>
      </w:r>
      <w:r>
        <w:rPr>
          <w:rFonts w:ascii="Arial" w:cs="Arial" w:eastAsia="Arial" w:hAnsi="Arial"/>
          <w:sz w:val="21"/>
          <w:szCs w:val="21"/>
          <w:b w:val="1"/>
          <w:bCs w:val="1"/>
          <w:color w:val="051972"/>
        </w:rPr>
        <w:t>FOR</w:t>
      </w:r>
      <w:r>
        <w:rPr>
          <w:rFonts w:ascii="Arial" w:cs="Arial" w:eastAsia="Arial" w:hAnsi="Arial"/>
          <w:sz w:val="16"/>
          <w:szCs w:val="16"/>
          <w:b w:val="1"/>
          <w:bCs w:val="1"/>
          <w:color w:val="auto"/>
        </w:rPr>
        <w:t xml:space="preserve"> the approval of the expected appointment of Ernst &amp; Young as the Company’s auditors for the fiscal year ending March 31, 2026.</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75</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4"/>
          <w:szCs w:val="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2540</wp:posOffset>
            </wp:positionV>
            <wp:extent cx="4345940" cy="1714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45940" cy="171450"/>
                    </a:xfrm>
                    <a:prstGeom prst="rect">
                      <a:avLst/>
                    </a:prstGeom>
                    <a:noFill/>
                  </pic:spPr>
                </pic:pic>
              </a:graphicData>
            </a:graphic>
          </wp:anchor>
        </w:drawing>
      </w:r>
    </w:p>
    <w:p>
      <w:pPr>
        <w:spacing w:after="0" w:line="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FFFFFF"/>
        </w:rPr>
        <w:t>RELATIONSHIP WITH INDEPENDENT PUBLIC ACCOUNTANTS</w:t>
      </w:r>
    </w:p>
    <w:p>
      <w:pPr>
        <w:spacing w:after="0" w:line="94"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65"/>
          <w:szCs w:val="65"/>
          <w:b w:val="1"/>
          <w:bCs w:val="1"/>
          <w:color w:val="051972"/>
        </w:rPr>
        <w:t>Relationship with Independent Public Accountants</w:t>
      </w:r>
    </w:p>
    <w:p>
      <w:pPr>
        <w:spacing w:after="0" w:line="15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Ernst &amp; Young LLP, which we refer to as Ernst &amp; Young, audited the Company’s financial statements for the fiscal years ended March 31, 2023, 2024 and 2025.</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 Audit Committee, or, for such services that do not exceed $50,000, by a member of the Audit Committee. Any such member must report the pre-approval at the next Audit Committee meeting. In deciding whether or not to pre-approve services, the Audit Committee determines whether each service is permissible under the SEC’s rules, and, if permissible, the potential effect of such services on the independence of Ernst &amp; Young.</w:t>
      </w:r>
    </w:p>
    <w:p>
      <w:pPr>
        <w:spacing w:after="0" w:line="10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sets forth the various fees for services provided to the Company by Ernst &amp; Young in the fiscal years ended March 31, 2025 and 2024, all of which services have been approved by the Audit Committee: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051972"/>
              </w:rPr>
              <w:t>Audit Fees</w:t>
            </w:r>
            <w:r>
              <w:rPr>
                <w:rFonts w:ascii="Arial" w:cs="Arial" w:eastAsia="Arial" w:hAnsi="Arial"/>
                <w:sz w:val="19"/>
                <w:szCs w:val="19"/>
                <w:b w:val="1"/>
                <w:bCs w:val="1"/>
                <w:color w:val="051972"/>
                <w:vertAlign w:val="superscript"/>
              </w:rPr>
              <w:t>(1)</w:t>
            </w:r>
          </w:p>
        </w:tc>
        <w:tc>
          <w:tcPr>
            <w:tcW w:w="1460" w:type="dxa"/>
            <w:vAlign w:val="bottom"/>
          </w:tcPr>
          <w:p>
            <w:pPr>
              <w:jc w:val="center"/>
              <w:ind w:right="141"/>
              <w:spacing w:after="0"/>
              <w:rPr>
                <w:sz w:val="20"/>
                <w:szCs w:val="20"/>
                <w:color w:val="auto"/>
              </w:rPr>
            </w:pPr>
            <w:r>
              <w:rPr>
                <w:rFonts w:ascii="Arial" w:cs="Arial" w:eastAsia="Arial" w:hAnsi="Arial"/>
                <w:sz w:val="14"/>
                <w:szCs w:val="14"/>
                <w:b w:val="1"/>
                <w:bCs w:val="1"/>
                <w:color w:val="051972"/>
              </w:rPr>
              <w:t>Audit</w:t>
            </w: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center"/>
              <w:ind w:right="241"/>
              <w:spacing w:after="0"/>
              <w:rPr>
                <w:sz w:val="20"/>
                <w:szCs w:val="20"/>
                <w:color w:val="auto"/>
              </w:rPr>
            </w:pPr>
            <w:r>
              <w:rPr>
                <w:rFonts w:ascii="Arial" w:cs="Arial" w:eastAsia="Arial" w:hAnsi="Arial"/>
                <w:sz w:val="14"/>
                <w:szCs w:val="14"/>
                <w:b w:val="1"/>
                <w:bCs w:val="1"/>
                <w:color w:val="051972"/>
              </w:rPr>
              <w:t>All</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460" w:type="dxa"/>
            <w:vAlign w:val="bottom"/>
          </w:tcPr>
          <w:p>
            <w:pPr>
              <w:jc w:val="center"/>
              <w:ind w:right="141"/>
              <w:spacing w:after="0"/>
              <w:rPr>
                <w:sz w:val="20"/>
                <w:szCs w:val="20"/>
                <w:color w:val="auto"/>
              </w:rPr>
            </w:pPr>
            <w:r>
              <w:rPr>
                <w:rFonts w:ascii="Arial" w:cs="Arial" w:eastAsia="Arial" w:hAnsi="Arial"/>
                <w:sz w:val="14"/>
                <w:szCs w:val="14"/>
                <w:b w:val="1"/>
                <w:bCs w:val="1"/>
                <w:color w:val="051972"/>
              </w:rPr>
              <w:t>Related Fees</w:t>
            </w:r>
          </w:p>
        </w:tc>
        <w:tc>
          <w:tcPr>
            <w:tcW w:w="940" w:type="dxa"/>
            <w:vAlign w:val="bottom"/>
          </w:tcPr>
          <w:p>
            <w:pPr>
              <w:jc w:val="center"/>
              <w:ind w:left="128"/>
              <w:spacing w:after="0"/>
              <w:rPr>
                <w:sz w:val="20"/>
                <w:szCs w:val="20"/>
                <w:color w:val="auto"/>
              </w:rPr>
            </w:pPr>
            <w:r>
              <w:rPr>
                <w:rFonts w:ascii="Arial" w:cs="Arial" w:eastAsia="Arial" w:hAnsi="Arial"/>
                <w:sz w:val="14"/>
                <w:szCs w:val="14"/>
                <w:b w:val="1"/>
                <w:bCs w:val="1"/>
                <w:color w:val="051972"/>
              </w:rPr>
              <w:t>Tax Fees</w:t>
            </w:r>
          </w:p>
        </w:tc>
        <w:tc>
          <w:tcPr>
            <w:tcW w:w="460" w:type="dxa"/>
            <w:vAlign w:val="bottom"/>
          </w:tcPr>
          <w:p>
            <w:pPr>
              <w:spacing w:after="0"/>
              <w:rPr>
                <w:sz w:val="14"/>
                <w:szCs w:val="14"/>
                <w:color w:val="auto"/>
              </w:rPr>
            </w:pPr>
          </w:p>
        </w:tc>
        <w:tc>
          <w:tcPr>
            <w:tcW w:w="1500" w:type="dxa"/>
            <w:vAlign w:val="bottom"/>
          </w:tcPr>
          <w:p>
            <w:pPr>
              <w:jc w:val="center"/>
              <w:ind w:right="241"/>
              <w:spacing w:after="0"/>
              <w:rPr>
                <w:sz w:val="20"/>
                <w:szCs w:val="20"/>
                <w:color w:val="auto"/>
              </w:rPr>
            </w:pPr>
            <w:r>
              <w:rPr>
                <w:rFonts w:ascii="Arial" w:cs="Arial" w:eastAsia="Arial" w:hAnsi="Arial"/>
                <w:sz w:val="14"/>
                <w:szCs w:val="14"/>
                <w:b w:val="1"/>
                <w:bCs w:val="1"/>
                <w:color w:val="051972"/>
              </w:rPr>
              <w:t>Other Fees</w:t>
            </w:r>
          </w:p>
        </w:tc>
        <w:tc>
          <w:tcPr>
            <w:tcW w:w="1240" w:type="dxa"/>
            <w:vAlign w:val="bottom"/>
          </w:tcPr>
          <w:p>
            <w:pPr>
              <w:ind w:left="340"/>
              <w:spacing w:after="0"/>
              <w:rPr>
                <w:sz w:val="20"/>
                <w:szCs w:val="20"/>
                <w:color w:val="auto"/>
              </w:rPr>
            </w:pPr>
            <w:r>
              <w:rPr>
                <w:rFonts w:ascii="Arial" w:cs="Arial" w:eastAsia="Arial" w:hAnsi="Arial"/>
                <w:sz w:val="14"/>
                <w:szCs w:val="14"/>
                <w:b w:val="1"/>
                <w:bCs w:val="1"/>
                <w:color w:val="051972"/>
              </w:rPr>
              <w:t>Total</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051972"/>
            </w:tcBorders>
          </w:tcPr>
          <w:p>
            <w:pPr>
              <w:ind w:left="40"/>
              <w:spacing w:after="0"/>
              <w:rPr>
                <w:sz w:val="20"/>
                <w:szCs w:val="20"/>
                <w:color w:val="auto"/>
              </w:rPr>
            </w:pPr>
            <w:r>
              <w:rPr>
                <w:rFonts w:ascii="Arial" w:cs="Arial" w:eastAsia="Arial" w:hAnsi="Arial"/>
                <w:sz w:val="14"/>
                <w:szCs w:val="14"/>
                <w:b w:val="1"/>
                <w:bCs w:val="1"/>
                <w:color w:val="051972"/>
              </w:rPr>
              <w:t>Fiscal Year Ended March 31,</w:t>
            </w:r>
          </w:p>
        </w:tc>
        <w:tc>
          <w:tcPr>
            <w:tcW w:w="1480" w:type="dxa"/>
            <w:vAlign w:val="bottom"/>
            <w:tcBorders>
              <w:bottom w:val="single" w:sz="8" w:color="051972"/>
            </w:tcBorders>
            <w:gridSpan w:val="2"/>
          </w:tcPr>
          <w:p>
            <w:pPr>
              <w:jc w:val="right"/>
              <w:ind w:right="616"/>
              <w:spacing w:after="0"/>
              <w:rPr>
                <w:sz w:val="20"/>
                <w:szCs w:val="20"/>
                <w:color w:val="auto"/>
              </w:rPr>
            </w:pPr>
            <w:r>
              <w:rPr>
                <w:rFonts w:ascii="Arial" w:cs="Arial" w:eastAsia="Arial" w:hAnsi="Arial"/>
                <w:sz w:val="14"/>
                <w:szCs w:val="14"/>
                <w:b w:val="1"/>
                <w:bCs w:val="1"/>
                <w:color w:val="051972"/>
              </w:rPr>
              <w:t>($)</w:t>
            </w:r>
          </w:p>
        </w:tc>
        <w:tc>
          <w:tcPr>
            <w:tcW w:w="1460" w:type="dxa"/>
            <w:vAlign w:val="bottom"/>
            <w:tcBorders>
              <w:bottom w:val="single" w:sz="8" w:color="051972"/>
            </w:tcBorders>
          </w:tcPr>
          <w:p>
            <w:pPr>
              <w:jc w:val="center"/>
              <w:ind w:right="141"/>
              <w:spacing w:after="0"/>
              <w:rPr>
                <w:sz w:val="20"/>
                <w:szCs w:val="20"/>
                <w:color w:val="auto"/>
              </w:rPr>
            </w:pPr>
            <w:r>
              <w:rPr>
                <w:rFonts w:ascii="Arial" w:cs="Arial" w:eastAsia="Arial" w:hAnsi="Arial"/>
                <w:sz w:val="14"/>
                <w:szCs w:val="14"/>
                <w:b w:val="1"/>
                <w:bCs w:val="1"/>
                <w:color w:val="051972"/>
                <w:w w:val="93"/>
              </w:rPr>
              <w:t>($)</w:t>
            </w:r>
          </w:p>
        </w:tc>
        <w:tc>
          <w:tcPr>
            <w:tcW w:w="940" w:type="dxa"/>
            <w:vAlign w:val="bottom"/>
            <w:tcBorders>
              <w:bottom w:val="single" w:sz="8" w:color="051972"/>
            </w:tcBorders>
          </w:tcPr>
          <w:p>
            <w:pPr>
              <w:jc w:val="right"/>
              <w:ind w:right="208"/>
              <w:spacing w:after="0"/>
              <w:rPr>
                <w:sz w:val="20"/>
                <w:szCs w:val="20"/>
                <w:color w:val="auto"/>
              </w:rPr>
            </w:pPr>
            <w:r>
              <w:rPr>
                <w:rFonts w:ascii="Arial" w:cs="Arial" w:eastAsia="Arial" w:hAnsi="Arial"/>
                <w:sz w:val="14"/>
                <w:szCs w:val="14"/>
                <w:b w:val="1"/>
                <w:bCs w:val="1"/>
                <w:color w:val="051972"/>
              </w:rPr>
              <w:t>($)</w:t>
            </w:r>
          </w:p>
        </w:tc>
        <w:tc>
          <w:tcPr>
            <w:tcW w:w="460" w:type="dxa"/>
            <w:vAlign w:val="bottom"/>
            <w:tcBorders>
              <w:bottom w:val="single" w:sz="8" w:color="051972"/>
            </w:tcBorders>
          </w:tcPr>
          <w:p>
            <w:pPr>
              <w:spacing w:after="0"/>
              <w:rPr>
                <w:sz w:val="16"/>
                <w:szCs w:val="16"/>
                <w:color w:val="auto"/>
              </w:rPr>
            </w:pPr>
          </w:p>
        </w:tc>
        <w:tc>
          <w:tcPr>
            <w:tcW w:w="1500" w:type="dxa"/>
            <w:vAlign w:val="bottom"/>
            <w:tcBorders>
              <w:bottom w:val="single" w:sz="8" w:color="051972"/>
            </w:tcBorders>
          </w:tcPr>
          <w:p>
            <w:pPr>
              <w:jc w:val="center"/>
              <w:ind w:right="241"/>
              <w:spacing w:after="0"/>
              <w:rPr>
                <w:sz w:val="20"/>
                <w:szCs w:val="20"/>
                <w:color w:val="auto"/>
              </w:rPr>
            </w:pPr>
            <w:r>
              <w:rPr>
                <w:rFonts w:ascii="Arial" w:cs="Arial" w:eastAsia="Arial" w:hAnsi="Arial"/>
                <w:sz w:val="14"/>
                <w:szCs w:val="14"/>
                <w:b w:val="1"/>
                <w:bCs w:val="1"/>
                <w:color w:val="051972"/>
              </w:rPr>
              <w:t>($)</w:t>
            </w:r>
          </w:p>
        </w:tc>
        <w:tc>
          <w:tcPr>
            <w:tcW w:w="1240" w:type="dxa"/>
            <w:vAlign w:val="bottom"/>
            <w:tcBorders>
              <w:bottom w:val="single" w:sz="8" w:color="051972"/>
            </w:tcBorders>
          </w:tcPr>
          <w:p>
            <w:pPr>
              <w:jc w:val="right"/>
              <w:ind w:right="559"/>
              <w:spacing w:after="0"/>
              <w:rPr>
                <w:sz w:val="20"/>
                <w:szCs w:val="20"/>
                <w:color w:val="auto"/>
              </w:rPr>
            </w:pPr>
            <w:r>
              <w:rPr>
                <w:rFonts w:ascii="Arial" w:cs="Arial" w:eastAsia="Arial" w:hAnsi="Arial"/>
                <w:sz w:val="14"/>
                <w:szCs w:val="14"/>
                <w:b w:val="1"/>
                <w:bCs w:val="1"/>
                <w:color w:val="051972"/>
              </w:rPr>
              <w:t>($)</w:t>
            </w:r>
          </w:p>
        </w:tc>
        <w:tc>
          <w:tcPr>
            <w:tcW w:w="0" w:type="dxa"/>
            <w:vAlign w:val="bottom"/>
          </w:tcPr>
          <w:p>
            <w:pPr>
              <w:spacing w:after="0"/>
              <w:rPr>
                <w:sz w:val="1"/>
                <w:szCs w:val="1"/>
                <w:color w:val="auto"/>
              </w:rPr>
            </w:pPr>
          </w:p>
        </w:tc>
      </w:tr>
      <w:tr>
        <w:trPr>
          <w:trHeight w:val="223"/>
        </w:trPr>
        <w:tc>
          <w:tcPr>
            <w:tcW w:w="4160" w:type="dxa"/>
            <w:vAlign w:val="bottom"/>
            <w:shd w:val="clear" w:color="auto" w:fill="E7E7E8"/>
          </w:tcPr>
          <w:p>
            <w:pPr>
              <w:ind w:left="6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E7E7E8"/>
          </w:tcPr>
          <w:p>
            <w:pPr>
              <w:spacing w:after="0"/>
              <w:rPr>
                <w:sz w:val="19"/>
                <w:szCs w:val="19"/>
                <w:color w:val="auto"/>
              </w:rPr>
            </w:pPr>
          </w:p>
        </w:tc>
        <w:tc>
          <w:tcPr>
            <w:tcW w:w="1380" w:type="dxa"/>
            <w:vAlign w:val="bottom"/>
            <w:shd w:val="clear" w:color="auto" w:fill="E7E7E8"/>
          </w:tcPr>
          <w:p>
            <w:pPr>
              <w:jc w:val="right"/>
              <w:ind w:right="116"/>
              <w:spacing w:after="0"/>
              <w:rPr>
                <w:sz w:val="20"/>
                <w:szCs w:val="20"/>
                <w:color w:val="auto"/>
              </w:rPr>
            </w:pPr>
            <w:r>
              <w:rPr>
                <w:rFonts w:ascii="Arial" w:cs="Arial" w:eastAsia="Arial" w:hAnsi="Arial"/>
                <w:sz w:val="18"/>
                <w:szCs w:val="18"/>
                <w:color w:val="auto"/>
              </w:rPr>
              <w:t>2,600,000</w:t>
            </w:r>
          </w:p>
        </w:tc>
        <w:tc>
          <w:tcPr>
            <w:tcW w:w="1460" w:type="dxa"/>
            <w:vAlign w:val="bottom"/>
            <w:shd w:val="clear" w:color="auto" w:fill="E7E7E8"/>
          </w:tcPr>
          <w:p>
            <w:pPr>
              <w:ind w:left="10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7E7E8"/>
          </w:tcPr>
          <w:p>
            <w:pPr>
              <w:spacing w:after="0"/>
              <w:rPr>
                <w:sz w:val="19"/>
                <w:szCs w:val="19"/>
                <w:color w:val="auto"/>
              </w:rPr>
            </w:pPr>
          </w:p>
        </w:tc>
        <w:tc>
          <w:tcPr>
            <w:tcW w:w="460" w:type="dxa"/>
            <w:vAlign w:val="bottom"/>
            <w:shd w:val="clear" w:color="auto" w:fill="E7E7E8"/>
          </w:tcPr>
          <w:p>
            <w:pPr>
              <w:ind w:lef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7E7E8"/>
          </w:tcPr>
          <w:p>
            <w:pPr>
              <w:jc w:val="right"/>
              <w:ind w:right="241"/>
              <w:spacing w:after="0"/>
              <w:rPr>
                <w:sz w:val="20"/>
                <w:szCs w:val="20"/>
                <w:color w:val="auto"/>
              </w:rPr>
            </w:pPr>
            <w:r>
              <w:rPr>
                <w:rFonts w:ascii="Arial" w:cs="Arial" w:eastAsia="Arial" w:hAnsi="Arial"/>
                <w:sz w:val="18"/>
                <w:szCs w:val="18"/>
                <w:color w:val="auto"/>
              </w:rPr>
              <w:t>2,000</w:t>
            </w:r>
          </w:p>
        </w:tc>
        <w:tc>
          <w:tcPr>
            <w:tcW w:w="1240" w:type="dxa"/>
            <w:vAlign w:val="bottom"/>
            <w:shd w:val="clear" w:color="auto" w:fill="E7E7E8"/>
          </w:tcPr>
          <w:p>
            <w:pPr>
              <w:ind w:left="320"/>
              <w:spacing w:after="0"/>
              <w:rPr>
                <w:sz w:val="20"/>
                <w:szCs w:val="20"/>
                <w:color w:val="auto"/>
              </w:rPr>
            </w:pPr>
            <w:r>
              <w:rPr>
                <w:rFonts w:ascii="Arial" w:cs="Arial" w:eastAsia="Arial" w:hAnsi="Arial"/>
                <w:sz w:val="18"/>
                <w:szCs w:val="18"/>
                <w:color w:val="auto"/>
              </w:rPr>
              <w:t>2,602,000</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051972"/>
            </w:tcBorders>
          </w:tcPr>
          <w:p>
            <w:pPr>
              <w:ind w:left="6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051972"/>
            </w:tcBorders>
          </w:tcPr>
          <w:p>
            <w:pPr>
              <w:spacing w:after="0"/>
              <w:rPr>
                <w:sz w:val="21"/>
                <w:szCs w:val="21"/>
                <w:color w:val="auto"/>
              </w:rPr>
            </w:pPr>
          </w:p>
        </w:tc>
        <w:tc>
          <w:tcPr>
            <w:tcW w:w="1380" w:type="dxa"/>
            <w:vAlign w:val="bottom"/>
            <w:tcBorders>
              <w:bottom w:val="single" w:sz="8" w:color="051972"/>
            </w:tcBorders>
          </w:tcPr>
          <w:p>
            <w:pPr>
              <w:jc w:val="right"/>
              <w:ind w:right="116"/>
              <w:spacing w:after="0"/>
              <w:rPr>
                <w:sz w:val="20"/>
                <w:szCs w:val="20"/>
                <w:color w:val="auto"/>
              </w:rPr>
            </w:pPr>
            <w:r>
              <w:rPr>
                <w:rFonts w:ascii="Arial" w:cs="Arial" w:eastAsia="Arial" w:hAnsi="Arial"/>
                <w:sz w:val="18"/>
                <w:szCs w:val="18"/>
                <w:color w:val="auto"/>
              </w:rPr>
              <w:t>2,360,000</w:t>
            </w:r>
          </w:p>
        </w:tc>
        <w:tc>
          <w:tcPr>
            <w:tcW w:w="1460" w:type="dxa"/>
            <w:vAlign w:val="bottom"/>
            <w:tcBorders>
              <w:bottom w:val="single" w:sz="8" w:color="051972"/>
            </w:tcBorders>
          </w:tcPr>
          <w:p>
            <w:pPr>
              <w:ind w:left="10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051972"/>
            </w:tcBorders>
          </w:tcPr>
          <w:p>
            <w:pPr>
              <w:spacing w:after="0"/>
              <w:rPr>
                <w:sz w:val="21"/>
                <w:szCs w:val="21"/>
                <w:color w:val="auto"/>
              </w:rPr>
            </w:pPr>
          </w:p>
        </w:tc>
        <w:tc>
          <w:tcPr>
            <w:tcW w:w="460" w:type="dxa"/>
            <w:vAlign w:val="bottom"/>
            <w:tcBorders>
              <w:bottom w:val="single" w:sz="8" w:color="051972"/>
            </w:tcBorders>
          </w:tcPr>
          <w:p>
            <w:pPr>
              <w:ind w:lef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051972"/>
            </w:tcBorders>
          </w:tcPr>
          <w:p>
            <w:pPr>
              <w:jc w:val="right"/>
              <w:ind w:right="241"/>
              <w:spacing w:after="0"/>
              <w:rPr>
                <w:sz w:val="20"/>
                <w:szCs w:val="20"/>
                <w:color w:val="auto"/>
              </w:rPr>
            </w:pPr>
            <w:r>
              <w:rPr>
                <w:rFonts w:ascii="Arial" w:cs="Arial" w:eastAsia="Arial" w:hAnsi="Arial"/>
                <w:sz w:val="18"/>
                <w:szCs w:val="18"/>
                <w:color w:val="auto"/>
              </w:rPr>
              <w:t>2,000</w:t>
            </w:r>
          </w:p>
        </w:tc>
        <w:tc>
          <w:tcPr>
            <w:tcW w:w="1240" w:type="dxa"/>
            <w:vAlign w:val="bottom"/>
            <w:tcBorders>
              <w:bottom w:val="single" w:sz="8" w:color="051972"/>
            </w:tcBorders>
          </w:tcPr>
          <w:p>
            <w:pPr>
              <w:ind w:left="320"/>
              <w:spacing w:after="0"/>
              <w:rPr>
                <w:sz w:val="20"/>
                <w:szCs w:val="20"/>
                <w:color w:val="auto"/>
              </w:rPr>
            </w:pPr>
            <w:r>
              <w:rPr>
                <w:rFonts w:ascii="Arial" w:cs="Arial" w:eastAsia="Arial" w:hAnsi="Arial"/>
                <w:sz w:val="18"/>
                <w:szCs w:val="18"/>
                <w:color w:val="auto"/>
              </w:rPr>
              <w:t>2,362,000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80" w:hanging="372"/>
        <w:spacing w:after="0"/>
        <w:tabs>
          <w:tab w:leader="none" w:pos="380" w:val="left"/>
        </w:tabs>
        <w:numPr>
          <w:ilvl w:val="0"/>
          <w:numId w:val="102"/>
        </w:numPr>
        <w:rPr>
          <w:rFonts w:ascii="Times New Roman" w:cs="Times New Roman" w:eastAsia="Times New Roman" w:hAnsi="Times New Roman"/>
          <w:sz w:val="14"/>
          <w:szCs w:val="14"/>
          <w:color w:val="auto"/>
        </w:rPr>
      </w:pPr>
      <w:r>
        <w:rPr>
          <w:rFonts w:ascii="Arial" w:cs="Arial" w:eastAsia="Arial" w:hAnsi="Arial"/>
          <w:sz w:val="14"/>
          <w:szCs w:val="14"/>
          <w:color w:val="auto"/>
        </w:rPr>
        <w:t>Includes fees for the annual audit and quarterly reviews, accounting and financial reporting consultations regarding generally accepted accounting principles.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76</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4"/>
          <w:szCs w:val="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1905</wp:posOffset>
            </wp:positionV>
            <wp:extent cx="2134235" cy="1714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5"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FFFFFF"/>
        </w:rPr>
        <w:t>AUDIT COMMITTEE REPORT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Audit Committee Report</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of Eagle Materials Inc.:</w:t>
      </w:r>
    </w:p>
    <w:p>
      <w:pPr>
        <w:spacing w:after="0" w:line="15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All of the Audit Committee members are independent as defined in the current NYSE listing standards and the applicable rules of the Securities Exchange Act of 1934, and Mr. Ellen is our “audit committee financial expert” within the meaning of the rules of the SEC. The Audit Committee charter sets forth the duties and responsibilities of the Audit Committee. The Audit Committee is primarily responsible for assisting the Board in fulfilling its responsibility to oversee the following: the integrity of our financial statements, our compliance with legal and regulatory requirements, the qualifications and independence and appointment of our independent auditors and the performance of our internal audit function and independent auditors. Management has primary responsibility for the preparation of the financial statements, completeness and accuracy of financial reporting and the overall system of internal control over financial reporting.</w:t>
      </w:r>
    </w:p>
    <w:p>
      <w:pPr>
        <w:spacing w:after="0" w:line="10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have reviewed and discussed with management and the independent registered public accounting firm, Ernst &amp; Young LLP, as appropriate, (1) the audited financial statements of Eagle Materials Inc. as of and for the fiscal year ended March 31, 2025 and (2) management’s report on internal control over financial reporting and the independent registered accounting firm’s related opinions.</w:t>
      </w:r>
    </w:p>
    <w:p>
      <w:pPr>
        <w:spacing w:after="0" w:line="104"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 xml:space="preserve">We have discussed with Ernst &amp; Young LLP the required communications specified by auditing standards, together with guidelines established by the SEC and the Sarbanes-Oxley Act, including the matters required to be discussed by Public Company Accounting Oversight Board (“PCAOB”) Auditing Standard No. 1301,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w:t>
      </w:r>
    </w:p>
    <w:p>
      <w:pPr>
        <w:spacing w:after="0" w:line="104" w:lineRule="exact"/>
        <w:rPr>
          <w:sz w:val="20"/>
          <w:szCs w:val="20"/>
          <w:color w:val="auto"/>
        </w:rPr>
      </w:pPr>
    </w:p>
    <w:p>
      <w:pPr>
        <w:ind w:right="540"/>
        <w:spacing w:after="0" w:line="266" w:lineRule="auto"/>
        <w:rPr>
          <w:sz w:val="20"/>
          <w:szCs w:val="20"/>
          <w:color w:val="auto"/>
        </w:rPr>
      </w:pPr>
      <w:r>
        <w:rPr>
          <w:rFonts w:ascii="Arial" w:cs="Arial" w:eastAsia="Arial" w:hAnsi="Arial"/>
          <w:sz w:val="16"/>
          <w:szCs w:val="16"/>
          <w:color w:val="auto"/>
        </w:rPr>
        <w:t>We have received and reviewed the written disclosures and the letter from Ernst &amp; Young LLP required by the applicable requirements of the PCAOB concerning independence and have discussed with Ernst &amp; Young LLP their independence. We have also considered whether Ernst &amp; Young LLP’s provision of non-audit services to Eagle Materials Inc. and its affiliates is compatible with Ernst &amp; Young LLP’s independence.</w:t>
      </w:r>
    </w:p>
    <w:p>
      <w:pPr>
        <w:spacing w:after="0" w:line="9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Based on the reviews and discussions referred to above, we recommend to the Board of Directors that the financial statements referred to above be included in the Annual Report of Eagle Materials Inc. on Form 10-K for the fiscal year ended March 31, 2025. This report is furnished by the members of the Audit Committee as of May 20,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C6001E"/>
        </w:rPr>
        <w:t>Audit Committee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Martin M. Ellen, </w:t>
      </w:r>
      <w:r>
        <w:rPr>
          <w:rFonts w:ascii="Arial" w:cs="Arial" w:eastAsia="Arial" w:hAnsi="Arial"/>
          <w:sz w:val="16"/>
          <w:szCs w:val="16"/>
          <w:i w:val="1"/>
          <w:iCs w:val="1"/>
          <w:color w:val="auto"/>
        </w:rPr>
        <w:t>Chairman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Mauro Gregorio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Mary P. Ricciardello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David Rush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Richard R. Stewart</w:t>
      </w:r>
    </w:p>
    <w:p>
      <w:pPr>
        <w:spacing w:after="0" w:line="13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This report of the Audit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77</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4"/>
          <w:szCs w:val="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1905</wp:posOffset>
            </wp:positionV>
            <wp:extent cx="2134235"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5"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FFFFFF"/>
        </w:rPr>
        <w:t>AUDIT COMMITTEE REPORT</w:t>
      </w:r>
    </w:p>
    <w:p>
      <w:pPr>
        <w:spacing w:after="0" w:line="9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65"/>
          <w:szCs w:val="65"/>
          <w:b w:val="1"/>
          <w:bCs w:val="1"/>
          <w:color w:val="051972"/>
        </w:rPr>
        <w:t>Other Matters Which May be Presented for Action at the Meeting</w:t>
      </w:r>
    </w:p>
    <w:p>
      <w:pPr>
        <w:spacing w:after="0" w:line="151"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65"/>
          <w:szCs w:val="65"/>
          <w:b w:val="1"/>
          <w:bCs w:val="1"/>
          <w:color w:val="051972"/>
        </w:rPr>
        <w:t>Delivery of Documents to Stockholders</w:t>
      </w:r>
    </w:p>
    <w:p>
      <w:pPr>
        <w:spacing w:after="0" w:line="37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Pursuant to the rules of the SEC, the Company and services that it employs to deliver communications to its stockholders are permitted to deliver to two or more stockholders sharing the same mailing address a single copy of the proxy statement. Upon written or oral request, the Company will deliver a separate copy of the proxy statement to any stockholder at a shared mailing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Matt Newby, Secretary, 5960 Berkshire Ln., Suite 900, Dallas, Texas 75225, (214) 432-2000.</w:t>
      </w:r>
    </w:p>
    <w:p>
      <w:pPr>
        <w:spacing w:after="0" w:line="234"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64"/>
          <w:szCs w:val="64"/>
          <w:b w:val="1"/>
          <w:bCs w:val="1"/>
          <w:color w:val="051972"/>
        </w:rPr>
        <w:t>Stockholder Proposals and Nominations for the 2026 Annual Meeting</w:t>
      </w:r>
    </w:p>
    <w:p>
      <w:pPr>
        <w:spacing w:after="0" w:line="129"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In order to be considered for inclusion in the Company’s proxy material for that meeting, a stockholder proposal must be received at our executive offices, addressed to the attention of the Secretary, not later than February 23, 2026. Any such proposal must also comply with all other applicable requirements of Rule 14a-8 under the Exchange Act.</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For any proposal that is not submitted for inclusion in our proxy material for the 2026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6, 2026, subject to the applicable rules of the SEC. Our Bylaws provide that, to be considered at the 2026 Annual Meeting, a stockholder proposal must be submitted in writing and received by our Secretary at the executive offices of the Company during the period beginning on April 6, 2026 and ending May 6, 2026, and must contain the information specified by and otherwise comply with our Bylaws.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78</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4"/>
          <w:szCs w:val="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1905</wp:posOffset>
            </wp:positionV>
            <wp:extent cx="2134235" cy="1714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5"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FFFFFF"/>
        </w:rPr>
        <w:t>AUDIT COMMITTEE REPORT</w:t>
      </w:r>
    </w:p>
    <w:p>
      <w:pPr>
        <w:spacing w:after="0" w:line="29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Under our Bylaws, nominations for director may be made by a stockholder who is entitled to vote for the election of directors and complies with all of the applicable requirements set forth in our Bylaws. The notice by a stockholder of its intention to nominate directors at the 2026 annual meeting of stockholders must be received at our executive offices, addressed to the attention of the Secretary, during the period beginning on April 6, 2026 and ending on May 6, 2026. Notice of director nominations must satisfy the provisions in our Bylaws relating to director nominations and set forth information required by Rule 14a-19(b) of the Securities Exchange Act of 1934.</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Any stockholder wishing to receive a copy of our Bylaws should direct a written request to our Secretary at the Company’s principal executive office.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C6001E"/>
        </w:rPr>
        <w:t>Form 10-K</w:t>
      </w:r>
    </w:p>
    <w:p>
      <w:pPr>
        <w:spacing w:after="0" w:line="156"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Stockholders entitled to vote at the meeting may obtain a printed copy of the Company’s Annual Report on Form 10-K for the fiscal year ended March 31, 2025, including the financial statements required to be filed with the SEC, without charge, upon written or oral request to Eagle Materials Inc., Attention: Matt Newby, Secretary, 5960 Berkshire Ln., Suite 900, Dallas, Texas 75225, (214) 432-2000.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C6001E"/>
        </w:rPr>
        <w:t>MATT NEWBY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 and Secretary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23, 2025</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60" w:type="dxa"/>
            <w:vAlign w:val="bottom"/>
            <w:shd w:val="clear" w:color="auto" w:fill="EEEEEF"/>
          </w:tcPr>
          <w:p>
            <w:pPr>
              <w:ind w:left="60"/>
              <w:spacing w:after="0"/>
              <w:rPr>
                <w:sz w:val="20"/>
                <w:szCs w:val="20"/>
                <w:color w:val="auto"/>
              </w:rPr>
            </w:pPr>
            <w:r>
              <w:rPr>
                <w:rFonts w:ascii="Arial" w:cs="Arial" w:eastAsia="Arial" w:hAnsi="Arial"/>
                <w:sz w:val="18"/>
                <w:szCs w:val="18"/>
                <w:b w:val="1"/>
                <w:bCs w:val="1"/>
                <w:color w:val="6E6E70"/>
              </w:rPr>
              <w:t xml:space="preserve">Eagle Materials Inc. </w:t>
            </w:r>
            <w:r>
              <w:rPr>
                <w:rFonts w:ascii="Arial" w:cs="Arial" w:eastAsia="Arial" w:hAnsi="Arial"/>
                <w:sz w:val="18"/>
                <w:szCs w:val="18"/>
                <w:color w:val="6E6E70"/>
              </w:rPr>
              <w:t>- 2025 PROXY STATEMENT</w:t>
            </w:r>
          </w:p>
        </w:tc>
        <w:tc>
          <w:tcPr>
            <w:tcW w:w="3680" w:type="dxa"/>
            <w:vAlign w:val="bottom"/>
            <w:shd w:val="clear" w:color="auto" w:fill="EEEEEF"/>
          </w:tcPr>
          <w:p>
            <w:pPr>
              <w:jc w:val="right"/>
              <w:spacing w:after="0"/>
              <w:rPr>
                <w:sz w:val="20"/>
                <w:szCs w:val="20"/>
                <w:color w:val="auto"/>
              </w:rPr>
            </w:pPr>
            <w:r>
              <w:rPr>
                <w:rFonts w:ascii="Arial" w:cs="Arial" w:eastAsia="Arial" w:hAnsi="Arial"/>
                <w:sz w:val="18"/>
                <w:szCs w:val="18"/>
                <w:b w:val="1"/>
                <w:bCs w:val="1"/>
                <w:color w:val="6E6E70"/>
              </w:rPr>
              <w:t>79</w:t>
            </w:r>
          </w:p>
        </w:tc>
      </w:tr>
      <w:tr>
        <w:trPr>
          <w:trHeight w:val="844"/>
        </w:trPr>
        <w:tc>
          <w:tcPr>
            <w:tcW w:w="75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714375</wp:posOffset>
            </wp:positionV>
            <wp:extent cx="7157720" cy="82594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8259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706120</wp:posOffset>
            </wp:positionV>
            <wp:extent cx="7157720" cy="82423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8242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1)"/>
      <w:numFmt w:val="decimal"/>
      <w:start w:val="1"/>
    </w:lvl>
  </w:abstractNum>
  <w:abstractNum w:abstractNumId="6">
    <w:nsid w:val="4F4EF005"/>
    <w:multiLevelType w:val="hybridMultilevel"/>
    <w:lvl w:ilvl="0">
      <w:lvlJc w:val="left"/>
      <w:lvlText w:val="(%1)"/>
      <w:numFmt w:val="decimal"/>
      <w:start w:val="1"/>
    </w:lvl>
    <w:lvl w:ilvl="1">
      <w:lvlJc w:val="left"/>
      <w:lvlText w:val="•"/>
      <w:numFmt w:val="bullet"/>
      <w:start w:val="1"/>
    </w:lvl>
  </w:abstractNum>
  <w:abstractNum w:abstractNumId="7">
    <w:nsid w:val="23F9C13C"/>
    <w:multiLevelType w:val="hybridMultilevel"/>
    <w:lvl w:ilvl="0">
      <w:lvlJc w:val="left"/>
      <w:lvlText w:val="(%1)"/>
      <w:numFmt w:val="decimal"/>
      <w:start w:val="2"/>
    </w:lvl>
  </w:abstractNum>
  <w:abstractNum w:abstractNumId="8">
    <w:nsid w:val="649BB77C"/>
    <w:multiLevelType w:val="hybridMultilevel"/>
    <w:lvl w:ilvl="0">
      <w:lvlJc w:val="left"/>
      <w:lvlText w:val="(%1)"/>
      <w:numFmt w:val="decimal"/>
      <w:start w:val="4"/>
    </w:lvl>
  </w:abstractNum>
  <w:abstractNum w:abstractNumId="9">
    <w:nsid w:val="275AC794"/>
    <w:multiLevelType w:val="hybridMultilevel"/>
    <w:lvl w:ilvl="0">
      <w:lvlJc w:val="left"/>
      <w:lvlText w:val="(%1)"/>
      <w:numFmt w:val="decimal"/>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1)"/>
      <w:numFmt w:val="decimal"/>
      <w:start w:val="1"/>
    </w:lvl>
  </w:abstractNum>
  <w:abstractNum w:abstractNumId="56">
    <w:nsid w:val="3B0FD379"/>
    <w:multiLevelType w:val="hybridMultilevel"/>
    <w:lvl w:ilvl="0">
      <w:lvlJc w:val="left"/>
      <w:lvlText w:val="(%1)"/>
      <w:numFmt w:val="decimal"/>
      <w:start w:val="1"/>
    </w:lvl>
  </w:abstractNum>
  <w:abstractNum w:abstractNumId="57">
    <w:nsid w:val="68EB2F63"/>
    <w:multiLevelType w:val="hybridMultilevel"/>
    <w:lvl w:ilvl="0">
      <w:lvlJc w:val="left"/>
      <w:lvlText w:val="(%1)"/>
      <w:numFmt w:val="decimal"/>
      <w:start w:val="1"/>
    </w:lvl>
  </w:abstractNum>
  <w:abstractNum w:abstractNumId="58">
    <w:nsid w:val="4962813B"/>
    <w:multiLevelType w:val="hybridMultilevel"/>
    <w:lvl w:ilvl="0">
      <w:lvlJc w:val="left"/>
      <w:lvlText w:val="(%1)"/>
      <w:numFmt w:val="lowerRoman"/>
      <w:start w:val="6"/>
    </w:lvl>
  </w:abstractNum>
  <w:abstractNum w:abstractNumId="59">
    <w:nsid w:val="60B6DF70"/>
    <w:multiLevelType w:val="hybridMultilevel"/>
    <w:lvl w:ilvl="0">
      <w:lvlJc w:val="left"/>
      <w:lvlText w:val="•"/>
      <w:numFmt w:val="bullet"/>
      <w:start w:val="1"/>
    </w:lvl>
    <w:lvl w:ilvl="1">
      <w:lvlJc w:val="left"/>
      <w:lvlText w:val="\endash "/>
      <w:numFmt w:val="bullet"/>
      <w:start w:val="1"/>
    </w:lvl>
  </w:abstractNum>
  <w:abstractNum w:abstractNumId="60">
    <w:nsid w:val="6A5EE64"/>
    <w:multiLevelType w:val="hybridMultilevel"/>
    <w:lvl w:ilvl="0">
      <w:lvlJc w:val="left"/>
      <w:lvlText w:val="\endash "/>
      <w:numFmt w:val="bullet"/>
      <w:start w:val="1"/>
    </w:lvl>
  </w:abstractNum>
  <w:abstractNum w:abstractNumId="61">
    <w:nsid w:val="14330624"/>
    <w:multiLevelType w:val="hybridMultilevel"/>
    <w:lvl w:ilvl="0">
      <w:lvlJc w:val="left"/>
      <w:lvlText w:val="•"/>
      <w:numFmt w:val="bullet"/>
      <w:start w:val="1"/>
    </w:lvl>
    <w:lvl w:ilvl="1">
      <w:lvlJc w:val="left"/>
      <w:lvlText w:val="\endash "/>
      <w:numFmt w:val="bullet"/>
      <w:start w:val="1"/>
    </w:lvl>
  </w:abstractNum>
  <w:abstractNum w:abstractNumId="62">
    <w:nsid w:val="7FFFCA11"/>
    <w:multiLevelType w:val="hybridMultilevel"/>
    <w:lvl w:ilvl="0">
      <w:lvlJc w:val="left"/>
      <w:lvlText w:val="•"/>
      <w:numFmt w:val="bullet"/>
      <w:start w:val="1"/>
    </w:lvl>
    <w:lvl w:ilvl="1">
      <w:lvlJc w:val="left"/>
      <w:lvlText w:val="\endash "/>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1)"/>
      <w:numFmt w:val="decimal"/>
      <w:start w:val="1"/>
    </w:lvl>
    <w:lvl w:ilvl="1">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1)"/>
      <w:numFmt w:val="decimal"/>
      <w:start w:val="4"/>
    </w:lvl>
  </w:abstractNum>
  <w:abstractNum w:abstractNumId="70">
    <w:nsid w:val="885E1B"/>
    <w:multiLevelType w:val="hybridMultilevel"/>
    <w:lvl w:ilvl="0">
      <w:lvlJc w:val="left"/>
      <w:lvlText w:val="(%1)"/>
      <w:numFmt w:val="decimal"/>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1)"/>
      <w:numFmt w:val="decimal"/>
      <w:start w:val="1"/>
    </w:lvl>
  </w:abstractNum>
  <w:abstractNum w:abstractNumId="73">
    <w:nsid w:val="1716703B"/>
    <w:multiLevelType w:val="hybridMultilevel"/>
    <w:lvl w:ilvl="0">
      <w:lvlJc w:val="left"/>
      <w:lvlText w:val="(%1)"/>
      <w:numFmt w:val="decimal"/>
      <w:start w:val="2"/>
    </w:lvl>
  </w:abstractNum>
  <w:abstractNum w:abstractNumId="74">
    <w:nsid w:val="14E17E33"/>
    <w:multiLevelType w:val="hybridMultilevel"/>
    <w:lvl w:ilvl="0">
      <w:lvlJc w:val="left"/>
      <w:lvlText w:val="(%1)"/>
      <w:numFmt w:val="lowerRoman"/>
      <w:start w:val="1"/>
    </w:lvl>
  </w:abstractNum>
  <w:abstractNum w:abstractNumId="75">
    <w:nsid w:val="3222E7CD"/>
    <w:multiLevelType w:val="hybridMultilevel"/>
    <w:lvl w:ilvl="0">
      <w:lvlJc w:val="left"/>
      <w:lvlText w:val="(%1)"/>
      <w:numFmt w:val="lowerRoman"/>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1)"/>
      <w:numFmt w:val="decimal"/>
      <w:start w:val="1"/>
    </w:lvl>
  </w:abstractNum>
  <w:abstractNum w:abstractNumId="78">
    <w:nsid w:val="2DF6D648"/>
    <w:multiLevelType w:val="hybridMultilevel"/>
    <w:lvl w:ilvl="0">
      <w:lvlJc w:val="left"/>
      <w:lvlText w:val="(%1)"/>
      <w:numFmt w:val="decimal"/>
      <w:start w:val="5"/>
    </w:lvl>
  </w:abstractNum>
  <w:abstractNum w:abstractNumId="79">
    <w:nsid w:val="46B7D447"/>
    <w:multiLevelType w:val="hybridMultilevel"/>
    <w:lvl w:ilvl="0">
      <w:lvlJc w:val="left"/>
      <w:lvlText w:val="(%1)"/>
      <w:numFmt w:val="decimal"/>
      <w:start w:val="6"/>
    </w:lvl>
  </w:abstractNum>
  <w:abstractNum w:abstractNumId="80">
    <w:nsid w:val="4A2AC315"/>
    <w:multiLevelType w:val="hybridMultilevel"/>
    <w:lvl w:ilvl="0">
      <w:lvlJc w:val="left"/>
      <w:lvlText w:val="(%1)"/>
      <w:numFmt w:val="decimal"/>
      <w:start w:val="1"/>
    </w:lvl>
  </w:abstractNum>
  <w:abstractNum w:abstractNumId="81">
    <w:nsid w:val="39EE015C"/>
    <w:multiLevelType w:val="hybridMultilevel"/>
    <w:lvl w:ilvl="0">
      <w:lvlJc w:val="left"/>
      <w:lvlText w:val="(%1)"/>
      <w:numFmt w:val="decimal"/>
      <w:start w:val="1"/>
    </w:lvl>
  </w:abstractNum>
  <w:abstractNum w:abstractNumId="82">
    <w:nsid w:val="57FC4FBB"/>
    <w:multiLevelType w:val="hybridMultilevel"/>
    <w:lvl w:ilvl="0">
      <w:lvlJc w:val="left"/>
      <w:lvlText w:val="(%1)"/>
      <w:numFmt w:val="decimal"/>
      <w:start w:val="1"/>
    </w:lvl>
  </w:abstractNum>
  <w:abstractNum w:abstractNumId="83">
    <w:nsid w:val="CC1016F"/>
    <w:multiLevelType w:val="hybridMultilevel"/>
    <w:lvl w:ilvl="0">
      <w:lvlJc w:val="left"/>
      <w:lvlText w:val="(%1)"/>
      <w:numFmt w:val="decimal"/>
      <w:start w:val="1"/>
    </w:lvl>
  </w:abstractNum>
  <w:abstractNum w:abstractNumId="84">
    <w:nsid w:val="43F18422"/>
    <w:multiLevelType w:val="hybridMultilevel"/>
    <w:lvl w:ilvl="0">
      <w:lvlJc w:val="left"/>
      <w:lvlText w:val="(%1)"/>
      <w:numFmt w:val="decimal"/>
      <w:start w:val="3"/>
    </w:lvl>
  </w:abstractNum>
  <w:abstractNum w:abstractNumId="85">
    <w:nsid w:val="60EF0119"/>
    <w:multiLevelType w:val="hybridMultilevel"/>
    <w:lvl w:ilvl="0">
      <w:lvlJc w:val="left"/>
      <w:lvlText w:val="(%1)"/>
      <w:numFmt w:val="decimal"/>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1)"/>
      <w:numFmt w:val="decimal"/>
      <w:start w:val="1"/>
    </w:lvl>
  </w:abstractNum>
  <w:abstractNum w:abstractNumId="88">
    <w:nsid w:val="49DA307D"/>
    <w:multiLevelType w:val="hybridMultilevel"/>
    <w:lvl w:ilvl="0">
      <w:lvlJc w:val="left"/>
      <w:lvlText w:val="(%1)"/>
      <w:numFmt w:val="decimal"/>
      <w:start w:val="1"/>
    </w:lvl>
  </w:abstractNum>
  <w:abstractNum w:abstractNumId="89">
    <w:nsid w:val="7055A5F5"/>
    <w:multiLevelType w:val="hybridMultilevel"/>
    <w:lvl w:ilvl="0">
      <w:lvlJc w:val="left"/>
      <w:lvlText w:val="(%1)"/>
      <w:numFmt w:val="lowerLetter"/>
      <w:start w:val="1"/>
    </w:lvl>
  </w:abstractNum>
  <w:abstractNum w:abstractNumId="90">
    <w:nsid w:val="5FB8370B"/>
    <w:multiLevelType w:val="hybridMultilevel"/>
    <w:lvl w:ilvl="0">
      <w:lvlJc w:val="left"/>
      <w:lvlText w:val="(%1)"/>
      <w:numFmt w:val="decimal"/>
      <w:start w:val="3"/>
    </w:lvl>
  </w:abstractNum>
  <w:abstractNum w:abstractNumId="91">
    <w:nsid w:val="50801EE1"/>
    <w:multiLevelType w:val="hybridMultilevel"/>
    <w:lvl w:ilvl="0">
      <w:lvlJc w:val="left"/>
      <w:lvlText w:val="(%1)"/>
      <w:numFmt w:val="lowerLetter"/>
      <w:start w:val="1"/>
    </w:lvl>
  </w:abstractNum>
  <w:abstractNum w:abstractNumId="92">
    <w:nsid w:val="488AC1A"/>
    <w:multiLevelType w:val="hybridMultilevel"/>
    <w:lvl w:ilvl="0">
      <w:lvlJc w:val="left"/>
      <w:lvlText w:val="(%1)"/>
      <w:numFmt w:val="decimal"/>
      <w:start w:val="5"/>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1)"/>
      <w:numFmt w:val="decimal"/>
      <w:start w:val="1"/>
    </w:lvl>
  </w:abstractNum>
  <w:abstractNum w:abstractNumId="95">
    <w:nsid w:val="7672BD23"/>
    <w:multiLevelType w:val="hybridMultilevel"/>
    <w:lvl w:ilvl="0">
      <w:lvlJc w:val="left"/>
      <w:lvlText w:val="(%1)"/>
      <w:numFmt w:val="decimal"/>
      <w:start w:val="5"/>
    </w:lvl>
  </w:abstractNum>
  <w:abstractNum w:abstractNumId="96">
    <w:nsid w:val="6FC75AF8"/>
    <w:multiLevelType w:val="hybridMultilevel"/>
    <w:lvl w:ilvl="0">
      <w:lvlJc w:val="left"/>
      <w:lvlText w:val="(%1)"/>
      <w:numFmt w:val="decimal"/>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1)"/>
      <w:numFmt w:val="decimal"/>
      <w:start w:val="2"/>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2025-06-23T15:24:47Z</dcterms:created>
  <dcterms:modified xsi:type="dcterms:W3CDTF">2025-06-23T15:24:47Z</dcterms:modified>
</cp:coreProperties>
</file>