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2137410</wp:posOffset>
            </wp:positionH>
            <wp:positionV relativeFrom="page">
              <wp:posOffset>2987040</wp:posOffset>
            </wp:positionV>
            <wp:extent cx="3097530" cy="7264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3097530" cy="72644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page">
                  <wp:posOffset>918210</wp:posOffset>
                </wp:positionH>
                <wp:positionV relativeFrom="page">
                  <wp:posOffset>1092835</wp:posOffset>
                </wp:positionV>
                <wp:extent cx="569468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94680" cy="4763"/>
                        </a:xfrm>
                        <a:prstGeom prst="line">
                          <a:avLst/>
                        </a:prstGeom>
                        <a:solidFill>
                          <a:srgbClr val="FFFFFF"/>
                        </a:solidFill>
                        <a:ln w="29302">
                          <a:solidFill>
                            <a:srgbClr val="C9000F"/>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2.3pt,86.05pt" to="520.7pt,86.05pt" o:allowincell="f" strokecolor="#C9000F" strokeweight="2.3072pt">
                <w10:wrap anchorx="page" anchory="page"/>
              </v:line>
            </w:pict>
          </mc:Fallback>
        </mc:AlternateConten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000039"/>
        </w:rPr>
        <w:t>2026 ANNUAL REPORT AND FORM 10-K</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4217035</wp:posOffset>
                </wp:positionV>
                <wp:extent cx="569468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94680" cy="4763"/>
                        </a:xfrm>
                        <a:prstGeom prst="line">
                          <a:avLst/>
                        </a:prstGeom>
                        <a:solidFill>
                          <a:srgbClr val="FFFFFF"/>
                        </a:solidFill>
                        <a:ln w="32943">
                          <a:solidFill>
                            <a:srgbClr val="C9000F"/>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332.05pt" to="448.7pt,332.05pt" o:allowincell="f" strokecolor="#C9000F" strokeweight="2.5939pt"/>
            </w:pict>
          </mc:Fallback>
        </mc:AlternateContent>
      </w:r>
    </w:p>
    <w:p>
      <w:pPr>
        <w:sectPr>
          <w:pgSz w:w="11880" w:h="15480" w:orient="portrait"/>
          <w:cols w:equalWidth="0" w:num="1">
            <w:col w:w="9000"/>
          </w:cols>
          <w:pgMar w:left="1440" w:top="1440" w:right="1440" w:bottom="1440" w:gutter="0" w:footer="0" w:header="0"/>
        </w:sectPr>
      </w:pPr>
    </w:p>
    <w:bookmarkStart w:id="1" w:name="page2"/>
    <w:bookmarkEnd w:id="1"/>
    <w:p>
      <w:pPr>
        <w:spacing w:after="0" w:line="20" w:lineRule="exact"/>
        <w:rPr>
          <w:sz w:val="20"/>
          <w:szCs w:val="20"/>
          <w:color w:val="auto"/>
        </w:rPr>
      </w:pPr>
    </w:p>
    <w:p>
      <w:pPr>
        <w:sectPr>
          <w:pgSz w:w="11880" w:h="15480" w:orient="portrait"/>
          <w:cols w:equalWidth="1" w:num="1" w:space="0"/>
          <w:pgMar w:left="1440" w:top="1440" w:right="1440" w:bottom="875" w:gutter="0" w:footer="0" w:header="0"/>
        </w:sectPr>
      </w:pPr>
    </w:p>
    <w:bookmarkStart w:id="2" w:name="page3"/>
    <w:bookmarkEnd w:id="2"/>
    <w:p>
      <w:pPr>
        <w:ind w:left="500"/>
        <w:spacing w:after="0"/>
        <w:rPr>
          <w:sz w:val="20"/>
          <w:szCs w:val="20"/>
          <w:color w:val="auto"/>
        </w:rPr>
      </w:pPr>
      <w:r>
        <w:rPr>
          <w:rFonts w:ascii="Arial" w:cs="Arial" w:eastAsia="Arial" w:hAnsi="Arial"/>
          <w:sz w:val="32"/>
          <w:szCs w:val="32"/>
          <w:color w:val="FFFFFF"/>
        </w:rPr>
        <w:drawing>
          <wp:anchor simplePos="0" relativeHeight="251657728" behindDoc="1" locked="0" layoutInCell="0" allowOverlap="1">
            <wp:simplePos x="0" y="0"/>
            <wp:positionH relativeFrom="page">
              <wp:posOffset>457200</wp:posOffset>
            </wp:positionH>
            <wp:positionV relativeFrom="page">
              <wp:posOffset>457200</wp:posOffset>
            </wp:positionV>
            <wp:extent cx="6629400" cy="694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extLst>
                    </a:blip>
                    <a:srcRect/>
                    <a:stretch>
                      <a:fillRect/>
                    </a:stretch>
                  </pic:blipFill>
                  <pic:spPr bwMode="auto">
                    <a:xfrm>
                      <a:off x="0" y="0"/>
                      <a:ext cx="6629400" cy="694690"/>
                    </a:xfrm>
                    <a:prstGeom prst="rect">
                      <a:avLst/>
                    </a:prstGeom>
                    <a:noFill/>
                  </pic:spPr>
                </pic:pic>
              </a:graphicData>
            </a:graphic>
          </wp:anchor>
        </w:drawing>
        <w:t>To Our Fellow Shareholders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40"/>
        <w:spacing w:after="0"/>
        <w:rPr>
          <w:sz w:val="20"/>
          <w:szCs w:val="20"/>
          <w:color w:val="auto"/>
        </w:rPr>
      </w:pPr>
      <w:r>
        <w:rPr>
          <w:rFonts w:ascii="Arial" w:cs="Arial" w:eastAsia="Arial" w:hAnsi="Arial"/>
          <w:sz w:val="20"/>
          <w:szCs w:val="20"/>
          <w:color w:val="auto"/>
        </w:rPr>
        <w:t>Dear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5076190</wp:posOffset>
            </wp:positionH>
            <wp:positionV relativeFrom="paragraph">
              <wp:posOffset>-109855</wp:posOffset>
            </wp:positionV>
            <wp:extent cx="9525" cy="78130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extLst>
                    </a:blip>
                    <a:srcRect/>
                    <a:stretch>
                      <a:fillRect/>
                    </a:stretch>
                  </pic:blipFill>
                  <pic:spPr bwMode="auto">
                    <a:xfrm>
                      <a:off x="0" y="0"/>
                      <a:ext cx="9525" cy="7813040"/>
                    </a:xfrm>
                    <a:prstGeom prst="rect">
                      <a:avLst/>
                    </a:prstGeom>
                    <a:noFill/>
                  </pic:spPr>
                </pic:pic>
              </a:graphicData>
            </a:graphic>
          </wp:anchor>
        </w:drawing>
      </w:r>
    </w:p>
    <w:p>
      <w:pPr>
        <w:spacing w:after="0" w:line="123" w:lineRule="exact"/>
        <w:rPr>
          <w:sz w:val="20"/>
          <w:szCs w:val="20"/>
          <w:color w:val="auto"/>
        </w:rPr>
      </w:pPr>
    </w:p>
    <w:p>
      <w:pPr>
        <w:ind w:left="140"/>
        <w:spacing w:after="0"/>
        <w:rPr>
          <w:sz w:val="20"/>
          <w:szCs w:val="20"/>
          <w:color w:val="auto"/>
        </w:rPr>
      </w:pPr>
      <w:r>
        <w:rPr>
          <w:rFonts w:ascii="Arial" w:cs="Arial" w:eastAsia="Arial" w:hAnsi="Arial"/>
          <w:sz w:val="20"/>
          <w:szCs w:val="20"/>
          <w:color w:val="auto"/>
        </w:rPr>
        <w:t>Eagle Materials is approaching major milestones in our Company’s history.</w:t>
      </w:r>
    </w:p>
    <w:p>
      <w:pPr>
        <w:spacing w:after="0" w:line="35" w:lineRule="exact"/>
        <w:rPr>
          <w:sz w:val="20"/>
          <w:szCs w:val="20"/>
          <w:color w:val="auto"/>
        </w:rPr>
      </w:pPr>
    </w:p>
    <w:p>
      <w:pPr>
        <w:ind w:left="140" w:right="320"/>
        <w:spacing w:after="0" w:line="288" w:lineRule="auto"/>
        <w:rPr>
          <w:sz w:val="20"/>
          <w:szCs w:val="20"/>
          <w:color w:val="auto"/>
        </w:rPr>
      </w:pPr>
      <w:r>
        <w:rPr>
          <w:rFonts w:ascii="Arial" w:cs="Arial" w:eastAsia="Arial" w:hAnsi="Arial"/>
          <w:sz w:val="20"/>
          <w:szCs w:val="20"/>
          <w:color w:val="auto"/>
        </w:rPr>
        <w:t>Over the next 18 months, we will complete the modernizations of one of our oldest cement plants and one of our oldest wallboard facilities. Both of these projects are the culmination of years of planning and decades of strategic consistency that do not often make the headlines of what we do every day here at Eagle.</w:t>
      </w:r>
    </w:p>
    <w:p>
      <w:pPr>
        <w:spacing w:after="0" w:line="64" w:lineRule="exact"/>
        <w:rPr>
          <w:sz w:val="20"/>
          <w:szCs w:val="20"/>
          <w:color w:val="auto"/>
        </w:rPr>
      </w:pPr>
    </w:p>
    <w:p>
      <w:pPr>
        <w:ind w:left="140" w:right="580"/>
        <w:spacing w:after="0" w:line="313" w:lineRule="auto"/>
        <w:rPr>
          <w:sz w:val="20"/>
          <w:szCs w:val="20"/>
          <w:color w:val="auto"/>
        </w:rPr>
      </w:pPr>
      <w:r>
        <w:rPr>
          <w:rFonts w:ascii="Arial" w:cs="Arial" w:eastAsia="Arial" w:hAnsi="Arial"/>
          <w:sz w:val="20"/>
          <w:szCs w:val="20"/>
          <w:color w:val="auto"/>
        </w:rPr>
        <w:t>Our consistency stands in stark contrast to the choppy outlook that has at times categorized each of Eagle’s end markets over the last five years.</w:t>
      </w:r>
    </w:p>
    <w:p>
      <w:pPr>
        <w:spacing w:after="0" w:line="38" w:lineRule="exact"/>
        <w:rPr>
          <w:sz w:val="20"/>
          <w:szCs w:val="20"/>
          <w:color w:val="auto"/>
        </w:rPr>
      </w:pPr>
    </w:p>
    <w:p>
      <w:pPr>
        <w:ind w:left="140" w:right="540"/>
        <w:spacing w:after="0" w:line="301" w:lineRule="auto"/>
        <w:rPr>
          <w:sz w:val="20"/>
          <w:szCs w:val="20"/>
          <w:color w:val="auto"/>
        </w:rPr>
      </w:pPr>
      <w:r>
        <w:rPr>
          <w:rFonts w:ascii="Arial" w:cs="Arial" w:eastAsia="Arial" w:hAnsi="Arial"/>
          <w:sz w:val="19"/>
          <w:szCs w:val="19"/>
          <w:color w:val="auto"/>
        </w:rPr>
        <w:t>Even as the U.S. consumer and broader U.S. economy have continued to show resilience, Eagle’s primary products—Portland cement and gypsum wallboard— have seen constrained demand, far below trend. These low demand levels are more surprising in the context of substantial U.S. population growth, given that our products are essential in the building, rebuilding, and renewal of America’s infrastructure, schools, hospitals, and homes (to name only some applications).</w:t>
      </w:r>
    </w:p>
    <w:p>
      <w:pPr>
        <w:spacing w:after="0" w:line="54" w:lineRule="exact"/>
        <w:rPr>
          <w:sz w:val="20"/>
          <w:szCs w:val="20"/>
          <w:color w:val="auto"/>
        </w:rPr>
      </w:pPr>
    </w:p>
    <w:p>
      <w:pPr>
        <w:ind w:left="140" w:right="500"/>
        <w:spacing w:after="0" w:line="294" w:lineRule="auto"/>
        <w:rPr>
          <w:sz w:val="20"/>
          <w:szCs w:val="20"/>
          <w:color w:val="auto"/>
        </w:rPr>
      </w:pPr>
      <w:r>
        <w:rPr>
          <w:rFonts w:ascii="Arial" w:cs="Arial" w:eastAsia="Arial" w:hAnsi="Arial"/>
          <w:sz w:val="20"/>
          <w:szCs w:val="20"/>
          <w:color w:val="auto"/>
        </w:rPr>
        <w:t>Despite the difficult near-term environment in some of our end markets, at Eagle we measure our progress over cycles as we seek to continually reinforce our advantages as a low-cost producer.</w:t>
      </w:r>
    </w:p>
    <w:p>
      <w:pPr>
        <w:spacing w:after="0" w:line="58" w:lineRule="exact"/>
        <w:rPr>
          <w:sz w:val="20"/>
          <w:szCs w:val="20"/>
          <w:color w:val="auto"/>
        </w:rPr>
      </w:pPr>
    </w:p>
    <w:p>
      <w:pPr>
        <w:ind w:left="140" w:right="260"/>
        <w:spacing w:after="0" w:line="308" w:lineRule="auto"/>
        <w:rPr>
          <w:sz w:val="20"/>
          <w:szCs w:val="20"/>
          <w:color w:val="auto"/>
        </w:rPr>
      </w:pPr>
      <w:r>
        <w:rPr>
          <w:rFonts w:ascii="Arial" w:cs="Arial" w:eastAsia="Arial" w:hAnsi="Arial"/>
          <w:sz w:val="19"/>
          <w:szCs w:val="19"/>
          <w:color w:val="auto"/>
        </w:rPr>
        <w:t>That is one reason we are proud to report that fiscal 2026 marks our fifth consecutive year of record revenue, as we generated $2.3 billion of revenue. We also recorded strong adjusted net earnings per diluted share of $13.16 and returned over $400 million to our investors through share repurchases and our dividend.</w:t>
      </w:r>
    </w:p>
    <w:p>
      <w:pPr>
        <w:spacing w:after="0" w:line="46" w:lineRule="exact"/>
        <w:rPr>
          <w:sz w:val="20"/>
          <w:szCs w:val="20"/>
          <w:color w:val="auto"/>
        </w:rPr>
      </w:pPr>
    </w:p>
    <w:p>
      <w:pPr>
        <w:ind w:left="140" w:right="400"/>
        <w:spacing w:after="0" w:line="283" w:lineRule="auto"/>
        <w:rPr>
          <w:sz w:val="20"/>
          <w:szCs w:val="20"/>
          <w:color w:val="auto"/>
        </w:rPr>
      </w:pPr>
      <w:r>
        <w:rPr>
          <w:rFonts w:ascii="Arial" w:cs="Arial" w:eastAsia="Arial" w:hAnsi="Arial"/>
          <w:sz w:val="20"/>
          <w:szCs w:val="20"/>
          <w:color w:val="auto"/>
        </w:rPr>
        <w:t>We believe our financial performance is a result of our operational and strategic consistency. Near-term volatility does not distract us from focusing on what we do best—consistently executing to deliver long-term shareholder value. We continue to generate profitability and return on capital that are among the highest in our industries, and we consistently invest in our low-cost producer positions so that our peak-to-peak profitability grows through cycles.</w:t>
      </w:r>
    </w:p>
    <w:p>
      <w:pPr>
        <w:spacing w:after="0" w:line="266" w:lineRule="exact"/>
        <w:rPr>
          <w:sz w:val="20"/>
          <w:szCs w:val="20"/>
          <w:color w:val="auto"/>
        </w:rPr>
      </w:pPr>
    </w:p>
    <w:p>
      <w:pPr>
        <w:ind w:left="1480"/>
        <w:spacing w:after="0"/>
        <w:rPr>
          <w:sz w:val="20"/>
          <w:szCs w:val="20"/>
          <w:color w:val="auto"/>
        </w:rPr>
      </w:pPr>
      <w:r>
        <w:rPr>
          <w:rFonts w:ascii="Arial" w:cs="Arial" w:eastAsia="Arial" w:hAnsi="Arial"/>
          <w:sz w:val="20"/>
          <w:szCs w:val="20"/>
          <w:b w:val="1"/>
          <w:bCs w:val="1"/>
          <w:color w:val="auto"/>
        </w:rPr>
        <w:t>CONSISTENT PERFORMANCE THROUGH CYCLES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bottom w:val="single" w:sz="8" w:color="2764A5"/>
            </w:tcBorders>
          </w:tcPr>
          <w:p>
            <w:pPr>
              <w:spacing w:after="0"/>
              <w:rPr>
                <w:sz w:val="22"/>
                <w:szCs w:val="22"/>
                <w:color w:val="auto"/>
              </w:rPr>
            </w:pPr>
          </w:p>
        </w:tc>
        <w:tc>
          <w:tcPr>
            <w:tcW w:w="580" w:type="dxa"/>
            <w:vAlign w:val="bottom"/>
            <w:tcBorders>
              <w:bottom w:val="single" w:sz="8" w:color="2764A5"/>
            </w:tcBorders>
          </w:tcPr>
          <w:p>
            <w:pPr>
              <w:spacing w:after="0"/>
              <w:rPr>
                <w:sz w:val="22"/>
                <w:szCs w:val="22"/>
                <w:color w:val="auto"/>
              </w:rPr>
            </w:pPr>
          </w:p>
        </w:tc>
        <w:tc>
          <w:tcPr>
            <w:tcW w:w="140" w:type="dxa"/>
            <w:vAlign w:val="bottom"/>
            <w:tcBorders>
              <w:bottom w:val="single" w:sz="8" w:color="2764A5"/>
            </w:tcBorders>
          </w:tcPr>
          <w:p>
            <w:pPr>
              <w:spacing w:after="0"/>
              <w:rPr>
                <w:sz w:val="22"/>
                <w:szCs w:val="22"/>
                <w:color w:val="auto"/>
              </w:rPr>
            </w:pPr>
          </w:p>
        </w:tc>
        <w:tc>
          <w:tcPr>
            <w:tcW w:w="560" w:type="dxa"/>
            <w:vAlign w:val="bottom"/>
            <w:tcBorders>
              <w:bottom w:val="single" w:sz="8" w:color="2764A5"/>
            </w:tcBorders>
          </w:tcPr>
          <w:p>
            <w:pPr>
              <w:spacing w:after="0"/>
              <w:rPr>
                <w:sz w:val="22"/>
                <w:szCs w:val="22"/>
                <w:color w:val="auto"/>
              </w:rPr>
            </w:pPr>
          </w:p>
        </w:tc>
        <w:tc>
          <w:tcPr>
            <w:tcW w:w="1100" w:type="dxa"/>
            <w:vAlign w:val="bottom"/>
            <w:tcBorders>
              <w:bottom w:val="single" w:sz="8" w:color="2764A5"/>
            </w:tcBorders>
            <w:gridSpan w:val="5"/>
          </w:tcPr>
          <w:p>
            <w:pPr>
              <w:ind w:left="40"/>
              <w:spacing w:after="0"/>
              <w:rPr>
                <w:sz w:val="20"/>
                <w:szCs w:val="20"/>
                <w:color w:val="auto"/>
              </w:rPr>
            </w:pPr>
            <w:r>
              <w:rPr>
                <w:rFonts w:ascii="Arial" w:cs="Arial" w:eastAsia="Arial" w:hAnsi="Arial"/>
                <w:sz w:val="18"/>
                <w:szCs w:val="18"/>
                <w:b w:val="1"/>
                <w:bCs w:val="1"/>
                <w:color w:val="2764A5"/>
              </w:rPr>
              <w:t>Cement</w:t>
            </w:r>
          </w:p>
        </w:tc>
        <w:tc>
          <w:tcPr>
            <w:tcW w:w="120" w:type="dxa"/>
            <w:vAlign w:val="bottom"/>
            <w:tcBorders>
              <w:bottom w:val="single" w:sz="8" w:color="2764A5"/>
            </w:tcBorders>
          </w:tcPr>
          <w:p>
            <w:pPr>
              <w:spacing w:after="0"/>
              <w:rPr>
                <w:sz w:val="22"/>
                <w:szCs w:val="22"/>
                <w:color w:val="auto"/>
              </w:rPr>
            </w:pPr>
          </w:p>
        </w:tc>
        <w:tc>
          <w:tcPr>
            <w:tcW w:w="580" w:type="dxa"/>
            <w:vAlign w:val="bottom"/>
            <w:tcBorders>
              <w:bottom w:val="single" w:sz="8" w:color="2764A5"/>
            </w:tcBorders>
          </w:tcPr>
          <w:p>
            <w:pPr>
              <w:spacing w:after="0"/>
              <w:rPr>
                <w:sz w:val="22"/>
                <w:szCs w:val="22"/>
                <w:color w:val="auto"/>
              </w:rPr>
            </w:pPr>
          </w:p>
        </w:tc>
        <w:tc>
          <w:tcPr>
            <w:tcW w:w="100" w:type="dxa"/>
            <w:vAlign w:val="bottom"/>
            <w:tcBorders>
              <w:bottom w:val="single" w:sz="8" w:color="2764A5"/>
            </w:tcBorders>
          </w:tcPr>
          <w:p>
            <w:pPr>
              <w:spacing w:after="0"/>
              <w:rPr>
                <w:sz w:val="22"/>
                <w:szCs w:val="22"/>
                <w:color w:val="auto"/>
              </w:rPr>
            </w:pPr>
          </w:p>
        </w:tc>
        <w:tc>
          <w:tcPr>
            <w:tcW w:w="200" w:type="dxa"/>
            <w:vAlign w:val="bottom"/>
            <w:tcBorders>
              <w:bottom w:val="single" w:sz="8" w:color="2764A5"/>
            </w:tcBorders>
          </w:tcPr>
          <w:p>
            <w:pPr>
              <w:spacing w:after="0"/>
              <w:rPr>
                <w:sz w:val="22"/>
                <w:szCs w:val="22"/>
                <w:color w:val="auto"/>
              </w:rPr>
            </w:pPr>
          </w:p>
        </w:tc>
        <w:tc>
          <w:tcPr>
            <w:tcW w:w="200" w:type="dxa"/>
            <w:vAlign w:val="bottom"/>
            <w:tcBorders>
              <w:bottom w:val="single" w:sz="8" w:color="2764A5"/>
            </w:tcBorders>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Borders>
              <w:bottom w:val="single" w:sz="8" w:color="5E7A1C"/>
            </w:tcBorders>
          </w:tcPr>
          <w:p>
            <w:pPr>
              <w:spacing w:after="0"/>
              <w:rPr>
                <w:sz w:val="22"/>
                <w:szCs w:val="22"/>
                <w:color w:val="auto"/>
              </w:rPr>
            </w:pPr>
          </w:p>
        </w:tc>
        <w:tc>
          <w:tcPr>
            <w:tcW w:w="100" w:type="dxa"/>
            <w:vAlign w:val="bottom"/>
            <w:tcBorders>
              <w:bottom w:val="single" w:sz="8" w:color="5E7A1C"/>
            </w:tcBorders>
          </w:tcPr>
          <w:p>
            <w:pPr>
              <w:spacing w:after="0"/>
              <w:rPr>
                <w:sz w:val="22"/>
                <w:szCs w:val="22"/>
                <w:color w:val="auto"/>
              </w:rPr>
            </w:pPr>
          </w:p>
        </w:tc>
        <w:tc>
          <w:tcPr>
            <w:tcW w:w="580" w:type="dxa"/>
            <w:vAlign w:val="bottom"/>
            <w:tcBorders>
              <w:bottom w:val="single" w:sz="8" w:color="5E7A1C"/>
            </w:tcBorders>
          </w:tcPr>
          <w:p>
            <w:pPr>
              <w:spacing w:after="0"/>
              <w:rPr>
                <w:sz w:val="22"/>
                <w:szCs w:val="22"/>
                <w:color w:val="auto"/>
              </w:rPr>
            </w:pPr>
          </w:p>
        </w:tc>
        <w:tc>
          <w:tcPr>
            <w:tcW w:w="200" w:type="dxa"/>
            <w:vAlign w:val="bottom"/>
            <w:tcBorders>
              <w:bottom w:val="single" w:sz="8" w:color="5E7A1C"/>
            </w:tcBorders>
          </w:tcPr>
          <w:p>
            <w:pPr>
              <w:spacing w:after="0"/>
              <w:rPr>
                <w:sz w:val="22"/>
                <w:szCs w:val="22"/>
                <w:color w:val="auto"/>
              </w:rPr>
            </w:pPr>
          </w:p>
        </w:tc>
        <w:tc>
          <w:tcPr>
            <w:tcW w:w="540" w:type="dxa"/>
            <w:vAlign w:val="bottom"/>
            <w:tcBorders>
              <w:bottom w:val="single" w:sz="8" w:color="5E7A1C"/>
            </w:tcBorders>
          </w:tcPr>
          <w:p>
            <w:pPr>
              <w:spacing w:after="0"/>
              <w:rPr>
                <w:sz w:val="22"/>
                <w:szCs w:val="22"/>
                <w:color w:val="auto"/>
              </w:rPr>
            </w:pPr>
          </w:p>
        </w:tc>
        <w:tc>
          <w:tcPr>
            <w:tcW w:w="100" w:type="dxa"/>
            <w:vAlign w:val="bottom"/>
            <w:tcBorders>
              <w:bottom w:val="single" w:sz="8" w:color="5E7A1C"/>
            </w:tcBorders>
          </w:tcPr>
          <w:p>
            <w:pPr>
              <w:spacing w:after="0"/>
              <w:rPr>
                <w:sz w:val="22"/>
                <w:szCs w:val="22"/>
                <w:color w:val="auto"/>
              </w:rPr>
            </w:pPr>
          </w:p>
        </w:tc>
        <w:tc>
          <w:tcPr>
            <w:tcW w:w="160" w:type="dxa"/>
            <w:vAlign w:val="bottom"/>
            <w:tcBorders>
              <w:bottom w:val="single" w:sz="8" w:color="5E7A1C"/>
            </w:tcBorders>
          </w:tcPr>
          <w:p>
            <w:pPr>
              <w:spacing w:after="0"/>
              <w:rPr>
                <w:sz w:val="22"/>
                <w:szCs w:val="22"/>
                <w:color w:val="auto"/>
              </w:rPr>
            </w:pPr>
          </w:p>
        </w:tc>
        <w:tc>
          <w:tcPr>
            <w:tcW w:w="920" w:type="dxa"/>
            <w:vAlign w:val="bottom"/>
            <w:tcBorders>
              <w:bottom w:val="single" w:sz="8" w:color="5E7A1C"/>
            </w:tcBorders>
            <w:gridSpan w:val="4"/>
          </w:tcPr>
          <w:p>
            <w:pPr>
              <w:spacing w:after="0"/>
              <w:rPr>
                <w:sz w:val="20"/>
                <w:szCs w:val="20"/>
                <w:color w:val="auto"/>
              </w:rPr>
            </w:pPr>
            <w:r>
              <w:rPr>
                <w:rFonts w:ascii="Arial" w:cs="Arial" w:eastAsia="Arial" w:hAnsi="Arial"/>
                <w:sz w:val="18"/>
                <w:szCs w:val="18"/>
                <w:b w:val="1"/>
                <w:bCs w:val="1"/>
                <w:color w:val="5E7A1C"/>
              </w:rPr>
              <w:t>Wallboard</w:t>
            </w:r>
          </w:p>
        </w:tc>
        <w:tc>
          <w:tcPr>
            <w:tcW w:w="80" w:type="dxa"/>
            <w:vAlign w:val="bottom"/>
            <w:tcBorders>
              <w:bottom w:val="single" w:sz="8" w:color="5E7A1C"/>
            </w:tcBorders>
          </w:tcPr>
          <w:p>
            <w:pPr>
              <w:spacing w:after="0"/>
              <w:rPr>
                <w:sz w:val="22"/>
                <w:szCs w:val="22"/>
                <w:color w:val="auto"/>
              </w:rPr>
            </w:pPr>
          </w:p>
        </w:tc>
        <w:tc>
          <w:tcPr>
            <w:tcW w:w="600" w:type="dxa"/>
            <w:vAlign w:val="bottom"/>
            <w:tcBorders>
              <w:bottom w:val="single" w:sz="8" w:color="5E7A1C"/>
            </w:tcBorders>
          </w:tcPr>
          <w:p>
            <w:pPr>
              <w:spacing w:after="0"/>
              <w:rPr>
                <w:sz w:val="22"/>
                <w:szCs w:val="22"/>
                <w:color w:val="auto"/>
              </w:rPr>
            </w:pPr>
          </w:p>
        </w:tc>
        <w:tc>
          <w:tcPr>
            <w:tcW w:w="100" w:type="dxa"/>
            <w:vAlign w:val="bottom"/>
            <w:tcBorders>
              <w:bottom w:val="single" w:sz="8" w:color="5E7A1C"/>
            </w:tcBorders>
          </w:tcPr>
          <w:p>
            <w:pPr>
              <w:spacing w:after="0"/>
              <w:rPr>
                <w:sz w:val="22"/>
                <w:szCs w:val="22"/>
                <w:color w:val="auto"/>
              </w:rPr>
            </w:pPr>
          </w:p>
        </w:tc>
        <w:tc>
          <w:tcPr>
            <w:tcW w:w="120" w:type="dxa"/>
            <w:vAlign w:val="bottom"/>
            <w:tcBorders>
              <w:bottom w:val="single" w:sz="8" w:color="5E7A1C"/>
            </w:tcBorders>
          </w:tcPr>
          <w:p>
            <w:pPr>
              <w:spacing w:after="0"/>
              <w:rPr>
                <w:sz w:val="22"/>
                <w:szCs w:val="22"/>
                <w:color w:val="auto"/>
              </w:rPr>
            </w:pPr>
          </w:p>
        </w:tc>
        <w:tc>
          <w:tcPr>
            <w:tcW w:w="300" w:type="dxa"/>
            <w:vAlign w:val="bottom"/>
            <w:tcBorders>
              <w:bottom w:val="single" w:sz="8" w:color="5E7A1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5"/>
        </w:trPr>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gridSpan w:val="5"/>
          </w:tcPr>
          <w:p>
            <w:pPr>
              <w:spacing w:after="0"/>
              <w:rPr>
                <w:sz w:val="20"/>
                <w:szCs w:val="20"/>
                <w:color w:val="auto"/>
              </w:rPr>
            </w:pPr>
            <w:r>
              <w:rPr>
                <w:rFonts w:ascii="Arial" w:cs="Arial" w:eastAsia="Arial" w:hAnsi="Arial"/>
                <w:sz w:val="16"/>
                <w:szCs w:val="16"/>
                <w:b w:val="1"/>
                <w:bCs w:val="1"/>
                <w:color w:val="auto"/>
                <w:w w:val="90"/>
              </w:rPr>
              <w:t>U.S. CONSUMPTION</w:t>
            </w:r>
            <w:r>
              <w:rPr>
                <w:rFonts w:ascii="Arial" w:cs="Arial" w:eastAsia="Arial" w:hAnsi="Arial"/>
                <w:sz w:val="19"/>
                <w:szCs w:val="19"/>
                <w:color w:val="auto"/>
                <w:w w:val="90"/>
                <w:vertAlign w:val="superscript"/>
              </w:rPr>
              <w:t>1</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gridSpan w:val="7"/>
          </w:tcPr>
          <w:p>
            <w:pPr>
              <w:ind w:left="100"/>
              <w:spacing w:after="0"/>
              <w:rPr>
                <w:sz w:val="20"/>
                <w:szCs w:val="20"/>
                <w:color w:val="auto"/>
              </w:rPr>
            </w:pPr>
            <w:r>
              <w:rPr>
                <w:rFonts w:ascii="Arial" w:cs="Arial" w:eastAsia="Arial" w:hAnsi="Arial"/>
                <w:sz w:val="16"/>
                <w:szCs w:val="16"/>
                <w:b w:val="1"/>
                <w:bCs w:val="1"/>
                <w:color w:val="auto"/>
              </w:rPr>
              <w:t>EAGLE CEMENT</w:t>
            </w:r>
          </w:p>
        </w:tc>
        <w:tc>
          <w:tcPr>
            <w:tcW w:w="3880" w:type="dxa"/>
            <w:vAlign w:val="bottom"/>
            <w:gridSpan w:val="18"/>
          </w:tcPr>
          <w:p>
            <w:pPr>
              <w:ind w:left="20"/>
              <w:spacing w:after="0"/>
              <w:rPr>
                <w:sz w:val="20"/>
                <w:szCs w:val="20"/>
                <w:color w:val="auto"/>
              </w:rPr>
            </w:pPr>
            <w:r>
              <w:rPr>
                <w:rFonts w:ascii="Arial" w:cs="Arial" w:eastAsia="Arial" w:hAnsi="Arial"/>
                <w:sz w:val="16"/>
                <w:szCs w:val="16"/>
                <w:b w:val="1"/>
                <w:bCs w:val="1"/>
                <w:color w:val="auto"/>
                <w:w w:val="93"/>
              </w:rPr>
              <w:t>U.S. CONSUMPTION</w:t>
            </w:r>
            <w:r>
              <w:rPr>
                <w:rFonts w:ascii="Arial" w:cs="Arial" w:eastAsia="Arial" w:hAnsi="Arial"/>
                <w:sz w:val="19"/>
                <w:szCs w:val="19"/>
                <w:color w:val="auto"/>
                <w:w w:val="93"/>
                <w:vertAlign w:val="superscript"/>
              </w:rPr>
              <w:t>2</w:t>
            </w:r>
            <w:r>
              <w:rPr>
                <w:rFonts w:ascii="Arial" w:cs="Arial" w:eastAsia="Arial" w:hAnsi="Arial"/>
                <w:sz w:val="16"/>
                <w:szCs w:val="16"/>
                <w:b w:val="1"/>
                <w:bCs w:val="1"/>
                <w:color w:val="auto"/>
                <w:w w:val="93"/>
              </w:rPr>
              <w:t xml:space="preserve">  EAGLE GYPSUM WALLBOARD</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gridSpan w:val="5"/>
          </w:tcPr>
          <w:p>
            <w:pPr>
              <w:ind w:left="440"/>
              <w:spacing w:after="0"/>
              <w:rPr>
                <w:sz w:val="20"/>
                <w:szCs w:val="20"/>
                <w:color w:val="auto"/>
              </w:rPr>
            </w:pPr>
            <w:r>
              <w:rPr>
                <w:rFonts w:ascii="Arial" w:cs="Arial" w:eastAsia="Arial" w:hAnsi="Arial"/>
                <w:sz w:val="14"/>
                <w:szCs w:val="14"/>
                <w:color w:val="auto"/>
              </w:rPr>
              <w:t>M TONS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7"/>
          </w:tcPr>
          <w:p>
            <w:pPr>
              <w:ind w:left="80"/>
              <w:spacing w:after="0" w:line="215" w:lineRule="exact"/>
              <w:rPr>
                <w:sz w:val="20"/>
                <w:szCs w:val="20"/>
                <w:color w:val="auto"/>
              </w:rPr>
            </w:pPr>
            <w:r>
              <w:rPr>
                <w:rFonts w:ascii="Arial" w:cs="Arial" w:eastAsia="Arial" w:hAnsi="Arial"/>
                <w:sz w:val="16"/>
                <w:szCs w:val="16"/>
                <w:b w:val="1"/>
                <w:bCs w:val="1"/>
                <w:color w:val="auto"/>
              </w:rPr>
              <w:t>EBITDA MARGIN</w:t>
            </w:r>
            <w:r>
              <w:rPr>
                <w:rFonts w:ascii="Arial" w:cs="Arial" w:eastAsia="Arial" w:hAnsi="Arial"/>
                <w:sz w:val="19"/>
                <w:szCs w:val="19"/>
                <w:color w:val="auto"/>
                <w:vertAlign w:val="superscript"/>
              </w:rPr>
              <w:t>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460"/>
              <w:spacing w:after="0"/>
              <w:rPr>
                <w:sz w:val="20"/>
                <w:szCs w:val="20"/>
                <w:color w:val="auto"/>
              </w:rPr>
            </w:pPr>
            <w:r>
              <w:rPr>
                <w:rFonts w:ascii="Arial" w:cs="Arial" w:eastAsia="Arial" w:hAnsi="Arial"/>
                <w:sz w:val="14"/>
                <w:szCs w:val="14"/>
                <w:color w:val="auto"/>
              </w:rPr>
              <w:t>BSF</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8"/>
          </w:tcPr>
          <w:p>
            <w:pPr>
              <w:ind w:left="120"/>
              <w:spacing w:after="0" w:line="215" w:lineRule="exact"/>
              <w:rPr>
                <w:sz w:val="20"/>
                <w:szCs w:val="20"/>
                <w:color w:val="auto"/>
              </w:rPr>
            </w:pPr>
            <w:r>
              <w:rPr>
                <w:rFonts w:ascii="Arial" w:cs="Arial" w:eastAsia="Arial" w:hAnsi="Arial"/>
                <w:sz w:val="16"/>
                <w:szCs w:val="16"/>
                <w:b w:val="1"/>
                <w:bCs w:val="1"/>
                <w:color w:val="auto"/>
              </w:rPr>
              <w:t>EBITDA MARGIN</w:t>
            </w:r>
            <w:r>
              <w:rPr>
                <w:rFonts w:ascii="Arial" w:cs="Arial" w:eastAsia="Arial" w:hAnsi="Arial"/>
                <w:sz w:val="19"/>
                <w:szCs w:val="19"/>
                <w:color w:val="auto"/>
                <w:vertAlign w:val="superscript"/>
              </w:rPr>
              <w:t>3</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gridSpan w:val="2"/>
          </w:tcPr>
          <w:p>
            <w:pPr>
              <w:jc w:val="right"/>
              <w:ind w:right="423"/>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gridSpan w:val="2"/>
          </w:tcPr>
          <w:p>
            <w:pPr>
              <w:jc w:val="right"/>
              <w:ind w:right="425"/>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5"/>
            <w:vMerge w:val="restart"/>
          </w:tcPr>
          <w:p>
            <w:pPr>
              <w:ind w:left="460"/>
              <w:spacing w:after="0"/>
              <w:rPr>
                <w:sz w:val="20"/>
                <w:szCs w:val="20"/>
                <w:color w:val="auto"/>
              </w:rPr>
            </w:pPr>
            <w:r>
              <w:rPr>
                <w:rFonts w:ascii="Arial" w:cs="Arial" w:eastAsia="Arial" w:hAnsi="Arial"/>
                <w:sz w:val="20"/>
                <w:szCs w:val="20"/>
                <w:b w:val="1"/>
                <w:bCs w:val="1"/>
                <w:color w:val="1A7628"/>
                <w:w w:val="95"/>
              </w:rPr>
              <w:t>+260 bp</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bottom w:val="single" w:sz="8" w:color="5E7A1C"/>
            </w:tcBorders>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5"/>
          </w:tcPr>
          <w:p>
            <w:pPr>
              <w:ind w:left="380"/>
              <w:spacing w:after="0" w:line="184" w:lineRule="exact"/>
              <w:rPr>
                <w:sz w:val="20"/>
                <w:szCs w:val="20"/>
                <w:color w:val="auto"/>
              </w:rPr>
            </w:pPr>
            <w:r>
              <w:rPr>
                <w:rFonts w:ascii="Arial" w:cs="Arial" w:eastAsia="Arial" w:hAnsi="Arial"/>
                <w:sz w:val="20"/>
                <w:szCs w:val="20"/>
                <w:b w:val="1"/>
                <w:bCs w:val="1"/>
                <w:color w:val="1A7628"/>
                <w:w w:val="98"/>
              </w:rPr>
              <w:t>+490 bp</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shd w:val="clear" w:color="auto" w:fill="2764A5"/>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right w:val="single" w:sz="8" w:color="CCCCCC"/>
            </w:tcBorders>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5"/>
            <w:vMerge w:val="continue"/>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shd w:val="clear" w:color="auto" w:fill="5E7A1C"/>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right w:val="single" w:sz="8" w:color="CCCCCC"/>
            </w:tcBorders>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shd w:val="clear" w:color="auto" w:fill="2764A5"/>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Borders>
              <w:right w:val="single" w:sz="8" w:color="CCCCCC"/>
            </w:tcBorders>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5"/>
            <w:vMerge w:val="continue"/>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shd w:val="clear" w:color="auto" w:fill="5E7A1C"/>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Borders>
              <w:right w:val="single" w:sz="8" w:color="CCCCCC"/>
            </w:tcBorders>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shd w:val="clear" w:color="auto" w:fill="5E7A1C"/>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shd w:val="clear" w:color="auto" w:fill="2764A5"/>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right w:val="single" w:sz="8" w:color="CCCCCC"/>
            </w:tcBorders>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vMerge w:val="restart"/>
          </w:tcPr>
          <w:p>
            <w:pPr>
              <w:spacing w:after="0"/>
              <w:rPr>
                <w:sz w:val="5"/>
                <w:szCs w:val="5"/>
                <w:color w:val="auto"/>
              </w:rPr>
            </w:pPr>
          </w:p>
        </w:tc>
        <w:tc>
          <w:tcPr>
            <w:tcW w:w="1200" w:type="dxa"/>
            <w:vAlign w:val="bottom"/>
            <w:gridSpan w:val="5"/>
            <w:vMerge w:val="continue"/>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shd w:val="clear" w:color="auto" w:fill="5E7A1C"/>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right w:val="single" w:sz="8" w:color="CCCCCC"/>
            </w:tcBorders>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shd w:val="clear" w:color="auto" w:fill="5E7A1C"/>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right w:val="single" w:sz="8" w:color="CCCCCC"/>
            </w:tcBorders>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Borders>
              <w:bottom w:val="single" w:sz="8" w:color="2764A5"/>
            </w:tcBorders>
            <w:shd w:val="clear" w:color="auto" w:fill="2764A5"/>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Borders>
              <w:bottom w:val="single" w:sz="8" w:color="2764A5"/>
            </w:tcBorders>
          </w:tcPr>
          <w:p>
            <w:pPr>
              <w:spacing w:after="0"/>
              <w:rPr>
                <w:sz w:val="10"/>
                <w:szCs w:val="10"/>
                <w:color w:val="auto"/>
              </w:rPr>
            </w:pPr>
          </w:p>
        </w:tc>
        <w:tc>
          <w:tcPr>
            <w:tcW w:w="500" w:type="dxa"/>
            <w:vAlign w:val="bottom"/>
            <w:gridSpan w:val="4"/>
            <w:vMerge w:val="restart"/>
          </w:tcPr>
          <w:p>
            <w:pPr>
              <w:spacing w:after="0"/>
              <w:rPr>
                <w:sz w:val="20"/>
                <w:szCs w:val="20"/>
                <w:color w:val="auto"/>
              </w:rPr>
            </w:pPr>
            <w:r>
              <w:rPr>
                <w:rFonts w:ascii="Arial" w:cs="Arial" w:eastAsia="Arial" w:hAnsi="Arial"/>
                <w:sz w:val="20"/>
                <w:szCs w:val="20"/>
                <w:b w:val="1"/>
                <w:bCs w:val="1"/>
                <w:color w:val="3F3C45"/>
              </w:rPr>
              <w:t>-20%</w:t>
            </w:r>
          </w:p>
        </w:tc>
        <w:tc>
          <w:tcPr>
            <w:tcW w:w="60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1200" w:type="dxa"/>
            <w:vAlign w:val="bottom"/>
            <w:gridSpan w:val="5"/>
            <w:vMerge w:val="continue"/>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Borders>
              <w:bottom w:val="single" w:sz="8" w:color="5E7A1C"/>
            </w:tcBorders>
            <w:shd w:val="clear" w:color="auto" w:fill="5E7A1C"/>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right w:val="single" w:sz="8" w:color="CCCCCC"/>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Borders>
              <w:bottom w:val="single" w:sz="8" w:color="5E7A1C"/>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5E7A1C"/>
            </w:tcBorders>
            <w:shd w:val="clear" w:color="auto" w:fill="5E7A1C"/>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right w:val="single" w:sz="8" w:color="CCCCCC"/>
            </w:tcBorders>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vMerge w:val="restart"/>
            <w:shd w:val="clear" w:color="auto" w:fill="2764A5"/>
          </w:tcPr>
          <w:p>
            <w:pPr>
              <w:jc w:val="right"/>
              <w:spacing w:after="0"/>
              <w:rPr>
                <w:sz w:val="20"/>
                <w:szCs w:val="20"/>
                <w:color w:val="auto"/>
              </w:rPr>
            </w:pPr>
            <w:r>
              <w:rPr>
                <w:rFonts w:ascii="Arial" w:cs="Arial" w:eastAsia="Arial" w:hAnsi="Arial"/>
                <w:sz w:val="19"/>
                <w:szCs w:val="19"/>
                <w:b w:val="1"/>
                <w:bCs w:val="1"/>
                <w:color w:val="FFFFFF"/>
              </w:rPr>
              <w:t>140.0</w:t>
            </w:r>
          </w:p>
        </w:tc>
        <w:tc>
          <w:tcPr>
            <w:tcW w:w="140" w:type="dxa"/>
            <w:vAlign w:val="bottom"/>
            <w:tcBorders>
              <w:right w:val="single" w:sz="8" w:color="2764A5"/>
            </w:tcBorders>
          </w:tcPr>
          <w:p>
            <w:pPr>
              <w:spacing w:after="0"/>
              <w:rPr>
                <w:sz w:val="6"/>
                <w:szCs w:val="6"/>
                <w:color w:val="auto"/>
              </w:rPr>
            </w:pPr>
          </w:p>
        </w:tc>
        <w:tc>
          <w:tcPr>
            <w:tcW w:w="560" w:type="dxa"/>
            <w:vAlign w:val="bottom"/>
            <w:vMerge w:val="restart"/>
            <w:shd w:val="clear" w:color="auto" w:fill="2764A5"/>
          </w:tcPr>
          <w:p>
            <w:pPr>
              <w:ind w:left="20"/>
              <w:spacing w:after="0"/>
              <w:rPr>
                <w:sz w:val="20"/>
                <w:szCs w:val="20"/>
                <w:color w:val="auto"/>
              </w:rPr>
            </w:pPr>
            <w:r>
              <w:rPr>
                <w:rFonts w:ascii="Arial" w:cs="Arial" w:eastAsia="Arial" w:hAnsi="Arial"/>
                <w:sz w:val="19"/>
                <w:szCs w:val="19"/>
                <w:b w:val="1"/>
                <w:bCs w:val="1"/>
                <w:color w:val="FFFFFF"/>
              </w:rPr>
              <w:t>112.3</w:t>
            </w:r>
          </w:p>
        </w:tc>
        <w:tc>
          <w:tcPr>
            <w:tcW w:w="500" w:type="dxa"/>
            <w:vAlign w:val="bottom"/>
            <w:gridSpan w:val="4"/>
            <w:vMerge w:val="continue"/>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0" w:type="dxa"/>
            <w:vAlign w:val="bottom"/>
            <w:gridSpan w:val="5"/>
            <w:vMerge w:val="continue"/>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restart"/>
            <w:shd w:val="clear" w:color="auto" w:fill="5E7A1C"/>
          </w:tcPr>
          <w:p>
            <w:pPr>
              <w:jc w:val="right"/>
              <w:ind w:right="18"/>
              <w:spacing w:after="0"/>
              <w:rPr>
                <w:sz w:val="20"/>
                <w:szCs w:val="20"/>
                <w:color w:val="auto"/>
              </w:rPr>
            </w:pPr>
            <w:r>
              <w:rPr>
                <w:rFonts w:ascii="Arial" w:cs="Arial" w:eastAsia="Arial" w:hAnsi="Arial"/>
                <w:sz w:val="19"/>
                <w:szCs w:val="19"/>
                <w:b w:val="1"/>
                <w:bCs w:val="1"/>
                <w:color w:val="FFFFFF"/>
              </w:rPr>
              <w:t>36.2</w:t>
            </w: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gridSpan w:val="4"/>
            <w:vMerge w:val="restart"/>
          </w:tcPr>
          <w:p>
            <w:pPr>
              <w:jc w:val="right"/>
              <w:spacing w:after="0"/>
              <w:rPr>
                <w:sz w:val="20"/>
                <w:szCs w:val="20"/>
                <w:color w:val="auto"/>
              </w:rPr>
            </w:pPr>
            <w:r>
              <w:rPr>
                <w:rFonts w:ascii="Arial" w:cs="Arial" w:eastAsia="Arial" w:hAnsi="Arial"/>
                <w:sz w:val="20"/>
                <w:szCs w:val="20"/>
                <w:b w:val="1"/>
                <w:bCs w:val="1"/>
                <w:color w:val="3F3C45"/>
              </w:rPr>
              <w:t>- 0%</w:t>
            </w:r>
          </w:p>
        </w:tc>
        <w:tc>
          <w:tcPr>
            <w:tcW w:w="580" w:type="dxa"/>
            <w:vAlign w:val="bottom"/>
            <w:vMerge w:val="restart"/>
            <w:shd w:val="clear" w:color="auto" w:fill="5E7A1C"/>
          </w:tcPr>
          <w:p>
            <w:pPr>
              <w:jc w:val="right"/>
              <w:ind w:right="34"/>
              <w:spacing w:after="0"/>
              <w:rPr>
                <w:sz w:val="20"/>
                <w:szCs w:val="20"/>
                <w:color w:val="auto"/>
              </w:rPr>
            </w:pPr>
            <w:r>
              <w:rPr>
                <w:rFonts w:ascii="Arial" w:cs="Arial" w:eastAsia="Arial" w:hAnsi="Arial"/>
                <w:sz w:val="19"/>
                <w:szCs w:val="19"/>
                <w:b w:val="1"/>
                <w:bCs w:val="1"/>
                <w:color w:val="FFFFFF"/>
              </w:rPr>
              <w:t>35.7</w:t>
            </w: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shd w:val="clear" w:color="auto" w:fill="5E7A1C"/>
          </w:tcPr>
          <w:p>
            <w:pPr>
              <w:jc w:val="right"/>
              <w:ind w:right="25"/>
              <w:spacing w:after="0"/>
              <w:rPr>
                <w:sz w:val="20"/>
                <w:szCs w:val="20"/>
                <w:color w:val="auto"/>
              </w:rPr>
            </w:pPr>
            <w:r>
              <w:rPr>
                <w:rFonts w:ascii="Arial" w:cs="Arial" w:eastAsia="Arial" w:hAnsi="Arial"/>
                <w:sz w:val="19"/>
                <w:szCs w:val="19"/>
                <w:b w:val="1"/>
                <w:bCs w:val="1"/>
                <w:color w:val="FFFFFF"/>
              </w:rPr>
              <w:t>40.6</w:t>
            </w: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vMerge w:val="continue"/>
            <w:shd w:val="clear" w:color="auto" w:fill="2764A5"/>
          </w:tcPr>
          <w:p>
            <w:pPr>
              <w:spacing w:after="0"/>
              <w:rPr>
                <w:sz w:val="5"/>
                <w:szCs w:val="5"/>
                <w:color w:val="auto"/>
              </w:rPr>
            </w:pPr>
          </w:p>
        </w:tc>
        <w:tc>
          <w:tcPr>
            <w:tcW w:w="140" w:type="dxa"/>
            <w:vAlign w:val="bottom"/>
            <w:tcBorders>
              <w:right w:val="single" w:sz="8" w:color="2764A5"/>
            </w:tcBorders>
          </w:tcPr>
          <w:p>
            <w:pPr>
              <w:spacing w:after="0"/>
              <w:rPr>
                <w:sz w:val="5"/>
                <w:szCs w:val="5"/>
                <w:color w:val="auto"/>
              </w:rPr>
            </w:pPr>
          </w:p>
        </w:tc>
        <w:tc>
          <w:tcPr>
            <w:tcW w:w="560" w:type="dxa"/>
            <w:vAlign w:val="bottom"/>
            <w:vMerge w:val="continue"/>
            <w:shd w:val="clear" w:color="auto" w:fill="2764A5"/>
          </w:tcPr>
          <w:p>
            <w:pPr>
              <w:spacing w:after="0"/>
              <w:rPr>
                <w:sz w:val="5"/>
                <w:szCs w:val="5"/>
                <w:color w:val="auto"/>
              </w:rPr>
            </w:pPr>
          </w:p>
        </w:tc>
        <w:tc>
          <w:tcPr>
            <w:tcW w:w="500" w:type="dxa"/>
            <w:vAlign w:val="bottom"/>
            <w:gridSpan w:val="4"/>
            <w:vMerge w:val="continue"/>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restart"/>
            <w:shd w:val="clear" w:color="auto" w:fill="2764A5"/>
          </w:tcPr>
          <w:p>
            <w:pPr>
              <w:jc w:val="right"/>
              <w:ind w:right="3"/>
              <w:spacing w:after="0"/>
              <w:rPr>
                <w:sz w:val="20"/>
                <w:szCs w:val="20"/>
                <w:color w:val="auto"/>
              </w:rPr>
            </w:pPr>
            <w:r>
              <w:rPr>
                <w:rFonts w:ascii="Arial" w:cs="Arial" w:eastAsia="Arial" w:hAnsi="Arial"/>
                <w:sz w:val="19"/>
                <w:szCs w:val="19"/>
                <w:b w:val="1"/>
                <w:bCs w:val="1"/>
                <w:color w:val="FFFFFF"/>
              </w:rPr>
              <w:t>33.5</w:t>
            </w: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shd w:val="clear" w:color="auto" w:fill="5E7A1C"/>
          </w:tcPr>
          <w:p>
            <w:pPr>
              <w:spacing w:after="0"/>
              <w:rPr>
                <w:sz w:val="5"/>
                <w:szCs w:val="5"/>
                <w:color w:val="auto"/>
              </w:rPr>
            </w:pPr>
          </w:p>
        </w:tc>
        <w:tc>
          <w:tcPr>
            <w:tcW w:w="200" w:type="dxa"/>
            <w:vAlign w:val="bottom"/>
            <w:tcBorders>
              <w:right w:val="single" w:sz="8" w:color="5E7A1C"/>
            </w:tcBorders>
          </w:tcPr>
          <w:p>
            <w:pPr>
              <w:spacing w:after="0"/>
              <w:rPr>
                <w:sz w:val="5"/>
                <w:szCs w:val="5"/>
                <w:color w:val="auto"/>
              </w:rPr>
            </w:pPr>
          </w:p>
        </w:tc>
        <w:tc>
          <w:tcPr>
            <w:tcW w:w="540" w:type="dxa"/>
            <w:vAlign w:val="bottom"/>
            <w:vMerge w:val="restart"/>
            <w:shd w:val="clear" w:color="auto" w:fill="5E7A1C"/>
          </w:tcPr>
          <w:p>
            <w:pPr>
              <w:jc w:val="right"/>
              <w:ind w:right="8"/>
              <w:spacing w:after="0"/>
              <w:rPr>
                <w:sz w:val="20"/>
                <w:szCs w:val="20"/>
                <w:color w:val="auto"/>
              </w:rPr>
            </w:pPr>
            <w:r>
              <w:rPr>
                <w:rFonts w:ascii="Arial" w:cs="Arial" w:eastAsia="Arial" w:hAnsi="Arial"/>
                <w:sz w:val="19"/>
                <w:szCs w:val="19"/>
                <w:b w:val="1"/>
                <w:bCs w:val="1"/>
                <w:color w:val="FFFFFF"/>
              </w:rPr>
              <w:t>25.4</w:t>
            </w:r>
          </w:p>
        </w:tc>
        <w:tc>
          <w:tcPr>
            <w:tcW w:w="540" w:type="dxa"/>
            <w:vAlign w:val="bottom"/>
            <w:gridSpan w:val="4"/>
            <w:vMerge w:val="continue"/>
          </w:tcPr>
          <w:p>
            <w:pPr>
              <w:spacing w:after="0"/>
              <w:rPr>
                <w:sz w:val="5"/>
                <w:szCs w:val="5"/>
                <w:color w:val="auto"/>
              </w:rPr>
            </w:pPr>
          </w:p>
        </w:tc>
        <w:tc>
          <w:tcPr>
            <w:tcW w:w="580" w:type="dxa"/>
            <w:vAlign w:val="bottom"/>
            <w:vMerge w:val="continue"/>
            <w:shd w:val="clear" w:color="auto" w:fill="5E7A1C"/>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continue"/>
            <w:shd w:val="clear" w:color="auto" w:fill="5E7A1C"/>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vMerge w:val="continue"/>
            <w:shd w:val="clear" w:color="auto" w:fill="2764A5"/>
          </w:tcPr>
          <w:p>
            <w:pPr>
              <w:spacing w:after="0"/>
              <w:rPr>
                <w:sz w:val="6"/>
                <w:szCs w:val="6"/>
                <w:color w:val="auto"/>
              </w:rPr>
            </w:pPr>
          </w:p>
        </w:tc>
        <w:tc>
          <w:tcPr>
            <w:tcW w:w="140" w:type="dxa"/>
            <w:vAlign w:val="bottom"/>
            <w:tcBorders>
              <w:right w:val="single" w:sz="8" w:color="2764A5"/>
            </w:tcBorders>
          </w:tcPr>
          <w:p>
            <w:pPr>
              <w:spacing w:after="0"/>
              <w:rPr>
                <w:sz w:val="6"/>
                <w:szCs w:val="6"/>
                <w:color w:val="auto"/>
              </w:rPr>
            </w:pPr>
          </w:p>
        </w:tc>
        <w:tc>
          <w:tcPr>
            <w:tcW w:w="560" w:type="dxa"/>
            <w:vAlign w:val="bottom"/>
            <w:vMerge w:val="continue"/>
            <w:shd w:val="clear" w:color="auto" w:fill="2764A5"/>
          </w:tcPr>
          <w:p>
            <w:pPr>
              <w:spacing w:after="0"/>
              <w:rPr>
                <w:sz w:val="6"/>
                <w:szCs w:val="6"/>
                <w:color w:val="auto"/>
              </w:rPr>
            </w:pPr>
          </w:p>
        </w:tc>
        <w:tc>
          <w:tcPr>
            <w:tcW w:w="500" w:type="dxa"/>
            <w:vAlign w:val="bottom"/>
            <w:gridSpan w:val="4"/>
            <w:vMerge w:val="continue"/>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shd w:val="clear" w:color="auto" w:fill="2764A5"/>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Borders>
              <w:right w:val="single" w:sz="8" w:color="CCCCCC"/>
            </w:tcBorders>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shd w:val="clear" w:color="auto" w:fill="5E7A1C"/>
          </w:tcPr>
          <w:p>
            <w:pPr>
              <w:spacing w:after="0"/>
              <w:rPr>
                <w:sz w:val="6"/>
                <w:szCs w:val="6"/>
                <w:color w:val="auto"/>
              </w:rPr>
            </w:pPr>
          </w:p>
        </w:tc>
        <w:tc>
          <w:tcPr>
            <w:tcW w:w="200" w:type="dxa"/>
            <w:vAlign w:val="bottom"/>
            <w:tcBorders>
              <w:right w:val="single" w:sz="8" w:color="5E7A1C"/>
            </w:tcBorders>
          </w:tcPr>
          <w:p>
            <w:pPr>
              <w:spacing w:after="0"/>
              <w:rPr>
                <w:sz w:val="6"/>
                <w:szCs w:val="6"/>
                <w:color w:val="auto"/>
              </w:rPr>
            </w:pPr>
          </w:p>
        </w:tc>
        <w:tc>
          <w:tcPr>
            <w:tcW w:w="540" w:type="dxa"/>
            <w:vAlign w:val="bottom"/>
            <w:vMerge w:val="continue"/>
            <w:shd w:val="clear" w:color="auto" w:fill="5E7A1C"/>
          </w:tcPr>
          <w:p>
            <w:pPr>
              <w:spacing w:after="0"/>
              <w:rPr>
                <w:sz w:val="6"/>
                <w:szCs w:val="6"/>
                <w:color w:val="auto"/>
              </w:rPr>
            </w:pPr>
          </w:p>
        </w:tc>
        <w:tc>
          <w:tcPr>
            <w:tcW w:w="540" w:type="dxa"/>
            <w:vAlign w:val="bottom"/>
            <w:gridSpan w:val="4"/>
            <w:vMerge w:val="continue"/>
          </w:tcPr>
          <w:p>
            <w:pPr>
              <w:spacing w:after="0"/>
              <w:rPr>
                <w:sz w:val="6"/>
                <w:szCs w:val="6"/>
                <w:color w:val="auto"/>
              </w:rPr>
            </w:pPr>
          </w:p>
        </w:tc>
        <w:tc>
          <w:tcPr>
            <w:tcW w:w="580" w:type="dxa"/>
            <w:vAlign w:val="bottom"/>
            <w:vMerge w:val="continue"/>
            <w:shd w:val="clear" w:color="auto" w:fill="5E7A1C"/>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continue"/>
            <w:shd w:val="clear" w:color="auto" w:fill="5E7A1C"/>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20" w:type="dxa"/>
            <w:vAlign w:val="bottom"/>
            <w:gridSpan w:val="2"/>
          </w:tcPr>
          <w:p>
            <w:pPr>
              <w:spacing w:after="0"/>
              <w:rPr>
                <w:sz w:val="5"/>
                <w:szCs w:val="5"/>
                <w:color w:val="auto"/>
              </w:rPr>
            </w:pPr>
          </w:p>
        </w:tc>
        <w:tc>
          <w:tcPr>
            <w:tcW w:w="580" w:type="dxa"/>
            <w:vAlign w:val="bottom"/>
            <w:tcBorders>
              <w:bottom w:val="single" w:sz="8" w:color="2764A5"/>
            </w:tcBorders>
            <w:vMerge w:val="continue"/>
            <w:shd w:val="clear" w:color="auto" w:fill="2764A5"/>
          </w:tcPr>
          <w:p>
            <w:pPr>
              <w:spacing w:after="0"/>
              <w:rPr>
                <w:sz w:val="5"/>
                <w:szCs w:val="5"/>
                <w:color w:val="auto"/>
              </w:rPr>
            </w:pPr>
          </w:p>
        </w:tc>
        <w:tc>
          <w:tcPr>
            <w:tcW w:w="140" w:type="dxa"/>
            <w:vAlign w:val="bottom"/>
            <w:tcBorders>
              <w:right w:val="single" w:sz="8" w:color="2764A5"/>
            </w:tcBorders>
          </w:tcPr>
          <w:p>
            <w:pPr>
              <w:spacing w:after="0"/>
              <w:rPr>
                <w:sz w:val="5"/>
                <w:szCs w:val="5"/>
                <w:color w:val="auto"/>
              </w:rPr>
            </w:pPr>
          </w:p>
        </w:tc>
        <w:tc>
          <w:tcPr>
            <w:tcW w:w="560" w:type="dxa"/>
            <w:vAlign w:val="bottom"/>
            <w:tcBorders>
              <w:bottom w:val="single" w:sz="8" w:color="2764A5"/>
            </w:tcBorders>
            <w:vMerge w:val="continue"/>
            <w:shd w:val="clear" w:color="auto" w:fill="2764A5"/>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2764A5"/>
            </w:tcBorders>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Borders>
              <w:bottom w:val="single" w:sz="8" w:color="2764A5"/>
            </w:tcBorders>
            <w:vMerge w:val="continue"/>
            <w:shd w:val="clear" w:color="auto" w:fill="2764A5"/>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Borders>
              <w:right w:val="single" w:sz="8" w:color="CCCCCC"/>
            </w:tcBorders>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gridSpan w:val="2"/>
            <w:vMerge w:val="restart"/>
          </w:tcPr>
          <w:p>
            <w:pPr>
              <w:spacing w:after="0"/>
              <w:rPr>
                <w:sz w:val="5"/>
                <w:szCs w:val="5"/>
                <w:color w:val="auto"/>
              </w:rPr>
            </w:pPr>
          </w:p>
        </w:tc>
        <w:tc>
          <w:tcPr>
            <w:tcW w:w="100" w:type="dxa"/>
            <w:vAlign w:val="bottom"/>
            <w:vMerge w:val="restart"/>
          </w:tcPr>
          <w:p>
            <w:pPr>
              <w:spacing w:after="0"/>
              <w:rPr>
                <w:sz w:val="5"/>
                <w:szCs w:val="5"/>
                <w:color w:val="auto"/>
              </w:rPr>
            </w:pPr>
          </w:p>
        </w:tc>
        <w:tc>
          <w:tcPr>
            <w:tcW w:w="580" w:type="dxa"/>
            <w:vAlign w:val="bottom"/>
            <w:tcBorders>
              <w:bottom w:val="single" w:sz="8" w:color="5E7A1C"/>
            </w:tcBorders>
            <w:vMerge w:val="continue"/>
            <w:shd w:val="clear" w:color="auto" w:fill="5E7A1C"/>
          </w:tcPr>
          <w:p>
            <w:pPr>
              <w:spacing w:after="0"/>
              <w:rPr>
                <w:sz w:val="5"/>
                <w:szCs w:val="5"/>
                <w:color w:val="auto"/>
              </w:rPr>
            </w:pPr>
          </w:p>
        </w:tc>
        <w:tc>
          <w:tcPr>
            <w:tcW w:w="200" w:type="dxa"/>
            <w:vAlign w:val="bottom"/>
            <w:tcBorders>
              <w:right w:val="single" w:sz="8" w:color="5E7A1C"/>
            </w:tcBorders>
            <w:vMerge w:val="restart"/>
          </w:tcPr>
          <w:p>
            <w:pPr>
              <w:spacing w:after="0"/>
              <w:rPr>
                <w:sz w:val="5"/>
                <w:szCs w:val="5"/>
                <w:color w:val="auto"/>
              </w:rPr>
            </w:pPr>
          </w:p>
        </w:tc>
        <w:tc>
          <w:tcPr>
            <w:tcW w:w="540" w:type="dxa"/>
            <w:vAlign w:val="bottom"/>
            <w:tcBorders>
              <w:bottom w:val="single" w:sz="8" w:color="5E7A1C"/>
            </w:tcBorders>
            <w:vMerge w:val="continue"/>
            <w:shd w:val="clear" w:color="auto" w:fill="5E7A1C"/>
          </w:tcPr>
          <w:p>
            <w:pPr>
              <w:spacing w:after="0"/>
              <w:rPr>
                <w:sz w:val="5"/>
                <w:szCs w:val="5"/>
                <w:color w:val="auto"/>
              </w:rPr>
            </w:pPr>
          </w:p>
        </w:tc>
        <w:tc>
          <w:tcPr>
            <w:tcW w:w="540" w:type="dxa"/>
            <w:vAlign w:val="bottom"/>
            <w:gridSpan w:val="4"/>
            <w:vMerge w:val="continue"/>
          </w:tcPr>
          <w:p>
            <w:pPr>
              <w:spacing w:after="0"/>
              <w:rPr>
                <w:sz w:val="5"/>
                <w:szCs w:val="5"/>
                <w:color w:val="auto"/>
              </w:rPr>
            </w:pPr>
          </w:p>
        </w:tc>
        <w:tc>
          <w:tcPr>
            <w:tcW w:w="580" w:type="dxa"/>
            <w:vAlign w:val="bottom"/>
            <w:tcBorders>
              <w:bottom w:val="single" w:sz="8" w:color="5E7A1C"/>
            </w:tcBorders>
            <w:vMerge w:val="continue"/>
            <w:shd w:val="clear" w:color="auto" w:fill="5E7A1C"/>
          </w:tcPr>
          <w:p>
            <w:pPr>
              <w:spacing w:after="0"/>
              <w:rPr>
                <w:sz w:val="5"/>
                <w:szCs w:val="5"/>
                <w:color w:val="auto"/>
              </w:rPr>
            </w:pPr>
          </w:p>
        </w:tc>
        <w:tc>
          <w:tcPr>
            <w:tcW w:w="60" w:type="dxa"/>
            <w:vAlign w:val="bottom"/>
            <w:vMerge w:val="restart"/>
          </w:tcPr>
          <w:p>
            <w:pPr>
              <w:spacing w:after="0"/>
              <w:rPr>
                <w:sz w:val="5"/>
                <w:szCs w:val="5"/>
                <w:color w:val="auto"/>
              </w:rPr>
            </w:pPr>
          </w:p>
        </w:tc>
        <w:tc>
          <w:tcPr>
            <w:tcW w:w="80" w:type="dxa"/>
            <w:vAlign w:val="bottom"/>
            <w:vMerge w:val="restart"/>
          </w:tcPr>
          <w:p>
            <w:pPr>
              <w:spacing w:after="0"/>
              <w:rPr>
                <w:sz w:val="5"/>
                <w:szCs w:val="5"/>
                <w:color w:val="auto"/>
              </w:rPr>
            </w:pPr>
          </w:p>
        </w:tc>
        <w:tc>
          <w:tcPr>
            <w:tcW w:w="600" w:type="dxa"/>
            <w:vAlign w:val="bottom"/>
            <w:tcBorders>
              <w:bottom w:val="single" w:sz="8" w:color="5E7A1C"/>
            </w:tcBorders>
            <w:vMerge w:val="continue"/>
            <w:shd w:val="clear" w:color="auto" w:fill="5E7A1C"/>
          </w:tcPr>
          <w:p>
            <w:pPr>
              <w:spacing w:after="0"/>
              <w:rPr>
                <w:sz w:val="5"/>
                <w:szCs w:val="5"/>
                <w:color w:val="auto"/>
              </w:rPr>
            </w:pPr>
          </w:p>
        </w:tc>
        <w:tc>
          <w:tcPr>
            <w:tcW w:w="100" w:type="dxa"/>
            <w:vAlign w:val="bottom"/>
            <w:vMerge w:val="restart"/>
          </w:tcPr>
          <w:p>
            <w:pPr>
              <w:spacing w:after="0"/>
              <w:rPr>
                <w:sz w:val="5"/>
                <w:szCs w:val="5"/>
                <w:color w:val="auto"/>
              </w:rPr>
            </w:pPr>
          </w:p>
        </w:tc>
        <w:tc>
          <w:tcPr>
            <w:tcW w:w="120" w:type="dxa"/>
            <w:vAlign w:val="bottom"/>
            <w:vMerge w:val="restart"/>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20" w:type="dxa"/>
            <w:vAlign w:val="bottom"/>
            <w:gridSpan w:val="2"/>
          </w:tcPr>
          <w:p>
            <w:pPr>
              <w:spacing w:after="0"/>
              <w:rPr>
                <w:sz w:val="7"/>
                <w:szCs w:val="7"/>
                <w:color w:val="auto"/>
              </w:rPr>
            </w:pPr>
          </w:p>
        </w:tc>
        <w:tc>
          <w:tcPr>
            <w:tcW w:w="580" w:type="dxa"/>
            <w:vAlign w:val="bottom"/>
            <w:vMerge w:val="continue"/>
            <w:shd w:val="clear" w:color="auto" w:fill="2764A5"/>
          </w:tcPr>
          <w:p>
            <w:pPr>
              <w:spacing w:after="0"/>
              <w:rPr>
                <w:sz w:val="7"/>
                <w:szCs w:val="7"/>
                <w:color w:val="auto"/>
              </w:rPr>
            </w:pPr>
          </w:p>
        </w:tc>
        <w:tc>
          <w:tcPr>
            <w:tcW w:w="140" w:type="dxa"/>
            <w:vAlign w:val="bottom"/>
            <w:tcBorders>
              <w:right w:val="single" w:sz="8" w:color="2764A5"/>
            </w:tcBorders>
          </w:tcPr>
          <w:p>
            <w:pPr>
              <w:spacing w:after="0"/>
              <w:rPr>
                <w:sz w:val="7"/>
                <w:szCs w:val="7"/>
                <w:color w:val="auto"/>
              </w:rPr>
            </w:pPr>
          </w:p>
        </w:tc>
        <w:tc>
          <w:tcPr>
            <w:tcW w:w="560" w:type="dxa"/>
            <w:vAlign w:val="bottom"/>
            <w:vMerge w:val="continue"/>
            <w:shd w:val="clear" w:color="auto" w:fill="2764A5"/>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restart"/>
            <w:shd w:val="clear" w:color="auto" w:fill="2764A5"/>
          </w:tcPr>
          <w:p>
            <w:pPr>
              <w:ind w:left="120"/>
              <w:spacing w:after="0"/>
              <w:rPr>
                <w:sz w:val="20"/>
                <w:szCs w:val="20"/>
                <w:color w:val="auto"/>
              </w:rPr>
            </w:pPr>
            <w:r>
              <w:rPr>
                <w:rFonts w:ascii="Arial" w:cs="Arial" w:eastAsia="Arial" w:hAnsi="Arial"/>
                <w:sz w:val="19"/>
                <w:szCs w:val="19"/>
                <w:b w:val="1"/>
                <w:bCs w:val="1"/>
                <w:color w:val="FFFFFF"/>
              </w:rPr>
              <w:t>30.9</w:t>
            </w:r>
          </w:p>
        </w:tc>
        <w:tc>
          <w:tcPr>
            <w:tcW w:w="120" w:type="dxa"/>
            <w:vAlign w:val="bottom"/>
          </w:tcPr>
          <w:p>
            <w:pPr>
              <w:spacing w:after="0"/>
              <w:rPr>
                <w:sz w:val="7"/>
                <w:szCs w:val="7"/>
                <w:color w:val="auto"/>
              </w:rPr>
            </w:pPr>
          </w:p>
        </w:tc>
        <w:tc>
          <w:tcPr>
            <w:tcW w:w="580" w:type="dxa"/>
            <w:vAlign w:val="bottom"/>
            <w:vMerge w:val="continue"/>
            <w:shd w:val="clear" w:color="auto" w:fill="2764A5"/>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580" w:type="dxa"/>
            <w:vAlign w:val="bottom"/>
            <w:vMerge w:val="continue"/>
            <w:shd w:val="clear" w:color="auto" w:fill="5E7A1C"/>
          </w:tcPr>
          <w:p>
            <w:pPr>
              <w:spacing w:after="0"/>
              <w:rPr>
                <w:sz w:val="7"/>
                <w:szCs w:val="7"/>
                <w:color w:val="auto"/>
              </w:rPr>
            </w:pPr>
          </w:p>
        </w:tc>
        <w:tc>
          <w:tcPr>
            <w:tcW w:w="200" w:type="dxa"/>
            <w:vAlign w:val="bottom"/>
            <w:tcBorders>
              <w:right w:val="single" w:sz="8" w:color="5E7A1C"/>
            </w:tcBorders>
            <w:vMerge w:val="continue"/>
          </w:tcPr>
          <w:p>
            <w:pPr>
              <w:spacing w:after="0"/>
              <w:rPr>
                <w:sz w:val="7"/>
                <w:szCs w:val="7"/>
                <w:color w:val="auto"/>
              </w:rPr>
            </w:pPr>
          </w:p>
        </w:tc>
        <w:tc>
          <w:tcPr>
            <w:tcW w:w="540" w:type="dxa"/>
            <w:vAlign w:val="bottom"/>
            <w:vMerge w:val="continue"/>
            <w:shd w:val="clear" w:color="auto" w:fill="5E7A1C"/>
          </w:tcPr>
          <w:p>
            <w:pPr>
              <w:spacing w:after="0"/>
              <w:rPr>
                <w:sz w:val="7"/>
                <w:szCs w:val="7"/>
                <w:color w:val="auto"/>
              </w:rPr>
            </w:pPr>
          </w:p>
        </w:tc>
        <w:tc>
          <w:tcPr>
            <w:tcW w:w="540" w:type="dxa"/>
            <w:vAlign w:val="bottom"/>
            <w:gridSpan w:val="4"/>
            <w:vMerge w:val="continue"/>
          </w:tcPr>
          <w:p>
            <w:pPr>
              <w:spacing w:after="0"/>
              <w:rPr>
                <w:sz w:val="7"/>
                <w:szCs w:val="7"/>
                <w:color w:val="auto"/>
              </w:rPr>
            </w:pPr>
          </w:p>
        </w:tc>
        <w:tc>
          <w:tcPr>
            <w:tcW w:w="580" w:type="dxa"/>
            <w:vAlign w:val="bottom"/>
            <w:vMerge w:val="continue"/>
            <w:shd w:val="clear" w:color="auto" w:fill="5E7A1C"/>
          </w:tcPr>
          <w:p>
            <w:pPr>
              <w:spacing w:after="0"/>
              <w:rPr>
                <w:sz w:val="7"/>
                <w:szCs w:val="7"/>
                <w:color w:val="auto"/>
              </w:rPr>
            </w:pPr>
          </w:p>
        </w:tc>
        <w:tc>
          <w:tcPr>
            <w:tcW w:w="6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600" w:type="dxa"/>
            <w:vAlign w:val="bottom"/>
            <w:vMerge w:val="continue"/>
            <w:shd w:val="clear" w:color="auto" w:fill="5E7A1C"/>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2764A5"/>
          </w:tcPr>
          <w:p>
            <w:pPr>
              <w:spacing w:after="0"/>
              <w:rPr>
                <w:sz w:val="19"/>
                <w:szCs w:val="19"/>
                <w:color w:val="auto"/>
              </w:rPr>
            </w:pPr>
          </w:p>
        </w:tc>
        <w:tc>
          <w:tcPr>
            <w:tcW w:w="140" w:type="dxa"/>
            <w:vAlign w:val="bottom"/>
            <w:tcBorders>
              <w:right w:val="single" w:sz="8" w:color="2764A5"/>
            </w:tcBorders>
          </w:tcPr>
          <w:p>
            <w:pPr>
              <w:spacing w:after="0"/>
              <w:rPr>
                <w:sz w:val="19"/>
                <w:szCs w:val="19"/>
                <w:color w:val="auto"/>
              </w:rPr>
            </w:pPr>
          </w:p>
        </w:tc>
        <w:tc>
          <w:tcPr>
            <w:tcW w:w="560" w:type="dxa"/>
            <w:vAlign w:val="bottom"/>
            <w:vMerge w:val="continue"/>
            <w:shd w:val="clear" w:color="auto" w:fill="2764A5"/>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shd w:val="clear" w:color="auto" w:fill="2764A5"/>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vMerge w:val="continue"/>
            <w:shd w:val="clear" w:color="auto" w:fill="2764A5"/>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shd w:val="clear" w:color="auto" w:fill="5E7A1C"/>
          </w:tcPr>
          <w:p>
            <w:pPr>
              <w:spacing w:after="0"/>
              <w:rPr>
                <w:sz w:val="19"/>
                <w:szCs w:val="19"/>
                <w:color w:val="auto"/>
              </w:rPr>
            </w:pPr>
          </w:p>
        </w:tc>
        <w:tc>
          <w:tcPr>
            <w:tcW w:w="200" w:type="dxa"/>
            <w:vAlign w:val="bottom"/>
            <w:tcBorders>
              <w:right w:val="single" w:sz="8" w:color="5E7A1C"/>
            </w:tcBorders>
          </w:tcPr>
          <w:p>
            <w:pPr>
              <w:spacing w:after="0"/>
              <w:rPr>
                <w:sz w:val="19"/>
                <w:szCs w:val="19"/>
                <w:color w:val="auto"/>
              </w:rPr>
            </w:pPr>
          </w:p>
        </w:tc>
        <w:tc>
          <w:tcPr>
            <w:tcW w:w="540" w:type="dxa"/>
            <w:vAlign w:val="bottom"/>
            <w:vMerge w:val="continue"/>
            <w:shd w:val="clear" w:color="auto" w:fill="5E7A1C"/>
          </w:tcPr>
          <w:p>
            <w:pPr>
              <w:spacing w:after="0"/>
              <w:rPr>
                <w:sz w:val="19"/>
                <w:szCs w:val="19"/>
                <w:color w:val="auto"/>
              </w:rPr>
            </w:pPr>
          </w:p>
        </w:tc>
        <w:tc>
          <w:tcPr>
            <w:tcW w:w="420" w:type="dxa"/>
            <w:vAlign w:val="bottom"/>
            <w:gridSpan w:val="3"/>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vMerge w:val="continue"/>
            <w:shd w:val="clear" w:color="auto" w:fill="5E7A1C"/>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shd w:val="clear" w:color="auto" w:fill="5E7A1C"/>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3"/>
        </w:trPr>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shd w:val="clear" w:color="auto" w:fill="2764A5"/>
          </w:tcPr>
          <w:p>
            <w:pPr>
              <w:spacing w:after="0"/>
              <w:rPr>
                <w:sz w:val="8"/>
                <w:szCs w:val="8"/>
                <w:color w:val="auto"/>
              </w:rPr>
            </w:pPr>
          </w:p>
        </w:tc>
        <w:tc>
          <w:tcPr>
            <w:tcW w:w="140" w:type="dxa"/>
            <w:vAlign w:val="bottom"/>
            <w:tcBorders>
              <w:right w:val="single" w:sz="8" w:color="2764A5"/>
            </w:tcBorders>
          </w:tcPr>
          <w:p>
            <w:pPr>
              <w:spacing w:after="0"/>
              <w:rPr>
                <w:sz w:val="8"/>
                <w:szCs w:val="8"/>
                <w:color w:val="auto"/>
              </w:rPr>
            </w:pPr>
          </w:p>
        </w:tc>
        <w:tc>
          <w:tcPr>
            <w:tcW w:w="560" w:type="dxa"/>
            <w:vAlign w:val="bottom"/>
            <w:shd w:val="clear" w:color="auto" w:fill="2764A5"/>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continue"/>
            <w:shd w:val="clear" w:color="auto" w:fill="2764A5"/>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continue"/>
            <w:shd w:val="clear" w:color="auto" w:fill="2764A5"/>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shd w:val="clear" w:color="auto" w:fill="5E7A1C"/>
          </w:tcPr>
          <w:p>
            <w:pPr>
              <w:spacing w:after="0"/>
              <w:rPr>
                <w:sz w:val="8"/>
                <w:szCs w:val="8"/>
                <w:color w:val="auto"/>
              </w:rPr>
            </w:pPr>
          </w:p>
        </w:tc>
        <w:tc>
          <w:tcPr>
            <w:tcW w:w="200" w:type="dxa"/>
            <w:vAlign w:val="bottom"/>
            <w:tcBorders>
              <w:right w:val="single" w:sz="8" w:color="5E7A1C"/>
            </w:tcBorders>
          </w:tcPr>
          <w:p>
            <w:pPr>
              <w:spacing w:after="0"/>
              <w:rPr>
                <w:sz w:val="8"/>
                <w:szCs w:val="8"/>
                <w:color w:val="auto"/>
              </w:rPr>
            </w:pPr>
          </w:p>
        </w:tc>
        <w:tc>
          <w:tcPr>
            <w:tcW w:w="540" w:type="dxa"/>
            <w:vAlign w:val="bottom"/>
            <w:vMerge w:val="continue"/>
            <w:shd w:val="clear" w:color="auto" w:fill="5E7A1C"/>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shd w:val="clear" w:color="auto" w:fill="5E7A1C"/>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shd w:val="clear" w:color="auto" w:fill="5E7A1C"/>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shd w:val="clear" w:color="auto" w:fill="2764A5"/>
          </w:tcPr>
          <w:p>
            <w:pPr>
              <w:spacing w:after="0"/>
              <w:rPr>
                <w:sz w:val="12"/>
                <w:szCs w:val="12"/>
                <w:color w:val="auto"/>
              </w:rPr>
            </w:pPr>
          </w:p>
        </w:tc>
        <w:tc>
          <w:tcPr>
            <w:tcW w:w="140" w:type="dxa"/>
            <w:vAlign w:val="bottom"/>
            <w:tcBorders>
              <w:right w:val="single" w:sz="8" w:color="2764A5"/>
            </w:tcBorders>
          </w:tcPr>
          <w:p>
            <w:pPr>
              <w:spacing w:after="0"/>
              <w:rPr>
                <w:sz w:val="12"/>
                <w:szCs w:val="12"/>
                <w:color w:val="auto"/>
              </w:rPr>
            </w:pPr>
          </w:p>
        </w:tc>
        <w:tc>
          <w:tcPr>
            <w:tcW w:w="560" w:type="dxa"/>
            <w:vAlign w:val="bottom"/>
            <w:shd w:val="clear" w:color="auto" w:fill="2764A5"/>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continue"/>
            <w:shd w:val="clear" w:color="auto" w:fill="2764A5"/>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shd w:val="clear" w:color="auto" w:fill="2764A5"/>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shd w:val="clear" w:color="auto" w:fill="5E7A1C"/>
          </w:tcPr>
          <w:p>
            <w:pPr>
              <w:spacing w:after="0"/>
              <w:rPr>
                <w:sz w:val="12"/>
                <w:szCs w:val="12"/>
                <w:color w:val="auto"/>
              </w:rPr>
            </w:pPr>
          </w:p>
        </w:tc>
        <w:tc>
          <w:tcPr>
            <w:tcW w:w="200" w:type="dxa"/>
            <w:vAlign w:val="bottom"/>
            <w:tcBorders>
              <w:right w:val="single" w:sz="8" w:color="5E7A1C"/>
            </w:tcBorders>
          </w:tcPr>
          <w:p>
            <w:pPr>
              <w:spacing w:after="0"/>
              <w:rPr>
                <w:sz w:val="12"/>
                <w:szCs w:val="12"/>
                <w:color w:val="auto"/>
              </w:rPr>
            </w:pPr>
          </w:p>
        </w:tc>
        <w:tc>
          <w:tcPr>
            <w:tcW w:w="540" w:type="dxa"/>
            <w:vAlign w:val="bottom"/>
            <w:shd w:val="clear" w:color="auto" w:fill="5E7A1C"/>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shd w:val="clear" w:color="auto" w:fill="5E7A1C"/>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shd w:val="clear" w:color="auto" w:fill="5E7A1C"/>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5"/>
        </w:trPr>
        <w:tc>
          <w:tcPr>
            <w:tcW w:w="40" w:type="dxa"/>
            <w:vAlign w:val="bottom"/>
          </w:tcPr>
          <w:p>
            <w:pPr>
              <w:spacing w:after="0"/>
              <w:rPr>
                <w:sz w:val="24"/>
                <w:szCs w:val="24"/>
                <w:color w:val="auto"/>
              </w:rPr>
            </w:pPr>
          </w:p>
        </w:tc>
        <w:tc>
          <w:tcPr>
            <w:tcW w:w="120" w:type="dxa"/>
            <w:vAlign w:val="bottom"/>
            <w:tcBorders>
              <w:bottom w:val="single" w:sz="8" w:color="D9D9D9"/>
            </w:tcBorders>
            <w:gridSpan w:val="2"/>
          </w:tcPr>
          <w:p>
            <w:pPr>
              <w:spacing w:after="0"/>
              <w:rPr>
                <w:sz w:val="24"/>
                <w:szCs w:val="24"/>
                <w:color w:val="auto"/>
              </w:rPr>
            </w:pPr>
          </w:p>
        </w:tc>
        <w:tc>
          <w:tcPr>
            <w:tcW w:w="580" w:type="dxa"/>
            <w:vAlign w:val="bottom"/>
            <w:tcBorders>
              <w:bottom w:val="single" w:sz="8" w:color="D9D9D9"/>
            </w:tcBorders>
            <w:shd w:val="clear" w:color="auto" w:fill="2764A5"/>
          </w:tcPr>
          <w:p>
            <w:pPr>
              <w:spacing w:after="0"/>
              <w:rPr>
                <w:sz w:val="24"/>
                <w:szCs w:val="24"/>
                <w:color w:val="auto"/>
              </w:rPr>
            </w:pPr>
          </w:p>
        </w:tc>
        <w:tc>
          <w:tcPr>
            <w:tcW w:w="140" w:type="dxa"/>
            <w:vAlign w:val="bottom"/>
            <w:tcBorders>
              <w:bottom w:val="single" w:sz="8" w:color="D9D9D9"/>
              <w:right w:val="single" w:sz="8" w:color="2764A5"/>
            </w:tcBorders>
          </w:tcPr>
          <w:p>
            <w:pPr>
              <w:spacing w:after="0"/>
              <w:rPr>
                <w:sz w:val="24"/>
                <w:szCs w:val="24"/>
                <w:color w:val="auto"/>
              </w:rPr>
            </w:pPr>
          </w:p>
        </w:tc>
        <w:tc>
          <w:tcPr>
            <w:tcW w:w="560" w:type="dxa"/>
            <w:vAlign w:val="bottom"/>
            <w:tcBorders>
              <w:bottom w:val="single" w:sz="8" w:color="D9D9D9"/>
            </w:tcBorders>
            <w:shd w:val="clear" w:color="auto" w:fill="2764A5"/>
          </w:tcPr>
          <w:p>
            <w:pPr>
              <w:spacing w:after="0"/>
              <w:rPr>
                <w:sz w:val="24"/>
                <w:szCs w:val="24"/>
                <w:color w:val="auto"/>
              </w:rPr>
            </w:pPr>
          </w:p>
        </w:tc>
        <w:tc>
          <w:tcPr>
            <w:tcW w:w="100" w:type="dxa"/>
            <w:vAlign w:val="bottom"/>
            <w:tcBorders>
              <w:bottom w:val="single" w:sz="8" w:color="D9D9D9"/>
            </w:tcBorders>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bottom w:val="single" w:sz="8" w:color="D9D9D9"/>
            </w:tcBorders>
          </w:tcPr>
          <w:p>
            <w:pPr>
              <w:spacing w:after="0"/>
              <w:rPr>
                <w:sz w:val="24"/>
                <w:szCs w:val="24"/>
                <w:color w:val="auto"/>
              </w:rPr>
            </w:pPr>
          </w:p>
        </w:tc>
        <w:tc>
          <w:tcPr>
            <w:tcW w:w="600" w:type="dxa"/>
            <w:vAlign w:val="bottom"/>
            <w:tcBorders>
              <w:bottom w:val="single" w:sz="8" w:color="D9D9D9"/>
            </w:tcBorders>
            <w:shd w:val="clear" w:color="auto" w:fill="2764A5"/>
          </w:tcPr>
          <w:p>
            <w:pPr>
              <w:spacing w:after="0"/>
              <w:rPr>
                <w:sz w:val="24"/>
                <w:szCs w:val="24"/>
                <w:color w:val="auto"/>
              </w:rPr>
            </w:pPr>
          </w:p>
        </w:tc>
        <w:tc>
          <w:tcPr>
            <w:tcW w:w="120" w:type="dxa"/>
            <w:vAlign w:val="bottom"/>
            <w:tcBorders>
              <w:bottom w:val="single" w:sz="8" w:color="D9D9D9"/>
            </w:tcBorders>
          </w:tcPr>
          <w:p>
            <w:pPr>
              <w:spacing w:after="0"/>
              <w:rPr>
                <w:sz w:val="24"/>
                <w:szCs w:val="24"/>
                <w:color w:val="auto"/>
              </w:rPr>
            </w:pPr>
          </w:p>
        </w:tc>
        <w:tc>
          <w:tcPr>
            <w:tcW w:w="580" w:type="dxa"/>
            <w:vAlign w:val="bottom"/>
            <w:tcBorders>
              <w:bottom w:val="single" w:sz="8" w:color="D9D9D9"/>
            </w:tcBorders>
            <w:shd w:val="clear" w:color="auto" w:fill="2764A5"/>
          </w:tcPr>
          <w:p>
            <w:pPr>
              <w:spacing w:after="0"/>
              <w:rPr>
                <w:sz w:val="24"/>
                <w:szCs w:val="24"/>
                <w:color w:val="auto"/>
              </w:rPr>
            </w:pPr>
          </w:p>
        </w:tc>
        <w:tc>
          <w:tcPr>
            <w:tcW w:w="100" w:type="dxa"/>
            <w:vAlign w:val="bottom"/>
            <w:tcBorders>
              <w:bottom w:val="single" w:sz="8" w:color="D9D9D9"/>
            </w:tcBorders>
          </w:tcPr>
          <w:p>
            <w:pPr>
              <w:spacing w:after="0"/>
              <w:rPr>
                <w:sz w:val="24"/>
                <w:szCs w:val="24"/>
                <w:color w:val="auto"/>
              </w:rPr>
            </w:pPr>
          </w:p>
        </w:tc>
        <w:tc>
          <w:tcPr>
            <w:tcW w:w="520" w:type="dxa"/>
            <w:vAlign w:val="bottom"/>
            <w:gridSpan w:val="3"/>
          </w:tcPr>
          <w:p>
            <w:pPr>
              <w:spacing w:after="0"/>
              <w:rPr>
                <w:sz w:val="24"/>
                <w:szCs w:val="24"/>
                <w:color w:val="auto"/>
              </w:rPr>
            </w:pPr>
          </w:p>
        </w:tc>
        <w:tc>
          <w:tcPr>
            <w:tcW w:w="60" w:type="dxa"/>
            <w:vAlign w:val="bottom"/>
            <w:gridSpan w:val="2"/>
          </w:tcPr>
          <w:p>
            <w:pPr>
              <w:spacing w:after="0"/>
              <w:rPr>
                <w:sz w:val="24"/>
                <w:szCs w:val="24"/>
                <w:color w:val="auto"/>
              </w:rPr>
            </w:pPr>
          </w:p>
        </w:tc>
        <w:tc>
          <w:tcPr>
            <w:tcW w:w="100" w:type="dxa"/>
            <w:vAlign w:val="bottom"/>
            <w:tcBorders>
              <w:bottom w:val="single" w:sz="8" w:color="D9D9D9"/>
            </w:tcBorders>
          </w:tcPr>
          <w:p>
            <w:pPr>
              <w:spacing w:after="0"/>
              <w:rPr>
                <w:sz w:val="24"/>
                <w:szCs w:val="24"/>
                <w:color w:val="auto"/>
              </w:rPr>
            </w:pPr>
          </w:p>
        </w:tc>
        <w:tc>
          <w:tcPr>
            <w:tcW w:w="580" w:type="dxa"/>
            <w:vAlign w:val="bottom"/>
            <w:tcBorders>
              <w:bottom w:val="single" w:sz="8" w:color="D9D9D9"/>
            </w:tcBorders>
            <w:shd w:val="clear" w:color="auto" w:fill="5E7A1C"/>
          </w:tcPr>
          <w:p>
            <w:pPr>
              <w:spacing w:after="0"/>
              <w:rPr>
                <w:sz w:val="24"/>
                <w:szCs w:val="24"/>
                <w:color w:val="auto"/>
              </w:rPr>
            </w:pPr>
          </w:p>
        </w:tc>
        <w:tc>
          <w:tcPr>
            <w:tcW w:w="200" w:type="dxa"/>
            <w:vAlign w:val="bottom"/>
            <w:tcBorders>
              <w:bottom w:val="single" w:sz="8" w:color="D9D9D9"/>
              <w:right w:val="single" w:sz="8" w:color="5E7A1C"/>
            </w:tcBorders>
          </w:tcPr>
          <w:p>
            <w:pPr>
              <w:spacing w:after="0"/>
              <w:rPr>
                <w:sz w:val="24"/>
                <w:szCs w:val="24"/>
                <w:color w:val="auto"/>
              </w:rPr>
            </w:pPr>
          </w:p>
        </w:tc>
        <w:tc>
          <w:tcPr>
            <w:tcW w:w="540" w:type="dxa"/>
            <w:vAlign w:val="bottom"/>
            <w:tcBorders>
              <w:bottom w:val="single" w:sz="8" w:color="D9D9D9"/>
            </w:tcBorders>
            <w:shd w:val="clear" w:color="auto" w:fill="5E7A1C"/>
          </w:tcPr>
          <w:p>
            <w:pPr>
              <w:spacing w:after="0"/>
              <w:rPr>
                <w:sz w:val="24"/>
                <w:szCs w:val="24"/>
                <w:color w:val="auto"/>
              </w:rPr>
            </w:pPr>
          </w:p>
        </w:tc>
        <w:tc>
          <w:tcPr>
            <w:tcW w:w="100" w:type="dxa"/>
            <w:vAlign w:val="bottom"/>
            <w:tcBorders>
              <w:bottom w:val="single" w:sz="8" w:color="D9D9D9"/>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bottom w:val="single" w:sz="8" w:color="D9D9D9"/>
            </w:tcBorders>
          </w:tcPr>
          <w:p>
            <w:pPr>
              <w:spacing w:after="0"/>
              <w:rPr>
                <w:sz w:val="24"/>
                <w:szCs w:val="24"/>
                <w:color w:val="auto"/>
              </w:rPr>
            </w:pPr>
          </w:p>
        </w:tc>
        <w:tc>
          <w:tcPr>
            <w:tcW w:w="580" w:type="dxa"/>
            <w:vAlign w:val="bottom"/>
            <w:tcBorders>
              <w:bottom w:val="single" w:sz="8" w:color="D9D9D9"/>
            </w:tcBorders>
            <w:shd w:val="clear" w:color="auto" w:fill="5E7A1C"/>
          </w:tcPr>
          <w:p>
            <w:pPr>
              <w:spacing w:after="0"/>
              <w:rPr>
                <w:sz w:val="24"/>
                <w:szCs w:val="24"/>
                <w:color w:val="auto"/>
              </w:rPr>
            </w:pPr>
          </w:p>
        </w:tc>
        <w:tc>
          <w:tcPr>
            <w:tcW w:w="60" w:type="dxa"/>
            <w:vAlign w:val="bottom"/>
            <w:tcBorders>
              <w:bottom w:val="single" w:sz="8" w:color="D9D9D9"/>
            </w:tcBorders>
          </w:tcPr>
          <w:p>
            <w:pPr>
              <w:spacing w:after="0"/>
              <w:rPr>
                <w:sz w:val="24"/>
                <w:szCs w:val="24"/>
                <w:color w:val="auto"/>
              </w:rPr>
            </w:pPr>
          </w:p>
        </w:tc>
        <w:tc>
          <w:tcPr>
            <w:tcW w:w="80" w:type="dxa"/>
            <w:vAlign w:val="bottom"/>
            <w:tcBorders>
              <w:bottom w:val="single" w:sz="8" w:color="D9D9D9"/>
            </w:tcBorders>
          </w:tcPr>
          <w:p>
            <w:pPr>
              <w:spacing w:after="0"/>
              <w:rPr>
                <w:sz w:val="24"/>
                <w:szCs w:val="24"/>
                <w:color w:val="auto"/>
              </w:rPr>
            </w:pPr>
          </w:p>
        </w:tc>
        <w:tc>
          <w:tcPr>
            <w:tcW w:w="600" w:type="dxa"/>
            <w:vAlign w:val="bottom"/>
            <w:tcBorders>
              <w:bottom w:val="single" w:sz="8" w:color="D9D9D9"/>
            </w:tcBorders>
            <w:shd w:val="clear" w:color="auto" w:fill="5E7A1C"/>
          </w:tcPr>
          <w:p>
            <w:pPr>
              <w:spacing w:after="0"/>
              <w:rPr>
                <w:sz w:val="24"/>
                <w:szCs w:val="24"/>
                <w:color w:val="auto"/>
              </w:rPr>
            </w:pPr>
          </w:p>
        </w:tc>
        <w:tc>
          <w:tcPr>
            <w:tcW w:w="100" w:type="dxa"/>
            <w:vAlign w:val="bottom"/>
            <w:tcBorders>
              <w:bottom w:val="single" w:sz="8" w:color="D9D9D9"/>
            </w:tcBorders>
          </w:tcPr>
          <w:p>
            <w:pPr>
              <w:spacing w:after="0"/>
              <w:rPr>
                <w:sz w:val="24"/>
                <w:szCs w:val="24"/>
                <w:color w:val="auto"/>
              </w:rPr>
            </w:pPr>
          </w:p>
        </w:tc>
        <w:tc>
          <w:tcPr>
            <w:tcW w:w="4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40" w:type="dxa"/>
            <w:vAlign w:val="bottom"/>
            <w:gridSpan w:val="4"/>
          </w:tcPr>
          <w:p>
            <w:pPr>
              <w:jc w:val="right"/>
              <w:ind w:right="19"/>
              <w:spacing w:after="0"/>
              <w:rPr>
                <w:sz w:val="20"/>
                <w:szCs w:val="20"/>
                <w:color w:val="auto"/>
              </w:rPr>
            </w:pPr>
            <w:r>
              <w:rPr>
                <w:rFonts w:ascii="Arial" w:cs="Arial" w:eastAsia="Arial" w:hAnsi="Arial"/>
                <w:sz w:val="18"/>
                <w:szCs w:val="18"/>
                <w:color w:val="auto"/>
              </w:rPr>
              <w:t>2005</w:t>
            </w:r>
          </w:p>
        </w:tc>
        <w:tc>
          <w:tcPr>
            <w:tcW w:w="140" w:type="dxa"/>
            <w:vAlign w:val="bottom"/>
          </w:tcPr>
          <w:p>
            <w:pPr>
              <w:spacing w:after="0"/>
              <w:rPr>
                <w:sz w:val="20"/>
                <w:szCs w:val="20"/>
                <w:color w:val="auto"/>
              </w:rPr>
            </w:pPr>
          </w:p>
        </w:tc>
        <w:tc>
          <w:tcPr>
            <w:tcW w:w="560" w:type="dxa"/>
            <w:vAlign w:val="bottom"/>
          </w:tcPr>
          <w:p>
            <w:pPr>
              <w:ind w:left="40"/>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gridSpan w:val="8"/>
          </w:tcPr>
          <w:p>
            <w:pPr>
              <w:ind w:left="80"/>
              <w:spacing w:after="0"/>
              <w:rPr>
                <w:sz w:val="20"/>
                <w:szCs w:val="20"/>
                <w:color w:val="auto"/>
              </w:rPr>
            </w:pPr>
            <w:r>
              <w:rPr>
                <w:rFonts w:ascii="Arial" w:cs="Arial" w:eastAsia="Arial" w:hAnsi="Arial"/>
                <w:sz w:val="18"/>
                <w:szCs w:val="18"/>
                <w:color w:val="auto"/>
              </w:rPr>
              <w:t>FY2006 FY2026</w:t>
            </w:r>
          </w:p>
        </w:tc>
        <w:tc>
          <w:tcPr>
            <w:tcW w:w="740" w:type="dxa"/>
            <w:vAlign w:val="bottom"/>
            <w:gridSpan w:val="4"/>
          </w:tcPr>
          <w:p>
            <w:pPr>
              <w:jc w:val="right"/>
              <w:ind w:right="18"/>
              <w:spacing w:after="0"/>
              <w:rPr>
                <w:sz w:val="20"/>
                <w:szCs w:val="20"/>
                <w:color w:val="auto"/>
              </w:rPr>
            </w:pPr>
            <w:r>
              <w:rPr>
                <w:rFonts w:ascii="Arial" w:cs="Arial" w:eastAsia="Arial" w:hAnsi="Arial"/>
                <w:sz w:val="18"/>
                <w:szCs w:val="18"/>
                <w:color w:val="auto"/>
              </w:rPr>
              <w:t>2005</w:t>
            </w:r>
          </w:p>
        </w:tc>
        <w:tc>
          <w:tcPr>
            <w:tcW w:w="200" w:type="dxa"/>
            <w:vAlign w:val="bottom"/>
          </w:tcPr>
          <w:p>
            <w:pPr>
              <w:spacing w:after="0"/>
              <w:rPr>
                <w:sz w:val="20"/>
                <w:szCs w:val="20"/>
                <w:color w:val="auto"/>
              </w:rPr>
            </w:pPr>
          </w:p>
        </w:tc>
        <w:tc>
          <w:tcPr>
            <w:tcW w:w="540" w:type="dxa"/>
            <w:vAlign w:val="bottom"/>
          </w:tcPr>
          <w:p>
            <w:pPr>
              <w:jc w:val="right"/>
              <w:ind w:right="8"/>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3"/>
          </w:tcPr>
          <w:p>
            <w:pPr>
              <w:jc w:val="center"/>
              <w:spacing w:after="0"/>
              <w:rPr>
                <w:sz w:val="20"/>
                <w:szCs w:val="20"/>
                <w:color w:val="auto"/>
              </w:rPr>
            </w:pPr>
            <w:r>
              <w:rPr>
                <w:rFonts w:ascii="Arial" w:cs="Arial" w:eastAsia="Arial" w:hAnsi="Arial"/>
                <w:sz w:val="18"/>
                <w:szCs w:val="18"/>
                <w:color w:val="auto"/>
              </w:rPr>
              <w:t>FY2006</w:t>
            </w:r>
          </w:p>
        </w:tc>
        <w:tc>
          <w:tcPr>
            <w:tcW w:w="80" w:type="dxa"/>
            <w:vAlign w:val="bottom"/>
          </w:tcPr>
          <w:p>
            <w:pPr>
              <w:spacing w:after="0"/>
              <w:rPr>
                <w:sz w:val="20"/>
                <w:szCs w:val="20"/>
                <w:color w:val="auto"/>
              </w:rPr>
            </w:pPr>
          </w:p>
        </w:tc>
        <w:tc>
          <w:tcPr>
            <w:tcW w:w="1140" w:type="dxa"/>
            <w:vAlign w:val="bottom"/>
            <w:gridSpan w:val="5"/>
          </w:tcPr>
          <w:p>
            <w:pPr>
              <w:jc w:val="center"/>
              <w:ind w:right="500"/>
              <w:spacing w:after="0"/>
              <w:rPr>
                <w:sz w:val="20"/>
                <w:szCs w:val="20"/>
                <w:color w:val="auto"/>
              </w:rPr>
            </w:pPr>
            <w:r>
              <w:rPr>
                <w:rFonts w:ascii="Arial" w:cs="Arial" w:eastAsia="Arial" w:hAnsi="Arial"/>
                <w:sz w:val="18"/>
                <w:szCs w:val="18"/>
                <w:color w:val="auto"/>
              </w:rPr>
              <w:t>FY2026</w:t>
            </w:r>
          </w:p>
        </w:tc>
        <w:tc>
          <w:tcPr>
            <w:tcW w:w="0" w:type="dxa"/>
            <w:vAlign w:val="bottom"/>
          </w:tcPr>
          <w:p>
            <w:pPr>
              <w:spacing w:after="0"/>
              <w:rPr>
                <w:sz w:val="1"/>
                <w:szCs w:val="1"/>
                <w:color w:val="auto"/>
              </w:rPr>
            </w:pPr>
          </w:p>
        </w:tc>
      </w:tr>
      <w:tr>
        <w:trPr>
          <w:trHeight w:val="185"/>
        </w:trPr>
        <w:tc>
          <w:tcPr>
            <w:tcW w:w="880" w:type="dxa"/>
            <w:vAlign w:val="bottom"/>
            <w:gridSpan w:val="5"/>
          </w:tcPr>
          <w:p>
            <w:pPr>
              <w:spacing w:after="0"/>
              <w:rPr>
                <w:sz w:val="20"/>
                <w:szCs w:val="20"/>
                <w:color w:val="auto"/>
              </w:rPr>
            </w:pPr>
            <w:r>
              <w:rPr>
                <w:rFonts w:ascii="Arial" w:cs="Arial" w:eastAsia="Arial" w:hAnsi="Arial"/>
                <w:sz w:val="14"/>
                <w:szCs w:val="14"/>
                <w:color w:val="auto"/>
                <w:w w:val="95"/>
              </w:rPr>
              <w:t>CYCLE PEAK</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5"/>
          </w:tcPr>
          <w:p>
            <w:pPr>
              <w:spacing w:after="0"/>
              <w:rPr>
                <w:sz w:val="20"/>
                <w:szCs w:val="20"/>
                <w:color w:val="auto"/>
              </w:rPr>
            </w:pPr>
            <w:r>
              <w:rPr>
                <w:rFonts w:ascii="Arial" w:cs="Arial" w:eastAsia="Arial" w:hAnsi="Arial"/>
                <w:sz w:val="14"/>
                <w:szCs w:val="14"/>
                <w:color w:val="auto"/>
              </w:rPr>
              <w:t>CYCLE PEAK</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-1342390</wp:posOffset>
            </wp:positionV>
            <wp:extent cx="4631690" cy="462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extLst>
                    </a:blip>
                    <a:srcRect/>
                    <a:stretch>
                      <a:fillRect/>
                    </a:stretch>
                  </pic:blipFill>
                  <pic:spPr bwMode="auto">
                    <a:xfrm>
                      <a:off x="0" y="0"/>
                      <a:ext cx="4631690" cy="462915"/>
                    </a:xfrm>
                    <a:prstGeom prst="rect">
                      <a:avLst/>
                    </a:prstGeom>
                    <a:noFill/>
                  </pic:spPr>
                </pic:pic>
              </a:graphicData>
            </a:graphic>
          </wp:anchor>
        </w:drawing>
      </w:r>
    </w:p>
    <w:p>
      <w:pPr>
        <w:spacing w:after="0" w:line="192" w:lineRule="exact"/>
        <w:rPr>
          <w:sz w:val="20"/>
          <w:szCs w:val="20"/>
          <w:color w:val="auto"/>
        </w:rPr>
      </w:pPr>
    </w:p>
    <w:p>
      <w:pPr>
        <w:ind w:left="140" w:hanging="102"/>
        <w:spacing w:after="0"/>
        <w:tabs>
          <w:tab w:leader="none" w:pos="140" w:val="left"/>
        </w:tabs>
        <w:numPr>
          <w:ilvl w:val="0"/>
          <w:numId w:val="1"/>
        </w:numPr>
        <w:rPr>
          <w:rFonts w:ascii="Arial" w:cs="Arial" w:eastAsia="Arial" w:hAnsi="Arial"/>
          <w:sz w:val="9"/>
          <w:szCs w:val="9"/>
          <w:color w:val="auto"/>
        </w:rPr>
      </w:pPr>
      <w:r>
        <w:rPr>
          <w:rFonts w:ascii="Arial" w:cs="Arial" w:eastAsia="Arial" w:hAnsi="Arial"/>
          <w:sz w:val="15"/>
          <w:szCs w:val="15"/>
          <w:color w:val="auto"/>
        </w:rPr>
        <w:t>Source: American Cement Association, U.S. Year-End Cement Consumption Report, 2025</w:t>
      </w:r>
    </w:p>
    <w:p>
      <w:pPr>
        <w:spacing w:after="0" w:line="28" w:lineRule="exact"/>
        <w:rPr>
          <w:sz w:val="20"/>
          <w:szCs w:val="20"/>
          <w:color w:val="auto"/>
        </w:rPr>
      </w:pPr>
    </w:p>
    <w:p>
      <w:pPr>
        <w:ind w:left="40"/>
        <w:spacing w:after="0"/>
        <w:tabs>
          <w:tab w:leader="none" w:pos="2160" w:val="left"/>
        </w:tabs>
        <w:rPr>
          <w:sz w:val="20"/>
          <w:szCs w:val="20"/>
          <w:color w:val="auto"/>
        </w:rPr>
      </w:pPr>
      <w:r>
        <w:rPr>
          <w:rFonts w:ascii="Arial" w:cs="Arial" w:eastAsia="Arial" w:hAnsi="Arial"/>
          <w:sz w:val="9"/>
          <w:szCs w:val="9"/>
          <w:color w:val="auto"/>
        </w:rPr>
        <w:t xml:space="preserve">2 </w:t>
      </w:r>
      <w:r>
        <w:rPr>
          <w:rFonts w:ascii="Arial" w:cs="Arial" w:eastAsia="Arial" w:hAnsi="Arial"/>
          <w:sz w:val="15"/>
          <w:szCs w:val="15"/>
          <w:color w:val="auto"/>
        </w:rPr>
        <w:t>Source: Gypsum Association</w:t>
      </w:r>
      <w:r>
        <w:rPr>
          <w:sz w:val="20"/>
          <w:szCs w:val="20"/>
          <w:color w:val="auto"/>
        </w:rPr>
        <w:tab/>
      </w:r>
      <w:r>
        <w:rPr>
          <w:rFonts w:ascii="Arial" w:cs="Arial" w:eastAsia="Arial" w:hAnsi="Arial"/>
          <w:sz w:val="8"/>
          <w:szCs w:val="8"/>
          <w:color w:val="auto"/>
        </w:rPr>
        <w:t xml:space="preserve">3 </w:t>
      </w:r>
      <w:r>
        <w:rPr>
          <w:rFonts w:ascii="Arial" w:cs="Arial" w:eastAsia="Arial" w:hAnsi="Arial"/>
          <w:sz w:val="14"/>
          <w:szCs w:val="14"/>
          <w:color w:val="auto"/>
        </w:rPr>
        <w:t>EBITDA is a non-GAAP 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Fiscal 2026</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146304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extLst>
                    </a:blip>
                    <a:srcRect/>
                    <a:stretch>
                      <a:fillRect/>
                    </a:stretch>
                  </pic:blipFill>
                  <pic:spPr bwMode="auto">
                    <a:xfrm>
                      <a:off x="0" y="0"/>
                      <a:ext cx="1463040" cy="9525"/>
                    </a:xfrm>
                    <a:prstGeom prst="rect">
                      <a:avLst/>
                    </a:prstGeom>
                    <a:noFill/>
                  </pic:spPr>
                </pic:pic>
              </a:graphicData>
            </a:graphic>
          </wp:anchor>
        </w:drawing>
      </w:r>
    </w:p>
    <w:p>
      <w:pPr>
        <w:spacing w:after="0" w:line="377"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Record Revenue of</w:t>
      </w:r>
    </w:p>
    <w:p>
      <w:pPr>
        <w:spacing w:after="0" w:line="23" w:lineRule="exact"/>
        <w:rPr>
          <w:sz w:val="20"/>
          <w:szCs w:val="20"/>
          <w:color w:val="auto"/>
        </w:rPr>
      </w:pPr>
    </w:p>
    <w:p>
      <w:pPr>
        <w:spacing w:after="0"/>
        <w:rPr>
          <w:sz w:val="20"/>
          <w:szCs w:val="20"/>
          <w:color w:val="auto"/>
        </w:rPr>
      </w:pPr>
      <w:r>
        <w:rPr>
          <w:rFonts w:ascii="Arial" w:cs="Arial" w:eastAsia="Arial" w:hAnsi="Arial"/>
          <w:sz w:val="26"/>
          <w:szCs w:val="26"/>
          <w:b w:val="1"/>
          <w:bCs w:val="1"/>
          <w:color w:val="000039"/>
        </w:rPr>
        <w:t>$2.3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127000</wp:posOffset>
            </wp:positionV>
            <wp:extent cx="1463040"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extLst>
                    </a:blip>
                    <a:srcRect/>
                    <a:stretch>
                      <a:fillRect/>
                    </a:stretch>
                  </pic:blipFill>
                  <pic:spPr bwMode="auto">
                    <a:xfrm>
                      <a:off x="0" y="0"/>
                      <a:ext cx="1463040" cy="9525"/>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Gross Profit Margin of</w:t>
      </w:r>
    </w:p>
    <w:p>
      <w:pPr>
        <w:spacing w:after="0" w:line="23" w:lineRule="exact"/>
        <w:rPr>
          <w:sz w:val="20"/>
          <w:szCs w:val="20"/>
          <w:color w:val="auto"/>
        </w:rPr>
      </w:pPr>
    </w:p>
    <w:p>
      <w:pPr>
        <w:spacing w:after="0"/>
        <w:rPr>
          <w:sz w:val="20"/>
          <w:szCs w:val="20"/>
          <w:color w:val="auto"/>
        </w:rPr>
      </w:pPr>
      <w:r>
        <w:rPr>
          <w:rFonts w:ascii="Arial" w:cs="Arial" w:eastAsia="Arial" w:hAnsi="Arial"/>
          <w:sz w:val="26"/>
          <w:szCs w:val="26"/>
          <w:b w:val="1"/>
          <w:bCs w:val="1"/>
          <w:color w:val="000039"/>
        </w:rPr>
        <w:t>28.3%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127000</wp:posOffset>
            </wp:positionV>
            <wp:extent cx="1463040"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extLst>
                    </a:blip>
                    <a:srcRect/>
                    <a:stretch>
                      <a:fillRect/>
                    </a:stretch>
                  </pic:blipFill>
                  <pic:spPr bwMode="auto">
                    <a:xfrm>
                      <a:off x="0" y="0"/>
                      <a:ext cx="1463040" cy="9525"/>
                    </a:xfrm>
                    <a:prstGeom prst="rect">
                      <a:avLst/>
                    </a:prstGeom>
                    <a:noFill/>
                  </pic:spPr>
                </pic:pic>
              </a:graphicData>
            </a:graphic>
          </wp:anchor>
        </w:drawing>
      </w:r>
    </w:p>
    <w:p>
      <w:pPr>
        <w:spacing w:after="0" w:line="372" w:lineRule="exact"/>
        <w:rPr>
          <w:sz w:val="20"/>
          <w:szCs w:val="20"/>
          <w:color w:val="auto"/>
        </w:rPr>
      </w:pPr>
    </w:p>
    <w:p>
      <w:pPr>
        <w:ind w:right="200"/>
        <w:spacing w:after="0" w:line="272" w:lineRule="auto"/>
        <w:rPr>
          <w:sz w:val="20"/>
          <w:szCs w:val="20"/>
          <w:color w:val="auto"/>
        </w:rPr>
      </w:pPr>
      <w:r>
        <w:rPr>
          <w:rFonts w:ascii="Arial" w:cs="Arial" w:eastAsia="Arial" w:hAnsi="Arial"/>
          <w:sz w:val="20"/>
          <w:szCs w:val="20"/>
          <w:b w:val="1"/>
          <w:bCs w:val="1"/>
          <w:color w:val="000039"/>
        </w:rPr>
        <w:t>Diluted Earnings per Share of</w:t>
      </w:r>
    </w:p>
    <w:p>
      <w:pPr>
        <w:spacing w:after="0" w:line="1" w:lineRule="exact"/>
        <w:rPr>
          <w:sz w:val="20"/>
          <w:szCs w:val="20"/>
          <w:color w:val="auto"/>
        </w:rPr>
      </w:pPr>
    </w:p>
    <w:p>
      <w:pPr>
        <w:spacing w:after="0"/>
        <w:rPr>
          <w:sz w:val="20"/>
          <w:szCs w:val="20"/>
          <w:color w:val="auto"/>
        </w:rPr>
      </w:pPr>
      <w:r>
        <w:rPr>
          <w:rFonts w:ascii="Arial" w:cs="Arial" w:eastAsia="Arial" w:hAnsi="Arial"/>
          <w:sz w:val="26"/>
          <w:szCs w:val="26"/>
          <w:b w:val="1"/>
          <w:bCs w:val="1"/>
          <w:color w:val="000039"/>
        </w:rPr>
        <w:t>$13.16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127000</wp:posOffset>
            </wp:positionV>
            <wp:extent cx="1463040"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extLst>
                    </a:blip>
                    <a:srcRect/>
                    <a:stretch>
                      <a:fillRect/>
                    </a:stretch>
                  </pic:blipFill>
                  <pic:spPr bwMode="auto">
                    <a:xfrm>
                      <a:off x="0" y="0"/>
                      <a:ext cx="1463040" cy="9525"/>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20"/>
          <w:szCs w:val="20"/>
          <w:b w:val="1"/>
          <w:bCs w:val="1"/>
          <w:color w:val="000039"/>
        </w:rPr>
        <w:t>Returned</w:t>
      </w:r>
    </w:p>
    <w:p>
      <w:pPr>
        <w:spacing w:after="0" w:line="51" w:lineRule="exact"/>
        <w:rPr>
          <w:sz w:val="20"/>
          <w:szCs w:val="20"/>
          <w:color w:val="auto"/>
        </w:rPr>
      </w:pPr>
    </w:p>
    <w:p>
      <w:pPr>
        <w:spacing w:after="0"/>
        <w:rPr>
          <w:sz w:val="20"/>
          <w:szCs w:val="20"/>
          <w:color w:val="auto"/>
        </w:rPr>
      </w:pPr>
      <w:r>
        <w:rPr>
          <w:rFonts w:ascii="Arial" w:cs="Arial" w:eastAsia="Arial" w:hAnsi="Arial"/>
          <w:sz w:val="26"/>
          <w:szCs w:val="26"/>
          <w:b w:val="1"/>
          <w:bCs w:val="1"/>
          <w:color w:val="000039"/>
        </w:rPr>
        <w:t>$414 million</w:t>
      </w:r>
    </w:p>
    <w:p>
      <w:pPr>
        <w:spacing w:after="0" w:line="75" w:lineRule="exact"/>
        <w:rPr>
          <w:sz w:val="20"/>
          <w:szCs w:val="20"/>
          <w:color w:val="auto"/>
        </w:rPr>
      </w:pPr>
    </w:p>
    <w:p>
      <w:pPr>
        <w:spacing w:after="0" w:line="305" w:lineRule="auto"/>
        <w:rPr>
          <w:sz w:val="20"/>
          <w:szCs w:val="20"/>
          <w:color w:val="auto"/>
        </w:rPr>
      </w:pPr>
      <w:r>
        <w:rPr>
          <w:rFonts w:ascii="Arial" w:cs="Arial" w:eastAsia="Arial" w:hAnsi="Arial"/>
          <w:sz w:val="20"/>
          <w:szCs w:val="20"/>
          <w:b w:val="1"/>
          <w:bCs w:val="1"/>
          <w:color w:val="000039"/>
        </w:rPr>
        <w:t>to shareholders through dividends and share repurchases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1463040"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extLst>
                    </a:blip>
                    <a:srcRect/>
                    <a:stretch>
                      <a:fillRect/>
                    </a:stretch>
                  </pic:blipFill>
                  <pic:spPr bwMode="auto">
                    <a:xfrm>
                      <a:off x="0" y="0"/>
                      <a:ext cx="1463040" cy="9525"/>
                    </a:xfrm>
                    <a:prstGeom prst="rect">
                      <a:avLst/>
                    </a:prstGeom>
                    <a:noFill/>
                  </pic:spPr>
                </pic:pic>
              </a:graphicData>
            </a:graphic>
          </wp:anchor>
        </w:drawing>
      </w:r>
    </w:p>
    <w:p>
      <w:pPr>
        <w:spacing w:after="0" w:line="273" w:lineRule="exact"/>
        <w:rPr>
          <w:sz w:val="20"/>
          <w:szCs w:val="20"/>
          <w:color w:val="auto"/>
        </w:rPr>
      </w:pPr>
    </w:p>
    <w:p>
      <w:pPr>
        <w:ind w:right="300"/>
        <w:spacing w:after="0" w:line="287" w:lineRule="auto"/>
        <w:rPr>
          <w:sz w:val="20"/>
          <w:szCs w:val="20"/>
          <w:color w:val="auto"/>
        </w:rPr>
      </w:pPr>
      <w:r>
        <w:rPr>
          <w:rFonts w:ascii="Arial" w:cs="Arial" w:eastAsia="Arial" w:hAnsi="Arial"/>
          <w:sz w:val="19"/>
          <w:szCs w:val="19"/>
          <w:b w:val="1"/>
          <w:bCs w:val="1"/>
          <w:color w:val="000039"/>
        </w:rPr>
        <w:t>Hazard observation reporting increased</w:t>
      </w:r>
    </w:p>
    <w:p>
      <w:pPr>
        <w:spacing w:after="0"/>
        <w:rPr>
          <w:sz w:val="20"/>
          <w:szCs w:val="20"/>
          <w:color w:val="auto"/>
        </w:rPr>
      </w:pPr>
      <w:r>
        <w:rPr>
          <w:rFonts w:ascii="Arial" w:cs="Arial" w:eastAsia="Arial" w:hAnsi="Arial"/>
          <w:sz w:val="26"/>
          <w:szCs w:val="26"/>
          <w:b w:val="1"/>
          <w:bCs w:val="1"/>
          <w:color w:val="000039"/>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803275</wp:posOffset>
            </wp:positionH>
            <wp:positionV relativeFrom="paragraph">
              <wp:posOffset>3743960</wp:posOffset>
            </wp:positionV>
            <wp:extent cx="647700" cy="1708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extLst>
                    </a:blip>
                    <a:srcRect/>
                    <a:stretch>
                      <a:fillRect/>
                    </a:stretch>
                  </pic:blipFill>
                  <pic:spPr bwMode="auto">
                    <a:xfrm>
                      <a:off x="0" y="0"/>
                      <a:ext cx="647700" cy="170815"/>
                    </a:xfrm>
                    <a:prstGeom prst="rect">
                      <a:avLst/>
                    </a:prstGeom>
                    <a:noFill/>
                  </pic:spPr>
                </pic:pic>
              </a:graphicData>
            </a:graphic>
          </wp:anchor>
        </w:drawing>
      </w:r>
    </w:p>
    <w:p>
      <w:pPr>
        <w:sectPr>
          <w:pgSz w:w="11880" w:h="15480" w:orient="portrait"/>
          <w:cols w:equalWidth="0" w:num="2">
            <w:col w:w="7740" w:space="540"/>
            <w:col w:w="2160"/>
          </w:cols>
          <w:pgMar w:left="580" w:top="1059" w:right="860" w:bottom="414" w:gutter="0" w:footer="0" w:header="0"/>
        </w:sectPr>
      </w:pPr>
    </w:p>
    <w:bookmarkStart w:id="3" w:name="page4"/>
    <w:bookmarkEnd w:id="3"/>
    <w:p>
      <w:pPr>
        <w:ind w:left="360"/>
        <w:spacing w:after="0"/>
        <w:rPr>
          <w:sz w:val="20"/>
          <w:szCs w:val="20"/>
          <w:color w:val="auto"/>
        </w:rPr>
      </w:pPr>
      <w:r>
        <w:rPr>
          <w:rFonts w:ascii="Arial" w:cs="Arial" w:eastAsia="Arial" w:hAnsi="Arial"/>
          <w:sz w:val="26"/>
          <w:szCs w:val="26"/>
          <w:color w:val="FFFFFF"/>
        </w:rPr>
        <w:drawing>
          <wp:anchor simplePos="0" relativeHeight="251657728" behindDoc="1" locked="0" layoutInCell="0" allowOverlap="1">
            <wp:simplePos x="0" y="0"/>
            <wp:positionH relativeFrom="page">
              <wp:posOffset>457200</wp:posOffset>
            </wp:positionH>
            <wp:positionV relativeFrom="page">
              <wp:posOffset>457200</wp:posOffset>
            </wp:positionV>
            <wp:extent cx="6629400" cy="694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extLst>
                    </a:blip>
                    <a:srcRect/>
                    <a:stretch>
                      <a:fillRect/>
                    </a:stretch>
                  </pic:blipFill>
                  <pic:spPr bwMode="auto">
                    <a:xfrm>
                      <a:off x="0" y="0"/>
                      <a:ext cx="6629400" cy="694690"/>
                    </a:xfrm>
                    <a:prstGeom prst="rect">
                      <a:avLst/>
                    </a:prstGeom>
                    <a:noFill/>
                  </pic:spPr>
                </pic:pic>
              </a:graphicData>
            </a:graphic>
          </wp:anchor>
        </w:drawing>
        <w:t>To Our Fellow Shareholders (continued)</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2"/>
          <w:szCs w:val="22"/>
          <w:b w:val="1"/>
          <w:bCs w:val="1"/>
          <w:color w:val="C9000F"/>
        </w:rPr>
        <w:t>Consistency Through Cycles</w:t>
      </w:r>
    </w:p>
    <w:p>
      <w:pPr>
        <w:spacing w:after="0" w:line="141" w:lineRule="exact"/>
        <w:rPr>
          <w:sz w:val="20"/>
          <w:szCs w:val="20"/>
          <w:color w:val="auto"/>
        </w:rPr>
      </w:pPr>
    </w:p>
    <w:p>
      <w:pPr>
        <w:ind w:right="300"/>
        <w:spacing w:after="0" w:line="294" w:lineRule="auto"/>
        <w:rPr>
          <w:sz w:val="20"/>
          <w:szCs w:val="20"/>
          <w:color w:val="auto"/>
        </w:rPr>
      </w:pPr>
      <w:r>
        <w:rPr>
          <w:rFonts w:ascii="Arial" w:cs="Arial" w:eastAsia="Arial" w:hAnsi="Arial"/>
          <w:sz w:val="20"/>
          <w:szCs w:val="20"/>
          <w:color w:val="auto"/>
        </w:rPr>
        <w:t>Several tenets have guided Eagle’s investment and management decisions. In up cycles and down, Eagle has shown remarkable consistency where it matters— investment in our people, our raw-material reserves, and our plants.</w:t>
      </w:r>
    </w:p>
    <w:p>
      <w:pPr>
        <w:spacing w:after="0" w:line="196" w:lineRule="exact"/>
        <w:rPr>
          <w:sz w:val="20"/>
          <w:szCs w:val="20"/>
          <w:color w:val="auto"/>
        </w:rPr>
      </w:pPr>
    </w:p>
    <w:p>
      <w:pPr>
        <w:ind w:right="480"/>
        <w:spacing w:after="0" w:line="322" w:lineRule="auto"/>
        <w:rPr>
          <w:sz w:val="20"/>
          <w:szCs w:val="20"/>
          <w:color w:val="auto"/>
        </w:rPr>
      </w:pPr>
      <w:r>
        <w:rPr>
          <w:rFonts w:ascii="Arial" w:cs="Arial" w:eastAsia="Arial" w:hAnsi="Arial"/>
          <w:sz w:val="20"/>
          <w:szCs w:val="20"/>
          <w:b w:val="1"/>
          <w:bCs w:val="1"/>
          <w:i w:val="1"/>
          <w:iCs w:val="1"/>
          <w:color w:val="auto"/>
        </w:rPr>
        <w:t>Our total recordable-incident rate has been below the industry average for over five years</w:t>
      </w:r>
    </w:p>
    <w:p>
      <w:pPr>
        <w:spacing w:after="0" w:line="20" w:lineRule="exact"/>
        <w:rPr>
          <w:sz w:val="20"/>
          <w:szCs w:val="20"/>
          <w:color w:val="auto"/>
        </w:rPr>
      </w:pPr>
    </w:p>
    <w:p>
      <w:pPr>
        <w:ind w:right="40"/>
        <w:spacing w:after="0" w:line="288" w:lineRule="auto"/>
        <w:rPr>
          <w:sz w:val="20"/>
          <w:szCs w:val="20"/>
          <w:color w:val="auto"/>
        </w:rPr>
      </w:pPr>
      <w:r>
        <w:rPr>
          <w:rFonts w:ascii="Arial" w:cs="Arial" w:eastAsia="Arial" w:hAnsi="Arial"/>
          <w:sz w:val="20"/>
          <w:szCs w:val="20"/>
          <w:color w:val="auto"/>
        </w:rPr>
        <w:t>We continuously invest in our people, and our focus on improving our industry-leading safety performance never wavers. We have significantly upgraded our safety programs and practices to maintain our below-industry-average total recordable-incident rate and strong hazard-observation reporting rate.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reserves position averages over 50 years across the network</w:t>
      </w:r>
    </w:p>
    <w:p>
      <w:pPr>
        <w:spacing w:after="0" w:line="142" w:lineRule="exact"/>
        <w:rPr>
          <w:sz w:val="20"/>
          <w:szCs w:val="20"/>
          <w:color w:val="auto"/>
        </w:rPr>
      </w:pPr>
    </w:p>
    <w:p>
      <w:pPr>
        <w:ind w:right="80"/>
        <w:spacing w:after="0" w:line="285" w:lineRule="auto"/>
        <w:rPr>
          <w:sz w:val="20"/>
          <w:szCs w:val="20"/>
          <w:color w:val="auto"/>
        </w:rPr>
      </w:pPr>
      <w:r>
        <w:rPr>
          <w:rFonts w:ascii="Arial" w:cs="Arial" w:eastAsia="Arial" w:hAnsi="Arial"/>
          <w:sz w:val="20"/>
          <w:szCs w:val="20"/>
          <w:color w:val="auto"/>
        </w:rPr>
        <w:t>Ensuring the long-term sustainability of our operations is a paramount goal, and we regularly assess and improve our already strong raw-material reserves position at each of our plants and quarries. Through replenishment of our quarry reserves, our raw material reserves position consistently stands at an average of over 50 years across our plant network.</w:t>
      </w:r>
    </w:p>
    <w:p>
      <w:pPr>
        <w:spacing w:after="0" w:line="206" w:lineRule="exact"/>
        <w:rPr>
          <w:sz w:val="20"/>
          <w:szCs w:val="20"/>
          <w:color w:val="auto"/>
        </w:rPr>
      </w:pPr>
    </w:p>
    <w:p>
      <w:pPr>
        <w:ind w:right="1200"/>
        <w:spacing w:after="0" w:line="322" w:lineRule="auto"/>
        <w:rPr>
          <w:sz w:val="20"/>
          <w:szCs w:val="20"/>
          <w:color w:val="auto"/>
        </w:rPr>
      </w:pPr>
      <w:r>
        <w:rPr>
          <w:rFonts w:ascii="Arial" w:cs="Arial" w:eastAsia="Arial" w:hAnsi="Arial"/>
          <w:sz w:val="20"/>
          <w:szCs w:val="20"/>
          <w:b w:val="1"/>
          <w:bCs w:val="1"/>
          <w:i w:val="1"/>
          <w:iCs w:val="1"/>
          <w:color w:val="auto"/>
        </w:rPr>
        <w:t>We have successfully executed on asset modernizations with high financial returns</w:t>
      </w:r>
    </w:p>
    <w:p>
      <w:pPr>
        <w:spacing w:after="0" w:line="20" w:lineRule="exact"/>
        <w:rPr>
          <w:sz w:val="20"/>
          <w:szCs w:val="20"/>
          <w:color w:val="auto"/>
        </w:rPr>
      </w:pPr>
    </w:p>
    <w:p>
      <w:pPr>
        <w:ind w:right="360"/>
        <w:spacing w:after="0" w:line="313" w:lineRule="auto"/>
        <w:rPr>
          <w:sz w:val="20"/>
          <w:szCs w:val="20"/>
          <w:color w:val="auto"/>
        </w:rPr>
      </w:pPr>
      <w:r>
        <w:rPr>
          <w:rFonts w:ascii="Arial" w:cs="Arial" w:eastAsia="Arial" w:hAnsi="Arial"/>
          <w:sz w:val="20"/>
          <w:szCs w:val="20"/>
          <w:color w:val="auto"/>
        </w:rPr>
        <w:t>The strong excess free cash our combined businesses generate allows us to make long-term investments to ensure we remain well-positioned through cycles.</w:t>
      </w:r>
    </w:p>
    <w:p>
      <w:pPr>
        <w:spacing w:after="0" w:line="38" w:lineRule="exact"/>
        <w:rPr>
          <w:sz w:val="20"/>
          <w:szCs w:val="20"/>
          <w:color w:val="auto"/>
        </w:rPr>
      </w:pPr>
    </w:p>
    <w:p>
      <w:pPr>
        <w:ind w:right="140"/>
        <w:spacing w:after="0" w:line="288" w:lineRule="auto"/>
        <w:rPr>
          <w:sz w:val="20"/>
          <w:szCs w:val="20"/>
          <w:color w:val="auto"/>
        </w:rPr>
      </w:pPr>
      <w:r>
        <w:rPr>
          <w:rFonts w:ascii="Arial" w:cs="Arial" w:eastAsia="Arial" w:hAnsi="Arial"/>
          <w:sz w:val="20"/>
          <w:szCs w:val="20"/>
          <w:color w:val="auto"/>
        </w:rPr>
        <w:t>In fiscal 2026, we made significant progress modernizing our Laramie, Wyoming Mountain Cement plant and our Duke, Oklahoma gypsum wallboard plant. The Mountain Cement project is approximately 60% complete, and the Duke, Oklahoma wallboard plant project is approximately 30% complete.</w:t>
      </w:r>
    </w:p>
    <w:p>
      <w:pPr>
        <w:spacing w:after="0" w:line="64" w:lineRule="exact"/>
        <w:rPr>
          <w:sz w:val="20"/>
          <w:szCs w:val="20"/>
          <w:color w:val="auto"/>
        </w:rPr>
      </w:pPr>
    </w:p>
    <w:p>
      <w:pPr>
        <w:ind w:right="160"/>
        <w:spacing w:after="0" w:line="288" w:lineRule="auto"/>
        <w:rPr>
          <w:sz w:val="20"/>
          <w:szCs w:val="20"/>
          <w:color w:val="auto"/>
        </w:rPr>
      </w:pPr>
      <w:r>
        <w:rPr>
          <w:rFonts w:ascii="Arial" w:cs="Arial" w:eastAsia="Arial" w:hAnsi="Arial"/>
          <w:sz w:val="20"/>
          <w:szCs w:val="20"/>
          <w:color w:val="auto"/>
        </w:rPr>
        <w:t>These investments will lower the cost structure, improve the reliability, and increase the capacity of each plant, which will strengthen our already low-cost competitive position. Significantly lowering the operating cost structure of these two older, higher-cost assets will enable us to expand peak earnings in future cycles.</w:t>
      </w:r>
    </w:p>
    <w:p>
      <w:pPr>
        <w:spacing w:after="0" w:line="64" w:lineRule="exact"/>
        <w:rPr>
          <w:sz w:val="20"/>
          <w:szCs w:val="20"/>
          <w:color w:val="auto"/>
        </w:rPr>
      </w:pPr>
    </w:p>
    <w:p>
      <w:pPr>
        <w:ind w:right="100"/>
        <w:spacing w:after="0" w:line="285" w:lineRule="auto"/>
        <w:rPr>
          <w:sz w:val="20"/>
          <w:szCs w:val="20"/>
          <w:color w:val="auto"/>
        </w:rPr>
      </w:pPr>
      <w:r>
        <w:rPr>
          <w:rFonts w:ascii="Arial" w:cs="Arial" w:eastAsia="Arial" w:hAnsi="Arial"/>
          <w:sz w:val="20"/>
          <w:szCs w:val="20"/>
          <w:color w:val="auto"/>
        </w:rPr>
        <w:t>As we pursue large, high-return-potential projects like Laramie and Duke, we are also continually executing on smaller, value-enhancing initiatives such as converting waste streams to revenue streams. In just one of many examples, at our paper mill we are repurposing non-wallboard-grade paper into higher-margin products, furthering our long-term profitability potential.</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C9000F"/>
        </w:rPr>
        <w:t>Capturing the Benefits of our Plant Network</w:t>
      </w:r>
    </w:p>
    <w:p>
      <w:pPr>
        <w:spacing w:after="0" w:line="141" w:lineRule="exact"/>
        <w:rPr>
          <w:sz w:val="20"/>
          <w:szCs w:val="20"/>
          <w:color w:val="auto"/>
        </w:rPr>
      </w:pPr>
    </w:p>
    <w:p>
      <w:pPr>
        <w:spacing w:after="0" w:line="288" w:lineRule="auto"/>
        <w:rPr>
          <w:sz w:val="20"/>
          <w:szCs w:val="20"/>
          <w:color w:val="auto"/>
        </w:rPr>
      </w:pPr>
      <w:r>
        <w:rPr>
          <w:rFonts w:ascii="Arial" w:cs="Arial" w:eastAsia="Arial" w:hAnsi="Arial"/>
          <w:sz w:val="20"/>
          <w:szCs w:val="20"/>
          <w:color w:val="auto"/>
        </w:rPr>
        <w:t>Fundamental to our operating philosophy is the integration of our manufacturing plants and distribution terminals as a network of assets. Throughout the last decade and more, Eagle has been intentional in capturing the benefits of a network approach to our footprint.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hanging="72"/>
        <w:spacing w:after="0" w:line="290" w:lineRule="auto"/>
        <w:rPr>
          <w:sz w:val="20"/>
          <w:szCs w:val="20"/>
          <w:color w:val="auto"/>
        </w:rPr>
      </w:pPr>
      <w:r>
        <w:rPr>
          <w:rFonts w:ascii="Arial" w:cs="Arial" w:eastAsia="Arial" w:hAnsi="Arial"/>
          <w:sz w:val="22"/>
          <w:szCs w:val="22"/>
          <w:color w:val="000039"/>
        </w:rPr>
        <w:t>“Near-term volatility does not distract us from focusing on what we do best— consistently executing to deliver long-term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-1319530</wp:posOffset>
            </wp:positionV>
            <wp:extent cx="9525" cy="78130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a:extLst>
                        <a:ext uri="{28A0092B-C50C-407E-A947-70E740481C1C}"/>
                      </a:extLst>
                    </a:blip>
                    <a:srcRect/>
                    <a:stretch>
                      <a:fillRect/>
                    </a:stretch>
                  </pic:blipFill>
                  <pic:spPr bwMode="auto">
                    <a:xfrm>
                      <a:off x="0" y="0"/>
                      <a:ext cx="9525" cy="7813040"/>
                    </a:xfrm>
                    <a:prstGeom prst="rect">
                      <a:avLst/>
                    </a:prstGeom>
                    <a:noFill/>
                  </pic:spPr>
                </pic:pic>
              </a:graphicData>
            </a:graphic>
          </wp:anchor>
        </w:drawing>
        <w:drawing>
          <wp:anchor simplePos="0" relativeHeight="251657728" behindDoc="1" locked="0" layoutInCell="0" allowOverlap="1">
            <wp:simplePos x="0" y="0"/>
            <wp:positionH relativeFrom="column">
              <wp:posOffset>796925</wp:posOffset>
            </wp:positionH>
            <wp:positionV relativeFrom="paragraph">
              <wp:posOffset>6611620</wp:posOffset>
            </wp:positionV>
            <wp:extent cx="660400" cy="183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a:extLst>
                        <a:ext uri="{28A0092B-C50C-407E-A947-70E740481C1C}"/>
                      </a:extLst>
                    </a:blip>
                    <a:srcRect/>
                    <a:stretch>
                      <a:fillRect/>
                    </a:stretch>
                  </pic:blipFill>
                  <pic:spPr bwMode="auto">
                    <a:xfrm>
                      <a:off x="0" y="0"/>
                      <a:ext cx="660400" cy="183515"/>
                    </a:xfrm>
                    <a:prstGeom prst="rect">
                      <a:avLst/>
                    </a:prstGeom>
                    <a:noFill/>
                  </pic:spPr>
                </pic:pic>
              </a:graphicData>
            </a:graphic>
          </wp:anchor>
        </w:drawing>
      </w:r>
    </w:p>
    <w:p>
      <w:pPr>
        <w:sectPr>
          <w:pgSz w:w="11880" w:h="15480" w:orient="portrait"/>
          <w:cols w:equalWidth="0" w:num="2">
            <w:col w:w="7520" w:space="620"/>
            <w:col w:w="2160"/>
          </w:cols>
          <w:pgMar w:left="720" w:top="1105" w:right="860" w:bottom="764" w:gutter="0" w:footer="0" w:header="0"/>
        </w:sectPr>
      </w:pPr>
    </w:p>
    <w:bookmarkStart w:id="4" w:name="page5"/>
    <w:bookmarkEnd w:id="4"/>
    <w:p>
      <w:pPr>
        <w:ind w:left="360"/>
        <w:spacing w:after="0"/>
        <w:rPr>
          <w:sz w:val="20"/>
          <w:szCs w:val="20"/>
          <w:color w:val="auto"/>
        </w:rPr>
      </w:pPr>
      <w:r>
        <w:rPr>
          <w:rFonts w:ascii="Arial" w:cs="Arial" w:eastAsia="Arial" w:hAnsi="Arial"/>
          <w:sz w:val="26"/>
          <w:szCs w:val="26"/>
          <w:color w:val="FFFFFF"/>
        </w:rPr>
        <w:drawing>
          <wp:anchor simplePos="0" relativeHeight="251657728" behindDoc="1" locked="0" layoutInCell="0" allowOverlap="1">
            <wp:simplePos x="0" y="0"/>
            <wp:positionH relativeFrom="page">
              <wp:posOffset>457200</wp:posOffset>
            </wp:positionH>
            <wp:positionV relativeFrom="page">
              <wp:posOffset>457200</wp:posOffset>
            </wp:positionV>
            <wp:extent cx="6629400" cy="694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a:extLst>
                        <a:ext uri="{28A0092B-C50C-407E-A947-70E740481C1C}"/>
                      </a:extLst>
                    </a:blip>
                    <a:srcRect/>
                    <a:stretch>
                      <a:fillRect/>
                    </a:stretch>
                  </pic:blipFill>
                  <pic:spPr bwMode="auto">
                    <a:xfrm>
                      <a:off x="0" y="0"/>
                      <a:ext cx="6629400" cy="694690"/>
                    </a:xfrm>
                    <a:prstGeom prst="rect">
                      <a:avLst/>
                    </a:prstGeom>
                    <a:noFill/>
                  </pic:spPr>
                </pic:pic>
              </a:graphicData>
            </a:graphic>
          </wp:anchor>
        </w:drawing>
        <w:t>To Our Fellow Shareholders (continued)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20"/>
          <w:szCs w:val="20"/>
          <w:color w:val="auto"/>
        </w:rPr>
        <w:t>These significant benefits include:</w:t>
      </w:r>
    </w:p>
    <w:p>
      <w:pPr>
        <w:spacing w:after="0" w:line="46" w:lineRule="exact"/>
        <w:rPr>
          <w:sz w:val="20"/>
          <w:szCs w:val="20"/>
          <w:color w:val="auto"/>
        </w:rPr>
      </w:pPr>
    </w:p>
    <w:p>
      <w:pPr>
        <w:ind w:left="240" w:right="1080" w:hanging="240"/>
        <w:spacing w:after="0" w:line="217" w:lineRule="auto"/>
        <w:tabs>
          <w:tab w:leader="none" w:pos="240" w:val="left"/>
        </w:tabs>
        <w:numPr>
          <w:ilvl w:val="0"/>
          <w:numId w:val="2"/>
        </w:numPr>
        <w:rPr>
          <w:rFonts w:ascii="Wingdings" w:cs="Wingdings" w:eastAsia="Wingdings" w:hAnsi="Wingdings"/>
          <w:sz w:val="32"/>
          <w:szCs w:val="32"/>
          <w:color w:val="000039"/>
        </w:rPr>
      </w:pPr>
      <w:r>
        <w:rPr>
          <w:rFonts w:ascii="Arial" w:cs="Arial" w:eastAsia="Arial" w:hAnsi="Arial"/>
          <w:sz w:val="20"/>
          <w:szCs w:val="20"/>
          <w:color w:val="auto"/>
        </w:rPr>
        <w:t>uninterrupted product supply for customers, even during planned and unplanned maintenance and upgrade-related production downtimes</w:t>
      </w:r>
    </w:p>
    <w:p>
      <w:pPr>
        <w:ind w:left="240" w:right="540" w:hanging="240"/>
        <w:spacing w:after="0" w:line="217" w:lineRule="auto"/>
        <w:tabs>
          <w:tab w:leader="none" w:pos="240" w:val="left"/>
        </w:tabs>
        <w:numPr>
          <w:ilvl w:val="0"/>
          <w:numId w:val="2"/>
        </w:numPr>
        <w:rPr>
          <w:rFonts w:ascii="Wingdings" w:cs="Wingdings" w:eastAsia="Wingdings" w:hAnsi="Wingdings"/>
          <w:sz w:val="32"/>
          <w:szCs w:val="32"/>
          <w:color w:val="000039"/>
        </w:rPr>
      </w:pPr>
      <w:r>
        <w:rPr>
          <w:rFonts w:ascii="Arial" w:cs="Arial" w:eastAsia="Arial" w:hAnsi="Arial"/>
          <w:sz w:val="20"/>
          <w:szCs w:val="20"/>
          <w:color w:val="auto"/>
        </w:rPr>
        <w:t>ability to respond to large project opportunities as they arise, while ensuring reliable supply and consistent delivery of product to all customers</w:t>
      </w:r>
    </w:p>
    <w:p>
      <w:pPr>
        <w:jc w:val="both"/>
        <w:ind w:left="240" w:right="460" w:hanging="240"/>
        <w:spacing w:after="0" w:line="217" w:lineRule="auto"/>
        <w:tabs>
          <w:tab w:leader="none" w:pos="240" w:val="left"/>
        </w:tabs>
        <w:numPr>
          <w:ilvl w:val="0"/>
          <w:numId w:val="2"/>
        </w:numPr>
        <w:rPr>
          <w:rFonts w:ascii="Wingdings" w:cs="Wingdings" w:eastAsia="Wingdings" w:hAnsi="Wingdings"/>
          <w:sz w:val="32"/>
          <w:szCs w:val="32"/>
          <w:color w:val="000039"/>
        </w:rPr>
      </w:pPr>
      <w:r>
        <w:rPr>
          <w:rFonts w:ascii="Arial" w:cs="Arial" w:eastAsia="Arial" w:hAnsi="Arial"/>
          <w:sz w:val="20"/>
          <w:szCs w:val="20"/>
          <w:color w:val="auto"/>
        </w:rPr>
        <w:t>ability to supplement supply of manufactured product through our two import facilities to meet customer needs across differing state regulatory backdrops</w:t>
      </w:r>
    </w:p>
    <w:p>
      <w:pPr>
        <w:ind w:left="240" w:hanging="240"/>
        <w:spacing w:after="0" w:line="184" w:lineRule="auto"/>
        <w:tabs>
          <w:tab w:leader="none" w:pos="240" w:val="left"/>
        </w:tabs>
        <w:numPr>
          <w:ilvl w:val="0"/>
          <w:numId w:val="2"/>
        </w:numPr>
        <w:rPr>
          <w:rFonts w:ascii="Wingdings" w:cs="Wingdings" w:eastAsia="Wingdings" w:hAnsi="Wingdings"/>
          <w:sz w:val="31"/>
          <w:szCs w:val="31"/>
          <w:color w:val="000039"/>
        </w:rPr>
      </w:pPr>
      <w:r>
        <w:rPr>
          <w:rFonts w:ascii="Arial" w:cs="Arial" w:eastAsia="Arial" w:hAnsi="Arial"/>
          <w:sz w:val="19"/>
          <w:szCs w:val="19"/>
          <w:color w:val="auto"/>
        </w:rPr>
        <w:t>consistent application of best practices across all business segments</w:t>
      </w:r>
    </w:p>
    <w:p>
      <w:pPr>
        <w:spacing w:after="0" w:line="1" w:lineRule="exact"/>
        <w:rPr>
          <w:rFonts w:ascii="Wingdings" w:cs="Wingdings" w:eastAsia="Wingdings" w:hAnsi="Wingdings"/>
          <w:sz w:val="31"/>
          <w:szCs w:val="31"/>
          <w:color w:val="000039"/>
        </w:rPr>
      </w:pPr>
    </w:p>
    <w:p>
      <w:pPr>
        <w:ind w:left="240" w:right="960" w:hanging="240"/>
        <w:spacing w:after="0" w:line="217" w:lineRule="auto"/>
        <w:tabs>
          <w:tab w:leader="none" w:pos="240" w:val="left"/>
        </w:tabs>
        <w:numPr>
          <w:ilvl w:val="0"/>
          <w:numId w:val="2"/>
        </w:numPr>
        <w:rPr>
          <w:rFonts w:ascii="Wingdings" w:cs="Wingdings" w:eastAsia="Wingdings" w:hAnsi="Wingdings"/>
          <w:sz w:val="32"/>
          <w:szCs w:val="32"/>
          <w:color w:val="000039"/>
        </w:rPr>
      </w:pPr>
      <w:r>
        <w:rPr>
          <w:rFonts w:ascii="Arial" w:cs="Arial" w:eastAsia="Arial" w:hAnsi="Arial"/>
          <w:sz w:val="20"/>
          <w:szCs w:val="20"/>
          <w:color w:val="auto"/>
        </w:rPr>
        <w:t>sharing of mining and manufacturing techniques across the Heavy and Light businesses.</w:t>
      </w:r>
    </w:p>
    <w:p>
      <w:pPr>
        <w:spacing w:after="0" w:line="109" w:lineRule="exact"/>
        <w:rPr>
          <w:sz w:val="20"/>
          <w:szCs w:val="20"/>
          <w:color w:val="auto"/>
        </w:rPr>
      </w:pPr>
    </w:p>
    <w:p>
      <w:pPr>
        <w:spacing w:after="0" w:line="288" w:lineRule="auto"/>
        <w:rPr>
          <w:sz w:val="20"/>
          <w:szCs w:val="20"/>
          <w:color w:val="auto"/>
        </w:rPr>
      </w:pPr>
      <w:r>
        <w:rPr>
          <w:rFonts w:ascii="Arial" w:cs="Arial" w:eastAsia="Arial" w:hAnsi="Arial"/>
          <w:sz w:val="20"/>
          <w:szCs w:val="20"/>
          <w:color w:val="auto"/>
        </w:rPr>
        <w:t>Eagle’s acquisition strategy is guided by and advances our network approach. Our cement plant acquisitions have increased the connectivity of our network, and our aggregates and concrete acquisitions, which have doubled our aggregates volumes, have been complementary to our cement plant locations.</w:t>
      </w:r>
    </w:p>
    <w:p>
      <w:pPr>
        <w:spacing w:after="0" w:line="64" w:lineRule="exact"/>
        <w:rPr>
          <w:sz w:val="20"/>
          <w:szCs w:val="20"/>
          <w:color w:val="auto"/>
        </w:rPr>
      </w:pPr>
    </w:p>
    <w:p>
      <w:pPr>
        <w:jc w:val="both"/>
        <w:ind w:right="400"/>
        <w:spacing w:after="0" w:line="294" w:lineRule="auto"/>
        <w:rPr>
          <w:sz w:val="20"/>
          <w:szCs w:val="20"/>
          <w:color w:val="auto"/>
        </w:rPr>
      </w:pPr>
      <w:r>
        <w:rPr>
          <w:rFonts w:ascii="Arial" w:cs="Arial" w:eastAsia="Arial" w:hAnsi="Arial"/>
          <w:sz w:val="20"/>
          <w:szCs w:val="20"/>
          <w:color w:val="auto"/>
        </w:rPr>
        <w:t>Our acquisitions have been meaningfully accretive to earnings, and the benefits increase over time as we grow our network, expanding the earnings potential of our businesses through cycles.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C9000F"/>
        </w:rPr>
        <w:t>Consistency and Cycle Management Propel Our Long-Term Growth</w:t>
      </w:r>
    </w:p>
    <w:p>
      <w:pPr>
        <w:spacing w:after="0" w:line="141" w:lineRule="exact"/>
        <w:rPr>
          <w:sz w:val="20"/>
          <w:szCs w:val="20"/>
          <w:color w:val="auto"/>
        </w:rPr>
      </w:pPr>
    </w:p>
    <w:p>
      <w:pPr>
        <w:ind w:right="20"/>
        <w:spacing w:after="0" w:line="294" w:lineRule="auto"/>
        <w:rPr>
          <w:sz w:val="20"/>
          <w:szCs w:val="20"/>
          <w:color w:val="auto"/>
        </w:rPr>
      </w:pPr>
      <w:r>
        <w:rPr>
          <w:rFonts w:ascii="Arial" w:cs="Arial" w:eastAsia="Arial" w:hAnsi="Arial"/>
          <w:sz w:val="20"/>
          <w:szCs w:val="20"/>
          <w:color w:val="auto"/>
        </w:rPr>
        <w:t>Near-term volatility and short-term demand fluctuations do not change the long-term fundamental attractiveness of our businesses, and consequently, our operational approach and investment strategy remain consistent.</w:t>
      </w:r>
    </w:p>
    <w:p>
      <w:pPr>
        <w:spacing w:after="0" w:line="58" w:lineRule="exact"/>
        <w:rPr>
          <w:sz w:val="20"/>
          <w:szCs w:val="20"/>
          <w:color w:val="auto"/>
        </w:rPr>
      </w:pPr>
    </w:p>
    <w:p>
      <w:pPr>
        <w:ind w:right="300"/>
        <w:spacing w:after="0" w:line="294" w:lineRule="auto"/>
        <w:rPr>
          <w:sz w:val="20"/>
          <w:szCs w:val="20"/>
          <w:color w:val="auto"/>
        </w:rPr>
      </w:pPr>
      <w:r>
        <w:rPr>
          <w:rFonts w:ascii="Arial" w:cs="Arial" w:eastAsia="Arial" w:hAnsi="Arial"/>
          <w:sz w:val="20"/>
          <w:szCs w:val="20"/>
          <w:color w:val="auto"/>
        </w:rPr>
        <w:t>To that end, this past year we strengthened our already healthy balance sheet by issuing 10-year senior notes to enhance our liquidity, allowing us to execute on potential growth and investment opportunities.</w:t>
      </w:r>
    </w:p>
    <w:p>
      <w:pPr>
        <w:spacing w:after="0" w:line="58" w:lineRule="exact"/>
        <w:rPr>
          <w:sz w:val="20"/>
          <w:szCs w:val="20"/>
          <w:color w:val="auto"/>
        </w:rPr>
      </w:pPr>
    </w:p>
    <w:p>
      <w:pPr>
        <w:ind w:right="140"/>
        <w:spacing w:after="0" w:line="313" w:lineRule="auto"/>
        <w:rPr>
          <w:sz w:val="20"/>
          <w:szCs w:val="20"/>
          <w:color w:val="auto"/>
        </w:rPr>
      </w:pPr>
      <w:r>
        <w:rPr>
          <w:rFonts w:ascii="Arial" w:cs="Arial" w:eastAsia="Arial" w:hAnsi="Arial"/>
          <w:sz w:val="20"/>
          <w:szCs w:val="20"/>
          <w:color w:val="auto"/>
        </w:rPr>
        <w:t>As we move forward, our priority is prudent, disciplined investment of the meaningful excess free cash flow we generate.</w:t>
      </w:r>
    </w:p>
    <w:p>
      <w:pPr>
        <w:spacing w:after="0" w:line="38" w:lineRule="exact"/>
        <w:rPr>
          <w:sz w:val="20"/>
          <w:szCs w:val="20"/>
          <w:color w:val="auto"/>
        </w:rPr>
      </w:pPr>
    </w:p>
    <w:p>
      <w:pPr>
        <w:jc w:val="both"/>
        <w:ind w:right="520"/>
        <w:spacing w:after="0" w:line="294" w:lineRule="auto"/>
        <w:rPr>
          <w:sz w:val="20"/>
          <w:szCs w:val="20"/>
          <w:color w:val="auto"/>
        </w:rPr>
      </w:pPr>
      <w:r>
        <w:rPr>
          <w:rFonts w:ascii="Arial" w:cs="Arial" w:eastAsia="Arial" w:hAnsi="Arial"/>
          <w:sz w:val="20"/>
          <w:szCs w:val="20"/>
          <w:color w:val="auto"/>
        </w:rPr>
        <w:t>Our strategic and financial criteria for investment, both organic and inorganic, means that we will be patient to ensure each investment reinforces consistent, through-the-cycle growth.</w:t>
      </w:r>
    </w:p>
    <w:p>
      <w:pPr>
        <w:spacing w:after="0" w:line="58" w:lineRule="exact"/>
        <w:rPr>
          <w:sz w:val="20"/>
          <w:szCs w:val="20"/>
          <w:color w:val="auto"/>
        </w:rPr>
      </w:pPr>
    </w:p>
    <w:p>
      <w:pPr>
        <w:ind w:right="100"/>
        <w:spacing w:after="0" w:line="294" w:lineRule="auto"/>
        <w:rPr>
          <w:sz w:val="20"/>
          <w:szCs w:val="20"/>
          <w:color w:val="auto"/>
        </w:rPr>
      </w:pPr>
      <w:r>
        <w:rPr>
          <w:rFonts w:ascii="Arial" w:cs="Arial" w:eastAsia="Arial" w:hAnsi="Arial"/>
          <w:sz w:val="20"/>
          <w:szCs w:val="20"/>
          <w:color w:val="auto"/>
        </w:rPr>
        <w:t>We are proud of how we’ve positioned the business, and we are confident we can execute similarly in the years ahead. We look forward to extending our track record of translating strategic consistency into further shareholder value.</w:t>
      </w:r>
    </w:p>
    <w:p>
      <w:pPr>
        <w:spacing w:after="0" w:line="58"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90170</wp:posOffset>
            </wp:positionV>
            <wp:extent cx="3147695" cy="13716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2">
                      <a:extLst>
                        <a:ext uri="{28A0092B-C50C-407E-A947-70E740481C1C}"/>
                      </a:extLst>
                    </a:blip>
                    <a:srcRect/>
                    <a:stretch>
                      <a:fillRect/>
                    </a:stretch>
                  </pic:blipFill>
                  <pic:spPr bwMode="auto">
                    <a:xfrm>
                      <a:off x="0" y="0"/>
                      <a:ext cx="3147695" cy="137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tabs>
          <w:tab w:leader="none" w:pos="2420" w:val="left"/>
        </w:tabs>
        <w:rPr>
          <w:sz w:val="20"/>
          <w:szCs w:val="20"/>
          <w:color w:val="auto"/>
        </w:rPr>
      </w:pPr>
      <w:r>
        <w:rPr>
          <w:rFonts w:ascii="Arial" w:cs="Arial" w:eastAsia="Arial" w:hAnsi="Arial"/>
          <w:sz w:val="20"/>
          <w:szCs w:val="20"/>
          <w:b w:val="1"/>
          <w:bCs w:val="1"/>
          <w:color w:val="000039"/>
        </w:rPr>
        <w:t>Mike Nicolais</w:t>
      </w:r>
      <w:r>
        <w:rPr>
          <w:sz w:val="20"/>
          <w:szCs w:val="20"/>
          <w:color w:val="auto"/>
        </w:rPr>
        <w:tab/>
      </w:r>
      <w:r>
        <w:rPr>
          <w:rFonts w:ascii="Arial" w:cs="Arial" w:eastAsia="Arial" w:hAnsi="Arial"/>
          <w:sz w:val="20"/>
          <w:szCs w:val="20"/>
          <w:b w:val="1"/>
          <w:bCs w:val="1"/>
          <w:color w:val="000039"/>
        </w:rPr>
        <w:t>Michael Haack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right="60" w:hanging="72"/>
        <w:spacing w:after="0" w:line="291" w:lineRule="auto"/>
        <w:rPr>
          <w:sz w:val="20"/>
          <w:szCs w:val="20"/>
          <w:color w:val="auto"/>
        </w:rPr>
      </w:pPr>
      <w:r>
        <w:rPr>
          <w:rFonts w:ascii="Arial" w:cs="Arial" w:eastAsia="Arial" w:hAnsi="Arial"/>
          <w:sz w:val="22"/>
          <w:szCs w:val="22"/>
          <w:color w:val="000039"/>
        </w:rPr>
        <w:t>“We continue to generate profitability and return on capital that are among the highest in our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-1129030</wp:posOffset>
            </wp:positionV>
            <wp:extent cx="9525" cy="78130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3">
                      <a:extLst>
                        <a:ext uri="{28A0092B-C50C-407E-A947-70E740481C1C}"/>
                      </a:extLst>
                    </a:blip>
                    <a:srcRect/>
                    <a:stretch>
                      <a:fillRect/>
                    </a:stretch>
                  </pic:blipFill>
                  <pic:spPr bwMode="auto">
                    <a:xfrm>
                      <a:off x="0" y="0"/>
                      <a:ext cx="9525" cy="7813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color w:val="000039"/>
        </w:rPr>
        <w:t>“Our combined</w:t>
      </w:r>
    </w:p>
    <w:p>
      <w:pPr>
        <w:spacing w:after="0" w:line="47" w:lineRule="exact"/>
        <w:rPr>
          <w:sz w:val="20"/>
          <w:szCs w:val="20"/>
          <w:color w:val="auto"/>
        </w:rPr>
      </w:pPr>
    </w:p>
    <w:p>
      <w:pPr>
        <w:ind w:left="60"/>
        <w:spacing w:after="0"/>
        <w:rPr>
          <w:sz w:val="20"/>
          <w:szCs w:val="20"/>
          <w:color w:val="auto"/>
        </w:rPr>
      </w:pPr>
      <w:r>
        <w:rPr>
          <w:rFonts w:ascii="Arial" w:cs="Arial" w:eastAsia="Arial" w:hAnsi="Arial"/>
          <w:sz w:val="22"/>
          <w:szCs w:val="22"/>
          <w:color w:val="000039"/>
        </w:rPr>
        <w:t>enterprise cash flows</w:t>
      </w:r>
    </w:p>
    <w:p>
      <w:pPr>
        <w:spacing w:after="0" w:line="47" w:lineRule="exact"/>
        <w:rPr>
          <w:sz w:val="20"/>
          <w:szCs w:val="20"/>
          <w:color w:val="auto"/>
        </w:rPr>
      </w:pPr>
    </w:p>
    <w:p>
      <w:pPr>
        <w:ind w:left="60"/>
        <w:spacing w:after="0"/>
        <w:rPr>
          <w:sz w:val="20"/>
          <w:szCs w:val="20"/>
          <w:color w:val="auto"/>
        </w:rPr>
      </w:pPr>
      <w:r>
        <w:rPr>
          <w:rFonts w:ascii="Arial" w:cs="Arial" w:eastAsia="Arial" w:hAnsi="Arial"/>
          <w:sz w:val="22"/>
          <w:szCs w:val="22"/>
          <w:color w:val="000039"/>
        </w:rPr>
        <w:t>allow us to invest</w:t>
      </w:r>
    </w:p>
    <w:p>
      <w:pPr>
        <w:spacing w:after="0" w:line="47" w:lineRule="exact"/>
        <w:rPr>
          <w:sz w:val="20"/>
          <w:szCs w:val="20"/>
          <w:color w:val="auto"/>
        </w:rPr>
      </w:pPr>
    </w:p>
    <w:p>
      <w:pPr>
        <w:ind w:left="60"/>
        <w:spacing w:after="0"/>
        <w:rPr>
          <w:sz w:val="20"/>
          <w:szCs w:val="20"/>
          <w:color w:val="auto"/>
        </w:rPr>
      </w:pPr>
      <w:r>
        <w:rPr>
          <w:rFonts w:ascii="Arial" w:cs="Arial" w:eastAsia="Arial" w:hAnsi="Arial"/>
          <w:sz w:val="22"/>
          <w:szCs w:val="22"/>
          <w:color w:val="000039"/>
        </w:rPr>
        <w:t>efficiently and pursue</w:t>
      </w:r>
    </w:p>
    <w:p>
      <w:pPr>
        <w:spacing w:after="0" w:line="47" w:lineRule="exact"/>
        <w:rPr>
          <w:sz w:val="20"/>
          <w:szCs w:val="20"/>
          <w:color w:val="auto"/>
        </w:rPr>
      </w:pPr>
    </w:p>
    <w:p>
      <w:pPr>
        <w:ind w:left="60"/>
        <w:spacing w:after="0"/>
        <w:rPr>
          <w:sz w:val="20"/>
          <w:szCs w:val="20"/>
          <w:color w:val="auto"/>
        </w:rPr>
      </w:pPr>
      <w:r>
        <w:rPr>
          <w:rFonts w:ascii="Arial" w:cs="Arial" w:eastAsia="Arial" w:hAnsi="Arial"/>
          <w:sz w:val="22"/>
          <w:szCs w:val="22"/>
          <w:color w:val="000039"/>
        </w:rPr>
        <w:t>growth opportunities</w:t>
      </w:r>
    </w:p>
    <w:p>
      <w:pPr>
        <w:spacing w:after="0" w:line="47" w:lineRule="exact"/>
        <w:rPr>
          <w:sz w:val="20"/>
          <w:szCs w:val="20"/>
          <w:color w:val="auto"/>
        </w:rPr>
      </w:pPr>
    </w:p>
    <w:p>
      <w:pPr>
        <w:ind w:left="60"/>
        <w:spacing w:after="0"/>
        <w:rPr>
          <w:sz w:val="20"/>
          <w:szCs w:val="20"/>
          <w:color w:val="auto"/>
        </w:rPr>
      </w:pPr>
      <w:r>
        <w:rPr>
          <w:rFonts w:ascii="Arial" w:cs="Arial" w:eastAsia="Arial" w:hAnsi="Arial"/>
          <w:sz w:val="22"/>
          <w:szCs w:val="22"/>
          <w:color w:val="000039"/>
        </w:rPr>
        <w:t>to further strengthen</w:t>
      </w:r>
    </w:p>
    <w:p>
      <w:pPr>
        <w:spacing w:after="0" w:line="47" w:lineRule="exact"/>
        <w:rPr>
          <w:sz w:val="20"/>
          <w:szCs w:val="20"/>
          <w:color w:val="auto"/>
        </w:rPr>
      </w:pPr>
    </w:p>
    <w:p>
      <w:pPr>
        <w:ind w:left="60"/>
        <w:spacing w:after="0"/>
        <w:rPr>
          <w:sz w:val="20"/>
          <w:szCs w:val="20"/>
          <w:color w:val="auto"/>
        </w:rPr>
      </w:pPr>
      <w:r>
        <w:rPr>
          <w:rFonts w:ascii="Arial" w:cs="Arial" w:eastAsia="Arial" w:hAnsi="Arial"/>
          <w:sz w:val="22"/>
          <w:szCs w:val="22"/>
          <w:color w:val="000039"/>
        </w:rPr>
        <w:t>and extend our</w:t>
      </w:r>
    </w:p>
    <w:p>
      <w:pPr>
        <w:spacing w:after="0" w:line="47" w:lineRule="exact"/>
        <w:rPr>
          <w:sz w:val="20"/>
          <w:szCs w:val="20"/>
          <w:color w:val="auto"/>
        </w:rPr>
      </w:pPr>
    </w:p>
    <w:p>
      <w:pPr>
        <w:ind w:left="60"/>
        <w:spacing w:after="0"/>
        <w:rPr>
          <w:sz w:val="20"/>
          <w:szCs w:val="20"/>
          <w:color w:val="auto"/>
        </w:rPr>
      </w:pPr>
      <w:r>
        <w:rPr>
          <w:rFonts w:ascii="Arial" w:cs="Arial" w:eastAsia="Arial" w:hAnsi="Arial"/>
          <w:sz w:val="22"/>
          <w:szCs w:val="22"/>
          <w:color w:val="000039"/>
        </w:rPr>
        <w:t>network over time.”</w:t>
      </w:r>
    </w:p>
    <w:p>
      <w:pPr>
        <w:spacing w:after="0" w:line="4449" w:lineRule="exact"/>
        <w:rPr>
          <w:sz w:val="20"/>
          <w:szCs w:val="20"/>
          <w:color w:val="auto"/>
        </w:rPr>
      </w:pPr>
    </w:p>
    <w:p>
      <w:pPr>
        <w:sectPr>
          <w:pgSz w:w="11880" w:h="15480" w:orient="portrait"/>
          <w:cols w:equalWidth="0" w:num="2">
            <w:col w:w="7440" w:space="640"/>
            <w:col w:w="2140"/>
          </w:cols>
          <w:pgMar w:left="720" w:top="1105" w:right="940" w:bottom="170" w:gutter="0" w:footer="0" w:header="0"/>
        </w:sectPr>
      </w:pPr>
    </w:p>
    <w:p>
      <w:pPr>
        <w:spacing w:after="0"/>
        <w:tabs>
          <w:tab w:leader="none" w:pos="2420" w:val="left"/>
        </w:tabs>
        <w:rPr>
          <w:sz w:val="20"/>
          <w:szCs w:val="20"/>
          <w:color w:val="auto"/>
        </w:rPr>
      </w:pPr>
      <w:r>
        <w:rPr>
          <w:rFonts w:ascii="Arial" w:cs="Arial" w:eastAsia="Arial" w:hAnsi="Arial"/>
          <w:sz w:val="16"/>
          <w:szCs w:val="16"/>
          <w:color w:val="auto"/>
        </w:rPr>
        <w:t>CHAIRMAN</w:t>
      </w:r>
      <w:r>
        <w:rPr>
          <w:sz w:val="20"/>
          <w:szCs w:val="20"/>
          <w:color w:val="auto"/>
        </w:rPr>
        <w:tab/>
      </w:r>
      <w:r>
        <w:rPr>
          <w:rFonts w:ascii="Arial" w:cs="Arial" w:eastAsia="Arial" w:hAnsi="Arial"/>
          <w:sz w:val="16"/>
          <w:szCs w:val="16"/>
          <w:color w:val="auto"/>
        </w:rPr>
        <w:t>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5965825</wp:posOffset>
            </wp:positionH>
            <wp:positionV relativeFrom="paragraph">
              <wp:posOffset>-8890</wp:posOffset>
            </wp:positionV>
            <wp:extent cx="660400" cy="183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4">
                      <a:extLst>
                        <a:ext uri="{28A0092B-C50C-407E-A947-70E740481C1C}"/>
                      </a:extLst>
                    </a:blip>
                    <a:srcRect/>
                    <a:stretch>
                      <a:fillRect/>
                    </a:stretch>
                  </pic:blipFill>
                  <pic:spPr bwMode="auto">
                    <a:xfrm>
                      <a:off x="0" y="0"/>
                      <a:ext cx="660400" cy="183515"/>
                    </a:xfrm>
                    <a:prstGeom prst="rect">
                      <a:avLst/>
                    </a:prstGeom>
                    <a:noFill/>
                  </pic:spPr>
                </pic:pic>
              </a:graphicData>
            </a:graphic>
          </wp:anchor>
        </w:drawing>
      </w:r>
    </w:p>
    <w:p>
      <w:pPr>
        <w:sectPr>
          <w:pgSz w:w="11880" w:h="15480" w:orient="portrait"/>
          <w:cols w:equalWidth="0" w:num="1">
            <w:col w:w="10220"/>
          </w:cols>
          <w:pgMar w:left="720" w:top="1105" w:right="940" w:bottom="170" w:gutter="0" w:footer="0" w:header="0"/>
          <w:type w:val="continuous"/>
        </w:sectPr>
      </w:pPr>
    </w:p>
    <w:bookmarkStart w:id="5" w:name="page6"/>
    <w:bookmarkEnd w:id="5"/>
    <w:p>
      <w:pPr>
        <w:spacing w:after="0" w:line="20" w:lineRule="exact"/>
        <w:rPr>
          <w:sz w:val="20"/>
          <w:szCs w:val="20"/>
          <w:color w:val="auto"/>
        </w:rPr>
      </w:pPr>
    </w:p>
    <w:p>
      <w:pPr>
        <w:sectPr>
          <w:pgSz w:w="11880" w:h="15480" w:orient="portrait"/>
          <w:cols w:equalWidth="1" w:num="1" w:space="0"/>
          <w:pgMar w:left="1440" w:top="1440" w:right="1440" w:bottom="875" w:gutter="0" w:footer="0" w:header="0"/>
        </w:sectPr>
      </w:pPr>
    </w:p>
    <w:bookmarkStart w:id="6" w:name="page7"/>
    <w:bookmarkEnd w:id="6"/>
    <w:p>
      <w:pPr>
        <w:jc w:val="center"/>
        <w:spacing w:after="0"/>
        <w:rPr>
          <w:sz w:val="20"/>
          <w:szCs w:val="20"/>
          <w:color w:val="auto"/>
        </w:rPr>
      </w:pPr>
      <w:r>
        <w:rPr>
          <w:rFonts w:ascii="Arial" w:cs="Arial" w:eastAsia="Arial" w:hAnsi="Arial"/>
          <w:sz w:val="24"/>
          <w:szCs w:val="24"/>
          <w:b w:val="1"/>
          <w:bCs w:val="1"/>
          <w:color w:val="auto"/>
        </w:rPr>
        <w:t>UNITED STATES SECURITIES AND EXCHANGE COMMISSION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2743200</wp:posOffset>
            </wp:positionH>
            <wp:positionV relativeFrom="paragraph">
              <wp:posOffset>55245</wp:posOffset>
            </wp:positionV>
            <wp:extent cx="1371600" cy="127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5">
                      <a:extLst>
                        <a:ext uri="{28A0092B-C50C-407E-A947-70E740481C1C}"/>
                      </a:extLst>
                    </a:blip>
                    <a:srcRect/>
                    <a:stretch>
                      <a:fillRect/>
                    </a:stretch>
                  </pic:blipFill>
                  <pic:spPr bwMode="auto">
                    <a:xfrm>
                      <a:off x="0" y="0"/>
                      <a:ext cx="1371600" cy="12700"/>
                    </a:xfrm>
                    <a:prstGeom prst="rect">
                      <a:avLst/>
                    </a:prstGeom>
                    <a:noFill/>
                  </pic:spPr>
                </pic:pic>
              </a:graphicData>
            </a:graphic>
          </wp:anchor>
        </w:drawing>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2743200</wp:posOffset>
            </wp:positionH>
            <wp:positionV relativeFrom="paragraph">
              <wp:posOffset>59690</wp:posOffset>
            </wp:positionV>
            <wp:extent cx="1371600" cy="127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6">
                      <a:extLst>
                        <a:ext uri="{28A0092B-C50C-407E-A947-70E740481C1C}"/>
                      </a:extLst>
                    </a:blip>
                    <a:srcRect/>
                    <a:stretch>
                      <a:fillRect/>
                    </a:stretch>
                  </pic:blipFill>
                  <pic:spPr bwMode="auto">
                    <a:xfrm>
                      <a:off x="0" y="0"/>
                      <a:ext cx="1371600" cy="12700"/>
                    </a:xfrm>
                    <a:prstGeom prst="rect">
                      <a:avLst/>
                    </a:prstGeom>
                    <a:noFill/>
                  </pic:spPr>
                </pic:pic>
              </a:graphicData>
            </a:graphic>
          </wp:anchor>
        </w:drawing>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ANNUAL REPORT</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jc w:val="center"/>
        <w:spacing w:after="0"/>
        <w:rPr>
          <w:sz w:val="20"/>
          <w:szCs w:val="20"/>
          <w:color w:val="auto"/>
        </w:rPr>
      </w:pPr>
      <w:r>
        <w:rPr>
          <w:rFonts w:ascii="Arial" w:cs="Arial" w:eastAsia="Arial" w:hAnsi="Arial"/>
          <w:sz w:val="18"/>
          <w:szCs w:val="18"/>
          <w:b w:val="1"/>
          <w:bCs w:val="1"/>
          <w:color w:val="auto"/>
        </w:rPr>
        <w:t>For the Fiscal Year Ended</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2026</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No. 1-12984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2743200</wp:posOffset>
            </wp:positionH>
            <wp:positionV relativeFrom="paragraph">
              <wp:posOffset>55245</wp:posOffset>
            </wp:positionV>
            <wp:extent cx="1371600" cy="12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7">
                      <a:extLst>
                        <a:ext uri="{28A0092B-C50C-407E-A947-70E740481C1C}"/>
                      </a:extLst>
                    </a:blip>
                    <a:srcRect/>
                    <a:stretch>
                      <a:fillRect/>
                    </a:stretch>
                  </pic:blipFill>
                  <pic:spPr bwMode="auto">
                    <a:xfrm>
                      <a:off x="0" y="0"/>
                      <a:ext cx="1371600" cy="12700"/>
                    </a:xfrm>
                    <a:prstGeom prst="rect">
                      <a:avLst/>
                    </a:prstGeom>
                    <a:noFill/>
                  </pic:spPr>
                </pic:pic>
              </a:graphicData>
            </a:graphic>
          </wp:anchor>
        </w:drawing>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28"/>
          <w:szCs w:val="28"/>
          <w:b w:val="1"/>
          <w:bCs w:val="1"/>
          <w:color w:val="auto"/>
        </w:rPr>
        <w:t>EAGLE MATERIALS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2743200</wp:posOffset>
            </wp:positionH>
            <wp:positionV relativeFrom="paragraph">
              <wp:posOffset>67945</wp:posOffset>
            </wp:positionV>
            <wp:extent cx="1371600" cy="12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8">
                      <a:extLst>
                        <a:ext uri="{28A0092B-C50C-407E-A947-70E740481C1C}"/>
                      </a:extLst>
                    </a:blip>
                    <a:srcRect/>
                    <a:stretch>
                      <a:fillRect/>
                    </a:stretch>
                  </pic:blipFill>
                  <pic:spPr bwMode="auto">
                    <a:xfrm>
                      <a:off x="0" y="0"/>
                      <a:ext cx="1371600" cy="12700"/>
                    </a:xfrm>
                    <a:prstGeom prst="rect">
                      <a:avLst/>
                    </a:prstGeom>
                    <a:noFill/>
                  </pic:spPr>
                </pic:pic>
              </a:graphicData>
            </a:graphic>
          </wp:anchor>
        </w:drawing>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Delaware </w:t>
      </w:r>
      <w:r>
        <w:rPr>
          <w:rFonts w:ascii="Arial" w:cs="Arial" w:eastAsia="Arial" w:hAnsi="Arial"/>
          <w:sz w:val="16"/>
          <w:szCs w:val="16"/>
          <w:color w:val="auto"/>
        </w:rPr>
        <w:t>(State of Incorporation)</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75-2520779 </w:t>
      </w:r>
      <w:r>
        <w:rPr>
          <w:rFonts w:ascii="Arial" w:cs="Arial" w:eastAsia="Arial" w:hAnsi="Arial"/>
          <w:sz w:val="16"/>
          <w:szCs w:val="16"/>
          <w:color w:val="auto"/>
        </w:rPr>
        <w:t>(I.R.S. Employer Identification No.)</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5960 Berkshire Lane, Suite 900, Dallas, Texas 75225 </w:t>
      </w:r>
      <w:r>
        <w:rPr>
          <w:rFonts w:ascii="Arial" w:cs="Arial" w:eastAsia="Arial" w:hAnsi="Arial"/>
          <w:sz w:val="16"/>
          <w:szCs w:val="16"/>
          <w:color w:val="auto"/>
        </w:rPr>
        <w:t>(Address of principal executive offices)</w:t>
      </w:r>
    </w:p>
    <w:p>
      <w:pPr>
        <w:spacing w:after="0" w:line="40" w:lineRule="exact"/>
        <w:rPr>
          <w:sz w:val="20"/>
          <w:szCs w:val="20"/>
          <w:color w:val="auto"/>
        </w:rPr>
      </w:pPr>
    </w:p>
    <w:p>
      <w:pPr>
        <w:ind w:left="4080" w:hanging="463"/>
        <w:spacing w:after="0"/>
        <w:tabs>
          <w:tab w:leader="none" w:pos="40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432-2000 </w:t>
      </w:r>
      <w:r>
        <w:rPr>
          <w:rFonts w:ascii="Arial" w:cs="Arial" w:eastAsia="Arial" w:hAnsi="Arial"/>
          <w:sz w:val="16"/>
          <w:szCs w:val="16"/>
          <w:color w:val="auto"/>
        </w:rPr>
        <w:t>(Registrant’s telephone number)</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Trading</w:t>
            </w:r>
          </w:p>
        </w:tc>
        <w:tc>
          <w:tcPr>
            <w:tcW w:w="1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320" w:type="dxa"/>
            <w:vAlign w:val="bottom"/>
          </w:tcPr>
          <w:p>
            <w:pPr>
              <w:jc w:val="center"/>
              <w:spacing w:after="0"/>
              <w:rPr>
                <w:sz w:val="20"/>
                <w:szCs w:val="20"/>
                <w:color w:val="auto"/>
              </w:rPr>
            </w:pPr>
            <w:r>
              <w:rPr>
                <w:rFonts w:ascii="Arial" w:cs="Arial" w:eastAsia="Arial" w:hAnsi="Arial"/>
                <w:sz w:val="18"/>
                <w:szCs w:val="18"/>
                <w:b w:val="1"/>
                <w:bCs w:val="1"/>
                <w:color w:val="auto"/>
              </w:rPr>
              <w:t xml:space="preserve">Title </w:t>
            </w:r>
            <w:r>
              <w:rPr>
                <w:rFonts w:ascii="Arial" w:cs="Arial" w:eastAsia="Arial" w:hAnsi="Arial"/>
                <w:sz w:val="18"/>
                <w:szCs w:val="18"/>
                <w:b w:val="1"/>
                <w:bCs w:val="1"/>
                <w:u w:val="single" w:color="auto"/>
                <w:color w:val="auto"/>
              </w:rPr>
              <w:t>of e</w:t>
            </w:r>
            <w:r>
              <w:rPr>
                <w:rFonts w:ascii="Arial" w:cs="Arial" w:eastAsia="Arial" w:hAnsi="Arial"/>
                <w:sz w:val="18"/>
                <w:szCs w:val="18"/>
                <w:b w:val="1"/>
                <w:bCs w:val="1"/>
                <w:color w:val="auto"/>
              </w:rPr>
              <w:t>ach c</w:t>
            </w:r>
            <w:r>
              <w:rPr>
                <w:rFonts w:ascii="Arial" w:cs="Arial" w:eastAsia="Arial" w:hAnsi="Arial"/>
                <w:sz w:val="18"/>
                <w:szCs w:val="18"/>
                <w:b w:val="1"/>
                <w:bCs w:val="1"/>
                <w:u w:val="single" w:color="auto"/>
                <w:color w:val="auto"/>
              </w:rPr>
              <w:t>lass</w:t>
            </w:r>
          </w:p>
        </w:tc>
        <w:tc>
          <w:tcPr>
            <w:tcW w:w="100" w:type="dxa"/>
            <w:vAlign w:val="bottom"/>
          </w:tcPr>
          <w:p>
            <w:pPr>
              <w:spacing w:after="0"/>
              <w:rPr>
                <w:sz w:val="19"/>
                <w:szCs w:val="19"/>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Symbol(s)</w:t>
            </w:r>
          </w:p>
        </w:tc>
        <w:tc>
          <w:tcPr>
            <w:tcW w:w="43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 xml:space="preserve">Name of each </w:t>
            </w:r>
            <w:r>
              <w:rPr>
                <w:rFonts w:ascii="Arial" w:cs="Arial" w:eastAsia="Arial" w:hAnsi="Arial"/>
                <w:sz w:val="18"/>
                <w:szCs w:val="18"/>
                <w:b w:val="1"/>
                <w:bCs w:val="1"/>
                <w:u w:val="single" w:color="auto"/>
                <w:color w:val="auto"/>
                <w:w w:val="99"/>
              </w:rPr>
              <w:t>e</w:t>
            </w:r>
            <w:r>
              <w:rPr>
                <w:rFonts w:ascii="Arial" w:cs="Arial" w:eastAsia="Arial" w:hAnsi="Arial"/>
                <w:sz w:val="18"/>
                <w:szCs w:val="18"/>
                <w:b w:val="1"/>
                <w:bCs w:val="1"/>
                <w:color w:val="auto"/>
                <w:w w:val="99"/>
              </w:rPr>
              <w:t xml:space="preserve">xchange </w:t>
            </w:r>
            <w:r>
              <w:rPr>
                <w:rFonts w:ascii="Arial" w:cs="Arial" w:eastAsia="Arial" w:hAnsi="Arial"/>
                <w:sz w:val="18"/>
                <w:szCs w:val="18"/>
                <w:b w:val="1"/>
                <w:bCs w:val="1"/>
                <w:u w:val="single" w:color="auto"/>
                <w:color w:val="auto"/>
                <w:w w:val="99"/>
              </w:rPr>
              <w:t>on which</w:t>
            </w:r>
            <w:r>
              <w:rPr>
                <w:rFonts w:ascii="Arial" w:cs="Arial" w:eastAsia="Arial" w:hAnsi="Arial"/>
                <w:sz w:val="18"/>
                <w:szCs w:val="18"/>
                <w:b w:val="1"/>
                <w:bCs w:val="1"/>
                <w:color w:val="auto"/>
                <w:w w:val="99"/>
              </w:rPr>
              <w:t xml:space="preserve"> registered</w:t>
            </w:r>
          </w:p>
        </w:tc>
        <w:tc>
          <w:tcPr>
            <w:tcW w:w="0" w:type="dxa"/>
            <w:vAlign w:val="bottom"/>
          </w:tcPr>
          <w:p>
            <w:pPr>
              <w:spacing w:after="0"/>
              <w:rPr>
                <w:sz w:val="1"/>
                <w:szCs w:val="1"/>
                <w:color w:val="auto"/>
              </w:rPr>
            </w:pPr>
          </w:p>
        </w:tc>
      </w:tr>
      <w:tr>
        <w:trPr>
          <w:trHeight w:val="158"/>
        </w:trPr>
        <w:tc>
          <w:tcPr>
            <w:tcW w:w="432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color w:val="auto"/>
              </w:rPr>
              <w:t>Common Stock (par value $.01 per share)</w:t>
            </w:r>
          </w:p>
        </w:tc>
        <w:tc>
          <w:tcPr>
            <w:tcW w:w="100" w:type="dxa"/>
            <w:vAlign w:val="bottom"/>
          </w:tcPr>
          <w:p>
            <w:pPr>
              <w:spacing w:after="0"/>
              <w:rPr>
                <w:sz w:val="13"/>
                <w:szCs w:val="13"/>
                <w:color w:val="auto"/>
              </w:rPr>
            </w:pPr>
          </w:p>
        </w:tc>
        <w:tc>
          <w:tcPr>
            <w:tcW w:w="196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color w:val="auto"/>
                <w:w w:val="99"/>
              </w:rPr>
              <w:t>EXP</w:t>
            </w:r>
          </w:p>
        </w:tc>
        <w:tc>
          <w:tcPr>
            <w:tcW w:w="100" w:type="dxa"/>
            <w:vAlign w:val="bottom"/>
          </w:tcPr>
          <w:p>
            <w:pPr>
              <w:spacing w:after="0"/>
              <w:rPr>
                <w:sz w:val="13"/>
                <w:szCs w:val="13"/>
                <w:color w:val="auto"/>
              </w:rPr>
            </w:pPr>
          </w:p>
        </w:tc>
        <w:tc>
          <w:tcPr>
            <w:tcW w:w="4320" w:type="dxa"/>
            <w:vAlign w:val="bottom"/>
            <w:tcBorders>
              <w:top w:val="single" w:sz="8" w:color="auto"/>
            </w:tcBorders>
            <w:gridSpan w:val="3"/>
          </w:tcPr>
          <w:p>
            <w:pPr>
              <w:jc w:val="center"/>
              <w:spacing w:after="0" w:line="158" w:lineRule="exact"/>
              <w:rPr>
                <w:sz w:val="20"/>
                <w:szCs w:val="20"/>
                <w:color w:val="auto"/>
              </w:rPr>
            </w:pPr>
            <w:r>
              <w:rPr>
                <w:rFonts w:ascii="Arial" w:cs="Arial" w:eastAsia="Arial" w:hAnsi="Arial"/>
                <w:sz w:val="16"/>
                <w:szCs w:val="16"/>
                <w:color w:val="auto"/>
                <w:w w:val="99"/>
              </w:rPr>
              <w:t>New York Stock Exchange</w:t>
            </w:r>
          </w:p>
        </w:tc>
        <w:tc>
          <w:tcPr>
            <w:tcW w:w="0" w:type="dxa"/>
            <w:vAlign w:val="bottom"/>
          </w:tcPr>
          <w:p>
            <w:pPr>
              <w:spacing w:after="0"/>
              <w:rPr>
                <w:sz w:val="1"/>
                <w:szCs w:val="1"/>
                <w:color w:val="auto"/>
              </w:rPr>
            </w:pPr>
          </w:p>
        </w:tc>
      </w:tr>
      <w:tr>
        <w:trPr>
          <w:trHeight w:val="216"/>
        </w:trPr>
        <w:tc>
          <w:tcPr>
            <w:tcW w:w="4320" w:type="dxa"/>
            <w:vAlign w:val="bottom"/>
          </w:tcPr>
          <w:p>
            <w:pPr>
              <w:jc w:val="center"/>
              <w:spacing w:after="0"/>
              <w:rPr>
                <w:sz w:val="20"/>
                <w:szCs w:val="20"/>
                <w:color w:val="auto"/>
              </w:rPr>
            </w:pPr>
            <w:r>
              <w:rPr>
                <w:rFonts w:ascii="Arial" w:cs="Arial" w:eastAsia="Arial" w:hAnsi="Arial"/>
                <w:sz w:val="16"/>
                <w:szCs w:val="16"/>
                <w:color w:val="auto"/>
              </w:rPr>
              <w:t>Common Stock (par value $.01 per share)</w:t>
            </w:r>
          </w:p>
        </w:tc>
        <w:tc>
          <w:tcPr>
            <w:tcW w:w="100" w:type="dxa"/>
            <w:vAlign w:val="bottom"/>
          </w:tcPr>
          <w:p>
            <w:pPr>
              <w:spacing w:after="0"/>
              <w:rPr>
                <w:sz w:val="18"/>
                <w:szCs w:val="18"/>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EXP</w:t>
            </w:r>
          </w:p>
        </w:tc>
        <w:tc>
          <w:tcPr>
            <w:tcW w:w="4320" w:type="dxa"/>
            <w:vAlign w:val="bottom"/>
            <w:gridSpan w:val="3"/>
          </w:tcPr>
          <w:p>
            <w:pPr>
              <w:jc w:val="center"/>
              <w:spacing w:after="0"/>
              <w:rPr>
                <w:sz w:val="20"/>
                <w:szCs w:val="20"/>
                <w:color w:val="auto"/>
              </w:rPr>
            </w:pPr>
            <w:r>
              <w:rPr>
                <w:rFonts w:ascii="Arial" w:cs="Arial" w:eastAsia="Arial" w:hAnsi="Arial"/>
                <w:sz w:val="16"/>
                <w:szCs w:val="16"/>
                <w:color w:val="auto"/>
              </w:rPr>
              <w:t>NYSE Texas, Inc.</w:t>
            </w:r>
          </w:p>
        </w:tc>
        <w:tc>
          <w:tcPr>
            <w:tcW w:w="0" w:type="dxa"/>
            <w:vAlign w:val="bottom"/>
          </w:tcPr>
          <w:p>
            <w:pPr>
              <w:spacing w:after="0"/>
              <w:rPr>
                <w:sz w:val="1"/>
                <w:szCs w:val="1"/>
                <w:color w:val="auto"/>
              </w:rPr>
            </w:pPr>
          </w:p>
        </w:tc>
      </w:tr>
      <w:tr>
        <w:trPr>
          <w:trHeight w:val="397"/>
        </w:trPr>
        <w:tc>
          <w:tcPr>
            <w:tcW w:w="8380" w:type="dxa"/>
            <w:vAlign w:val="bottom"/>
            <w:gridSpan w:val="5"/>
          </w:tcPr>
          <w:p>
            <w:pPr>
              <w:jc w:val="center"/>
              <w:ind w:left="2337"/>
              <w:spacing w:after="0"/>
              <w:rPr>
                <w:sz w:val="20"/>
                <w:szCs w:val="20"/>
                <w:color w:val="auto"/>
              </w:rPr>
            </w:pPr>
            <w:r>
              <w:rPr>
                <w:rFonts w:ascii="Arial" w:cs="Arial" w:eastAsia="Arial" w:hAnsi="Arial"/>
                <w:sz w:val="18"/>
                <w:szCs w:val="18"/>
                <w:b w:val="1"/>
                <w:bCs w:val="1"/>
                <w:color w:val="auto"/>
                <w:w w:val="99"/>
              </w:rPr>
              <w:t>Securities registered pursuant to Section 12(g) of the Act: None</w:t>
            </w:r>
          </w:p>
        </w:tc>
        <w:tc>
          <w:tcPr>
            <w:tcW w:w="7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3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900" w:type="dxa"/>
            <w:vAlign w:val="bottom"/>
          </w:tcPr>
          <w:p>
            <w:pPr>
              <w:spacing w:after="0"/>
              <w:rPr>
                <w:sz w:val="5"/>
                <w:szCs w:val="5"/>
                <w:color w:val="auto"/>
              </w:rPr>
            </w:pPr>
          </w:p>
        </w:tc>
        <w:tc>
          <w:tcPr>
            <w:tcW w:w="720" w:type="dxa"/>
            <w:vAlign w:val="bottom"/>
            <w:vMerge w:val="restart"/>
          </w:tcPr>
          <w:p>
            <w:pPr>
              <w:jc w:val="center"/>
              <w:ind w:right="100"/>
              <w:spacing w:after="0"/>
              <w:rPr>
                <w:sz w:val="20"/>
                <w:szCs w:val="20"/>
                <w:color w:val="auto"/>
              </w:rPr>
            </w:pPr>
            <w:r>
              <w:rPr>
                <w:rFonts w:ascii="Arial" w:cs="Arial" w:eastAsia="Arial" w:hAnsi="Arial"/>
                <w:sz w:val="16"/>
                <w:szCs w:val="16"/>
                <w:color w:val="auto"/>
                <w:w w:val="99"/>
              </w:rPr>
              <w:t xml:space="preserve">YES </w:t>
            </w:r>
            <w:r>
              <w:rPr>
                <w:rFonts w:ascii="Segoe UI Symbol" w:cs="Segoe UI Symbol" w:eastAsia="Segoe UI Symbol" w:hAnsi="Segoe UI Symbol"/>
                <w:sz w:val="16"/>
                <w:szCs w:val="16"/>
                <w:color w:val="auto"/>
                <w:w w:val="99"/>
              </w:rPr>
              <w:t>☒</w:t>
            </w:r>
          </w:p>
        </w:tc>
        <w:tc>
          <w:tcPr>
            <w:tcW w:w="1700" w:type="dxa"/>
            <w:vAlign w:val="bottom"/>
            <w:vMerge w:val="restart"/>
          </w:tcPr>
          <w:p>
            <w:pPr>
              <w:ind w:left="120"/>
              <w:spacing w:after="0"/>
              <w:rPr>
                <w:sz w:val="20"/>
                <w:szCs w:val="20"/>
                <w:color w:val="auto"/>
              </w:rPr>
            </w:pPr>
            <w:r>
              <w:rPr>
                <w:rFonts w:ascii="Arial" w:cs="Arial" w:eastAsia="Arial" w:hAnsi="Arial"/>
                <w:sz w:val="16"/>
                <w:szCs w:val="16"/>
                <w:color w:val="auto"/>
              </w:rPr>
              <w:t xml:space="preserve">NO </w:t>
            </w:r>
            <w:r>
              <w:rPr>
                <w:rFonts w:ascii="Segoe UI Symbol" w:cs="Segoe UI Symbol" w:eastAsia="Segoe UI Symbol" w:hAnsi="Segoe UI Symbol"/>
                <w:sz w:val="16"/>
                <w:szCs w:val="16"/>
                <w:color w:val="auto"/>
              </w:rPr>
              <w:t>☐</w:t>
            </w:r>
          </w:p>
        </w:tc>
        <w:tc>
          <w:tcPr>
            <w:tcW w:w="0" w:type="dxa"/>
            <w:vAlign w:val="bottom"/>
          </w:tcPr>
          <w:p>
            <w:pPr>
              <w:spacing w:after="0"/>
              <w:rPr>
                <w:sz w:val="1"/>
                <w:szCs w:val="1"/>
                <w:color w:val="auto"/>
              </w:rPr>
            </w:pPr>
          </w:p>
        </w:tc>
      </w:tr>
      <w:tr>
        <w:trPr>
          <w:trHeight w:val="363"/>
        </w:trPr>
        <w:tc>
          <w:tcPr>
            <w:tcW w:w="8380" w:type="dxa"/>
            <w:vAlign w:val="bottom"/>
            <w:gridSpan w:val="5"/>
          </w:tcPr>
          <w:p>
            <w:pPr>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tc>
        <w:tc>
          <w:tcPr>
            <w:tcW w:w="720" w:type="dxa"/>
            <w:vAlign w:val="bottom"/>
            <w:vMerge w:val="continue"/>
          </w:tcPr>
          <w:p>
            <w:pPr>
              <w:spacing w:after="0"/>
              <w:rPr>
                <w:sz w:val="24"/>
                <w:szCs w:val="24"/>
                <w:color w:val="auto"/>
              </w:rPr>
            </w:pPr>
          </w:p>
        </w:tc>
        <w:tc>
          <w:tcPr>
            <w:tcW w:w="17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8380" w:type="dxa"/>
            <w:vAlign w:val="bottom"/>
            <w:gridSpan w:val="5"/>
          </w:tcPr>
          <w:p>
            <w:pPr>
              <w:spacing w:after="0"/>
              <w:rPr>
                <w:sz w:val="20"/>
                <w:szCs w:val="20"/>
                <w:color w:val="auto"/>
              </w:rPr>
            </w:pPr>
            <w:r>
              <w:rPr>
                <w:rFonts w:ascii="Arial" w:cs="Arial" w:eastAsia="Arial" w:hAnsi="Arial"/>
                <w:sz w:val="16"/>
                <w:szCs w:val="16"/>
                <w:color w:val="auto"/>
                <w:w w:val="99"/>
              </w:rPr>
              <w:t>Indicate by check mark if the registrant is not required to file reports pursuant to Section 13 or Section 15(d) of the Act.</w:t>
            </w:r>
          </w:p>
        </w:tc>
        <w:tc>
          <w:tcPr>
            <w:tcW w:w="720" w:type="dxa"/>
            <w:vAlign w:val="bottom"/>
          </w:tcPr>
          <w:p>
            <w:pPr>
              <w:ind w:left="120"/>
              <w:spacing w:after="0"/>
              <w:rPr>
                <w:sz w:val="20"/>
                <w:szCs w:val="20"/>
                <w:color w:val="auto"/>
              </w:rPr>
            </w:pPr>
            <w:r>
              <w:rPr>
                <w:rFonts w:ascii="Arial" w:cs="Arial" w:eastAsia="Arial" w:hAnsi="Arial"/>
                <w:sz w:val="16"/>
                <w:szCs w:val="16"/>
                <w:color w:val="auto"/>
              </w:rPr>
              <w:t xml:space="preserve">YES </w:t>
            </w:r>
            <w:r>
              <w:rPr>
                <w:rFonts w:ascii="Segoe UI Symbol" w:cs="Segoe UI Symbol" w:eastAsia="Segoe UI Symbol" w:hAnsi="Segoe UI Symbol"/>
                <w:sz w:val="16"/>
                <w:szCs w:val="16"/>
                <w:color w:val="auto"/>
              </w:rPr>
              <w:t>☐</w:t>
            </w:r>
          </w:p>
        </w:tc>
        <w:tc>
          <w:tcPr>
            <w:tcW w:w="1700" w:type="dxa"/>
            <w:vAlign w:val="bottom"/>
          </w:tcPr>
          <w:p>
            <w:pPr>
              <w:ind w:left="120"/>
              <w:spacing w:after="0"/>
              <w:rPr>
                <w:sz w:val="20"/>
                <w:szCs w:val="20"/>
                <w:color w:val="auto"/>
              </w:rPr>
            </w:pPr>
            <w:r>
              <w:rPr>
                <w:rFonts w:ascii="Arial" w:cs="Arial" w:eastAsia="Arial" w:hAnsi="Arial"/>
                <w:sz w:val="16"/>
                <w:szCs w:val="16"/>
                <w:color w:val="auto"/>
              </w:rPr>
              <w:t xml:space="preserve">NO </w:t>
            </w:r>
            <w:r>
              <w:rPr>
                <w:rFonts w:ascii="Segoe UI Symbol" w:cs="Segoe UI Symbol" w:eastAsia="Segoe UI Symbol" w:hAnsi="Segoe UI Symbo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2742565</wp:posOffset>
            </wp:positionH>
            <wp:positionV relativeFrom="paragraph">
              <wp:posOffset>-956945</wp:posOffset>
            </wp:positionV>
            <wp:extent cx="69215" cy="6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9">
                      <a:extLst>
                        <a:ext uri="{28A0092B-C50C-407E-A947-70E740481C1C}"/>
                      </a:extLst>
                    </a:blip>
                    <a:srcRect/>
                    <a:stretch>
                      <a:fillRect/>
                    </a:stretch>
                  </pic:blipFill>
                  <pic:spPr bwMode="auto">
                    <a:xfrm>
                      <a:off x="0" y="0"/>
                      <a:ext cx="69215" cy="6350"/>
                    </a:xfrm>
                    <a:prstGeom prst="rect">
                      <a:avLst/>
                    </a:prstGeom>
                    <a:noFill/>
                  </pic:spPr>
                </pic:pic>
              </a:graphicData>
            </a:graphic>
          </wp:anchor>
        </w:drawing>
        <w:drawing>
          <wp:anchor simplePos="0" relativeHeight="251657728" behindDoc="1" locked="0" layoutInCell="0" allowOverlap="1">
            <wp:simplePos x="0" y="0"/>
            <wp:positionH relativeFrom="column">
              <wp:posOffset>4046220</wp:posOffset>
            </wp:positionH>
            <wp:positionV relativeFrom="paragraph">
              <wp:posOffset>-956945</wp:posOffset>
            </wp:positionV>
            <wp:extent cx="68580" cy="6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0">
                      <a:extLst>
                        <a:ext uri="{28A0092B-C50C-407E-A947-70E740481C1C}"/>
                      </a:extLst>
                    </a:blip>
                    <a:srcRect/>
                    <a:stretch>
                      <a:fillRect/>
                    </a:stretch>
                  </pic:blipFill>
                  <pic:spPr bwMode="auto">
                    <a:xfrm>
                      <a:off x="0" y="0"/>
                      <a:ext cx="68580" cy="6350"/>
                    </a:xfrm>
                    <a:prstGeom prst="rect">
                      <a:avLst/>
                    </a:prstGeom>
                    <a:noFill/>
                  </pic:spPr>
                </pic:pic>
              </a:graphicData>
            </a:graphic>
          </wp:anchor>
        </w:drawing>
        <w:drawing>
          <wp:anchor simplePos="0" relativeHeight="251657728" behindDoc="1" locked="0" layoutInCell="0" allowOverlap="1">
            <wp:simplePos x="0" y="0"/>
            <wp:positionH relativeFrom="column">
              <wp:posOffset>1841500</wp:posOffset>
            </wp:positionH>
            <wp:positionV relativeFrom="paragraph">
              <wp:posOffset>-963295</wp:posOffset>
            </wp:positionV>
            <wp:extent cx="17208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1">
                      <a:extLst>
                        <a:ext uri="{28A0092B-C50C-407E-A947-70E740481C1C}"/>
                      </a:extLst>
                    </a:blip>
                    <a:srcRect/>
                    <a:stretch>
                      <a:fillRect/>
                    </a:stretch>
                  </pic:blipFill>
                  <pic:spPr bwMode="auto">
                    <a:xfrm>
                      <a:off x="0" y="0"/>
                      <a:ext cx="172085" cy="25400"/>
                    </a:xfrm>
                    <a:prstGeom prst="rect">
                      <a:avLst/>
                    </a:prstGeom>
                    <a:noFill/>
                  </pic:spPr>
                </pic:pic>
              </a:graphicData>
            </a:graphic>
          </wp:anchor>
        </w:drawing>
      </w:r>
    </w:p>
    <w:p>
      <w:pPr>
        <w:ind w:right="160"/>
        <w:spacing w:after="0" w:line="254"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0"/>
          <w:szCs w:val="20"/>
          <w:color w:val="auto"/>
        </w:rPr>
      </w:pPr>
    </w:p>
    <w:p>
      <w:pPr>
        <w:spacing w:after="0"/>
        <w:tabs>
          <w:tab w:leader="none" w:pos="2680" w:val="left"/>
          <w:tab w:leader="none" w:pos="3400" w:val="left"/>
        </w:tabs>
        <w:rPr>
          <w:sz w:val="20"/>
          <w:szCs w:val="20"/>
          <w:color w:val="auto"/>
        </w:rPr>
      </w:pPr>
      <w:r>
        <w:rPr>
          <w:rFonts w:ascii="Arial" w:cs="Arial" w:eastAsia="Arial" w:hAnsi="Arial"/>
          <w:sz w:val="16"/>
          <w:szCs w:val="16"/>
          <w:color w:val="auto"/>
        </w:rPr>
        <w:t>requirements for the past 90 days.</w:t>
      </w:r>
      <w:r>
        <w:rPr>
          <w:sz w:val="20"/>
          <w:szCs w:val="20"/>
          <w:color w:val="auto"/>
        </w:rPr>
        <w:tab/>
      </w:r>
      <w:r>
        <w:rPr>
          <w:rFonts w:ascii="Arial" w:cs="Arial" w:eastAsia="Arial" w:hAnsi="Arial"/>
          <w:sz w:val="16"/>
          <w:szCs w:val="16"/>
          <w:color w:val="auto"/>
        </w:rPr>
        <w:t xml:space="preserve">YES </w:t>
      </w:r>
      <w:r>
        <w:rPr>
          <w:rFonts w:ascii="Segoe UI Symbol" w:cs="Segoe UI Symbol" w:eastAsia="Segoe UI Symbol" w:hAnsi="Segoe UI Symbol"/>
          <w:sz w:val="16"/>
          <w:szCs w:val="16"/>
          <w:color w:val="auto"/>
        </w:rPr>
        <w:t>☒</w:t>
      </w:r>
      <w:r>
        <w:rPr>
          <w:sz w:val="20"/>
          <w:szCs w:val="20"/>
          <w:color w:val="auto"/>
        </w:rPr>
        <w:tab/>
      </w:r>
      <w:r>
        <w:rPr>
          <w:rFonts w:ascii="Arial" w:cs="Arial" w:eastAsia="Arial" w:hAnsi="Arial"/>
          <w:sz w:val="15"/>
          <w:szCs w:val="15"/>
          <w:color w:val="auto"/>
        </w:rPr>
        <w:t xml:space="preserve">NO </w:t>
      </w:r>
      <w:r>
        <w:rPr>
          <w:rFonts w:ascii="Segoe UI Symbol" w:cs="Segoe UI Symbol" w:eastAsia="Segoe UI Symbol" w:hAnsi="Segoe UI Symbol"/>
          <w:sz w:val="15"/>
          <w:szCs w:val="15"/>
          <w:color w:val="auto"/>
        </w:rPr>
        <w:t>☐</w:t>
      </w:r>
    </w:p>
    <w:p>
      <w:pPr>
        <w:spacing w:after="0" w:line="62" w:lineRule="exact"/>
        <w:rPr>
          <w:sz w:val="20"/>
          <w:szCs w:val="20"/>
          <w:color w:val="auto"/>
        </w:rPr>
      </w:pPr>
    </w:p>
    <w:p>
      <w:pPr>
        <w:ind w:right="120"/>
        <w:spacing w:after="0" w:line="254"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 w:lineRule="exact"/>
        <w:rPr>
          <w:sz w:val="20"/>
          <w:szCs w:val="20"/>
          <w:color w:val="auto"/>
        </w:rPr>
      </w:pPr>
    </w:p>
    <w:p>
      <w:pPr>
        <w:spacing w:after="0"/>
        <w:tabs>
          <w:tab w:leader="none" w:pos="1180" w:val="left"/>
        </w:tabs>
        <w:rPr>
          <w:sz w:val="20"/>
          <w:szCs w:val="20"/>
          <w:color w:val="auto"/>
        </w:rPr>
      </w:pPr>
      <w:r>
        <w:rPr>
          <w:rFonts w:ascii="Arial" w:cs="Arial" w:eastAsia="Arial" w:hAnsi="Arial"/>
          <w:sz w:val="16"/>
          <w:szCs w:val="16"/>
          <w:color w:val="auto"/>
        </w:rPr>
        <w:t xml:space="preserve">files). YES </w:t>
      </w:r>
      <w:r>
        <w:rPr>
          <w:rFonts w:ascii="Segoe UI Symbol" w:cs="Segoe UI Symbol" w:eastAsia="Segoe UI Symbol" w:hAnsi="Segoe UI Symbol"/>
          <w:sz w:val="16"/>
          <w:szCs w:val="16"/>
          <w:color w:val="auto"/>
        </w:rPr>
        <w:t>☒</w:t>
      </w:r>
      <w:r>
        <w:rPr>
          <w:sz w:val="20"/>
          <w:szCs w:val="20"/>
          <w:color w:val="auto"/>
        </w:rPr>
        <w:tab/>
      </w:r>
      <w:r>
        <w:rPr>
          <w:rFonts w:ascii="Arial" w:cs="Arial" w:eastAsia="Arial" w:hAnsi="Arial"/>
          <w:sz w:val="15"/>
          <w:szCs w:val="15"/>
          <w:color w:val="auto"/>
        </w:rPr>
        <w:t xml:space="preserve">NO </w:t>
      </w:r>
      <w:r>
        <w:rPr>
          <w:rFonts w:ascii="Segoe UI Symbol" w:cs="Segoe UI Symbol" w:eastAsia="Segoe UI Symbol" w:hAnsi="Segoe UI Symbol"/>
          <w:sz w:val="15"/>
          <w:szCs w:val="15"/>
          <w:color w:val="auto"/>
        </w:rPr>
        <w:t>☐</w:t>
      </w:r>
    </w:p>
    <w:p>
      <w:pPr>
        <w:spacing w:after="0" w:line="62"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emerging growth company. See definition of “large accelerated filer,” “accelerated filer,” “smaller reporting company,” and “emerging growth company” in Rule 12b-2 of the Exchange Act.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460" w:type="dxa"/>
            <w:vAlign w:val="bottom"/>
          </w:tcPr>
          <w:p>
            <w:pPr>
              <w:ind w:left="200"/>
              <w:spacing w:after="0"/>
              <w:rPr>
                <w:sz w:val="20"/>
                <w:szCs w:val="20"/>
                <w:color w:val="auto"/>
              </w:rPr>
            </w:pPr>
            <w:r>
              <w:rPr>
                <w:rFonts w:ascii="Segoe UI Symbol" w:cs="Segoe UI Symbol" w:eastAsia="Segoe UI Symbol" w:hAnsi="Segoe UI Symbol"/>
                <w:sz w:val="16"/>
                <w:szCs w:val="16"/>
                <w:color w:val="auto"/>
              </w:rPr>
              <w:t>☒</w:t>
            </w:r>
          </w:p>
        </w:tc>
        <w:tc>
          <w:tcPr>
            <w:tcW w:w="4180" w:type="dxa"/>
            <w:vAlign w:val="bottom"/>
          </w:tcPr>
          <w:p>
            <w:pPr>
              <w:ind w:left="2820"/>
              <w:spacing w:after="0"/>
              <w:rPr>
                <w:sz w:val="20"/>
                <w:szCs w:val="20"/>
                <w:color w:val="auto"/>
              </w:rPr>
            </w:pPr>
            <w:r>
              <w:rPr>
                <w:rFonts w:ascii="Arial" w:cs="Arial" w:eastAsia="Arial" w:hAnsi="Arial"/>
                <w:sz w:val="16"/>
                <w:szCs w:val="16"/>
                <w:color w:val="auto"/>
              </w:rPr>
              <w:t xml:space="preserve">Accelerated filer </w:t>
            </w:r>
            <w:r>
              <w:rPr>
                <w:rFonts w:ascii="Segoe UI Symbol" w:cs="Segoe UI Symbol" w:eastAsia="Segoe UI Symbol" w:hAnsi="Segoe UI Symbol"/>
                <w:sz w:val="16"/>
                <w:szCs w:val="16"/>
                <w:color w:val="auto"/>
              </w:rPr>
              <w:t>☐</w:t>
            </w:r>
          </w:p>
        </w:tc>
      </w:tr>
      <w:tr>
        <w:trPr>
          <w:trHeight w:val="253"/>
        </w:trPr>
        <w:tc>
          <w:tcPr>
            <w:tcW w:w="1780" w:type="dxa"/>
            <w:vAlign w:val="bottom"/>
          </w:tcPr>
          <w:p>
            <w:pPr>
              <w:spacing w:after="0"/>
              <w:rPr>
                <w:sz w:val="20"/>
                <w:szCs w:val="20"/>
                <w:color w:val="auto"/>
              </w:rPr>
            </w:pPr>
            <w:r>
              <w:rPr>
                <w:rFonts w:ascii="Arial" w:cs="Arial" w:eastAsia="Arial" w:hAnsi="Arial"/>
                <w:sz w:val="16"/>
                <w:szCs w:val="16"/>
                <w:color w:val="auto"/>
              </w:rPr>
              <w:t>Non-accelerated filer</w:t>
            </w:r>
          </w:p>
        </w:tc>
        <w:tc>
          <w:tcPr>
            <w:tcW w:w="2460" w:type="dxa"/>
            <w:vAlign w:val="bottom"/>
          </w:tcPr>
          <w:p>
            <w:pPr>
              <w:ind w:left="220"/>
              <w:spacing w:after="0"/>
              <w:rPr>
                <w:sz w:val="20"/>
                <w:szCs w:val="20"/>
                <w:color w:val="auto"/>
              </w:rPr>
            </w:pPr>
            <w:r>
              <w:rPr>
                <w:rFonts w:ascii="Segoe UI Symbol" w:cs="Segoe UI Symbol" w:eastAsia="Segoe UI Symbol" w:hAnsi="Segoe UI Symbol"/>
                <w:sz w:val="16"/>
                <w:szCs w:val="16"/>
                <w:color w:val="auto"/>
              </w:rPr>
              <w:t>☐</w:t>
            </w:r>
          </w:p>
        </w:tc>
        <w:tc>
          <w:tcPr>
            <w:tcW w:w="4180" w:type="dxa"/>
            <w:vAlign w:val="bottom"/>
          </w:tcPr>
          <w:p>
            <w:pPr>
              <w:ind w:left="2080"/>
              <w:spacing w:after="0"/>
              <w:rPr>
                <w:sz w:val="20"/>
                <w:szCs w:val="20"/>
                <w:color w:val="auto"/>
              </w:rPr>
            </w:pPr>
            <w:r>
              <w:rPr>
                <w:rFonts w:ascii="Arial" w:cs="Arial" w:eastAsia="Arial" w:hAnsi="Arial"/>
                <w:sz w:val="16"/>
                <w:szCs w:val="16"/>
                <w:color w:val="auto"/>
                <w:w w:val="99"/>
              </w:rPr>
              <w:t xml:space="preserve">Smaller reporting company </w:t>
            </w:r>
            <w:r>
              <w:rPr>
                <w:rFonts w:ascii="Segoe UI Symbol" w:cs="Segoe UI Symbol" w:eastAsia="Segoe UI Symbol" w:hAnsi="Segoe UI Symbol"/>
                <w:sz w:val="16"/>
                <w:szCs w:val="16"/>
                <w:color w:val="auto"/>
                <w:w w:val="99"/>
              </w:rPr>
              <w:t>☐</w:t>
            </w:r>
          </w:p>
        </w:tc>
      </w:tr>
      <w:tr>
        <w:trPr>
          <w:trHeight w:val="261"/>
        </w:trPr>
        <w:tc>
          <w:tcPr>
            <w:tcW w:w="4240" w:type="dxa"/>
            <w:vAlign w:val="bottom"/>
            <w:gridSpan w:val="2"/>
          </w:tcPr>
          <w:p>
            <w:pPr>
              <w:spacing w:after="0"/>
              <w:rPr>
                <w:sz w:val="20"/>
                <w:szCs w:val="20"/>
                <w:color w:val="auto"/>
              </w:rPr>
            </w:pPr>
            <w:r>
              <w:rPr>
                <w:rFonts w:ascii="Arial" w:cs="Arial" w:eastAsia="Arial" w:hAnsi="Arial"/>
                <w:sz w:val="16"/>
                <w:szCs w:val="16"/>
                <w:color w:val="auto"/>
              </w:rPr>
              <w:t xml:space="preserve">Emerging growth company </w:t>
            </w:r>
            <w:r>
              <w:rPr>
                <w:rFonts w:ascii="Segoe UI Symbol" w:cs="Segoe UI Symbol" w:eastAsia="Segoe UI Symbol" w:hAnsi="Segoe UI Symbol"/>
                <w:sz w:val="16"/>
                <w:szCs w:val="16"/>
                <w:color w:val="auto"/>
              </w:rPr>
              <w:t>☐</w:t>
            </w:r>
          </w:p>
        </w:tc>
        <w:tc>
          <w:tcPr>
            <w:tcW w:w="4180" w:type="dxa"/>
            <w:vAlign w:val="bottom"/>
          </w:tcPr>
          <w:p>
            <w:pPr>
              <w:spacing w:after="0"/>
              <w:rPr>
                <w:sz w:val="22"/>
                <w:szCs w:val="22"/>
                <w:color w:val="auto"/>
              </w:rPr>
            </w:pPr>
          </w:p>
        </w:tc>
      </w:tr>
    </w:tbl>
    <w:p>
      <w:pPr>
        <w:spacing w:after="0" w:line="14"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Symbol" w:cs="Segoe UI Symbol" w:eastAsia="Segoe UI Symbol" w:hAnsi="Segoe UI Symbol"/>
          <w:sz w:val="16"/>
          <w:szCs w:val="16"/>
          <w:color w:val="auto"/>
        </w:rPr>
        <w:t>☐</w:t>
      </w:r>
    </w:p>
    <w:p>
      <w:pPr>
        <w:spacing w:after="0" w:line="1" w:lineRule="exact"/>
        <w:rPr>
          <w:sz w:val="20"/>
          <w:szCs w:val="20"/>
          <w:color w:val="auto"/>
        </w:rPr>
      </w:pPr>
    </w:p>
    <w:p>
      <w:pPr>
        <w:ind w:right="260"/>
        <w:spacing w:after="0" w:line="238" w:lineRule="auto"/>
        <w:rPr>
          <w:sz w:val="20"/>
          <w:szCs w:val="20"/>
          <w:color w:val="auto"/>
        </w:rPr>
      </w:pPr>
      <w:r>
        <w:rPr>
          <w:rFonts w:ascii="Arial" w:cs="Arial" w:eastAsia="Arial" w:hAnsi="Arial"/>
          <w:sz w:val="16"/>
          <w:szCs w:val="16"/>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w:t>
      </w:r>
    </w:p>
    <w:p>
      <w:pPr>
        <w:spacing w:after="0" w:line="1" w:lineRule="exact"/>
        <w:rPr>
          <w:sz w:val="20"/>
          <w:szCs w:val="20"/>
          <w:color w:val="auto"/>
        </w:rPr>
      </w:pPr>
    </w:p>
    <w:p>
      <w:pPr>
        <w:spacing w:after="0"/>
        <w:tabs>
          <w:tab w:leader="none" w:pos="2640" w:val="left"/>
        </w:tabs>
        <w:rPr>
          <w:sz w:val="20"/>
          <w:szCs w:val="20"/>
          <w:color w:val="auto"/>
        </w:rPr>
      </w:pPr>
      <w:r>
        <w:rPr>
          <w:rFonts w:ascii="Arial" w:cs="Arial" w:eastAsia="Arial" w:hAnsi="Arial"/>
          <w:sz w:val="16"/>
          <w:szCs w:val="16"/>
          <w:color w:val="auto"/>
        </w:rPr>
        <w:t>prepared or issued its audit report.</w:t>
      </w:r>
      <w:r>
        <w:rPr>
          <w:sz w:val="20"/>
          <w:szCs w:val="20"/>
          <w:color w:val="auto"/>
        </w:rPr>
        <w:tab/>
      </w:r>
      <w:r>
        <w:rPr>
          <w:rFonts w:ascii="Segoe UI Symbol" w:cs="Segoe UI Symbol" w:eastAsia="Segoe UI Symbol" w:hAnsi="Segoe UI Symbol"/>
          <w:sz w:val="16"/>
          <w:szCs w:val="16"/>
          <w:color w:val="auto"/>
        </w:rPr>
        <w:t>☒</w:t>
      </w:r>
    </w:p>
    <w:p>
      <w:pPr>
        <w:spacing w:after="0" w:line="62" w:lineRule="exact"/>
        <w:rPr>
          <w:sz w:val="20"/>
          <w:szCs w:val="20"/>
          <w:color w:val="auto"/>
        </w:rPr>
      </w:pPr>
    </w:p>
    <w:p>
      <w:pPr>
        <w:ind w:right="100"/>
        <w:spacing w:after="0" w:line="276" w:lineRule="auto"/>
        <w:rPr>
          <w:sz w:val="20"/>
          <w:szCs w:val="20"/>
          <w:color w:val="auto"/>
        </w:rPr>
      </w:pPr>
      <w:r>
        <w:rPr>
          <w:rFonts w:ascii="Arial" w:cs="Arial" w:eastAsia="Arial" w:hAnsi="Arial"/>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Symbol" w:cs="Segoe UI Symbol" w:eastAsia="Segoe UI Symbol" w:hAnsi="Segoe UI Symbol"/>
          <w:sz w:val="16"/>
          <w:szCs w:val="16"/>
          <w:color w:val="auto"/>
        </w:rPr>
        <w:t>☐</w:t>
      </w:r>
    </w:p>
    <w:p>
      <w:pPr>
        <w:spacing w:after="0" w:line="1" w:lineRule="exact"/>
        <w:rPr>
          <w:sz w:val="20"/>
          <w:szCs w:val="20"/>
          <w:color w:val="auto"/>
        </w:rPr>
      </w:pPr>
    </w:p>
    <w:p>
      <w:pPr>
        <w:ind w:right="440"/>
        <w:spacing w:after="0" w:line="275" w:lineRule="auto"/>
        <w:rPr>
          <w:sz w:val="20"/>
          <w:szCs w:val="20"/>
          <w:color w:val="auto"/>
        </w:rPr>
      </w:pPr>
      <w:r>
        <w:rPr>
          <w:rFonts w:ascii="Arial" w:cs="Arial" w:eastAsia="Arial" w:hAnsi="Arial"/>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Segoe UI Symbol" w:cs="Segoe UI Symbol" w:eastAsia="Segoe UI Symbol" w:hAnsi="Segoe UI Symbol"/>
          <w:sz w:val="16"/>
          <w:szCs w:val="16"/>
          <w:color w:val="auto"/>
        </w:rPr>
        <w:t>☐</w:t>
      </w:r>
    </w:p>
    <w:p>
      <w:pPr>
        <w:spacing w:after="0"/>
        <w:tabs>
          <w:tab w:leader="none" w:pos="798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Segoe UI Symbol" w:cs="Segoe UI Symbol" w:eastAsia="Segoe UI Symbol" w:hAnsi="Segoe UI Symbol"/>
          <w:sz w:val="16"/>
          <w:szCs w:val="16"/>
          <w:color w:val="auto"/>
        </w:rPr>
        <w:t>☐</w:t>
      </w:r>
      <w:r>
        <w:rPr>
          <w:rFonts w:ascii="Arial" w:cs="Arial" w:eastAsia="Arial" w:hAnsi="Arial"/>
          <w:sz w:val="16"/>
          <w:szCs w:val="16"/>
          <w:color w:val="auto"/>
        </w:rPr>
        <w:tab/>
        <w:t xml:space="preserve">NO </w:t>
      </w:r>
      <w:r>
        <w:rPr>
          <w:rFonts w:ascii="Segoe UI Symbol" w:cs="Segoe UI Symbol" w:eastAsia="Segoe UI Symbol" w:hAnsi="Segoe UI Symbol"/>
          <w:sz w:val="16"/>
          <w:szCs w:val="16"/>
          <w:color w:val="auto"/>
        </w:rPr>
        <w:t>☒</w:t>
      </w:r>
    </w:p>
    <w:p>
      <w:pPr>
        <w:spacing w:after="0" w:line="62" w:lineRule="exact"/>
        <w:rPr>
          <w:sz w:val="20"/>
          <w:szCs w:val="20"/>
          <w:color w:val="auto"/>
        </w:rPr>
      </w:pPr>
    </w:p>
    <w:p>
      <w:pPr>
        <w:ind w:right="300"/>
        <w:spacing w:after="0" w:line="279" w:lineRule="auto"/>
        <w:rPr>
          <w:sz w:val="20"/>
          <w:szCs w:val="20"/>
          <w:color w:val="auto"/>
        </w:rPr>
      </w:pPr>
      <w:r>
        <w:rPr>
          <w:rFonts w:ascii="Arial" w:cs="Arial" w:eastAsia="Arial" w:hAnsi="Arial"/>
          <w:sz w:val="16"/>
          <w:szCs w:val="16"/>
          <w:color w:val="auto"/>
        </w:rPr>
        <w:t>The aggregate market value of the voting stock held by nonaffiliates of the Company at September 30, 2025 (the last business day of the registrant’s most recently completed second fiscal quarter) was approximately $7.7 billion.</w:t>
      </w:r>
    </w:p>
    <w:p>
      <w:pPr>
        <w:spacing w:after="0"/>
        <w:rPr>
          <w:sz w:val="20"/>
          <w:szCs w:val="20"/>
          <w:color w:val="auto"/>
        </w:rPr>
      </w:pPr>
      <w:r>
        <w:rPr>
          <w:rFonts w:ascii="Arial" w:cs="Arial" w:eastAsia="Arial" w:hAnsi="Arial"/>
          <w:sz w:val="16"/>
          <w:szCs w:val="16"/>
          <w:color w:val="auto"/>
        </w:rPr>
        <w:t>As of May 15, 2026, the number of outstanding shares of common stock was: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Class</w:t>
            </w:r>
          </w:p>
        </w:tc>
        <w:tc>
          <w:tcPr>
            <w:tcW w:w="200" w:type="dxa"/>
            <w:vAlign w:val="bottom"/>
          </w:tcPr>
          <w:p>
            <w:pPr>
              <w:spacing w:after="0"/>
              <w:rPr>
                <w:sz w:val="15"/>
                <w:szCs w:val="15"/>
                <w:color w:val="auto"/>
              </w:rPr>
            </w:pPr>
          </w:p>
        </w:tc>
        <w:tc>
          <w:tcPr>
            <w:tcW w:w="5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Outstanding Shares</w:t>
            </w:r>
          </w:p>
        </w:tc>
      </w:tr>
      <w:tr>
        <w:trPr>
          <w:trHeight w:val="206"/>
        </w:trPr>
        <w:tc>
          <w:tcPr>
            <w:tcW w:w="5300" w:type="dxa"/>
            <w:vAlign w:val="bottom"/>
          </w:tcPr>
          <w:p>
            <w:pPr>
              <w:jc w:val="center"/>
              <w:spacing w:after="0"/>
              <w:rPr>
                <w:sz w:val="20"/>
                <w:szCs w:val="20"/>
                <w:color w:val="auto"/>
              </w:rPr>
            </w:pPr>
            <w:r>
              <w:rPr>
                <w:rFonts w:ascii="Arial" w:cs="Arial" w:eastAsia="Arial" w:hAnsi="Arial"/>
                <w:sz w:val="16"/>
                <w:szCs w:val="16"/>
                <w:color w:val="auto"/>
                <w:w w:val="99"/>
              </w:rPr>
              <w:t>Common Stock, $.01 Par Value</w:t>
            </w:r>
          </w:p>
        </w:tc>
        <w:tc>
          <w:tcPr>
            <w:tcW w:w="200" w:type="dxa"/>
            <w:vAlign w:val="bottom"/>
          </w:tcPr>
          <w:p>
            <w:pPr>
              <w:spacing w:after="0"/>
              <w:rPr>
                <w:sz w:val="17"/>
                <w:szCs w:val="17"/>
                <w:color w:val="auto"/>
              </w:rPr>
            </w:pPr>
          </w:p>
        </w:tc>
        <w:tc>
          <w:tcPr>
            <w:tcW w:w="5300" w:type="dxa"/>
            <w:vAlign w:val="bottom"/>
          </w:tcPr>
          <w:p>
            <w:pPr>
              <w:jc w:val="right"/>
              <w:ind w:right="2185"/>
              <w:spacing w:after="0"/>
              <w:rPr>
                <w:sz w:val="20"/>
                <w:szCs w:val="20"/>
                <w:color w:val="auto"/>
              </w:rPr>
            </w:pPr>
            <w:r>
              <w:rPr>
                <w:rFonts w:ascii="Arial" w:cs="Arial" w:eastAsia="Arial" w:hAnsi="Arial"/>
                <w:sz w:val="16"/>
                <w:szCs w:val="16"/>
                <w:color w:val="auto"/>
              </w:rPr>
              <w:t>30,948,147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3361055</wp:posOffset>
            </wp:positionH>
            <wp:positionV relativeFrom="paragraph">
              <wp:posOffset>-142875</wp:posOffset>
            </wp:positionV>
            <wp:extent cx="136525" cy="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2">
                      <a:extLst>
                        <a:ext uri="{28A0092B-C50C-407E-A947-70E740481C1C}"/>
                      </a:extLst>
                    </a:blip>
                    <a:srcRect/>
                    <a:stretch>
                      <a:fillRect/>
                    </a:stretch>
                  </pic:blipFill>
                  <pic:spPr bwMode="auto">
                    <a:xfrm>
                      <a:off x="0" y="0"/>
                      <a:ext cx="136525" cy="6350"/>
                    </a:xfrm>
                    <a:prstGeom prst="rect">
                      <a:avLst/>
                    </a:prstGeom>
                    <a:noFill/>
                  </pic:spPr>
                </pic:pic>
              </a:graphicData>
            </a:graphic>
          </wp:anchor>
        </w:drawing>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ectPr>
          <w:pgSz w:w="11880" w:h="15480" w:orient="portrait"/>
          <w:cols w:equalWidth="0" w:num="1">
            <w:col w:w="10800"/>
          </w:cols>
          <w:pgMar w:left="540" w:top="787" w:right="540" w:bottom="802" w:gutter="0" w:footer="0" w:header="0"/>
        </w:sectPr>
      </w:pPr>
    </w:p>
    <w:p>
      <w:pPr>
        <w:spacing w:after="0" w:line="65"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Portions of the Proxy Statement for the Annual Meeting of Stockholders of Eagle Materials Inc. to be held on July 30, 2026 are incorporated by reference in Part III of this Report.</w:t>
      </w:r>
    </w:p>
    <w:p>
      <w:pPr>
        <w:sectPr>
          <w:pgSz w:w="11880" w:h="15480" w:orient="portrait"/>
          <w:cols w:equalWidth="0" w:num="1">
            <w:col w:w="10800"/>
          </w:cols>
          <w:pgMar w:left="540" w:top="787" w:right="540" w:bottom="802" w:gutter="0" w:footer="0" w:header="0"/>
          <w:type w:val="continuous"/>
        </w:sectPr>
      </w:pPr>
    </w:p>
    <w:bookmarkStart w:id="7" w:name="page8"/>
    <w:bookmarkEnd w:id="7"/>
    <w:p>
      <w:pPr>
        <w:spacing w:after="0"/>
        <w:rPr>
          <w:sz w:val="20"/>
          <w:szCs w:val="20"/>
          <w:color w:val="auto"/>
        </w:rPr>
      </w:pPr>
      <w:r>
        <w:rPr>
          <w:rFonts w:ascii="Arial" w:cs="Arial" w:eastAsia="Arial" w:hAnsi="Arial"/>
          <w:sz w:val="22"/>
          <w:szCs w:val="22"/>
          <w:b w:val="1"/>
          <w:bCs w:val="1"/>
          <w:color w:val="auto"/>
        </w:rPr>
        <w:t>TABLE OF CONTENTS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9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PAGE</w:t>
            </w:r>
          </w:p>
        </w:tc>
      </w:tr>
      <w:tr>
        <w:trPr>
          <w:trHeight w:val="422"/>
        </w:trPr>
        <w:tc>
          <w:tcPr>
            <w:tcW w:w="1020" w:type="dxa"/>
            <w:vAlign w:val="bottom"/>
            <w:gridSpan w:val="2"/>
          </w:tcPr>
          <w:p>
            <w:pPr>
              <w:spacing w:after="0"/>
              <w:rPr>
                <w:sz w:val="20"/>
                <w:szCs w:val="20"/>
                <w:color w:val="auto"/>
              </w:rPr>
            </w:pPr>
            <w:r>
              <w:rPr>
                <w:rFonts w:ascii="Arial" w:cs="Arial" w:eastAsia="Arial" w:hAnsi="Arial"/>
                <w:sz w:val="22"/>
                <w:szCs w:val="22"/>
                <w:b w:val="1"/>
                <w:bCs w:val="1"/>
                <w:color w:val="auto"/>
              </w:rPr>
              <w:t>PART I</w:t>
            </w:r>
          </w:p>
        </w:tc>
        <w:tc>
          <w:tcPr>
            <w:tcW w:w="89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98"/>
        </w:trPr>
        <w:tc>
          <w:tcPr>
            <w:tcW w:w="72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Item 1.</w:t>
            </w:r>
          </w:p>
        </w:tc>
        <w:tc>
          <w:tcPr>
            <w:tcW w:w="300" w:type="dxa"/>
            <w:vAlign w:val="bottom"/>
          </w:tcPr>
          <w:p>
            <w:pPr>
              <w:spacing w:after="0"/>
              <w:rPr>
                <w:sz w:val="24"/>
                <w:szCs w:val="24"/>
                <w:color w:val="auto"/>
              </w:rPr>
            </w:pPr>
          </w:p>
        </w:tc>
        <w:tc>
          <w:tcPr>
            <w:tcW w:w="8960" w:type="dxa"/>
            <w:vAlign w:val="bottom"/>
          </w:tcPr>
          <w:p>
            <w:pPr>
              <w:ind w:left="220"/>
              <w:spacing w:after="0"/>
              <w:rPr>
                <w:sz w:val="20"/>
                <w:szCs w:val="20"/>
                <w:color w:val="auto"/>
              </w:rPr>
            </w:pPr>
            <w:r>
              <w:rPr>
                <w:rFonts w:ascii="Arial" w:cs="Arial" w:eastAsia="Arial" w:hAnsi="Arial"/>
                <w:sz w:val="20"/>
                <w:szCs w:val="20"/>
                <w:color w:val="auto"/>
              </w:rPr>
              <w:t>Business</w:t>
            </w:r>
          </w:p>
        </w:tc>
        <w:tc>
          <w:tcPr>
            <w:tcW w:w="80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58"/>
        </w:trPr>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960" w:type="dxa"/>
            <w:vAlign w:val="bottom"/>
          </w:tcPr>
          <w:p>
            <w:pPr>
              <w:ind w:left="460"/>
              <w:spacing w:after="0"/>
              <w:rPr>
                <w:sz w:val="20"/>
                <w:szCs w:val="20"/>
                <w:color w:val="auto"/>
              </w:rPr>
            </w:pPr>
            <w:r>
              <w:rPr>
                <w:rFonts w:ascii="Arial" w:cs="Arial" w:eastAsia="Arial" w:hAnsi="Arial"/>
                <w:sz w:val="20"/>
                <w:szCs w:val="20"/>
                <w:color w:val="auto"/>
              </w:rPr>
              <w:t>Overview</w:t>
            </w:r>
          </w:p>
        </w:tc>
        <w:tc>
          <w:tcPr>
            <w:tcW w:w="80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58"/>
        </w:trPr>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960" w:type="dxa"/>
            <w:vAlign w:val="bottom"/>
          </w:tcPr>
          <w:p>
            <w:pPr>
              <w:ind w:left="460"/>
              <w:spacing w:after="0"/>
              <w:rPr>
                <w:sz w:val="20"/>
                <w:szCs w:val="20"/>
                <w:color w:val="auto"/>
              </w:rPr>
            </w:pPr>
            <w:r>
              <w:rPr>
                <w:rFonts w:ascii="Arial" w:cs="Arial" w:eastAsia="Arial" w:hAnsi="Arial"/>
                <w:sz w:val="20"/>
                <w:szCs w:val="20"/>
                <w:color w:val="auto"/>
              </w:rPr>
              <w:t>Fiscal 2026 Highlights</w:t>
            </w:r>
          </w:p>
        </w:tc>
        <w:tc>
          <w:tcPr>
            <w:tcW w:w="80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258"/>
        </w:trPr>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960" w:type="dxa"/>
            <w:vAlign w:val="bottom"/>
          </w:tcPr>
          <w:p>
            <w:pPr>
              <w:ind w:left="460"/>
              <w:spacing w:after="0"/>
              <w:rPr>
                <w:sz w:val="20"/>
                <w:szCs w:val="20"/>
                <w:color w:val="auto"/>
              </w:rPr>
            </w:pPr>
            <w:r>
              <w:rPr>
                <w:rFonts w:ascii="Arial" w:cs="Arial" w:eastAsia="Arial" w:hAnsi="Arial"/>
                <w:sz w:val="20"/>
                <w:szCs w:val="20"/>
                <w:color w:val="auto"/>
              </w:rPr>
              <w:t>Human Capital</w:t>
            </w:r>
          </w:p>
        </w:tc>
        <w:tc>
          <w:tcPr>
            <w:tcW w:w="80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58"/>
        </w:trPr>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960" w:type="dxa"/>
            <w:vAlign w:val="bottom"/>
          </w:tcPr>
          <w:p>
            <w:pPr>
              <w:ind w:left="460"/>
              <w:spacing w:after="0"/>
              <w:rPr>
                <w:sz w:val="20"/>
                <w:szCs w:val="20"/>
                <w:color w:val="auto"/>
              </w:rPr>
            </w:pPr>
            <w:r>
              <w:rPr>
                <w:rFonts w:ascii="Arial" w:cs="Arial" w:eastAsia="Arial" w:hAnsi="Arial"/>
                <w:sz w:val="20"/>
                <w:szCs w:val="20"/>
                <w:color w:val="auto"/>
              </w:rPr>
              <w:t>Industry Segment Information</w:t>
            </w:r>
          </w:p>
        </w:tc>
        <w:tc>
          <w:tcPr>
            <w:tcW w:w="80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58"/>
        </w:trPr>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960" w:type="dxa"/>
            <w:vAlign w:val="bottom"/>
          </w:tcPr>
          <w:p>
            <w:pPr>
              <w:ind w:left="460"/>
              <w:spacing w:after="0"/>
              <w:rPr>
                <w:sz w:val="20"/>
                <w:szCs w:val="20"/>
                <w:color w:val="auto"/>
              </w:rPr>
            </w:pPr>
            <w:r>
              <w:rPr>
                <w:rFonts w:ascii="Arial" w:cs="Arial" w:eastAsia="Arial" w:hAnsi="Arial"/>
                <w:sz w:val="20"/>
                <w:szCs w:val="20"/>
                <w:color w:val="auto"/>
              </w:rPr>
              <w:t>Where You Can Find More Information</w:t>
            </w:r>
          </w:p>
        </w:tc>
        <w:tc>
          <w:tcPr>
            <w:tcW w:w="80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258"/>
        </w:trPr>
        <w:tc>
          <w:tcPr>
            <w:tcW w:w="1020" w:type="dxa"/>
            <w:vAlign w:val="bottom"/>
            <w:gridSpan w:val="2"/>
          </w:tcPr>
          <w:p>
            <w:pPr>
              <w:spacing w:after="0"/>
              <w:rPr>
                <w:sz w:val="20"/>
                <w:szCs w:val="20"/>
                <w:color w:val="auto"/>
              </w:rPr>
            </w:pPr>
            <w:r>
              <w:rPr>
                <w:rFonts w:ascii="Arial" w:cs="Arial" w:eastAsia="Arial" w:hAnsi="Arial"/>
                <w:sz w:val="20"/>
                <w:szCs w:val="20"/>
                <w:color w:val="auto"/>
              </w:rPr>
              <w:t>Item 1A.</w:t>
            </w:r>
          </w:p>
        </w:tc>
        <w:tc>
          <w:tcPr>
            <w:tcW w:w="8960" w:type="dxa"/>
            <w:vAlign w:val="bottom"/>
          </w:tcPr>
          <w:p>
            <w:pPr>
              <w:ind w:left="220"/>
              <w:spacing w:after="0"/>
              <w:rPr>
                <w:sz w:val="20"/>
                <w:szCs w:val="20"/>
                <w:color w:val="auto"/>
              </w:rPr>
            </w:pPr>
            <w:r>
              <w:rPr>
                <w:rFonts w:ascii="Arial" w:cs="Arial" w:eastAsia="Arial" w:hAnsi="Arial"/>
                <w:sz w:val="20"/>
                <w:szCs w:val="20"/>
                <w:color w:val="auto"/>
              </w:rPr>
              <w:t>Risk Factors</w:t>
            </w:r>
          </w:p>
        </w:tc>
        <w:tc>
          <w:tcPr>
            <w:tcW w:w="80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58"/>
        </w:trPr>
        <w:tc>
          <w:tcPr>
            <w:tcW w:w="1020" w:type="dxa"/>
            <w:vAlign w:val="bottom"/>
            <w:gridSpan w:val="2"/>
          </w:tcPr>
          <w:p>
            <w:pPr>
              <w:spacing w:after="0"/>
              <w:rPr>
                <w:sz w:val="20"/>
                <w:szCs w:val="20"/>
                <w:color w:val="auto"/>
              </w:rPr>
            </w:pPr>
            <w:r>
              <w:rPr>
                <w:rFonts w:ascii="Arial" w:cs="Arial" w:eastAsia="Arial" w:hAnsi="Arial"/>
                <w:sz w:val="20"/>
                <w:szCs w:val="20"/>
                <w:color w:val="auto"/>
              </w:rPr>
              <w:t>Item 1B.</w:t>
            </w:r>
          </w:p>
        </w:tc>
        <w:tc>
          <w:tcPr>
            <w:tcW w:w="8960" w:type="dxa"/>
            <w:vAlign w:val="bottom"/>
          </w:tcPr>
          <w:p>
            <w:pPr>
              <w:ind w:left="220"/>
              <w:spacing w:after="0"/>
              <w:rPr>
                <w:sz w:val="20"/>
                <w:szCs w:val="20"/>
                <w:color w:val="auto"/>
              </w:rPr>
            </w:pPr>
            <w:r>
              <w:rPr>
                <w:rFonts w:ascii="Arial" w:cs="Arial" w:eastAsia="Arial" w:hAnsi="Arial"/>
                <w:sz w:val="20"/>
                <w:szCs w:val="20"/>
                <w:color w:val="auto"/>
              </w:rPr>
              <w:t>Unresolved Staff Comments</w:t>
            </w:r>
          </w:p>
        </w:tc>
        <w:tc>
          <w:tcPr>
            <w:tcW w:w="80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258"/>
        </w:trPr>
        <w:tc>
          <w:tcPr>
            <w:tcW w:w="1020" w:type="dxa"/>
            <w:vAlign w:val="bottom"/>
            <w:gridSpan w:val="2"/>
          </w:tcPr>
          <w:p>
            <w:pPr>
              <w:spacing w:after="0"/>
              <w:rPr>
                <w:sz w:val="20"/>
                <w:szCs w:val="20"/>
                <w:color w:val="auto"/>
              </w:rPr>
            </w:pPr>
            <w:r>
              <w:rPr>
                <w:rFonts w:ascii="Arial" w:cs="Arial" w:eastAsia="Arial" w:hAnsi="Arial"/>
                <w:sz w:val="20"/>
                <w:szCs w:val="20"/>
                <w:color w:val="auto"/>
              </w:rPr>
              <w:t>Item 1C.</w:t>
            </w:r>
          </w:p>
        </w:tc>
        <w:tc>
          <w:tcPr>
            <w:tcW w:w="8960" w:type="dxa"/>
            <w:vAlign w:val="bottom"/>
          </w:tcPr>
          <w:p>
            <w:pPr>
              <w:ind w:left="220"/>
              <w:spacing w:after="0"/>
              <w:rPr>
                <w:sz w:val="20"/>
                <w:szCs w:val="20"/>
                <w:color w:val="auto"/>
              </w:rPr>
            </w:pPr>
            <w:r>
              <w:rPr>
                <w:rFonts w:ascii="Arial" w:cs="Arial" w:eastAsia="Arial" w:hAnsi="Arial"/>
                <w:sz w:val="20"/>
                <w:szCs w:val="20"/>
                <w:color w:val="auto"/>
              </w:rPr>
              <w:t>Cybersecurity</w:t>
            </w:r>
          </w:p>
        </w:tc>
        <w:tc>
          <w:tcPr>
            <w:tcW w:w="80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258"/>
        </w:trPr>
        <w:tc>
          <w:tcPr>
            <w:tcW w:w="1020" w:type="dxa"/>
            <w:vAlign w:val="bottom"/>
            <w:gridSpan w:val="2"/>
          </w:tcPr>
          <w:p>
            <w:pPr>
              <w:spacing w:after="0"/>
              <w:rPr>
                <w:sz w:val="20"/>
                <w:szCs w:val="20"/>
                <w:color w:val="auto"/>
              </w:rPr>
            </w:pPr>
            <w:r>
              <w:rPr>
                <w:rFonts w:ascii="Arial" w:cs="Arial" w:eastAsia="Arial" w:hAnsi="Arial"/>
                <w:sz w:val="20"/>
                <w:szCs w:val="20"/>
                <w:color w:val="auto"/>
              </w:rPr>
              <w:t>Item 2.</w:t>
            </w:r>
          </w:p>
        </w:tc>
        <w:tc>
          <w:tcPr>
            <w:tcW w:w="8960" w:type="dxa"/>
            <w:vAlign w:val="bottom"/>
          </w:tcPr>
          <w:p>
            <w:pPr>
              <w:ind w:left="220"/>
              <w:spacing w:after="0"/>
              <w:rPr>
                <w:sz w:val="20"/>
                <w:szCs w:val="20"/>
                <w:color w:val="auto"/>
              </w:rPr>
            </w:pPr>
            <w:r>
              <w:rPr>
                <w:rFonts w:ascii="Arial" w:cs="Arial" w:eastAsia="Arial" w:hAnsi="Arial"/>
                <w:sz w:val="20"/>
                <w:szCs w:val="20"/>
                <w:color w:val="auto"/>
              </w:rPr>
              <w:t>Properties</w:t>
            </w:r>
          </w:p>
        </w:tc>
        <w:tc>
          <w:tcPr>
            <w:tcW w:w="800" w:type="dxa"/>
            <w:vAlign w:val="bottom"/>
          </w:tcPr>
          <w:p>
            <w:pPr>
              <w:jc w:val="right"/>
              <w:spacing w:after="0"/>
              <w:rPr>
                <w:sz w:val="20"/>
                <w:szCs w:val="20"/>
                <w:color w:val="auto"/>
              </w:rPr>
            </w:pPr>
            <w:r>
              <w:rPr>
                <w:rFonts w:ascii="Arial" w:cs="Arial" w:eastAsia="Arial" w:hAnsi="Arial"/>
                <w:sz w:val="20"/>
                <w:szCs w:val="20"/>
                <w:color w:val="auto"/>
              </w:rPr>
              <w:t>39</w:t>
            </w:r>
          </w:p>
        </w:tc>
      </w:tr>
      <w:tr>
        <w:trPr>
          <w:trHeight w:val="258"/>
        </w:trPr>
        <w:tc>
          <w:tcPr>
            <w:tcW w:w="1020" w:type="dxa"/>
            <w:vAlign w:val="bottom"/>
            <w:gridSpan w:val="2"/>
          </w:tcPr>
          <w:p>
            <w:pPr>
              <w:spacing w:after="0"/>
              <w:rPr>
                <w:sz w:val="20"/>
                <w:szCs w:val="20"/>
                <w:color w:val="auto"/>
              </w:rPr>
            </w:pPr>
            <w:r>
              <w:rPr>
                <w:rFonts w:ascii="Arial" w:cs="Arial" w:eastAsia="Arial" w:hAnsi="Arial"/>
                <w:sz w:val="20"/>
                <w:szCs w:val="20"/>
                <w:color w:val="auto"/>
              </w:rPr>
              <w:t>Item 3.</w:t>
            </w:r>
          </w:p>
        </w:tc>
        <w:tc>
          <w:tcPr>
            <w:tcW w:w="8960" w:type="dxa"/>
            <w:vAlign w:val="bottom"/>
          </w:tcPr>
          <w:p>
            <w:pPr>
              <w:ind w:left="220"/>
              <w:spacing w:after="0"/>
              <w:rPr>
                <w:sz w:val="20"/>
                <w:szCs w:val="20"/>
                <w:color w:val="auto"/>
              </w:rPr>
            </w:pPr>
            <w:r>
              <w:rPr>
                <w:rFonts w:ascii="Arial" w:cs="Arial" w:eastAsia="Arial" w:hAnsi="Arial"/>
                <w:sz w:val="20"/>
                <w:szCs w:val="20"/>
                <w:color w:val="auto"/>
              </w:rPr>
              <w:t>Legal Proceedings</w:t>
            </w:r>
          </w:p>
        </w:tc>
        <w:tc>
          <w:tcPr>
            <w:tcW w:w="800" w:type="dxa"/>
            <w:vAlign w:val="bottom"/>
          </w:tcPr>
          <w:p>
            <w:pPr>
              <w:jc w:val="right"/>
              <w:spacing w:after="0"/>
              <w:rPr>
                <w:sz w:val="20"/>
                <w:szCs w:val="20"/>
                <w:color w:val="auto"/>
              </w:rPr>
            </w:pPr>
            <w:r>
              <w:rPr>
                <w:rFonts w:ascii="Arial" w:cs="Arial" w:eastAsia="Arial" w:hAnsi="Arial"/>
                <w:sz w:val="20"/>
                <w:szCs w:val="20"/>
                <w:color w:val="auto"/>
              </w:rPr>
              <w:t>47</w:t>
            </w:r>
          </w:p>
        </w:tc>
      </w:tr>
      <w:tr>
        <w:trPr>
          <w:trHeight w:val="272"/>
        </w:trPr>
        <w:tc>
          <w:tcPr>
            <w:tcW w:w="1020" w:type="dxa"/>
            <w:vAlign w:val="bottom"/>
            <w:gridSpan w:val="2"/>
          </w:tcPr>
          <w:p>
            <w:pPr>
              <w:spacing w:after="0"/>
              <w:rPr>
                <w:sz w:val="20"/>
                <w:szCs w:val="20"/>
                <w:color w:val="auto"/>
              </w:rPr>
            </w:pPr>
            <w:r>
              <w:rPr>
                <w:rFonts w:ascii="Arial" w:cs="Arial" w:eastAsia="Arial" w:hAnsi="Arial"/>
                <w:sz w:val="20"/>
                <w:szCs w:val="20"/>
                <w:color w:val="auto"/>
              </w:rPr>
              <w:t>Item 4.</w:t>
            </w:r>
          </w:p>
        </w:tc>
        <w:tc>
          <w:tcPr>
            <w:tcW w:w="8960" w:type="dxa"/>
            <w:vAlign w:val="bottom"/>
          </w:tcPr>
          <w:p>
            <w:pPr>
              <w:ind w:left="220"/>
              <w:spacing w:after="0"/>
              <w:rPr>
                <w:sz w:val="20"/>
                <w:szCs w:val="20"/>
                <w:color w:val="auto"/>
              </w:rPr>
            </w:pPr>
            <w:r>
              <w:rPr>
                <w:rFonts w:ascii="Arial" w:cs="Arial" w:eastAsia="Arial" w:hAnsi="Arial"/>
                <w:sz w:val="20"/>
                <w:szCs w:val="20"/>
                <w:color w:val="auto"/>
              </w:rPr>
              <w:t>Mine Safety Disclosures</w:t>
            </w:r>
          </w:p>
        </w:tc>
        <w:tc>
          <w:tcPr>
            <w:tcW w:w="800" w:type="dxa"/>
            <w:vAlign w:val="bottom"/>
          </w:tcPr>
          <w:p>
            <w:pPr>
              <w:jc w:val="right"/>
              <w:spacing w:after="0"/>
              <w:rPr>
                <w:sz w:val="20"/>
                <w:szCs w:val="20"/>
                <w:color w:val="auto"/>
              </w:rPr>
            </w:pPr>
            <w:r>
              <w:rPr>
                <w:rFonts w:ascii="Arial" w:cs="Arial" w:eastAsia="Arial" w:hAnsi="Arial"/>
                <w:sz w:val="20"/>
                <w:szCs w:val="20"/>
                <w:color w:val="auto"/>
              </w:rPr>
              <w:t>47</w:t>
            </w:r>
          </w:p>
        </w:tc>
      </w:tr>
      <w:tr>
        <w:trPr>
          <w:trHeight w:val="526"/>
        </w:trPr>
        <w:tc>
          <w:tcPr>
            <w:tcW w:w="1020" w:type="dxa"/>
            <w:vAlign w:val="bottom"/>
            <w:gridSpan w:val="2"/>
          </w:tcPr>
          <w:p>
            <w:pPr>
              <w:spacing w:after="0"/>
              <w:rPr>
                <w:sz w:val="20"/>
                <w:szCs w:val="20"/>
                <w:color w:val="auto"/>
              </w:rPr>
            </w:pPr>
            <w:r>
              <w:rPr>
                <w:rFonts w:ascii="Arial" w:cs="Arial" w:eastAsia="Arial" w:hAnsi="Arial"/>
                <w:sz w:val="20"/>
                <w:szCs w:val="20"/>
                <w:b w:val="1"/>
                <w:bCs w:val="1"/>
                <w:color w:val="auto"/>
              </w:rPr>
              <w:t>PART II</w:t>
            </w:r>
          </w:p>
        </w:tc>
        <w:tc>
          <w:tcPr>
            <w:tcW w:w="89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551"/>
        </w:trPr>
        <w:tc>
          <w:tcPr>
            <w:tcW w:w="1020" w:type="dxa"/>
            <w:vAlign w:val="bottom"/>
            <w:gridSpan w:val="2"/>
          </w:tcPr>
          <w:p>
            <w:pPr>
              <w:spacing w:after="0"/>
              <w:rPr>
                <w:sz w:val="20"/>
                <w:szCs w:val="20"/>
                <w:color w:val="auto"/>
              </w:rPr>
            </w:pPr>
            <w:r>
              <w:rPr>
                <w:rFonts w:ascii="Arial" w:cs="Arial" w:eastAsia="Arial" w:hAnsi="Arial"/>
                <w:sz w:val="20"/>
                <w:szCs w:val="20"/>
                <w:color w:val="auto"/>
              </w:rPr>
              <w:t>Item 5.</w:t>
            </w:r>
          </w:p>
        </w:tc>
        <w:tc>
          <w:tcPr>
            <w:tcW w:w="8960" w:type="dxa"/>
            <w:vAlign w:val="bottom"/>
          </w:tcPr>
          <w:p>
            <w:pPr>
              <w:ind w:left="220"/>
              <w:spacing w:after="0"/>
              <w:rPr>
                <w:sz w:val="20"/>
                <w:szCs w:val="20"/>
                <w:color w:val="auto"/>
              </w:rPr>
            </w:pPr>
            <w:r>
              <w:rPr>
                <w:rFonts w:ascii="Arial" w:cs="Arial" w:eastAsia="Arial" w:hAnsi="Arial"/>
                <w:sz w:val="20"/>
                <w:szCs w:val="20"/>
                <w:color w:val="auto"/>
              </w:rPr>
              <w:t>Market for Registrant’s Common Equity, Related Stockholder Matters, and Issuer Purchases of</w:t>
            </w:r>
          </w:p>
        </w:tc>
        <w:tc>
          <w:tcPr>
            <w:tcW w:w="800" w:type="dxa"/>
            <w:vAlign w:val="bottom"/>
          </w:tcPr>
          <w:p>
            <w:pPr>
              <w:spacing w:after="0"/>
              <w:rPr>
                <w:sz w:val="24"/>
                <w:szCs w:val="24"/>
                <w:color w:val="auto"/>
              </w:rPr>
            </w:pPr>
          </w:p>
        </w:tc>
      </w:tr>
      <w:tr>
        <w:trPr>
          <w:trHeight w:val="258"/>
        </w:trPr>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960" w:type="dxa"/>
            <w:vAlign w:val="bottom"/>
          </w:tcPr>
          <w:p>
            <w:pPr>
              <w:ind w:left="240"/>
              <w:spacing w:after="0"/>
              <w:rPr>
                <w:sz w:val="20"/>
                <w:szCs w:val="20"/>
                <w:color w:val="auto"/>
              </w:rPr>
            </w:pPr>
            <w:r>
              <w:rPr>
                <w:rFonts w:ascii="Arial" w:cs="Arial" w:eastAsia="Arial" w:hAnsi="Arial"/>
                <w:sz w:val="20"/>
                <w:szCs w:val="20"/>
                <w:color w:val="auto"/>
              </w:rPr>
              <w:t>Equity Securities</w:t>
            </w:r>
          </w:p>
        </w:tc>
        <w:tc>
          <w:tcPr>
            <w:tcW w:w="800" w:type="dxa"/>
            <w:vAlign w:val="bottom"/>
          </w:tcPr>
          <w:p>
            <w:pPr>
              <w:jc w:val="right"/>
              <w:spacing w:after="0"/>
              <w:rPr>
                <w:sz w:val="20"/>
                <w:szCs w:val="20"/>
                <w:color w:val="auto"/>
              </w:rPr>
            </w:pPr>
            <w:r>
              <w:rPr>
                <w:rFonts w:ascii="Arial" w:cs="Arial" w:eastAsia="Arial" w:hAnsi="Arial"/>
                <w:sz w:val="20"/>
                <w:szCs w:val="20"/>
                <w:color w:val="auto"/>
              </w:rPr>
              <w:t>48</w:t>
            </w:r>
          </w:p>
        </w:tc>
      </w:tr>
      <w:tr>
        <w:trPr>
          <w:trHeight w:val="258"/>
        </w:trPr>
        <w:tc>
          <w:tcPr>
            <w:tcW w:w="1020" w:type="dxa"/>
            <w:vAlign w:val="bottom"/>
            <w:gridSpan w:val="2"/>
          </w:tcPr>
          <w:p>
            <w:pPr>
              <w:spacing w:after="0"/>
              <w:rPr>
                <w:sz w:val="20"/>
                <w:szCs w:val="20"/>
                <w:color w:val="auto"/>
              </w:rPr>
            </w:pPr>
            <w:r>
              <w:rPr>
                <w:rFonts w:ascii="Arial" w:cs="Arial" w:eastAsia="Arial" w:hAnsi="Arial"/>
                <w:sz w:val="20"/>
                <w:szCs w:val="20"/>
                <w:color w:val="auto"/>
              </w:rPr>
              <w:t>Item 6.</w:t>
            </w:r>
          </w:p>
        </w:tc>
        <w:tc>
          <w:tcPr>
            <w:tcW w:w="8960" w:type="dxa"/>
            <w:vAlign w:val="bottom"/>
          </w:tcPr>
          <w:p>
            <w:pPr>
              <w:ind w:left="220"/>
              <w:spacing w:after="0"/>
              <w:rPr>
                <w:sz w:val="20"/>
                <w:szCs w:val="20"/>
                <w:color w:val="auto"/>
              </w:rPr>
            </w:pPr>
            <w:r>
              <w:rPr>
                <w:rFonts w:ascii="Arial" w:cs="Arial" w:eastAsia="Arial" w:hAnsi="Arial"/>
                <w:sz w:val="20"/>
                <w:szCs w:val="20"/>
                <w:color w:val="auto"/>
              </w:rPr>
              <w:t>Reserved</w:t>
            </w:r>
          </w:p>
        </w:tc>
        <w:tc>
          <w:tcPr>
            <w:tcW w:w="800" w:type="dxa"/>
            <w:vAlign w:val="bottom"/>
          </w:tcPr>
          <w:p>
            <w:pPr>
              <w:jc w:val="right"/>
              <w:spacing w:after="0"/>
              <w:rPr>
                <w:sz w:val="20"/>
                <w:szCs w:val="20"/>
                <w:color w:val="auto"/>
              </w:rPr>
            </w:pPr>
            <w:r>
              <w:rPr>
                <w:rFonts w:ascii="Arial" w:cs="Arial" w:eastAsia="Arial" w:hAnsi="Arial"/>
                <w:sz w:val="20"/>
                <w:szCs w:val="20"/>
                <w:color w:val="auto"/>
              </w:rPr>
              <w:t>50</w:t>
            </w:r>
          </w:p>
        </w:tc>
      </w:tr>
      <w:tr>
        <w:trPr>
          <w:trHeight w:val="258"/>
        </w:trPr>
        <w:tc>
          <w:tcPr>
            <w:tcW w:w="1020" w:type="dxa"/>
            <w:vAlign w:val="bottom"/>
            <w:gridSpan w:val="2"/>
          </w:tcPr>
          <w:p>
            <w:pPr>
              <w:spacing w:after="0"/>
              <w:rPr>
                <w:sz w:val="20"/>
                <w:szCs w:val="20"/>
                <w:color w:val="auto"/>
              </w:rPr>
            </w:pPr>
            <w:r>
              <w:rPr>
                <w:rFonts w:ascii="Arial" w:cs="Arial" w:eastAsia="Arial" w:hAnsi="Arial"/>
                <w:sz w:val="20"/>
                <w:szCs w:val="20"/>
                <w:color w:val="auto"/>
              </w:rPr>
              <w:t>Item 7.</w:t>
            </w:r>
          </w:p>
        </w:tc>
        <w:tc>
          <w:tcPr>
            <w:tcW w:w="8960" w:type="dxa"/>
            <w:vAlign w:val="bottom"/>
          </w:tcPr>
          <w:p>
            <w:pPr>
              <w:ind w:left="220"/>
              <w:spacing w:after="0"/>
              <w:rPr>
                <w:sz w:val="20"/>
                <w:szCs w:val="20"/>
                <w:color w:val="auto"/>
              </w:rPr>
            </w:pPr>
            <w:r>
              <w:rPr>
                <w:rFonts w:ascii="Arial" w:cs="Arial" w:eastAsia="Arial" w:hAnsi="Arial"/>
                <w:sz w:val="20"/>
                <w:szCs w:val="20"/>
                <w:color w:val="auto"/>
              </w:rPr>
              <w:t>Management’s Discussion and Analysis of Financial Condition and Results of Operations</w:t>
            </w:r>
          </w:p>
        </w:tc>
        <w:tc>
          <w:tcPr>
            <w:tcW w:w="800" w:type="dxa"/>
            <w:vAlign w:val="bottom"/>
          </w:tcPr>
          <w:p>
            <w:pPr>
              <w:jc w:val="right"/>
              <w:spacing w:after="0"/>
              <w:rPr>
                <w:sz w:val="20"/>
                <w:szCs w:val="20"/>
                <w:color w:val="auto"/>
              </w:rPr>
            </w:pPr>
            <w:r>
              <w:rPr>
                <w:rFonts w:ascii="Arial" w:cs="Arial" w:eastAsia="Arial" w:hAnsi="Arial"/>
                <w:sz w:val="20"/>
                <w:szCs w:val="20"/>
                <w:color w:val="auto"/>
              </w:rPr>
              <w:t>50</w:t>
            </w:r>
          </w:p>
        </w:tc>
      </w:tr>
      <w:tr>
        <w:trPr>
          <w:trHeight w:val="258"/>
        </w:trPr>
        <w:tc>
          <w:tcPr>
            <w:tcW w:w="1020" w:type="dxa"/>
            <w:vAlign w:val="bottom"/>
            <w:gridSpan w:val="2"/>
          </w:tcPr>
          <w:p>
            <w:pPr>
              <w:spacing w:after="0"/>
              <w:rPr>
                <w:sz w:val="20"/>
                <w:szCs w:val="20"/>
                <w:color w:val="auto"/>
              </w:rPr>
            </w:pPr>
            <w:r>
              <w:rPr>
                <w:rFonts w:ascii="Arial" w:cs="Arial" w:eastAsia="Arial" w:hAnsi="Arial"/>
                <w:sz w:val="20"/>
                <w:szCs w:val="20"/>
                <w:color w:val="auto"/>
              </w:rPr>
              <w:t>Item 7A.</w:t>
            </w:r>
          </w:p>
        </w:tc>
        <w:tc>
          <w:tcPr>
            <w:tcW w:w="8960" w:type="dxa"/>
            <w:vAlign w:val="bottom"/>
          </w:tcPr>
          <w:p>
            <w:pPr>
              <w:ind w:left="220"/>
              <w:spacing w:after="0"/>
              <w:rPr>
                <w:sz w:val="20"/>
                <w:szCs w:val="20"/>
                <w:color w:val="auto"/>
              </w:rPr>
            </w:pPr>
            <w:r>
              <w:rPr>
                <w:rFonts w:ascii="Arial" w:cs="Arial" w:eastAsia="Arial" w:hAnsi="Arial"/>
                <w:sz w:val="20"/>
                <w:szCs w:val="20"/>
                <w:color w:val="auto"/>
              </w:rPr>
              <w:t>Quantitative and Qualitative Disclosures About Market Risk</w:t>
            </w:r>
          </w:p>
        </w:tc>
        <w:tc>
          <w:tcPr>
            <w:tcW w:w="800" w:type="dxa"/>
            <w:vAlign w:val="bottom"/>
          </w:tcPr>
          <w:p>
            <w:pPr>
              <w:jc w:val="right"/>
              <w:spacing w:after="0"/>
              <w:rPr>
                <w:sz w:val="20"/>
                <w:szCs w:val="20"/>
                <w:color w:val="auto"/>
              </w:rPr>
            </w:pPr>
            <w:r>
              <w:rPr>
                <w:rFonts w:ascii="Arial" w:cs="Arial" w:eastAsia="Arial" w:hAnsi="Arial"/>
                <w:sz w:val="20"/>
                <w:szCs w:val="20"/>
                <w:color w:val="auto"/>
              </w:rPr>
              <w:t>69</w:t>
            </w:r>
          </w:p>
        </w:tc>
      </w:tr>
      <w:tr>
        <w:trPr>
          <w:trHeight w:val="258"/>
        </w:trPr>
        <w:tc>
          <w:tcPr>
            <w:tcW w:w="1020" w:type="dxa"/>
            <w:vAlign w:val="bottom"/>
            <w:gridSpan w:val="2"/>
          </w:tcPr>
          <w:p>
            <w:pPr>
              <w:spacing w:after="0"/>
              <w:rPr>
                <w:sz w:val="20"/>
                <w:szCs w:val="20"/>
                <w:color w:val="auto"/>
              </w:rPr>
            </w:pPr>
            <w:r>
              <w:rPr>
                <w:rFonts w:ascii="Arial" w:cs="Arial" w:eastAsia="Arial" w:hAnsi="Arial"/>
                <w:sz w:val="20"/>
                <w:szCs w:val="20"/>
                <w:color w:val="auto"/>
              </w:rPr>
              <w:t>Item 8.</w:t>
            </w:r>
          </w:p>
        </w:tc>
        <w:tc>
          <w:tcPr>
            <w:tcW w:w="8960" w:type="dxa"/>
            <w:vAlign w:val="bottom"/>
          </w:tcPr>
          <w:p>
            <w:pPr>
              <w:ind w:left="220"/>
              <w:spacing w:after="0"/>
              <w:rPr>
                <w:sz w:val="20"/>
                <w:szCs w:val="20"/>
                <w:color w:val="auto"/>
              </w:rPr>
            </w:pPr>
            <w:r>
              <w:rPr>
                <w:rFonts w:ascii="Arial" w:cs="Arial" w:eastAsia="Arial" w:hAnsi="Arial"/>
                <w:sz w:val="20"/>
                <w:szCs w:val="20"/>
                <w:color w:val="auto"/>
              </w:rPr>
              <w:t>Financial Statements and Supplementary Data</w:t>
            </w:r>
          </w:p>
        </w:tc>
        <w:tc>
          <w:tcPr>
            <w:tcW w:w="800" w:type="dxa"/>
            <w:vAlign w:val="bottom"/>
          </w:tcPr>
          <w:p>
            <w:pPr>
              <w:jc w:val="right"/>
              <w:spacing w:after="0"/>
              <w:rPr>
                <w:sz w:val="20"/>
                <w:szCs w:val="20"/>
                <w:color w:val="auto"/>
              </w:rPr>
            </w:pPr>
            <w:r>
              <w:rPr>
                <w:rFonts w:ascii="Arial" w:cs="Arial" w:eastAsia="Arial" w:hAnsi="Arial"/>
                <w:sz w:val="20"/>
                <w:szCs w:val="20"/>
                <w:color w:val="auto"/>
              </w:rPr>
              <w:t>70</w:t>
            </w:r>
          </w:p>
        </w:tc>
      </w:tr>
      <w:tr>
        <w:trPr>
          <w:trHeight w:val="258"/>
        </w:trPr>
        <w:tc>
          <w:tcPr>
            <w:tcW w:w="1020" w:type="dxa"/>
            <w:vAlign w:val="bottom"/>
            <w:gridSpan w:val="2"/>
          </w:tcPr>
          <w:p>
            <w:pPr>
              <w:spacing w:after="0"/>
              <w:rPr>
                <w:sz w:val="20"/>
                <w:szCs w:val="20"/>
                <w:color w:val="auto"/>
              </w:rPr>
            </w:pPr>
            <w:r>
              <w:rPr>
                <w:rFonts w:ascii="Arial" w:cs="Arial" w:eastAsia="Arial" w:hAnsi="Arial"/>
                <w:sz w:val="20"/>
                <w:szCs w:val="20"/>
                <w:color w:val="auto"/>
              </w:rPr>
              <w:t>Item 9.</w:t>
            </w:r>
          </w:p>
        </w:tc>
        <w:tc>
          <w:tcPr>
            <w:tcW w:w="8960" w:type="dxa"/>
            <w:vAlign w:val="bottom"/>
          </w:tcPr>
          <w:p>
            <w:pPr>
              <w:ind w:left="220"/>
              <w:spacing w:after="0"/>
              <w:rPr>
                <w:sz w:val="20"/>
                <w:szCs w:val="20"/>
                <w:color w:val="auto"/>
              </w:rPr>
            </w:pPr>
            <w:r>
              <w:rPr>
                <w:rFonts w:ascii="Arial" w:cs="Arial" w:eastAsia="Arial" w:hAnsi="Arial"/>
                <w:sz w:val="20"/>
                <w:szCs w:val="20"/>
                <w:color w:val="auto"/>
              </w:rPr>
              <w:t>Changes in and Disagreements with Accountants on Accounting and Financial Disclosure</w:t>
            </w:r>
          </w:p>
        </w:tc>
        <w:tc>
          <w:tcPr>
            <w:tcW w:w="800" w:type="dxa"/>
            <w:vAlign w:val="bottom"/>
          </w:tcPr>
          <w:p>
            <w:pPr>
              <w:jc w:val="right"/>
              <w:spacing w:after="0"/>
              <w:rPr>
                <w:sz w:val="20"/>
                <w:szCs w:val="20"/>
                <w:color w:val="auto"/>
              </w:rPr>
            </w:pPr>
            <w:r>
              <w:rPr>
                <w:rFonts w:ascii="Arial" w:cs="Arial" w:eastAsia="Arial" w:hAnsi="Arial"/>
                <w:sz w:val="20"/>
                <w:szCs w:val="20"/>
                <w:color w:val="auto"/>
              </w:rPr>
              <w:t>115</w:t>
            </w:r>
          </w:p>
        </w:tc>
      </w:tr>
      <w:tr>
        <w:trPr>
          <w:trHeight w:val="258"/>
        </w:trPr>
        <w:tc>
          <w:tcPr>
            <w:tcW w:w="1020" w:type="dxa"/>
            <w:vAlign w:val="bottom"/>
            <w:gridSpan w:val="2"/>
          </w:tcPr>
          <w:p>
            <w:pPr>
              <w:spacing w:after="0"/>
              <w:rPr>
                <w:sz w:val="20"/>
                <w:szCs w:val="20"/>
                <w:color w:val="auto"/>
              </w:rPr>
            </w:pPr>
            <w:r>
              <w:rPr>
                <w:rFonts w:ascii="Arial" w:cs="Arial" w:eastAsia="Arial" w:hAnsi="Arial"/>
                <w:sz w:val="20"/>
                <w:szCs w:val="20"/>
                <w:color w:val="auto"/>
              </w:rPr>
              <w:t>Item 9A.</w:t>
            </w:r>
          </w:p>
        </w:tc>
        <w:tc>
          <w:tcPr>
            <w:tcW w:w="8960" w:type="dxa"/>
            <w:vAlign w:val="bottom"/>
          </w:tcPr>
          <w:p>
            <w:pPr>
              <w:ind w:left="220"/>
              <w:spacing w:after="0"/>
              <w:rPr>
                <w:sz w:val="20"/>
                <w:szCs w:val="20"/>
                <w:color w:val="auto"/>
              </w:rPr>
            </w:pPr>
            <w:r>
              <w:rPr>
                <w:rFonts w:ascii="Arial" w:cs="Arial" w:eastAsia="Arial" w:hAnsi="Arial"/>
                <w:sz w:val="20"/>
                <w:szCs w:val="20"/>
                <w:color w:val="auto"/>
              </w:rPr>
              <w:t>Controls and Procedures</w:t>
            </w:r>
          </w:p>
        </w:tc>
        <w:tc>
          <w:tcPr>
            <w:tcW w:w="800" w:type="dxa"/>
            <w:vAlign w:val="bottom"/>
          </w:tcPr>
          <w:p>
            <w:pPr>
              <w:jc w:val="right"/>
              <w:spacing w:after="0"/>
              <w:rPr>
                <w:sz w:val="20"/>
                <w:szCs w:val="20"/>
                <w:color w:val="auto"/>
              </w:rPr>
            </w:pPr>
            <w:r>
              <w:rPr>
                <w:rFonts w:ascii="Arial" w:cs="Arial" w:eastAsia="Arial" w:hAnsi="Arial"/>
                <w:sz w:val="20"/>
                <w:szCs w:val="20"/>
                <w:color w:val="auto"/>
              </w:rPr>
              <w:t>115</w:t>
            </w:r>
          </w:p>
        </w:tc>
      </w:tr>
      <w:tr>
        <w:trPr>
          <w:trHeight w:val="258"/>
        </w:trPr>
        <w:tc>
          <w:tcPr>
            <w:tcW w:w="1020" w:type="dxa"/>
            <w:vAlign w:val="bottom"/>
            <w:gridSpan w:val="2"/>
          </w:tcPr>
          <w:p>
            <w:pPr>
              <w:spacing w:after="0"/>
              <w:rPr>
                <w:sz w:val="20"/>
                <w:szCs w:val="20"/>
                <w:color w:val="auto"/>
              </w:rPr>
            </w:pPr>
            <w:r>
              <w:rPr>
                <w:rFonts w:ascii="Arial" w:cs="Arial" w:eastAsia="Arial" w:hAnsi="Arial"/>
                <w:sz w:val="20"/>
                <w:szCs w:val="20"/>
                <w:color w:val="auto"/>
              </w:rPr>
              <w:t>Item 9B.</w:t>
            </w:r>
          </w:p>
        </w:tc>
        <w:tc>
          <w:tcPr>
            <w:tcW w:w="8960" w:type="dxa"/>
            <w:vAlign w:val="bottom"/>
          </w:tcPr>
          <w:p>
            <w:pPr>
              <w:ind w:left="220"/>
              <w:spacing w:after="0"/>
              <w:rPr>
                <w:sz w:val="20"/>
                <w:szCs w:val="20"/>
                <w:color w:val="auto"/>
              </w:rPr>
            </w:pPr>
            <w:r>
              <w:rPr>
                <w:rFonts w:ascii="Arial" w:cs="Arial" w:eastAsia="Arial" w:hAnsi="Arial"/>
                <w:sz w:val="20"/>
                <w:szCs w:val="20"/>
                <w:color w:val="auto"/>
              </w:rPr>
              <w:t>Other Information</w:t>
            </w:r>
          </w:p>
        </w:tc>
        <w:tc>
          <w:tcPr>
            <w:tcW w:w="800" w:type="dxa"/>
            <w:vAlign w:val="bottom"/>
          </w:tcPr>
          <w:p>
            <w:pPr>
              <w:jc w:val="right"/>
              <w:spacing w:after="0"/>
              <w:rPr>
                <w:sz w:val="20"/>
                <w:szCs w:val="20"/>
                <w:color w:val="auto"/>
              </w:rPr>
            </w:pPr>
            <w:r>
              <w:rPr>
                <w:rFonts w:ascii="Arial" w:cs="Arial" w:eastAsia="Arial" w:hAnsi="Arial"/>
                <w:sz w:val="20"/>
                <w:szCs w:val="20"/>
                <w:color w:val="auto"/>
              </w:rPr>
              <w:t>118</w:t>
            </w:r>
          </w:p>
        </w:tc>
      </w:tr>
      <w:tr>
        <w:trPr>
          <w:trHeight w:val="272"/>
        </w:trPr>
        <w:tc>
          <w:tcPr>
            <w:tcW w:w="1020" w:type="dxa"/>
            <w:vAlign w:val="bottom"/>
            <w:gridSpan w:val="2"/>
          </w:tcPr>
          <w:p>
            <w:pPr>
              <w:spacing w:after="0"/>
              <w:rPr>
                <w:sz w:val="20"/>
                <w:szCs w:val="20"/>
                <w:color w:val="auto"/>
              </w:rPr>
            </w:pPr>
            <w:r>
              <w:rPr>
                <w:rFonts w:ascii="Arial" w:cs="Arial" w:eastAsia="Arial" w:hAnsi="Arial"/>
                <w:sz w:val="20"/>
                <w:szCs w:val="20"/>
                <w:color w:val="auto"/>
              </w:rPr>
              <w:t>Item 9C.</w:t>
            </w:r>
          </w:p>
        </w:tc>
        <w:tc>
          <w:tcPr>
            <w:tcW w:w="8960" w:type="dxa"/>
            <w:vAlign w:val="bottom"/>
          </w:tcPr>
          <w:p>
            <w:pPr>
              <w:ind w:left="220"/>
              <w:spacing w:after="0"/>
              <w:rPr>
                <w:sz w:val="20"/>
                <w:szCs w:val="20"/>
                <w:color w:val="auto"/>
              </w:rPr>
            </w:pPr>
            <w:r>
              <w:rPr>
                <w:rFonts w:ascii="Arial" w:cs="Arial" w:eastAsia="Arial" w:hAnsi="Arial"/>
                <w:sz w:val="20"/>
                <w:szCs w:val="20"/>
                <w:color w:val="auto"/>
              </w:rPr>
              <w:t>Disclosure Regarding Foreign Jurisdictions That Prevent Inspections</w:t>
            </w:r>
          </w:p>
        </w:tc>
        <w:tc>
          <w:tcPr>
            <w:tcW w:w="800" w:type="dxa"/>
            <w:vAlign w:val="bottom"/>
          </w:tcPr>
          <w:p>
            <w:pPr>
              <w:jc w:val="right"/>
              <w:spacing w:after="0"/>
              <w:rPr>
                <w:sz w:val="20"/>
                <w:szCs w:val="20"/>
                <w:color w:val="auto"/>
              </w:rPr>
            </w:pPr>
            <w:r>
              <w:rPr>
                <w:rFonts w:ascii="Arial" w:cs="Arial" w:eastAsia="Arial" w:hAnsi="Arial"/>
                <w:sz w:val="20"/>
                <w:szCs w:val="20"/>
                <w:color w:val="auto"/>
              </w:rPr>
              <w:t>118</w:t>
            </w:r>
          </w:p>
        </w:tc>
      </w:tr>
      <w:tr>
        <w:trPr>
          <w:trHeight w:val="526"/>
        </w:trPr>
        <w:tc>
          <w:tcPr>
            <w:tcW w:w="1020" w:type="dxa"/>
            <w:vAlign w:val="bottom"/>
            <w:gridSpan w:val="2"/>
          </w:tcPr>
          <w:p>
            <w:pPr>
              <w:spacing w:after="0"/>
              <w:rPr>
                <w:sz w:val="20"/>
                <w:szCs w:val="20"/>
                <w:color w:val="auto"/>
              </w:rPr>
            </w:pPr>
            <w:r>
              <w:rPr>
                <w:rFonts w:ascii="Arial" w:cs="Arial" w:eastAsia="Arial" w:hAnsi="Arial"/>
                <w:sz w:val="20"/>
                <w:szCs w:val="20"/>
                <w:b w:val="1"/>
                <w:bCs w:val="1"/>
                <w:color w:val="auto"/>
              </w:rPr>
              <w:t>PART III</w:t>
            </w:r>
          </w:p>
        </w:tc>
        <w:tc>
          <w:tcPr>
            <w:tcW w:w="89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579"/>
        </w:trPr>
        <w:tc>
          <w:tcPr>
            <w:tcW w:w="1020" w:type="dxa"/>
            <w:vAlign w:val="bottom"/>
            <w:gridSpan w:val="2"/>
          </w:tcPr>
          <w:p>
            <w:pPr>
              <w:spacing w:after="0"/>
              <w:rPr>
                <w:sz w:val="20"/>
                <w:szCs w:val="20"/>
                <w:color w:val="auto"/>
              </w:rPr>
            </w:pPr>
            <w:r>
              <w:rPr>
                <w:rFonts w:ascii="Arial" w:cs="Arial" w:eastAsia="Arial" w:hAnsi="Arial"/>
                <w:sz w:val="20"/>
                <w:szCs w:val="20"/>
                <w:color w:val="auto"/>
              </w:rPr>
              <w:t>Item 10.</w:t>
            </w:r>
          </w:p>
        </w:tc>
        <w:tc>
          <w:tcPr>
            <w:tcW w:w="8960" w:type="dxa"/>
            <w:vAlign w:val="bottom"/>
          </w:tcPr>
          <w:p>
            <w:pPr>
              <w:ind w:left="220"/>
              <w:spacing w:after="0"/>
              <w:rPr>
                <w:sz w:val="20"/>
                <w:szCs w:val="20"/>
                <w:color w:val="auto"/>
              </w:rPr>
            </w:pPr>
            <w:r>
              <w:rPr>
                <w:rFonts w:ascii="Arial" w:cs="Arial" w:eastAsia="Arial" w:hAnsi="Arial"/>
                <w:sz w:val="20"/>
                <w:szCs w:val="20"/>
                <w:color w:val="auto"/>
              </w:rPr>
              <w:t>Directors, Executive Officers and Corporate Governance</w:t>
            </w:r>
          </w:p>
        </w:tc>
        <w:tc>
          <w:tcPr>
            <w:tcW w:w="800" w:type="dxa"/>
            <w:vAlign w:val="bottom"/>
          </w:tcPr>
          <w:p>
            <w:pPr>
              <w:jc w:val="right"/>
              <w:spacing w:after="0"/>
              <w:rPr>
                <w:sz w:val="20"/>
                <w:szCs w:val="20"/>
                <w:color w:val="auto"/>
              </w:rPr>
            </w:pPr>
            <w:r>
              <w:rPr>
                <w:rFonts w:ascii="Arial" w:cs="Arial" w:eastAsia="Arial" w:hAnsi="Arial"/>
                <w:sz w:val="20"/>
                <w:szCs w:val="20"/>
                <w:color w:val="auto"/>
              </w:rPr>
              <w:t>119</w:t>
            </w:r>
          </w:p>
        </w:tc>
      </w:tr>
      <w:tr>
        <w:trPr>
          <w:trHeight w:val="258"/>
        </w:trPr>
        <w:tc>
          <w:tcPr>
            <w:tcW w:w="1020" w:type="dxa"/>
            <w:vAlign w:val="bottom"/>
            <w:gridSpan w:val="2"/>
          </w:tcPr>
          <w:p>
            <w:pPr>
              <w:spacing w:after="0"/>
              <w:rPr>
                <w:sz w:val="20"/>
                <w:szCs w:val="20"/>
                <w:color w:val="auto"/>
              </w:rPr>
            </w:pPr>
            <w:r>
              <w:rPr>
                <w:rFonts w:ascii="Arial" w:cs="Arial" w:eastAsia="Arial" w:hAnsi="Arial"/>
                <w:sz w:val="20"/>
                <w:szCs w:val="20"/>
                <w:color w:val="auto"/>
              </w:rPr>
              <w:t>Item 11.</w:t>
            </w:r>
          </w:p>
        </w:tc>
        <w:tc>
          <w:tcPr>
            <w:tcW w:w="8960" w:type="dxa"/>
            <w:vAlign w:val="bottom"/>
          </w:tcPr>
          <w:p>
            <w:pPr>
              <w:ind w:left="220"/>
              <w:spacing w:after="0"/>
              <w:rPr>
                <w:sz w:val="20"/>
                <w:szCs w:val="20"/>
                <w:color w:val="auto"/>
              </w:rPr>
            </w:pPr>
            <w:r>
              <w:rPr>
                <w:rFonts w:ascii="Arial" w:cs="Arial" w:eastAsia="Arial" w:hAnsi="Arial"/>
                <w:sz w:val="20"/>
                <w:szCs w:val="20"/>
                <w:color w:val="auto"/>
              </w:rPr>
              <w:t>Executive Compensation</w:t>
            </w:r>
          </w:p>
        </w:tc>
        <w:tc>
          <w:tcPr>
            <w:tcW w:w="800" w:type="dxa"/>
            <w:vAlign w:val="bottom"/>
          </w:tcPr>
          <w:p>
            <w:pPr>
              <w:jc w:val="right"/>
              <w:spacing w:after="0"/>
              <w:rPr>
                <w:sz w:val="20"/>
                <w:szCs w:val="20"/>
                <w:color w:val="auto"/>
              </w:rPr>
            </w:pPr>
            <w:r>
              <w:rPr>
                <w:rFonts w:ascii="Arial" w:cs="Arial" w:eastAsia="Arial" w:hAnsi="Arial"/>
                <w:sz w:val="20"/>
                <w:szCs w:val="20"/>
                <w:color w:val="auto"/>
              </w:rPr>
              <w:t>120</w:t>
            </w:r>
          </w:p>
        </w:tc>
      </w:tr>
      <w:tr>
        <w:trPr>
          <w:trHeight w:val="230"/>
        </w:trPr>
        <w:tc>
          <w:tcPr>
            <w:tcW w:w="1020" w:type="dxa"/>
            <w:vAlign w:val="bottom"/>
            <w:gridSpan w:val="2"/>
          </w:tcPr>
          <w:p>
            <w:pPr>
              <w:spacing w:after="0"/>
              <w:rPr>
                <w:sz w:val="20"/>
                <w:szCs w:val="20"/>
                <w:color w:val="auto"/>
              </w:rPr>
            </w:pPr>
            <w:r>
              <w:rPr>
                <w:rFonts w:ascii="Arial" w:cs="Arial" w:eastAsia="Arial" w:hAnsi="Arial"/>
                <w:sz w:val="20"/>
                <w:szCs w:val="20"/>
                <w:color w:val="auto"/>
              </w:rPr>
              <w:t>Item 12.</w:t>
            </w:r>
          </w:p>
        </w:tc>
        <w:tc>
          <w:tcPr>
            <w:tcW w:w="8960" w:type="dxa"/>
            <w:vAlign w:val="bottom"/>
          </w:tcPr>
          <w:p>
            <w:pPr>
              <w:ind w:left="220"/>
              <w:spacing w:after="0"/>
              <w:rPr>
                <w:sz w:val="20"/>
                <w:szCs w:val="20"/>
                <w:color w:val="auto"/>
              </w:rPr>
            </w:pPr>
            <w:r>
              <w:rPr>
                <w:rFonts w:ascii="Arial" w:cs="Arial" w:eastAsia="Arial" w:hAnsi="Arial"/>
                <w:sz w:val="20"/>
                <w:szCs w:val="20"/>
                <w:color w:val="auto"/>
              </w:rPr>
              <w:t>Security Ownership of Certain Beneficial Owners and Management and Related Stockholder</w:t>
            </w:r>
          </w:p>
        </w:tc>
        <w:tc>
          <w:tcPr>
            <w:tcW w:w="800" w:type="dxa"/>
            <w:vAlign w:val="bottom"/>
          </w:tcPr>
          <w:p>
            <w:pPr>
              <w:spacing w:after="0"/>
              <w:rPr>
                <w:sz w:val="20"/>
                <w:szCs w:val="20"/>
                <w:color w:val="auto"/>
              </w:rPr>
            </w:pPr>
          </w:p>
        </w:tc>
      </w:tr>
      <w:tr>
        <w:trPr>
          <w:trHeight w:val="258"/>
        </w:trPr>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960" w:type="dxa"/>
            <w:vAlign w:val="bottom"/>
          </w:tcPr>
          <w:p>
            <w:pPr>
              <w:ind w:left="220"/>
              <w:spacing w:after="0"/>
              <w:rPr>
                <w:sz w:val="20"/>
                <w:szCs w:val="20"/>
                <w:color w:val="auto"/>
              </w:rPr>
            </w:pPr>
            <w:r>
              <w:rPr>
                <w:rFonts w:ascii="Arial" w:cs="Arial" w:eastAsia="Arial" w:hAnsi="Arial"/>
                <w:sz w:val="20"/>
                <w:szCs w:val="20"/>
                <w:color w:val="auto"/>
              </w:rPr>
              <w:t>Matters</w:t>
            </w:r>
          </w:p>
        </w:tc>
        <w:tc>
          <w:tcPr>
            <w:tcW w:w="800" w:type="dxa"/>
            <w:vAlign w:val="bottom"/>
          </w:tcPr>
          <w:p>
            <w:pPr>
              <w:jc w:val="right"/>
              <w:spacing w:after="0"/>
              <w:rPr>
                <w:sz w:val="20"/>
                <w:szCs w:val="20"/>
                <w:color w:val="auto"/>
              </w:rPr>
            </w:pPr>
            <w:r>
              <w:rPr>
                <w:rFonts w:ascii="Arial" w:cs="Arial" w:eastAsia="Arial" w:hAnsi="Arial"/>
                <w:sz w:val="20"/>
                <w:szCs w:val="20"/>
                <w:color w:val="auto"/>
              </w:rPr>
              <w:t>120</w:t>
            </w:r>
          </w:p>
        </w:tc>
      </w:tr>
      <w:tr>
        <w:trPr>
          <w:trHeight w:val="258"/>
        </w:trPr>
        <w:tc>
          <w:tcPr>
            <w:tcW w:w="1020" w:type="dxa"/>
            <w:vAlign w:val="bottom"/>
            <w:gridSpan w:val="2"/>
          </w:tcPr>
          <w:p>
            <w:pPr>
              <w:spacing w:after="0"/>
              <w:rPr>
                <w:sz w:val="20"/>
                <w:szCs w:val="20"/>
                <w:color w:val="auto"/>
              </w:rPr>
            </w:pPr>
            <w:r>
              <w:rPr>
                <w:rFonts w:ascii="Arial" w:cs="Arial" w:eastAsia="Arial" w:hAnsi="Arial"/>
                <w:sz w:val="20"/>
                <w:szCs w:val="20"/>
                <w:color w:val="auto"/>
              </w:rPr>
              <w:t>Item 13.</w:t>
            </w:r>
          </w:p>
        </w:tc>
        <w:tc>
          <w:tcPr>
            <w:tcW w:w="8960" w:type="dxa"/>
            <w:vAlign w:val="bottom"/>
          </w:tcPr>
          <w:p>
            <w:pPr>
              <w:ind w:left="220"/>
              <w:spacing w:after="0"/>
              <w:rPr>
                <w:sz w:val="20"/>
                <w:szCs w:val="20"/>
                <w:color w:val="auto"/>
              </w:rPr>
            </w:pPr>
            <w:r>
              <w:rPr>
                <w:rFonts w:ascii="Arial" w:cs="Arial" w:eastAsia="Arial" w:hAnsi="Arial"/>
                <w:sz w:val="20"/>
                <w:szCs w:val="20"/>
                <w:color w:val="auto"/>
              </w:rPr>
              <w:t>Certain Relationships and Related Transactions, and Director Independence</w:t>
            </w:r>
          </w:p>
        </w:tc>
        <w:tc>
          <w:tcPr>
            <w:tcW w:w="800" w:type="dxa"/>
            <w:vAlign w:val="bottom"/>
          </w:tcPr>
          <w:p>
            <w:pPr>
              <w:jc w:val="right"/>
              <w:spacing w:after="0"/>
              <w:rPr>
                <w:sz w:val="20"/>
                <w:szCs w:val="20"/>
                <w:color w:val="auto"/>
              </w:rPr>
            </w:pPr>
            <w:r>
              <w:rPr>
                <w:rFonts w:ascii="Arial" w:cs="Arial" w:eastAsia="Arial" w:hAnsi="Arial"/>
                <w:sz w:val="20"/>
                <w:szCs w:val="20"/>
                <w:color w:val="auto"/>
              </w:rPr>
              <w:t>120</w:t>
            </w:r>
          </w:p>
        </w:tc>
      </w:tr>
      <w:tr>
        <w:trPr>
          <w:trHeight w:val="272"/>
        </w:trPr>
        <w:tc>
          <w:tcPr>
            <w:tcW w:w="1020" w:type="dxa"/>
            <w:vAlign w:val="bottom"/>
            <w:gridSpan w:val="2"/>
          </w:tcPr>
          <w:p>
            <w:pPr>
              <w:spacing w:after="0"/>
              <w:rPr>
                <w:sz w:val="20"/>
                <w:szCs w:val="20"/>
                <w:color w:val="auto"/>
              </w:rPr>
            </w:pPr>
            <w:r>
              <w:rPr>
                <w:rFonts w:ascii="Arial" w:cs="Arial" w:eastAsia="Arial" w:hAnsi="Arial"/>
                <w:sz w:val="20"/>
                <w:szCs w:val="20"/>
                <w:color w:val="auto"/>
              </w:rPr>
              <w:t>Item 14.</w:t>
            </w:r>
          </w:p>
        </w:tc>
        <w:tc>
          <w:tcPr>
            <w:tcW w:w="8960" w:type="dxa"/>
            <w:vAlign w:val="bottom"/>
          </w:tcPr>
          <w:p>
            <w:pPr>
              <w:ind w:left="220"/>
              <w:spacing w:after="0"/>
              <w:rPr>
                <w:sz w:val="20"/>
                <w:szCs w:val="20"/>
                <w:color w:val="auto"/>
              </w:rPr>
            </w:pPr>
            <w:r>
              <w:rPr>
                <w:rFonts w:ascii="Arial" w:cs="Arial" w:eastAsia="Arial" w:hAnsi="Arial"/>
                <w:sz w:val="20"/>
                <w:szCs w:val="20"/>
                <w:color w:val="auto"/>
              </w:rPr>
              <w:t>Principal Accounting Fees and Services</w:t>
            </w:r>
          </w:p>
        </w:tc>
        <w:tc>
          <w:tcPr>
            <w:tcW w:w="800" w:type="dxa"/>
            <w:vAlign w:val="bottom"/>
          </w:tcPr>
          <w:p>
            <w:pPr>
              <w:jc w:val="right"/>
              <w:spacing w:after="0"/>
              <w:rPr>
                <w:sz w:val="20"/>
                <w:szCs w:val="20"/>
                <w:color w:val="auto"/>
              </w:rPr>
            </w:pPr>
            <w:r>
              <w:rPr>
                <w:rFonts w:ascii="Arial" w:cs="Arial" w:eastAsia="Arial" w:hAnsi="Arial"/>
                <w:sz w:val="20"/>
                <w:szCs w:val="20"/>
                <w:color w:val="auto"/>
              </w:rPr>
              <w:t>120</w:t>
            </w:r>
          </w:p>
        </w:tc>
      </w:tr>
      <w:tr>
        <w:trPr>
          <w:trHeight w:val="526"/>
        </w:trPr>
        <w:tc>
          <w:tcPr>
            <w:tcW w:w="1020" w:type="dxa"/>
            <w:vAlign w:val="bottom"/>
            <w:gridSpan w:val="2"/>
          </w:tcPr>
          <w:p>
            <w:pPr>
              <w:spacing w:after="0"/>
              <w:rPr>
                <w:sz w:val="20"/>
                <w:szCs w:val="20"/>
                <w:color w:val="auto"/>
              </w:rPr>
            </w:pPr>
            <w:r>
              <w:rPr>
                <w:rFonts w:ascii="Arial" w:cs="Arial" w:eastAsia="Arial" w:hAnsi="Arial"/>
                <w:sz w:val="20"/>
                <w:szCs w:val="20"/>
                <w:b w:val="1"/>
                <w:bCs w:val="1"/>
                <w:color w:val="auto"/>
              </w:rPr>
              <w:t>PART IV</w:t>
            </w:r>
          </w:p>
        </w:tc>
        <w:tc>
          <w:tcPr>
            <w:tcW w:w="89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506"/>
        </w:trPr>
        <w:tc>
          <w:tcPr>
            <w:tcW w:w="1020" w:type="dxa"/>
            <w:vAlign w:val="bottom"/>
            <w:gridSpan w:val="2"/>
          </w:tcPr>
          <w:p>
            <w:pPr>
              <w:spacing w:after="0"/>
              <w:rPr>
                <w:sz w:val="20"/>
                <w:szCs w:val="20"/>
                <w:color w:val="auto"/>
              </w:rPr>
            </w:pPr>
            <w:r>
              <w:rPr>
                <w:rFonts w:ascii="Arial" w:cs="Arial" w:eastAsia="Arial" w:hAnsi="Arial"/>
                <w:sz w:val="20"/>
                <w:szCs w:val="20"/>
                <w:color w:val="auto"/>
              </w:rPr>
              <w:t>Item 15.</w:t>
            </w:r>
          </w:p>
        </w:tc>
        <w:tc>
          <w:tcPr>
            <w:tcW w:w="8960" w:type="dxa"/>
            <w:vAlign w:val="bottom"/>
          </w:tcPr>
          <w:p>
            <w:pPr>
              <w:ind w:left="220"/>
              <w:spacing w:after="0"/>
              <w:rPr>
                <w:sz w:val="20"/>
                <w:szCs w:val="20"/>
                <w:color w:val="auto"/>
              </w:rPr>
            </w:pPr>
            <w:r>
              <w:rPr>
                <w:rFonts w:ascii="Arial" w:cs="Arial" w:eastAsia="Arial" w:hAnsi="Arial"/>
                <w:sz w:val="20"/>
                <w:szCs w:val="20"/>
                <w:color w:val="auto"/>
              </w:rPr>
              <w:t>Exhibits and Financial Statement Schedules</w:t>
            </w:r>
          </w:p>
        </w:tc>
        <w:tc>
          <w:tcPr>
            <w:tcW w:w="800" w:type="dxa"/>
            <w:vAlign w:val="bottom"/>
          </w:tcPr>
          <w:p>
            <w:pPr>
              <w:jc w:val="right"/>
              <w:spacing w:after="0"/>
              <w:rPr>
                <w:sz w:val="20"/>
                <w:szCs w:val="20"/>
                <w:color w:val="auto"/>
              </w:rPr>
            </w:pPr>
            <w:r>
              <w:rPr>
                <w:rFonts w:ascii="Arial" w:cs="Arial" w:eastAsia="Arial" w:hAnsi="Arial"/>
                <w:sz w:val="20"/>
                <w:szCs w:val="20"/>
                <w:color w:val="auto"/>
              </w:rPr>
              <w:t>121</w:t>
            </w:r>
          </w:p>
        </w:tc>
      </w:tr>
      <w:tr>
        <w:trPr>
          <w:trHeight w:val="526"/>
        </w:trPr>
        <w:tc>
          <w:tcPr>
            <w:tcW w:w="9980" w:type="dxa"/>
            <w:vAlign w:val="bottom"/>
            <w:gridSpan w:val="3"/>
          </w:tcPr>
          <w:p>
            <w:pPr>
              <w:spacing w:after="0"/>
              <w:rPr>
                <w:sz w:val="20"/>
                <w:szCs w:val="20"/>
                <w:color w:val="auto"/>
              </w:rPr>
            </w:pPr>
            <w:r>
              <w:rPr>
                <w:rFonts w:ascii="Arial" w:cs="Arial" w:eastAsia="Arial" w:hAnsi="Arial"/>
                <w:sz w:val="20"/>
                <w:szCs w:val="20"/>
                <w:b w:val="1"/>
                <w:bCs w:val="1"/>
                <w:color w:val="auto"/>
              </w:rPr>
              <w:t>INDEX TO EXHIBITS</w:t>
            </w:r>
          </w:p>
        </w:tc>
        <w:tc>
          <w:tcPr>
            <w:tcW w:w="800" w:type="dxa"/>
            <w:vAlign w:val="bottom"/>
          </w:tcPr>
          <w:p>
            <w:pPr>
              <w:jc w:val="right"/>
              <w:spacing w:after="0"/>
              <w:rPr>
                <w:sz w:val="20"/>
                <w:szCs w:val="20"/>
                <w:color w:val="auto"/>
              </w:rPr>
            </w:pPr>
            <w:r>
              <w:rPr>
                <w:rFonts w:ascii="Arial" w:cs="Arial" w:eastAsia="Arial" w:hAnsi="Arial"/>
                <w:sz w:val="20"/>
                <w:szCs w:val="20"/>
                <w:color w:val="auto"/>
              </w:rPr>
              <w:t>122</w:t>
            </w:r>
          </w:p>
        </w:tc>
      </w:tr>
      <w:tr>
        <w:trPr>
          <w:trHeight w:val="506"/>
        </w:trPr>
        <w:tc>
          <w:tcPr>
            <w:tcW w:w="1020" w:type="dxa"/>
            <w:vAlign w:val="bottom"/>
            <w:gridSpan w:val="2"/>
          </w:tcPr>
          <w:p>
            <w:pPr>
              <w:spacing w:after="0"/>
              <w:rPr>
                <w:sz w:val="20"/>
                <w:szCs w:val="20"/>
                <w:color w:val="auto"/>
              </w:rPr>
            </w:pPr>
            <w:r>
              <w:rPr>
                <w:rFonts w:ascii="Arial" w:cs="Arial" w:eastAsia="Arial" w:hAnsi="Arial"/>
                <w:sz w:val="20"/>
                <w:szCs w:val="20"/>
                <w:color w:val="auto"/>
              </w:rPr>
              <w:t>Item 16.</w:t>
            </w:r>
          </w:p>
        </w:tc>
        <w:tc>
          <w:tcPr>
            <w:tcW w:w="8960" w:type="dxa"/>
            <w:vAlign w:val="bottom"/>
          </w:tcPr>
          <w:p>
            <w:pPr>
              <w:ind w:left="220"/>
              <w:spacing w:after="0"/>
              <w:rPr>
                <w:sz w:val="20"/>
                <w:szCs w:val="20"/>
                <w:color w:val="auto"/>
              </w:rPr>
            </w:pPr>
            <w:r>
              <w:rPr>
                <w:rFonts w:ascii="Arial" w:cs="Arial" w:eastAsia="Arial" w:hAnsi="Arial"/>
                <w:sz w:val="20"/>
                <w:szCs w:val="20"/>
                <w:color w:val="auto"/>
              </w:rPr>
              <w:t>Form 10-K Summary</w:t>
            </w:r>
          </w:p>
        </w:tc>
        <w:tc>
          <w:tcPr>
            <w:tcW w:w="800" w:type="dxa"/>
            <w:vAlign w:val="bottom"/>
          </w:tcPr>
          <w:p>
            <w:pPr>
              <w:jc w:val="right"/>
              <w:spacing w:after="0"/>
              <w:rPr>
                <w:sz w:val="20"/>
                <w:szCs w:val="20"/>
                <w:color w:val="auto"/>
              </w:rPr>
            </w:pPr>
            <w:r>
              <w:rPr>
                <w:rFonts w:ascii="Arial" w:cs="Arial" w:eastAsia="Arial" w:hAnsi="Arial"/>
                <w:sz w:val="20"/>
                <w:szCs w:val="20"/>
                <w:color w:val="auto"/>
              </w:rPr>
              <w:t>127</w:t>
            </w:r>
          </w:p>
        </w:tc>
      </w:tr>
      <w:tr>
        <w:trPr>
          <w:trHeight w:val="526"/>
        </w:trPr>
        <w:tc>
          <w:tcPr>
            <w:tcW w:w="9980" w:type="dxa"/>
            <w:vAlign w:val="bottom"/>
            <w:gridSpan w:val="3"/>
          </w:tcPr>
          <w:p>
            <w:pPr>
              <w:spacing w:after="0"/>
              <w:rPr>
                <w:sz w:val="20"/>
                <w:szCs w:val="20"/>
                <w:color w:val="auto"/>
              </w:rPr>
            </w:pPr>
            <w:r>
              <w:rPr>
                <w:rFonts w:ascii="Arial" w:cs="Arial" w:eastAsia="Arial" w:hAnsi="Arial"/>
                <w:sz w:val="20"/>
                <w:szCs w:val="20"/>
                <w:b w:val="1"/>
                <w:bCs w:val="1"/>
                <w:color w:val="auto"/>
              </w:rPr>
              <w:t>SIGNATURES</w:t>
            </w:r>
          </w:p>
        </w:tc>
        <w:tc>
          <w:tcPr>
            <w:tcW w:w="800" w:type="dxa"/>
            <w:vAlign w:val="bottom"/>
          </w:tcPr>
          <w:p>
            <w:pPr>
              <w:jc w:val="right"/>
              <w:spacing w:after="0"/>
              <w:rPr>
                <w:sz w:val="20"/>
                <w:szCs w:val="20"/>
                <w:color w:val="auto"/>
              </w:rPr>
            </w:pPr>
            <w:r>
              <w:rPr>
                <w:rFonts w:ascii="Arial" w:cs="Arial" w:eastAsia="Arial" w:hAnsi="Arial"/>
                <w:sz w:val="20"/>
                <w:szCs w:val="20"/>
                <w:color w:val="auto"/>
              </w:rPr>
              <w:t>128</w:t>
            </w:r>
          </w:p>
        </w:tc>
      </w:tr>
    </w:tbl>
    <w:p>
      <w:pPr>
        <w:sectPr>
          <w:pgSz w:w="11880" w:h="15480" w:orient="portrait"/>
          <w:cols w:equalWidth="0" w:num="1">
            <w:col w:w="10780"/>
          </w:cols>
          <w:pgMar w:left="540" w:top="790" w:right="560" w:bottom="1440" w:gutter="0" w:footer="0" w:header="0"/>
        </w:sectPr>
      </w:pPr>
    </w:p>
    <w:bookmarkStart w:id="8" w:name="page9"/>
    <w:bookmarkEnd w:id="8"/>
    <w:p>
      <w:pPr>
        <w:spacing w:after="0"/>
        <w:rPr>
          <w:sz w:val="20"/>
          <w:szCs w:val="20"/>
          <w:color w:val="auto"/>
        </w:rPr>
      </w:pPr>
      <w:r>
        <w:rPr>
          <w:rFonts w:ascii="Arial" w:cs="Arial" w:eastAsia="Arial" w:hAnsi="Arial"/>
          <w:sz w:val="26"/>
          <w:szCs w:val="26"/>
          <w:b w:val="1"/>
          <w:bCs w:val="1"/>
          <w:color w:val="auto"/>
        </w:rPr>
        <w:t>PART I</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ITEM 1.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5943600" cy="12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3">
                      <a:extLst>
                        <a:ext uri="{28A0092B-C50C-407E-A947-70E740481C1C}"/>
                      </a:extLst>
                    </a:blip>
                    <a:srcRect/>
                    <a:stretch>
                      <a:fillRect/>
                    </a:stretch>
                  </pic:blipFill>
                  <pic:spPr bwMode="auto">
                    <a:xfrm>
                      <a:off x="0" y="0"/>
                      <a:ext cx="5943600" cy="12700"/>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b w:val="1"/>
          <w:bCs w:val="1"/>
          <w:color w:val="00085E"/>
        </w:rPr>
        <w:t>OVERVIEW</w:t>
      </w:r>
    </w:p>
    <w:p>
      <w:pPr>
        <w:spacing w:after="0" w:line="163" w:lineRule="exact"/>
        <w:rPr>
          <w:sz w:val="20"/>
          <w:szCs w:val="20"/>
          <w:color w:val="auto"/>
        </w:rPr>
      </w:pPr>
    </w:p>
    <w:p>
      <w:pPr>
        <w:spacing w:after="0" w:line="289" w:lineRule="auto"/>
        <w:rPr>
          <w:sz w:val="20"/>
          <w:szCs w:val="20"/>
          <w:color w:val="auto"/>
        </w:rPr>
      </w:pPr>
      <w:r>
        <w:rPr>
          <w:rFonts w:ascii="Arial" w:cs="Arial" w:eastAsia="Arial" w:hAnsi="Arial"/>
          <w:sz w:val="20"/>
          <w:szCs w:val="20"/>
          <w:color w:val="auto"/>
        </w:rPr>
        <w:t>Eagle Materials Inc., through its subsidiaries (the Company, which may be referred to as we, our, or us), is a leading U.S. manufacturer of heavy construction products and light building materials. Our primary products, Cement and Gypsum Wallboard, are essential for building, expanding, and repairing roads, highways, and residential, commercial, and industrial structures across America. Headquartered in Dallas, Texas, Eagle manufactures and sells its products through a network of more than 70 facilities spanning 21 states. Demand for our products is generally cyclical and seasonal, depending on economic and geographic conditions.</w:t>
      </w:r>
    </w:p>
    <w:p>
      <w:pPr>
        <w:spacing w:after="0" w:line="71" w:lineRule="exact"/>
        <w:rPr>
          <w:sz w:val="20"/>
          <w:szCs w:val="20"/>
          <w:color w:val="auto"/>
        </w:rPr>
      </w:pPr>
    </w:p>
    <w:p>
      <w:pPr>
        <w:ind w:right="120"/>
        <w:spacing w:after="0" w:line="296" w:lineRule="auto"/>
        <w:rPr>
          <w:sz w:val="20"/>
          <w:szCs w:val="20"/>
          <w:color w:val="auto"/>
        </w:rPr>
      </w:pPr>
      <w:r>
        <w:rPr>
          <w:rFonts w:ascii="Arial" w:cs="Arial" w:eastAsia="Arial" w:hAnsi="Arial"/>
          <w:sz w:val="20"/>
          <w:szCs w:val="20"/>
          <w:color w:val="auto"/>
        </w:rPr>
        <w:t>The Company was founded in 1963 as a subsidiary of Centex Corporation (Centex). It operated as a public company under the name Centex Construction Products, Inc. from April 19, 1994, to January 30, 2004, at which time Centex completed a tax-free distribution of its shares to its shareholders, and the Company was renamed Eagle Materials Inc. (NYSE: EXP).</w:t>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085E"/>
        </w:rPr>
        <w:t>Competitive Strengths</w:t>
      </w:r>
    </w:p>
    <w:p>
      <w:pPr>
        <w:spacing w:after="0" w:line="161" w:lineRule="exact"/>
        <w:rPr>
          <w:sz w:val="20"/>
          <w:szCs w:val="20"/>
          <w:color w:val="auto"/>
        </w:rPr>
      </w:pPr>
    </w:p>
    <w:p>
      <w:pPr>
        <w:ind w:right="700"/>
        <w:spacing w:after="0" w:line="325" w:lineRule="auto"/>
        <w:rPr>
          <w:sz w:val="20"/>
          <w:szCs w:val="20"/>
          <w:color w:val="auto"/>
        </w:rPr>
      </w:pPr>
      <w:r>
        <w:rPr>
          <w:rFonts w:ascii="Arial" w:cs="Arial" w:eastAsia="Arial" w:hAnsi="Arial"/>
          <w:sz w:val="20"/>
          <w:szCs w:val="20"/>
          <w:color w:val="auto"/>
        </w:rPr>
        <w:t>We benefit from several competitive strengths that have enabled us to deliver consistently strong operating results and profitable growth through economic cycles.</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00085E"/>
        </w:rPr>
        <w:t>Strategically located plant network</w:t>
      </w:r>
    </w:p>
    <w:p>
      <w:pPr>
        <w:spacing w:after="0" w:line="137" w:lineRule="exact"/>
        <w:rPr>
          <w:sz w:val="20"/>
          <w:szCs w:val="20"/>
          <w:color w:val="auto"/>
        </w:rPr>
      </w:pPr>
    </w:p>
    <w:p>
      <w:pPr>
        <w:ind w:right="20"/>
        <w:spacing w:after="0" w:line="283" w:lineRule="auto"/>
        <w:rPr>
          <w:sz w:val="20"/>
          <w:szCs w:val="20"/>
          <w:color w:val="auto"/>
        </w:rPr>
      </w:pPr>
      <w:r>
        <w:rPr>
          <w:rFonts w:ascii="Arial" w:cs="Arial" w:eastAsia="Arial" w:hAnsi="Arial"/>
          <w:sz w:val="22"/>
          <w:szCs w:val="22"/>
          <w:color w:val="auto"/>
        </w:rPr>
        <w:t>O</w:t>
      </w:r>
      <w:r>
        <w:rPr>
          <w:rFonts w:ascii="Arial" w:cs="Arial" w:eastAsia="Arial" w:hAnsi="Arial"/>
          <w:sz w:val="20"/>
          <w:szCs w:val="20"/>
          <w:color w:val="auto"/>
        </w:rPr>
        <w:t>ur plants are located near both our raw material reserves and customers in high-growth U.S. markets.</w:t>
      </w:r>
      <w:r>
        <w:rPr>
          <w:rFonts w:ascii="Arial" w:cs="Arial" w:eastAsia="Arial" w:hAnsi="Arial"/>
          <w:sz w:val="22"/>
          <w:szCs w:val="22"/>
          <w:color w:val="auto"/>
        </w:rPr>
        <w:t xml:space="preserve"> </w:t>
      </w:r>
      <w:r>
        <w:rPr>
          <w:rFonts w:ascii="Arial" w:cs="Arial" w:eastAsia="Arial" w:hAnsi="Arial"/>
          <w:sz w:val="20"/>
          <w:szCs w:val="20"/>
          <w:color w:val="auto"/>
        </w:rPr>
        <w:t>The proximity to raw materials and customers helps us manage our transportation and input costs. Our presence in several U.S. markets with higher-than-average population growth enables us to take advantage of long-term demand growth for construction and building materials, while reducing our exposure to individual regional construction cycles. The integrated nature of our cement and wallboard plant network enables us to minimize freight costs, move product between different plants in our network as needed, and supply customers from more than one plant when desirable.</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00085E"/>
        </w:rPr>
        <w:t>Decentralized operating structure with network-wide coordination</w:t>
      </w:r>
    </w:p>
    <w:p>
      <w:pPr>
        <w:spacing w:after="0" w:line="158" w:lineRule="exact"/>
        <w:rPr>
          <w:sz w:val="20"/>
          <w:szCs w:val="20"/>
          <w:color w:val="auto"/>
        </w:rPr>
      </w:pPr>
    </w:p>
    <w:p>
      <w:pPr>
        <w:ind w:right="60"/>
        <w:spacing w:after="0" w:line="288" w:lineRule="auto"/>
        <w:rPr>
          <w:sz w:val="20"/>
          <w:szCs w:val="20"/>
          <w:color w:val="auto"/>
        </w:rPr>
      </w:pPr>
      <w:r>
        <w:rPr>
          <w:rFonts w:ascii="Arial" w:cs="Arial" w:eastAsia="Arial" w:hAnsi="Arial"/>
          <w:sz w:val="20"/>
          <w:szCs w:val="20"/>
          <w:color w:val="auto"/>
        </w:rPr>
        <w:t>The Company operates a decentralized but coordinated plant network: day-to-day operations are managed by strong local operating teams, and products are separately branded and marketed by our individual companies. This regional-market strategy provides several benefits, including increased familiarity with our customers, higher brand recognition, and lower transportation costs, which is a meaningful advantage in the construction materials industry. Across the plant network, corporate level managers coordinate strategy and other important facets of our operations, like finance, procurement, and safety, to ensure consistent application of best practices across all business lines and uninterrupted product supply for customers, even during planned and unplanned maintenance outages.</w:t>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color w:val="00085E"/>
        </w:rPr>
        <w:t>Substantial owned raw material reserves and resources</w:t>
      </w:r>
    </w:p>
    <w:p>
      <w:pPr>
        <w:spacing w:after="0" w:line="158" w:lineRule="exact"/>
        <w:rPr>
          <w:sz w:val="20"/>
          <w:szCs w:val="20"/>
          <w:color w:val="auto"/>
        </w:rPr>
      </w:pPr>
    </w:p>
    <w:p>
      <w:pPr>
        <w:ind w:right="420"/>
        <w:spacing w:after="0" w:line="303" w:lineRule="auto"/>
        <w:rPr>
          <w:sz w:val="20"/>
          <w:szCs w:val="20"/>
          <w:color w:val="auto"/>
        </w:rPr>
      </w:pPr>
      <w:r>
        <w:rPr>
          <w:rFonts w:ascii="Arial" w:cs="Arial" w:eastAsia="Arial" w:hAnsi="Arial"/>
          <w:sz w:val="20"/>
          <w:szCs w:val="20"/>
          <w:color w:val="auto"/>
        </w:rPr>
        <w:t>We own, or control, at least 25 years of primary raw material reserves and resources (and in many instances, more than 50 years) for each of our cement and wallboard facilities, providing certainty of supply and enhancing our ability to control the cost of our primary raw materials.</w:t>
      </w:r>
    </w:p>
    <w:p>
      <w:pPr>
        <w:sectPr>
          <w:pgSz w:w="11880" w:h="15480" w:orient="portrait"/>
          <w:cols w:equalWidth="0" w:num="1">
            <w:col w:w="9240"/>
          </w:cols>
          <w:pgMar w:left="1260" w:top="1201" w:right="13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1</w:t>
      </w:r>
    </w:p>
    <w:p>
      <w:pPr>
        <w:sectPr>
          <w:pgSz w:w="11880" w:h="15480" w:orient="portrait"/>
          <w:cols w:equalWidth="0" w:num="1">
            <w:col w:w="9240"/>
          </w:cols>
          <w:pgMar w:left="1260" w:top="1201" w:right="1380" w:bottom="0" w:gutter="0" w:footer="0" w:header="0"/>
          <w:type w:val="continuous"/>
        </w:sectPr>
      </w:pPr>
    </w:p>
    <w:bookmarkStart w:id="9" w:name="page10"/>
    <w:bookmarkEnd w:id="9"/>
    <w:p>
      <w:pPr>
        <w:spacing w:after="0"/>
        <w:rPr>
          <w:sz w:val="20"/>
          <w:szCs w:val="20"/>
          <w:color w:val="auto"/>
        </w:rPr>
      </w:pPr>
      <w:r>
        <w:rPr>
          <w:rFonts w:ascii="Arial" w:cs="Arial" w:eastAsia="Arial" w:hAnsi="Arial"/>
          <w:sz w:val="22"/>
          <w:szCs w:val="22"/>
          <w:color w:val="00085E"/>
        </w:rPr>
        <w:t>Production flexibility</w:t>
      </w:r>
    </w:p>
    <w:p>
      <w:pPr>
        <w:spacing w:after="0" w:line="158" w:lineRule="exact"/>
        <w:rPr>
          <w:sz w:val="20"/>
          <w:szCs w:val="20"/>
          <w:color w:val="auto"/>
        </w:rPr>
      </w:pPr>
    </w:p>
    <w:p>
      <w:pPr>
        <w:ind w:right="500"/>
        <w:spacing w:after="0" w:line="303" w:lineRule="auto"/>
        <w:rPr>
          <w:sz w:val="20"/>
          <w:szCs w:val="20"/>
          <w:color w:val="auto"/>
        </w:rPr>
      </w:pPr>
      <w:r>
        <w:rPr>
          <w:rFonts w:ascii="Arial" w:cs="Arial" w:eastAsia="Arial" w:hAnsi="Arial"/>
          <w:sz w:val="20"/>
          <w:szCs w:val="20"/>
          <w:color w:val="auto"/>
        </w:rPr>
        <w:t>We manage our production lines and work shifts both within each plant and across the entire plant network to enable us to operate our plants at high utilization levels generally, while providing optimal production flexibility. Accordingly, we can quickly adjust to changes in economic conditions.</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00085E"/>
        </w:rPr>
        <w:t>Low-cost producer position</w:t>
      </w:r>
    </w:p>
    <w:p>
      <w:pPr>
        <w:spacing w:after="0" w:line="158" w:lineRule="exact"/>
        <w:rPr>
          <w:sz w:val="20"/>
          <w:szCs w:val="20"/>
          <w:color w:val="auto"/>
        </w:rPr>
      </w:pPr>
    </w:p>
    <w:p>
      <w:pPr>
        <w:ind w:right="260"/>
        <w:spacing w:after="0" w:line="325" w:lineRule="auto"/>
        <w:rPr>
          <w:sz w:val="20"/>
          <w:szCs w:val="20"/>
          <w:color w:val="auto"/>
        </w:rPr>
      </w:pPr>
      <w:r>
        <w:rPr>
          <w:rFonts w:ascii="Arial" w:cs="Arial" w:eastAsia="Arial" w:hAnsi="Arial"/>
          <w:sz w:val="20"/>
          <w:szCs w:val="20"/>
          <w:color w:val="auto"/>
        </w:rPr>
        <w:t>Our modern production lines, consistent maintenance programs, access to low-cost raw materials, and focus on continuous efficiency improvement help us minimize production costs across the network.</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00085E"/>
        </w:rPr>
        <w:t>Proven management</w:t>
      </w:r>
    </w:p>
    <w:p>
      <w:pPr>
        <w:spacing w:after="0" w:line="158" w:lineRule="exact"/>
        <w:rPr>
          <w:sz w:val="20"/>
          <w:szCs w:val="20"/>
          <w:color w:val="auto"/>
        </w:rPr>
      </w:pPr>
    </w:p>
    <w:p>
      <w:pPr>
        <w:spacing w:after="0" w:line="292" w:lineRule="auto"/>
        <w:rPr>
          <w:sz w:val="20"/>
          <w:szCs w:val="20"/>
          <w:color w:val="auto"/>
        </w:rPr>
      </w:pPr>
      <w:r>
        <w:rPr>
          <w:rFonts w:ascii="Arial" w:cs="Arial" w:eastAsia="Arial" w:hAnsi="Arial"/>
          <w:sz w:val="20"/>
          <w:szCs w:val="20"/>
          <w:color w:val="auto"/>
        </w:rPr>
        <w:t>Our current management team has significant and valuable expertise, with average industry experience of more than 20 years, spanning several business cycles. Management’s conservative balance sheet strategy focuses on maintaining prudent levels of leverage and liquidity through business cycles to protect the balance sheet through downturns and enable us to take advantage of growth opportunities, whether organic or through acquisitions.</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085E"/>
        </w:rPr>
        <w:t>Strategy</w:t>
      </w:r>
    </w:p>
    <w:p>
      <w:pPr>
        <w:spacing w:after="0" w:line="161" w:lineRule="exact"/>
        <w:rPr>
          <w:sz w:val="20"/>
          <w:szCs w:val="20"/>
          <w:color w:val="auto"/>
        </w:rPr>
      </w:pPr>
    </w:p>
    <w:p>
      <w:pPr>
        <w:ind w:right="40"/>
        <w:spacing w:after="0" w:line="290" w:lineRule="auto"/>
        <w:rPr>
          <w:sz w:val="20"/>
          <w:szCs w:val="20"/>
          <w:color w:val="auto"/>
        </w:rPr>
      </w:pPr>
      <w:r>
        <w:rPr>
          <w:rFonts w:ascii="Arial" w:cs="Arial" w:eastAsia="Arial" w:hAnsi="Arial"/>
          <w:sz w:val="20"/>
          <w:szCs w:val="20"/>
          <w:color w:val="auto"/>
        </w:rPr>
        <w:t>We consistently pursue the following strategic objectives that we believe differentiate us from our competitors and contribute to our margin performance and growth: positioning our business for steady performance through economic cycles, maintaining our position as a low-cost producer in all our markets, operating primarily in the United States in regionally diverse and demographically attractive markets, achieving profitable growth through both strategic acquisitions and the organic development of our asset network, and operating in a socially and environmentally responsible manner.</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00085E"/>
        </w:rPr>
        <w:t>Maintain rigorous cycle management</w:t>
      </w:r>
    </w:p>
    <w:p>
      <w:pPr>
        <w:spacing w:after="0" w:line="158" w:lineRule="exact"/>
        <w:rPr>
          <w:sz w:val="20"/>
          <w:szCs w:val="20"/>
          <w:color w:val="auto"/>
        </w:rPr>
      </w:pPr>
    </w:p>
    <w:p>
      <w:pPr>
        <w:ind w:right="100"/>
        <w:spacing w:after="0" w:line="288" w:lineRule="auto"/>
        <w:rPr>
          <w:sz w:val="20"/>
          <w:szCs w:val="20"/>
          <w:color w:val="auto"/>
        </w:rPr>
      </w:pPr>
      <w:r>
        <w:rPr>
          <w:rFonts w:ascii="Arial" w:cs="Arial" w:eastAsia="Arial" w:hAnsi="Arial"/>
          <w:sz w:val="20"/>
          <w:szCs w:val="20"/>
          <w:color w:val="auto"/>
        </w:rPr>
        <w:t>We aim to maintain profitability and create value consistently through shifting economic cycles. Our goal is to increase earnings through cycles and maintain peak-to-trough resiliency of our assets. The cornerstones of our effective cycle management include keeping our plants well-maintained, operating at standard-setting efficiency and safety levels, and maintaining a healthy balance sheet to enable us to capitalize on growth opportunities, continue enhancing our assets, and return excess capital to shareholders. Acquisition opportunities and ongoing investments in our businesses must meet rigorous financial and strategic return criteria and position our assets for peak performance in both favorable and challenging market conditions.</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00085E"/>
        </w:rPr>
        <w:t>Continuously innovate to advance our low-cost position</w:t>
      </w:r>
    </w:p>
    <w:p>
      <w:pPr>
        <w:spacing w:after="0" w:line="158" w:lineRule="exact"/>
        <w:rPr>
          <w:sz w:val="20"/>
          <w:szCs w:val="20"/>
          <w:color w:val="auto"/>
        </w:rPr>
      </w:pPr>
    </w:p>
    <w:p>
      <w:pPr>
        <w:ind w:right="40"/>
        <w:spacing w:after="0" w:line="286" w:lineRule="auto"/>
        <w:rPr>
          <w:sz w:val="20"/>
          <w:szCs w:val="20"/>
          <w:color w:val="auto"/>
        </w:rPr>
      </w:pPr>
      <w:r>
        <w:rPr>
          <w:rFonts w:ascii="Arial" w:cs="Arial" w:eastAsia="Arial" w:hAnsi="Arial"/>
          <w:sz w:val="20"/>
          <w:szCs w:val="20"/>
          <w:color w:val="auto"/>
        </w:rPr>
        <w:t>The bedrock of our strategy is to be a low-cost producer in each of the markets in which we compete. We have right-sized capacity to service the markets we participate in, and we focus diligently on reducing costs and making our operations more efficient to manage free cash flow through economic cycles. Maintaining our low-cost position provides meaningful competitive, financial, and environmental benefits. The products we make are basic necessities, and competition is often based largely on price, with consistent quality and customer service also being important considerations. Thus, being a low-cost producer is a competitive advantage and can lead to higher margins, better returns, and stronger free cash flow generation. Being a low-cost producer is key to our commercial success and also aligns with our commitment to sustainable environmental practices. To maintain our low-cost producer position, we are always innovating our production processes with the aim of using fewer resources to make the same</w:t>
      </w:r>
    </w:p>
    <w:p>
      <w:pPr>
        <w:sectPr>
          <w:pgSz w:w="11880" w:h="15480" w:orient="portrait"/>
          <w:cols w:equalWidth="0" w:num="1">
            <w:col w:w="9340"/>
          </w:cols>
          <w:pgMar w:left="1260" w:top="1247"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ectPr>
          <w:pgSz w:w="11880" w:h="15480" w:orient="portrait"/>
          <w:cols w:equalWidth="0" w:num="1">
            <w:col w:w="9340"/>
          </w:cols>
          <w:pgMar w:left="1260" w:top="1247" w:right="1280" w:bottom="0" w:gutter="0" w:footer="0" w:header="0"/>
          <w:type w:val="continuous"/>
        </w:sectPr>
      </w:pPr>
    </w:p>
    <w:bookmarkStart w:id="10" w:name="page11"/>
    <w:bookmarkEnd w:id="10"/>
    <w:p>
      <w:pPr>
        <w:ind w:right="140"/>
        <w:spacing w:after="0" w:line="325" w:lineRule="auto"/>
        <w:rPr>
          <w:sz w:val="20"/>
          <w:szCs w:val="20"/>
          <w:color w:val="auto"/>
        </w:rPr>
      </w:pPr>
      <w:r>
        <w:rPr>
          <w:rFonts w:ascii="Arial" w:cs="Arial" w:eastAsia="Arial" w:hAnsi="Arial"/>
          <w:sz w:val="20"/>
          <w:szCs w:val="20"/>
          <w:color w:val="auto"/>
        </w:rPr>
        <w:t>products. We regularly invest in technologies at our facilities to control emissions and to modify the fuels that we burn.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00085E"/>
        </w:rPr>
        <w:t>Operate in regionally diverse and attractive markets</w:t>
      </w:r>
    </w:p>
    <w:p>
      <w:pPr>
        <w:spacing w:after="0" w:line="158" w:lineRule="exact"/>
        <w:rPr>
          <w:sz w:val="20"/>
          <w:szCs w:val="20"/>
          <w:color w:val="auto"/>
        </w:rPr>
      </w:pPr>
    </w:p>
    <w:p>
      <w:pPr>
        <w:spacing w:after="0" w:line="288" w:lineRule="auto"/>
        <w:rPr>
          <w:sz w:val="20"/>
          <w:szCs w:val="20"/>
          <w:color w:val="auto"/>
        </w:rPr>
      </w:pPr>
      <w:r>
        <w:rPr>
          <w:rFonts w:ascii="Arial" w:cs="Arial" w:eastAsia="Arial" w:hAnsi="Arial"/>
          <w:sz w:val="20"/>
          <w:szCs w:val="20"/>
          <w:color w:val="auto"/>
        </w:rPr>
        <w:t>Demand for our products depends on construction activity, which tends to correlate with population growth. While the Company’s markets include most of the United States, except the Northeast, approximately 65% of our total revenue, including our proportional share from our joint venture, is generated in 10 states: Colorado, Illinois, Kansas, Kentucky, Missouri, Nevada, North Carolina, Ohio, Oklahoma, and Texas. Population growth is a major driver of demand for construction products and building materials. The population in these ten states is expected to increase approximately 16% between the 2020 census and 2050, compared with 12% for the United States as a whole, according to the latest update in July 2024 by the University of Virginia, Weldon Cooper Center for Public Service.</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00085E"/>
        </w:rPr>
        <w:t>Achieve profitable growth through acquisition and organic development</w:t>
      </w:r>
    </w:p>
    <w:p>
      <w:pPr>
        <w:spacing w:after="0" w:line="158" w:lineRule="exact"/>
        <w:rPr>
          <w:sz w:val="20"/>
          <w:szCs w:val="20"/>
          <w:color w:val="auto"/>
        </w:rPr>
      </w:pPr>
    </w:p>
    <w:p>
      <w:pPr>
        <w:ind w:right="300"/>
        <w:spacing w:after="0" w:line="296" w:lineRule="auto"/>
        <w:rPr>
          <w:sz w:val="20"/>
          <w:szCs w:val="20"/>
          <w:color w:val="auto"/>
        </w:rPr>
      </w:pPr>
      <w:r>
        <w:rPr>
          <w:rFonts w:ascii="Arial" w:cs="Arial" w:eastAsia="Arial" w:hAnsi="Arial"/>
          <w:sz w:val="20"/>
          <w:szCs w:val="20"/>
          <w:color w:val="auto"/>
        </w:rPr>
        <w:t>We seek to grow the Company through prudent acquisitions and the organic development of our asset network. Since 2012, we have invested approximately $3.0 billion to expand the Heavy Materials business. These investments have more than doubled our U.S. cement capacity, and expanded our aggregates production capacity by more than 50%.</w:t>
      </w:r>
    </w:p>
    <w:p>
      <w:pPr>
        <w:spacing w:after="0" w:line="65" w:lineRule="exact"/>
        <w:rPr>
          <w:sz w:val="20"/>
          <w:szCs w:val="20"/>
          <w:color w:val="auto"/>
        </w:rPr>
      </w:pPr>
    </w:p>
    <w:p>
      <w:pPr>
        <w:ind w:right="40"/>
        <w:spacing w:after="0" w:line="290" w:lineRule="auto"/>
        <w:rPr>
          <w:sz w:val="20"/>
          <w:szCs w:val="20"/>
          <w:color w:val="auto"/>
        </w:rPr>
      </w:pPr>
      <w:r>
        <w:rPr>
          <w:rFonts w:ascii="Arial" w:cs="Arial" w:eastAsia="Arial" w:hAnsi="Arial"/>
          <w:sz w:val="20"/>
          <w:szCs w:val="20"/>
          <w:color w:val="auto"/>
        </w:rPr>
        <w:t>Growth in the Heavy Materials sector has been achieved mainly through acquisitions, which have expanded our geographic footprint, resulting in a contiguous and integrated cement system from northern California to western Pennsylvania and south to Texas. We have completed additional bolt-on acquisitions in aggregates, which also contribute to our expanded geographic footprint. We are currently investing over $400 million to modernize and expand our cement plant in Laramie, Wyoming, which will expand that plant's production capacity by 50% to 1.2 million tons and reduce its operating costs by 25%.</w:t>
      </w:r>
    </w:p>
    <w:p>
      <w:pPr>
        <w:spacing w:after="0" w:line="73" w:lineRule="exact"/>
        <w:rPr>
          <w:sz w:val="20"/>
          <w:szCs w:val="20"/>
          <w:color w:val="auto"/>
        </w:rPr>
      </w:pPr>
    </w:p>
    <w:p>
      <w:pPr>
        <w:ind w:right="20"/>
        <w:spacing w:after="0" w:line="308" w:lineRule="auto"/>
        <w:rPr>
          <w:sz w:val="20"/>
          <w:szCs w:val="20"/>
          <w:color w:val="auto"/>
        </w:rPr>
      </w:pPr>
      <w:r>
        <w:rPr>
          <w:rFonts w:ascii="Arial" w:cs="Arial" w:eastAsia="Arial" w:hAnsi="Arial"/>
          <w:sz w:val="19"/>
          <w:szCs w:val="19"/>
          <w:color w:val="auto"/>
        </w:rPr>
        <w:t>The Company has grown its Light Materials sector through organic growth investments. In fiscal 2020, we completed an expansion at our Recycled Paperboard plant that increased capacity by approximately 15% and provided cost savings. Our $330.0 million project to modernize and expand our Gypsum Wallboard facility in Oklahoma is currently under way. This project will increase capacity by 25% to 1.5 billion square feet (bsf) of production, lower the plant's operating costs, and take advantage of our nearby, low-cost natural gypsum reserves. We expect to complete the project in the second half of calendar 2027.</w:t>
      </w:r>
    </w:p>
    <w:p>
      <w:pPr>
        <w:spacing w:after="0" w:line="58" w:lineRule="exact"/>
        <w:rPr>
          <w:sz w:val="20"/>
          <w:szCs w:val="20"/>
          <w:color w:val="auto"/>
        </w:rPr>
      </w:pPr>
    </w:p>
    <w:p>
      <w:pPr>
        <w:ind w:right="280"/>
        <w:spacing w:after="0" w:line="296" w:lineRule="auto"/>
        <w:rPr>
          <w:sz w:val="20"/>
          <w:szCs w:val="20"/>
          <w:color w:val="auto"/>
        </w:rPr>
      </w:pPr>
      <w:r>
        <w:rPr>
          <w:rFonts w:ascii="Arial" w:cs="Arial" w:eastAsia="Arial" w:hAnsi="Arial"/>
          <w:sz w:val="20"/>
          <w:szCs w:val="20"/>
          <w:color w:val="auto"/>
        </w:rPr>
        <w:t>The Company will continue to proactively pursue acquisition opportunities and organic growth investments. Our free cash flow and balance sheet strength enable us to consider acquisitions and organic growth opportunities that align with our stringent return-on-investment criteria and advance our strategic priorities.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00085E"/>
        </w:rPr>
        <w:t>Operate in a socially and environmentally responsible manner</w:t>
      </w:r>
    </w:p>
    <w:p>
      <w:pPr>
        <w:spacing w:after="0" w:line="158" w:lineRule="exact"/>
        <w:rPr>
          <w:sz w:val="20"/>
          <w:szCs w:val="20"/>
          <w:color w:val="auto"/>
        </w:rPr>
      </w:pPr>
    </w:p>
    <w:p>
      <w:pPr>
        <w:ind w:right="20"/>
        <w:spacing w:after="0" w:line="290" w:lineRule="auto"/>
        <w:rPr>
          <w:sz w:val="20"/>
          <w:szCs w:val="20"/>
          <w:color w:val="auto"/>
        </w:rPr>
      </w:pPr>
      <w:r>
        <w:rPr>
          <w:rFonts w:ascii="Arial" w:cs="Arial" w:eastAsia="Arial" w:hAnsi="Arial"/>
          <w:sz w:val="20"/>
          <w:szCs w:val="20"/>
          <w:color w:val="auto"/>
        </w:rPr>
        <w:t>We aim to conduct all our operations in a way that enhances the returns and the sustainability of our business, ensures the health and safety of our employees, and minimizes negative environmental effects. We have defined our environmental and social responsibility priorities and developed a roadmap for pursuing them. Our initiatives encompass land use, water, emissions, the reduction of the carbon impacts of our products, human resources, and governance practices, which are all areas we view as essential to our success.</w:t>
      </w:r>
    </w:p>
    <w:p>
      <w:pPr>
        <w:spacing w:after="0" w:line="73" w:lineRule="exact"/>
        <w:rPr>
          <w:sz w:val="20"/>
          <w:szCs w:val="20"/>
          <w:color w:val="auto"/>
        </w:rPr>
      </w:pPr>
    </w:p>
    <w:p>
      <w:pPr>
        <w:spacing w:after="0" w:line="325" w:lineRule="auto"/>
        <w:rPr>
          <w:sz w:val="20"/>
          <w:szCs w:val="20"/>
          <w:color w:val="auto"/>
        </w:rPr>
      </w:pPr>
      <w:r>
        <w:rPr>
          <w:rFonts w:ascii="Arial" w:cs="Arial" w:eastAsia="Arial" w:hAnsi="Arial"/>
          <w:sz w:val="20"/>
          <w:szCs w:val="20"/>
          <w:color w:val="auto"/>
        </w:rPr>
        <w:t>Management is responsible for implementing these initiatives, and our Board of Directors, or Board, is committed to overseeing and ensuring progress across our sustainability initiatives. In particular, pursuant</w:t>
      </w:r>
    </w:p>
    <w:p>
      <w:pPr>
        <w:sectPr>
          <w:pgSz w:w="11880" w:h="15480" w:orient="portrait"/>
          <w:cols w:equalWidth="0" w:num="1">
            <w:col w:w="9340"/>
          </w:cols>
          <w:pgMar w:left="1260" w:top="1267"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ectPr>
          <w:pgSz w:w="11880" w:h="15480" w:orient="portrait"/>
          <w:cols w:equalWidth="0" w:num="1">
            <w:col w:w="9340"/>
          </w:cols>
          <w:pgMar w:left="1260" w:top="1267" w:right="1280" w:bottom="0" w:gutter="0" w:footer="0" w:header="0"/>
          <w:type w:val="continuous"/>
        </w:sectPr>
      </w:pPr>
    </w:p>
    <w:bookmarkStart w:id="11" w:name="page12"/>
    <w:bookmarkEnd w:id="11"/>
    <w:p>
      <w:pPr>
        <w:ind w:right="280"/>
        <w:spacing w:after="0" w:line="292" w:lineRule="auto"/>
        <w:rPr>
          <w:sz w:val="20"/>
          <w:szCs w:val="20"/>
          <w:color w:val="auto"/>
        </w:rPr>
      </w:pPr>
      <w:r>
        <w:rPr>
          <w:rFonts w:ascii="Arial" w:cs="Arial" w:eastAsia="Arial" w:hAnsi="Arial"/>
          <w:sz w:val="20"/>
          <w:szCs w:val="20"/>
          <w:color w:val="auto"/>
        </w:rPr>
        <w:t>to its charter, the Board's Corporate Governance, Nominating and Sustainability Committee has formal responsibility for leading the Board's oversight of these matters in coordination with management and other Board committees as appropriate. Management submits quarterly progress reports to the Board, and sustainability is a topic of discussion at every quarterly Board meeting. Compensation for key executives is linked, in part, to the achievement of specific sustainability goals.</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085E"/>
        </w:rPr>
        <w:t>Capital Allocation Priorities</w:t>
      </w:r>
    </w:p>
    <w:p>
      <w:pPr>
        <w:spacing w:after="0" w:line="311" w:lineRule="exact"/>
        <w:rPr>
          <w:sz w:val="20"/>
          <w:szCs w:val="20"/>
          <w:color w:val="auto"/>
        </w:rPr>
      </w:pPr>
    </w:p>
    <w:p>
      <w:pPr>
        <w:spacing w:after="0"/>
        <w:rPr>
          <w:sz w:val="20"/>
          <w:szCs w:val="20"/>
          <w:color w:val="auto"/>
        </w:rPr>
      </w:pPr>
      <w:r>
        <w:rPr>
          <w:rFonts w:ascii="Arial" w:cs="Arial" w:eastAsia="Arial" w:hAnsi="Arial"/>
          <w:sz w:val="20"/>
          <w:szCs w:val="20"/>
          <w:color w:val="auto"/>
        </w:rPr>
        <w:t>Our capital allocation priorities are intended to enhance shareholder value and are as follows:</w:t>
      </w:r>
    </w:p>
    <w:p>
      <w:pPr>
        <w:spacing w:after="0" w:line="160" w:lineRule="exact"/>
        <w:rPr>
          <w:sz w:val="20"/>
          <w:szCs w:val="20"/>
          <w:color w:val="auto"/>
        </w:rPr>
      </w:pPr>
    </w:p>
    <w:p>
      <w:pPr>
        <w:ind w:right="140"/>
        <w:spacing w:after="0" w:line="325" w:lineRule="auto"/>
        <w:tabs>
          <w:tab w:leader="none" w:pos="222" w:val="left"/>
        </w:tabs>
        <w:numPr>
          <w:ilvl w:val="0"/>
          <w:numId w:val="4"/>
        </w:numPr>
        <w:rPr>
          <w:rFonts w:ascii="Arial" w:cs="Arial" w:eastAsia="Arial" w:hAnsi="Arial"/>
          <w:sz w:val="20"/>
          <w:szCs w:val="20"/>
          <w:color w:val="auto"/>
        </w:rPr>
      </w:pPr>
      <w:r>
        <w:rPr>
          <w:rFonts w:ascii="Arial" w:cs="Arial" w:eastAsia="Arial" w:hAnsi="Arial"/>
          <w:sz w:val="20"/>
          <w:szCs w:val="20"/>
          <w:color w:val="auto"/>
        </w:rPr>
        <w:t>investing in growth opportunities that meet our strict financial return standards and are consistent with our strategic focus</w:t>
      </w:r>
    </w:p>
    <w:p>
      <w:pPr>
        <w:spacing w:after="0" w:line="37" w:lineRule="exact"/>
        <w:rPr>
          <w:rFonts w:ascii="Arial" w:cs="Arial" w:eastAsia="Arial" w:hAnsi="Arial"/>
          <w:sz w:val="20"/>
          <w:szCs w:val="20"/>
          <w:color w:val="auto"/>
        </w:rPr>
      </w:pPr>
    </w:p>
    <w:p>
      <w:pPr>
        <w:ind w:left="220" w:hanging="220"/>
        <w:spacing w:after="0"/>
        <w:tabs>
          <w:tab w:leader="none" w:pos="220" w:val="left"/>
        </w:tabs>
        <w:numPr>
          <w:ilvl w:val="0"/>
          <w:numId w:val="4"/>
        </w:numPr>
        <w:rPr>
          <w:rFonts w:ascii="Arial" w:cs="Arial" w:eastAsia="Arial" w:hAnsi="Arial"/>
          <w:sz w:val="20"/>
          <w:szCs w:val="20"/>
          <w:color w:val="auto"/>
        </w:rPr>
      </w:pPr>
      <w:r>
        <w:rPr>
          <w:rFonts w:ascii="Arial" w:cs="Arial" w:eastAsia="Arial" w:hAnsi="Arial"/>
          <w:sz w:val="20"/>
          <w:szCs w:val="20"/>
          <w:color w:val="auto"/>
        </w:rPr>
        <w:t>making operating capital investments to maintain and strengthen our low-cost producer position</w:t>
      </w:r>
    </w:p>
    <w:p>
      <w:pPr>
        <w:spacing w:after="0" w:line="160" w:lineRule="exact"/>
        <w:rPr>
          <w:rFonts w:ascii="Arial" w:cs="Arial" w:eastAsia="Arial" w:hAnsi="Arial"/>
          <w:sz w:val="20"/>
          <w:szCs w:val="20"/>
          <w:color w:val="auto"/>
        </w:rPr>
      </w:pPr>
    </w:p>
    <w:p>
      <w:pPr>
        <w:ind w:left="220" w:hanging="220"/>
        <w:spacing w:after="0"/>
        <w:tabs>
          <w:tab w:leader="none" w:pos="220" w:val="left"/>
        </w:tabs>
        <w:numPr>
          <w:ilvl w:val="0"/>
          <w:numId w:val="4"/>
        </w:numPr>
        <w:rPr>
          <w:rFonts w:ascii="Arial" w:cs="Arial" w:eastAsia="Arial" w:hAnsi="Arial"/>
          <w:sz w:val="20"/>
          <w:szCs w:val="20"/>
          <w:color w:val="auto"/>
        </w:rPr>
      </w:pPr>
      <w:r>
        <w:rPr>
          <w:rFonts w:ascii="Arial" w:cs="Arial" w:eastAsia="Arial" w:hAnsi="Arial"/>
          <w:sz w:val="20"/>
          <w:szCs w:val="20"/>
          <w:color w:val="auto"/>
        </w:rPr>
        <w:t>returning excess cash to shareholders through our share repurchase program and dividends.</w:t>
      </w:r>
    </w:p>
    <w:p>
      <w:pPr>
        <w:spacing w:after="0" w:line="160" w:lineRule="exact"/>
        <w:rPr>
          <w:sz w:val="20"/>
          <w:szCs w:val="20"/>
          <w:color w:val="auto"/>
        </w:rPr>
      </w:pPr>
    </w:p>
    <w:p>
      <w:pPr>
        <w:spacing w:after="0" w:line="316" w:lineRule="auto"/>
        <w:rPr>
          <w:sz w:val="20"/>
          <w:szCs w:val="20"/>
          <w:color w:val="auto"/>
        </w:rPr>
      </w:pPr>
      <w:r>
        <w:rPr>
          <w:rFonts w:ascii="Arial" w:cs="Arial" w:eastAsia="Arial" w:hAnsi="Arial"/>
          <w:sz w:val="19"/>
          <w:szCs w:val="19"/>
          <w:color w:val="auto"/>
        </w:rPr>
        <w:t>In the past five years, we have invested $388.4 million in acquisitions, $905.0 million in organic capital expenditures, and approximately $2.2 billion in share repurchases and dividends. Since becoming a public company in 1994, our share count is down approximately 55%, and we have returned approximately $4.3 billion to our shareholders through a combination of share repurchases and dividends.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00085E"/>
        </w:rPr>
        <w:t>FISCAL 2026 EVENTS</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085E"/>
        </w:rPr>
        <w:t>Financial Highlights</w:t>
      </w:r>
    </w:p>
    <w:p>
      <w:pPr>
        <w:spacing w:after="0" w:line="161" w:lineRule="exact"/>
        <w:rPr>
          <w:sz w:val="20"/>
          <w:szCs w:val="20"/>
          <w:color w:val="auto"/>
        </w:rPr>
      </w:pPr>
    </w:p>
    <w:p>
      <w:pPr>
        <w:spacing w:after="0" w:line="303" w:lineRule="auto"/>
        <w:rPr>
          <w:sz w:val="20"/>
          <w:szCs w:val="20"/>
          <w:color w:val="auto"/>
        </w:rPr>
      </w:pPr>
      <w:r>
        <w:rPr>
          <w:rFonts w:ascii="Arial" w:cs="Arial" w:eastAsia="Arial" w:hAnsi="Arial"/>
          <w:sz w:val="20"/>
          <w:szCs w:val="20"/>
          <w:color w:val="auto"/>
        </w:rPr>
        <w:t>Fiscal 2026 was a strong year for the Company, with increased earnings in our Cement, Concrete and Aggregates, and Recycled Paperboard segments. Financial highlights for fiscal 2026 compared with fiscal 2025 include:</w:t>
      </w:r>
    </w:p>
    <w:p>
      <w:pPr>
        <w:spacing w:after="0" w:line="59" w:lineRule="exact"/>
        <w:rPr>
          <w:sz w:val="20"/>
          <w:szCs w:val="20"/>
          <w:color w:val="auto"/>
        </w:rPr>
      </w:pPr>
    </w:p>
    <w:p>
      <w:pPr>
        <w:ind w:left="240" w:hanging="240"/>
        <w:spacing w:after="0"/>
        <w:tabs>
          <w:tab w:leader="none" w:pos="240" w:val="left"/>
        </w:tabs>
        <w:numPr>
          <w:ilvl w:val="0"/>
          <w:numId w:val="5"/>
        </w:numPr>
        <w:rPr>
          <w:rFonts w:ascii="Arial" w:cs="Arial" w:eastAsia="Arial" w:hAnsi="Arial"/>
          <w:sz w:val="20"/>
          <w:szCs w:val="20"/>
          <w:color w:val="auto"/>
        </w:rPr>
      </w:pPr>
      <w:r>
        <w:rPr>
          <w:rFonts w:ascii="Arial" w:cs="Arial" w:eastAsia="Arial" w:hAnsi="Arial"/>
          <w:sz w:val="20"/>
          <w:szCs w:val="20"/>
          <w:color w:val="auto"/>
        </w:rPr>
        <w:t>Record Revenue of $2.3 billion, up 2% from prior year</w:t>
      </w:r>
    </w:p>
    <w:p>
      <w:pPr>
        <w:spacing w:after="0" w:line="160" w:lineRule="exact"/>
        <w:rPr>
          <w:rFonts w:ascii="Arial" w:cs="Arial" w:eastAsia="Arial" w:hAnsi="Arial"/>
          <w:sz w:val="20"/>
          <w:szCs w:val="20"/>
          <w:color w:val="auto"/>
        </w:rPr>
      </w:pPr>
    </w:p>
    <w:p>
      <w:pPr>
        <w:ind w:left="240" w:hanging="240"/>
        <w:spacing w:after="0"/>
        <w:tabs>
          <w:tab w:leader="none" w:pos="240" w:val="left"/>
        </w:tabs>
        <w:numPr>
          <w:ilvl w:val="0"/>
          <w:numId w:val="5"/>
        </w:numPr>
        <w:rPr>
          <w:rFonts w:ascii="Arial" w:cs="Arial" w:eastAsia="Arial" w:hAnsi="Arial"/>
          <w:sz w:val="20"/>
          <w:szCs w:val="20"/>
          <w:color w:val="auto"/>
        </w:rPr>
      </w:pPr>
      <w:r>
        <w:rPr>
          <w:rFonts w:ascii="Arial" w:cs="Arial" w:eastAsia="Arial" w:hAnsi="Arial"/>
          <w:sz w:val="20"/>
          <w:szCs w:val="20"/>
          <w:color w:val="auto"/>
        </w:rPr>
        <w:t>Net Earnings of $423.8 million, down 9%</w:t>
      </w:r>
    </w:p>
    <w:p>
      <w:pPr>
        <w:spacing w:after="0" w:line="160" w:lineRule="exact"/>
        <w:rPr>
          <w:rFonts w:ascii="Arial" w:cs="Arial" w:eastAsia="Arial" w:hAnsi="Arial"/>
          <w:sz w:val="20"/>
          <w:szCs w:val="20"/>
          <w:color w:val="auto"/>
        </w:rPr>
      </w:pPr>
    </w:p>
    <w:p>
      <w:pPr>
        <w:ind w:left="240" w:hanging="240"/>
        <w:spacing w:after="0"/>
        <w:tabs>
          <w:tab w:leader="none" w:pos="240" w:val="left"/>
        </w:tabs>
        <w:numPr>
          <w:ilvl w:val="0"/>
          <w:numId w:val="5"/>
        </w:numPr>
        <w:rPr>
          <w:rFonts w:ascii="Arial" w:cs="Arial" w:eastAsia="Arial" w:hAnsi="Arial"/>
          <w:sz w:val="20"/>
          <w:szCs w:val="20"/>
          <w:color w:val="auto"/>
        </w:rPr>
      </w:pPr>
      <w:r>
        <w:rPr>
          <w:rFonts w:ascii="Arial" w:cs="Arial" w:eastAsia="Arial" w:hAnsi="Arial"/>
          <w:sz w:val="20"/>
          <w:szCs w:val="20"/>
          <w:color w:val="auto"/>
        </w:rPr>
        <w:t>Diluted Earnings per Share of $13.16, down 4%</w:t>
      </w:r>
    </w:p>
    <w:p>
      <w:pPr>
        <w:spacing w:after="0" w:line="160" w:lineRule="exact"/>
        <w:rPr>
          <w:rFonts w:ascii="Arial" w:cs="Arial" w:eastAsia="Arial" w:hAnsi="Arial"/>
          <w:sz w:val="20"/>
          <w:szCs w:val="20"/>
          <w:color w:val="auto"/>
        </w:rPr>
      </w:pPr>
    </w:p>
    <w:p>
      <w:pPr>
        <w:ind w:left="240" w:right="380" w:hanging="240"/>
        <w:spacing w:after="0" w:line="325" w:lineRule="auto"/>
        <w:tabs>
          <w:tab w:leader="none" w:pos="240" w:val="left"/>
        </w:tabs>
        <w:numPr>
          <w:ilvl w:val="0"/>
          <w:numId w:val="5"/>
        </w:numPr>
        <w:rPr>
          <w:rFonts w:ascii="Arial" w:cs="Arial" w:eastAsia="Arial" w:hAnsi="Arial"/>
          <w:sz w:val="20"/>
          <w:szCs w:val="20"/>
          <w:color w:val="auto"/>
        </w:rPr>
      </w:pPr>
      <w:r>
        <w:rPr>
          <w:rFonts w:ascii="Arial" w:cs="Arial" w:eastAsia="Arial" w:hAnsi="Arial"/>
          <w:sz w:val="20"/>
          <w:szCs w:val="20"/>
          <w:color w:val="auto"/>
        </w:rPr>
        <w:t>Repurchased approximately 1.7 million shares of our Common Stock for $381.8 million, returning a total of $414.2 million to shareholders through share repurchases and dividends</w:t>
      </w:r>
    </w:p>
    <w:p>
      <w:pPr>
        <w:spacing w:after="0" w:line="37" w:lineRule="exact"/>
        <w:rPr>
          <w:rFonts w:ascii="Arial" w:cs="Arial" w:eastAsia="Arial" w:hAnsi="Arial"/>
          <w:sz w:val="20"/>
          <w:szCs w:val="20"/>
          <w:color w:val="auto"/>
        </w:rPr>
      </w:pPr>
    </w:p>
    <w:p>
      <w:pPr>
        <w:ind w:left="240" w:right="180" w:hanging="240"/>
        <w:spacing w:after="0" w:line="325" w:lineRule="auto"/>
        <w:tabs>
          <w:tab w:leader="none" w:pos="240" w:val="left"/>
        </w:tabs>
        <w:numPr>
          <w:ilvl w:val="0"/>
          <w:numId w:val="5"/>
        </w:numPr>
        <w:rPr>
          <w:rFonts w:ascii="Arial" w:cs="Arial" w:eastAsia="Arial" w:hAnsi="Arial"/>
          <w:sz w:val="20"/>
          <w:szCs w:val="20"/>
          <w:color w:val="auto"/>
        </w:rPr>
      </w:pPr>
      <w:r>
        <w:rPr>
          <w:rFonts w:ascii="Arial" w:cs="Arial" w:eastAsia="Arial" w:hAnsi="Arial"/>
          <w:sz w:val="20"/>
          <w:szCs w:val="20"/>
          <w:color w:val="auto"/>
        </w:rPr>
        <w:t>Issued $750.0 million of 10-year senior notes with an interest rate of 5.000%, extending debt maturity schedule and increasing liquidity</w:t>
      </w:r>
    </w:p>
    <w:p>
      <w:pPr>
        <w:spacing w:after="0" w:line="28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085E"/>
        </w:rPr>
        <w:t>Strategic Highlights</w:t>
      </w:r>
    </w:p>
    <w:p>
      <w:pPr>
        <w:spacing w:after="0" w:line="161" w:lineRule="exact"/>
        <w:rPr>
          <w:sz w:val="20"/>
          <w:szCs w:val="20"/>
          <w:color w:val="auto"/>
        </w:rPr>
      </w:pPr>
    </w:p>
    <w:p>
      <w:pPr>
        <w:ind w:right="320"/>
        <w:spacing w:after="0" w:line="303" w:lineRule="auto"/>
        <w:rPr>
          <w:sz w:val="20"/>
          <w:szCs w:val="20"/>
          <w:color w:val="auto"/>
        </w:rPr>
      </w:pPr>
      <w:r>
        <w:rPr>
          <w:rFonts w:ascii="Arial" w:cs="Arial" w:eastAsia="Arial" w:hAnsi="Arial"/>
          <w:sz w:val="20"/>
          <w:szCs w:val="20"/>
          <w:color w:val="auto"/>
        </w:rPr>
        <w:t>During fiscal 2026, we executed the following strategic actions that extended our integrated plant network, advanced our low-cost position, and expanded our ability to meet increasing demand in high-growth markets.</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00085E"/>
        </w:rPr>
        <w:t>Modernization and Expansion of our Laramie, Wyoming Cement Plant</w:t>
      </w:r>
    </w:p>
    <w:p>
      <w:pPr>
        <w:spacing w:after="0" w:line="158" w:lineRule="exact"/>
        <w:rPr>
          <w:sz w:val="20"/>
          <w:szCs w:val="20"/>
          <w:color w:val="auto"/>
        </w:rPr>
      </w:pPr>
    </w:p>
    <w:p>
      <w:pPr>
        <w:spacing w:after="0" w:line="292" w:lineRule="auto"/>
        <w:rPr>
          <w:sz w:val="20"/>
          <w:szCs w:val="20"/>
          <w:color w:val="auto"/>
        </w:rPr>
      </w:pPr>
      <w:r>
        <w:rPr>
          <w:rFonts w:ascii="Arial" w:cs="Arial" w:eastAsia="Arial" w:hAnsi="Arial"/>
          <w:sz w:val="20"/>
          <w:szCs w:val="20"/>
          <w:color w:val="auto"/>
        </w:rPr>
        <w:t>Construction on the modernization and expansion of our Mountain Cement facility in Laramie, Wyoming continued during fiscal 2026. The modernized plant and the construction of an additional cement distribution facility in northern Colorado will employ state-of-the-art technology, which will maximize operating efficiencies and further strengthen our low-cost producer position. Upon completion of the project, the plant's manufacturing capacity will increase by nearly 50% to approximately 1.2 million tons of</w:t>
      </w:r>
    </w:p>
    <w:p>
      <w:pPr>
        <w:sectPr>
          <w:pgSz w:w="11880" w:h="15480" w:orient="portrait"/>
          <w:cols w:equalWidth="0" w:num="1">
            <w:col w:w="9340"/>
          </w:cols>
          <w:pgMar w:left="1260" w:top="1267" w:right="1280" w:bottom="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ectPr>
          <w:pgSz w:w="11880" w:h="15480" w:orient="portrait"/>
          <w:cols w:equalWidth="0" w:num="1">
            <w:col w:w="9340"/>
          </w:cols>
          <w:pgMar w:left="1260" w:top="1267" w:right="1280" w:bottom="0" w:gutter="0" w:footer="0" w:header="0"/>
          <w:type w:val="continuous"/>
        </w:sectPr>
      </w:pPr>
    </w:p>
    <w:bookmarkStart w:id="12" w:name="page13"/>
    <w:bookmarkEnd w:id="12"/>
    <w:p>
      <w:pPr>
        <w:ind w:right="320"/>
        <w:spacing w:after="0" w:line="325" w:lineRule="auto"/>
        <w:rPr>
          <w:sz w:val="20"/>
          <w:szCs w:val="20"/>
          <w:color w:val="auto"/>
        </w:rPr>
      </w:pPr>
      <w:r>
        <w:rPr>
          <w:rFonts w:ascii="Arial" w:cs="Arial" w:eastAsia="Arial" w:hAnsi="Arial"/>
          <w:sz w:val="20"/>
          <w:szCs w:val="20"/>
          <w:color w:val="auto"/>
        </w:rPr>
        <w:t>cement, and it is expected that manufacturing costs will be reduced by approximately 25%. We expect start-up of the new facility in late calendar 2026.</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00085E"/>
        </w:rPr>
        <w:t>Modernization and Expansion of our Duke, Oklahoma Gypsum Wallboard Plant</w:t>
      </w:r>
    </w:p>
    <w:p>
      <w:pPr>
        <w:spacing w:after="0" w:line="158" w:lineRule="exact"/>
        <w:rPr>
          <w:sz w:val="20"/>
          <w:szCs w:val="20"/>
          <w:color w:val="auto"/>
        </w:rPr>
      </w:pPr>
    </w:p>
    <w:p>
      <w:pPr>
        <w:ind w:right="140"/>
        <w:spacing w:after="0" w:line="316" w:lineRule="auto"/>
        <w:rPr>
          <w:sz w:val="20"/>
          <w:szCs w:val="20"/>
          <w:color w:val="auto"/>
        </w:rPr>
      </w:pPr>
      <w:r>
        <w:rPr>
          <w:rFonts w:ascii="Arial" w:cs="Arial" w:eastAsia="Arial" w:hAnsi="Arial"/>
          <w:sz w:val="19"/>
          <w:szCs w:val="19"/>
          <w:color w:val="auto"/>
        </w:rPr>
        <w:t>We began construction and made good progress on our $330.0 million project to modernize and expand our Gypsum Wallboard facility in Oklahoma. This project will increase capacity by 25% to 1.5 billion square feet (bsf) of production, lower the plant's operating costs, and take advantage of our nearby, low-cost natural gypsum reserves. We expect to complete the project in the second half of calendar 2027.</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00085E"/>
        </w:rPr>
        <w:t>HUMAN CAPITAL</w:t>
      </w:r>
    </w:p>
    <w:p>
      <w:pPr>
        <w:spacing w:after="0" w:line="163" w:lineRule="exact"/>
        <w:rPr>
          <w:sz w:val="20"/>
          <w:szCs w:val="20"/>
          <w:color w:val="auto"/>
        </w:rPr>
      </w:pPr>
    </w:p>
    <w:p>
      <w:pPr>
        <w:spacing w:after="0" w:line="325" w:lineRule="auto"/>
        <w:rPr>
          <w:sz w:val="20"/>
          <w:szCs w:val="20"/>
          <w:color w:val="auto"/>
        </w:rPr>
      </w:pPr>
      <w:r>
        <w:rPr>
          <w:rFonts w:ascii="Arial" w:cs="Arial" w:eastAsia="Arial" w:hAnsi="Arial"/>
          <w:sz w:val="19"/>
          <w:szCs w:val="19"/>
          <w:color w:val="auto"/>
        </w:rPr>
        <w:t>As of March 31, 2026, the Company had approximately 2,800 employees, of which approximately 800 are salaried, and approximately 2,000 are hourly. Approximately 780 of the hourly employees are employed under collective bargaining agreements and various supplemental agreements with local unions.</w:t>
      </w:r>
    </w:p>
    <w:p>
      <w:pPr>
        <w:spacing w:after="0" w:line="42" w:lineRule="exact"/>
        <w:rPr>
          <w:sz w:val="20"/>
          <w:szCs w:val="20"/>
          <w:color w:val="auto"/>
        </w:rPr>
      </w:pPr>
    </w:p>
    <w:p>
      <w:pPr>
        <w:ind w:right="40"/>
        <w:spacing w:after="0" w:line="303" w:lineRule="auto"/>
        <w:rPr>
          <w:sz w:val="20"/>
          <w:szCs w:val="20"/>
          <w:color w:val="auto"/>
        </w:rPr>
      </w:pPr>
      <w:r>
        <w:rPr>
          <w:rFonts w:ascii="Arial" w:cs="Arial" w:eastAsia="Arial" w:hAnsi="Arial"/>
          <w:sz w:val="19"/>
          <w:szCs w:val="19"/>
          <w:color w:val="auto"/>
        </w:rPr>
        <w:t>Recruiting, developing, and retaining qualified employees is essential to implement our strategy and maintain our low-cost position. The health and safety of our employees is the highest priority of management. We have comprehensive safety and wellness processes and policies and all our employees are provided with the training necessary to safely and effectively perform their responsibilities. In all our businesses we have implemented initiatives to improve workplace safety. We hold an annual safety conference during which we review our safety performance, assess the effectiveness of our programs, and determine improvement actions. Specific areas of review include training programs, best practices, and leading indicators such as near-miss reporting and root cause analysis of all lost-time injuries. We also engage outside parties to advise on safety trends and ways to mitigate identified risks.</w:t>
      </w:r>
    </w:p>
    <w:p>
      <w:pPr>
        <w:spacing w:after="0" w:line="67" w:lineRule="exact"/>
        <w:rPr>
          <w:sz w:val="20"/>
          <w:szCs w:val="20"/>
          <w:color w:val="auto"/>
        </w:rPr>
      </w:pPr>
    </w:p>
    <w:p>
      <w:pPr>
        <w:ind w:right="460"/>
        <w:spacing w:after="0" w:line="303" w:lineRule="auto"/>
        <w:rPr>
          <w:sz w:val="20"/>
          <w:szCs w:val="20"/>
          <w:color w:val="auto"/>
        </w:rPr>
      </w:pPr>
      <w:r>
        <w:rPr>
          <w:rFonts w:ascii="Arial" w:cs="Arial" w:eastAsia="Arial" w:hAnsi="Arial"/>
          <w:sz w:val="20"/>
          <w:szCs w:val="20"/>
          <w:color w:val="auto"/>
        </w:rPr>
        <w:t>Management reviews a variety of safety metrics, including leading and lagging indicators, and the business units give corporate management monthly updates. During fiscal 2026, our total recordable incident rate, or TRIR, was below the industry average for our combined businesses.</w:t>
      </w:r>
    </w:p>
    <w:p>
      <w:pPr>
        <w:sectPr>
          <w:pgSz w:w="11880" w:h="15480" w:orient="portrait"/>
          <w:cols w:equalWidth="0" w:num="1">
            <w:col w:w="9340"/>
          </w:cols>
          <w:pgMar w:left="1260" w:top="1267"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ectPr>
          <w:pgSz w:w="11880" w:h="15480" w:orient="portrait"/>
          <w:cols w:equalWidth="0" w:num="1">
            <w:col w:w="9340"/>
          </w:cols>
          <w:pgMar w:left="1260" w:top="1267" w:right="1280" w:bottom="0" w:gutter="0" w:footer="0" w:header="0"/>
          <w:type w:val="continuous"/>
        </w:sectPr>
      </w:pPr>
    </w:p>
    <w:bookmarkStart w:id="13" w:name="page14"/>
    <w:bookmarkEnd w:id="13"/>
    <w:p>
      <w:pPr>
        <w:spacing w:after="0"/>
        <w:rPr>
          <w:sz w:val="20"/>
          <w:szCs w:val="20"/>
          <w:color w:val="auto"/>
        </w:rPr>
      </w:pPr>
      <w:r>
        <w:rPr>
          <w:rFonts w:ascii="Arial" w:cs="Arial" w:eastAsia="Arial" w:hAnsi="Arial"/>
          <w:sz w:val="20"/>
          <w:szCs w:val="20"/>
          <w:b w:val="1"/>
          <w:bCs w:val="1"/>
          <w:color w:val="00085E"/>
        </w:rPr>
        <w:t>INDUSTRY SEGMENT INFORMATION</w:t>
      </w:r>
    </w:p>
    <w:p>
      <w:pPr>
        <w:spacing w:after="0" w:line="163" w:lineRule="exact"/>
        <w:rPr>
          <w:sz w:val="20"/>
          <w:szCs w:val="20"/>
          <w:color w:val="auto"/>
        </w:rPr>
      </w:pPr>
    </w:p>
    <w:p>
      <w:pPr>
        <w:ind w:right="60"/>
        <w:spacing w:after="0" w:line="292" w:lineRule="auto"/>
        <w:rPr>
          <w:sz w:val="20"/>
          <w:szCs w:val="20"/>
          <w:color w:val="auto"/>
        </w:rPr>
      </w:pPr>
      <w:r>
        <w:rPr>
          <w:rFonts w:ascii="Arial" w:cs="Arial" w:eastAsia="Arial" w:hAnsi="Arial"/>
          <w:sz w:val="20"/>
          <w:szCs w:val="20"/>
          <w:color w:val="auto"/>
        </w:rPr>
        <w:t>Our business is organized into two sectors: Heavy Materials, which includes the Cement and Concrete and Aggregates segments; and Light Materials, which includes the Gypsum Wallboard and Recycled Paperboard segments. The primary end market for our Cement and Concrete and Aggregates segments is infrastructure. The primary end market for our Gypsum Wallboard and Recycled Paperboard segments is residential construction.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72390</wp:posOffset>
            </wp:positionV>
            <wp:extent cx="5838825" cy="28168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4">
                      <a:extLst>
                        <a:ext uri="{28A0092B-C50C-407E-A947-70E740481C1C}"/>
                      </a:extLst>
                    </a:blip>
                    <a:srcRect/>
                    <a:stretch>
                      <a:fillRect/>
                    </a:stretch>
                  </pic:blipFill>
                  <pic:spPr bwMode="auto">
                    <a:xfrm>
                      <a:off x="0" y="0"/>
                      <a:ext cx="5838825" cy="2816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320"/>
        <w:spacing w:after="0" w:line="303" w:lineRule="auto"/>
        <w:rPr>
          <w:sz w:val="20"/>
          <w:szCs w:val="20"/>
          <w:color w:val="auto"/>
        </w:rPr>
      </w:pPr>
      <w:r>
        <w:rPr>
          <w:rFonts w:ascii="Arial" w:cs="Arial" w:eastAsia="Arial" w:hAnsi="Arial"/>
          <w:sz w:val="20"/>
          <w:szCs w:val="20"/>
          <w:color w:val="auto"/>
        </w:rPr>
        <w:t>For information about the financial results of our business segments, including revenue, average net sales prices, sales volume, and operating earnings, please see Item 7. Management’s Discussion and Analysis of Financial Condition and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42F70"/>
        </w:rPr>
        <w:t>Heavy Materials</w:t>
      </w:r>
    </w:p>
    <w:p>
      <w:pPr>
        <w:spacing w:after="0" w:line="161" w:lineRule="exact"/>
        <w:rPr>
          <w:sz w:val="20"/>
          <w:szCs w:val="20"/>
          <w:color w:val="auto"/>
        </w:rPr>
      </w:pPr>
    </w:p>
    <w:p>
      <w:pPr>
        <w:spacing w:after="0" w:line="287" w:lineRule="auto"/>
        <w:rPr>
          <w:sz w:val="20"/>
          <w:szCs w:val="20"/>
          <w:color w:val="auto"/>
        </w:rPr>
      </w:pPr>
      <w:r>
        <w:rPr>
          <w:rFonts w:ascii="Arial" w:cs="Arial" w:eastAsia="Arial" w:hAnsi="Arial"/>
          <w:sz w:val="20"/>
          <w:szCs w:val="20"/>
          <w:color w:val="auto"/>
        </w:rPr>
        <w:t>Our Heavy Materials sector provides cement and concrete and aggregates for use in public infrastructure, private nonresidential, and residential construction. This sector comprises the Cement and Concrete and Aggregates segments. In calendar 2025, cement consumption in the United States, as stated by the American Cement Association (ACA), was 112.3 million short tons, which was approximately 2% lower than calendar 2024 consumption levels; whereas, our fiscal 2026 cement sales volume was up 8%. Our outperformance is due to our regional markets outperforming the national average and our fiscal year being a slightly different time period. Importantly, the U.S. consumes more cement than can be produced domestically. Imported cement consumption represented nearly 23% of total U.S. sales in both calendar 2025 and 2024.</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color w:val="2A64A7"/>
        </w:rPr>
        <w:t>CEMENT</w:t>
      </w:r>
    </w:p>
    <w:p>
      <w:pPr>
        <w:spacing w:after="0" w:line="163" w:lineRule="exact"/>
        <w:rPr>
          <w:sz w:val="20"/>
          <w:szCs w:val="20"/>
          <w:color w:val="auto"/>
        </w:rPr>
      </w:pPr>
    </w:p>
    <w:p>
      <w:pPr>
        <w:spacing w:after="0" w:line="290" w:lineRule="auto"/>
        <w:rPr>
          <w:sz w:val="20"/>
          <w:szCs w:val="20"/>
          <w:color w:val="auto"/>
        </w:rPr>
      </w:pPr>
      <w:r>
        <w:rPr>
          <w:rFonts w:ascii="Arial" w:cs="Arial" w:eastAsia="Arial" w:hAnsi="Arial"/>
          <w:sz w:val="20"/>
          <w:szCs w:val="20"/>
          <w:color w:val="auto"/>
        </w:rPr>
        <w:t>Cement is the basic binding agent for concrete, a primary construction material. The principal sources of demand for cement are public infrastructure, private nonresidential construction, and residential construction, with public infrastructure accounting for approximately 50% of cement demand. The U.S. cement industry comprises numerous regional markets rather than a single national market. Cement consumption is affected by the time of year and prevalent weather conditions. Cement sales are generally greatest from spring through the middle of autumn.</w:t>
      </w:r>
    </w:p>
    <w:p>
      <w:pPr>
        <w:sectPr>
          <w:pgSz w:w="11880" w:h="15480" w:orient="portrait"/>
          <w:cols w:equalWidth="0" w:num="1">
            <w:col w:w="9340"/>
          </w:cols>
          <w:pgMar w:left="1260" w:top="1264"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w:t>
      </w:r>
    </w:p>
    <w:p>
      <w:pPr>
        <w:sectPr>
          <w:pgSz w:w="11880" w:h="15480" w:orient="portrait"/>
          <w:cols w:equalWidth="0" w:num="1">
            <w:col w:w="9340"/>
          </w:cols>
          <w:pgMar w:left="1260" w:top="1264" w:right="1280" w:bottom="0" w:gutter="0" w:footer="0" w:header="0"/>
          <w:type w:val="continuous"/>
        </w:sectPr>
      </w:pPr>
    </w:p>
    <w:bookmarkStart w:id="14" w:name="page15"/>
    <w:bookmarkEnd w:id="14"/>
    <w:p>
      <w:pPr>
        <w:spacing w:after="0"/>
        <w:rPr>
          <w:sz w:val="20"/>
          <w:szCs w:val="20"/>
          <w:color w:val="auto"/>
        </w:rPr>
      </w:pPr>
      <w:r>
        <w:rPr>
          <w:rFonts w:ascii="Arial" w:cs="Arial" w:eastAsia="Arial" w:hAnsi="Arial"/>
          <w:sz w:val="20"/>
          <w:szCs w:val="20"/>
          <w:color w:val="auto"/>
        </w:rPr>
        <w:t>The manufacturing process for cement involves four main steps, as shown in the graphic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5943600" cy="12001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5">
                      <a:extLst>
                        <a:ext uri="{28A0092B-C50C-407E-A947-70E740481C1C}"/>
                      </a:extLst>
                    </a:blip>
                    <a:srcRect/>
                    <a:stretch>
                      <a:fillRect/>
                    </a:stretch>
                  </pic:blipFill>
                  <pic:spPr bwMode="auto">
                    <a:xfrm>
                      <a:off x="0" y="0"/>
                      <a:ext cx="5943600"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240"/>
        <w:spacing w:after="0" w:line="303" w:lineRule="auto"/>
        <w:rPr>
          <w:sz w:val="20"/>
          <w:szCs w:val="20"/>
          <w:color w:val="auto"/>
        </w:rPr>
      </w:pPr>
      <w:r>
        <w:rPr>
          <w:rFonts w:ascii="Arial" w:cs="Arial" w:eastAsia="Arial" w:hAnsi="Arial"/>
          <w:sz w:val="20"/>
          <w:szCs w:val="20"/>
          <w:color w:val="auto"/>
        </w:rPr>
        <w:t>We also produce and market other cementitious products, including slag cement. Slag granules are obtained from steel companies and ground in our grinding facilities in Illinois and Texas. Slag is used in concrete mix designs to improve the durability of concrete and reduce future maintenance costs.</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b w:val="1"/>
          <w:bCs w:val="1"/>
          <w:color w:val="2A64A7"/>
        </w:rPr>
        <w:t>Limestone Mining Operations</w:t>
      </w:r>
    </w:p>
    <w:p>
      <w:pPr>
        <w:spacing w:after="0" w:line="163" w:lineRule="exact"/>
        <w:rPr>
          <w:sz w:val="20"/>
          <w:szCs w:val="20"/>
          <w:color w:val="auto"/>
        </w:rPr>
      </w:pPr>
    </w:p>
    <w:p>
      <w:pPr>
        <w:ind w:right="60"/>
        <w:spacing w:after="0" w:line="292" w:lineRule="auto"/>
        <w:rPr>
          <w:sz w:val="20"/>
          <w:szCs w:val="20"/>
          <w:color w:val="auto"/>
        </w:rPr>
      </w:pPr>
      <w:r>
        <w:rPr>
          <w:rFonts w:ascii="Arial" w:cs="Arial" w:eastAsia="Arial" w:hAnsi="Arial"/>
          <w:sz w:val="20"/>
          <w:szCs w:val="20"/>
          <w:color w:val="auto"/>
        </w:rPr>
        <w:t>We mine primarily limestone at our quarry operations serving each of our cement plants. The limestone mined at our quarries is then converted to cement, as outlined above. Each of our cement plants has its own dedicated limestone quarries, all of which have adequate access to highways and/or waterways. For more information about our limestone mining properties, including estimates of limestone resources and reserves, see Item 2. Properties.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2A64A7"/>
        </w:rPr>
        <w:t>Cement Plants</w:t>
      </w:r>
    </w:p>
    <w:p>
      <w:pPr>
        <w:spacing w:after="0" w:line="163" w:lineRule="exact"/>
        <w:rPr>
          <w:sz w:val="20"/>
          <w:szCs w:val="20"/>
          <w:color w:val="auto"/>
        </w:rPr>
      </w:pPr>
    </w:p>
    <w:p>
      <w:pPr>
        <w:ind w:right="20"/>
        <w:spacing w:after="0" w:line="289" w:lineRule="auto"/>
        <w:rPr>
          <w:sz w:val="20"/>
          <w:szCs w:val="20"/>
          <w:color w:val="auto"/>
        </w:rPr>
      </w:pPr>
      <w:r>
        <w:rPr>
          <w:rFonts w:ascii="Arial" w:cs="Arial" w:eastAsia="Arial" w:hAnsi="Arial"/>
          <w:sz w:val="20"/>
          <w:szCs w:val="20"/>
          <w:color w:val="auto"/>
        </w:rPr>
        <w:t>We operate eight modern cement plants, and two slag grinding facilities (one cement plant and one slag grinding facility are operated through a joint venture). Our clinker capacity is approximately 6.7 million tons, which is approximately 6% of total U.S. clinker capacity. Clinker is the intermediary product before it is ground into cement powder (see production process graphic above). All of our cement plants use dry-process technology, and approximately 80% of our clinker capacity is produced from preheater or preheater/pre-calciner kilns, which are generally more energy-efficient kiln types. In addition to production facilities, we also operate over 30 cement storage and distribution terminals.</w:t>
      </w:r>
    </w:p>
    <w:p>
      <w:pPr>
        <w:spacing w:after="0" w:line="71" w:lineRule="exact"/>
        <w:rPr>
          <w:sz w:val="20"/>
          <w:szCs w:val="20"/>
          <w:color w:val="auto"/>
        </w:rPr>
      </w:pPr>
    </w:p>
    <w:p>
      <w:pPr>
        <w:spacing w:after="0" w:line="290" w:lineRule="auto"/>
        <w:rPr>
          <w:sz w:val="20"/>
          <w:szCs w:val="20"/>
          <w:color w:val="auto"/>
        </w:rPr>
      </w:pPr>
      <w:r>
        <w:rPr>
          <w:rFonts w:ascii="Arial" w:cs="Arial" w:eastAsia="Arial" w:hAnsi="Arial"/>
          <w:sz w:val="20"/>
          <w:szCs w:val="20"/>
          <w:color w:val="auto"/>
        </w:rPr>
        <w:t>Our cement companies focus on the U.S. heartland and operate as an integrated network selling product mainly in Colorado, Illinois, Kansas, Kentucky, Indiana, Iowa, Missouri, Nebraska, Nevada, Ohio, Oklahoma, Tennessee, and Texas. Our Joint Venture (as defined below) includes a minority interest in an import terminal in Houston, Texas, from which we can purchase up to 495,000 tons of cement annually. Our slag facilities are located near Chicago, Illinois and Houston, Texas. Both slag facilities have 500,000 tons annual grinding capacity.</w:t>
      </w:r>
    </w:p>
    <w:p>
      <w:pPr>
        <w:sectPr>
          <w:pgSz w:w="11880" w:h="15480" w:orient="portrait"/>
          <w:cols w:equalWidth="0" w:num="1">
            <w:col w:w="9340"/>
          </w:cols>
          <w:pgMar w:left="1260" w:top="1267"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w:t>
      </w:r>
    </w:p>
    <w:p>
      <w:pPr>
        <w:sectPr>
          <w:pgSz w:w="11880" w:h="15480" w:orient="portrait"/>
          <w:cols w:equalWidth="0" w:num="1">
            <w:col w:w="9340"/>
          </w:cols>
          <w:pgMar w:left="1260" w:top="1267" w:right="1280" w:bottom="0" w:gutter="0" w:footer="0" w:header="0"/>
          <w:type w:val="continuous"/>
        </w:sectPr>
      </w:pPr>
    </w:p>
    <w:bookmarkStart w:id="15" w:name="page16"/>
    <w:bookmarkEnd w:id="15"/>
    <w:p>
      <w:pPr>
        <w:ind w:right="500"/>
        <w:spacing w:after="0" w:line="325" w:lineRule="auto"/>
        <w:rPr>
          <w:sz w:val="20"/>
          <w:szCs w:val="20"/>
          <w:color w:val="auto"/>
        </w:rPr>
      </w:pPr>
      <w:r>
        <w:rPr>
          <w:rFonts w:ascii="Arial" w:cs="Arial" w:eastAsia="Arial" w:hAnsi="Arial"/>
          <w:sz w:val="20"/>
          <w:szCs w:val="20"/>
          <w:color w:val="auto"/>
        </w:rPr>
        <w:t>The following table sets forth information regarding our cement plants at March 31, 2026 (tons are in thousands of short tons).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20" w:type="dxa"/>
            <w:vAlign w:val="bottom"/>
          </w:tcPr>
          <w:p>
            <w:pPr>
              <w:spacing w:after="0"/>
              <w:rPr>
                <w:sz w:val="17"/>
                <w:szCs w:val="17"/>
                <w:color w:val="auto"/>
              </w:rPr>
            </w:pPr>
          </w:p>
        </w:tc>
        <w:tc>
          <w:tcPr>
            <w:tcW w:w="1280" w:type="dxa"/>
            <w:vAlign w:val="bottom"/>
          </w:tcPr>
          <w:p>
            <w:pPr>
              <w:jc w:val="right"/>
              <w:ind w:right="22"/>
              <w:spacing w:after="0"/>
              <w:rPr>
                <w:sz w:val="20"/>
                <w:szCs w:val="20"/>
                <w:color w:val="auto"/>
              </w:rPr>
            </w:pPr>
            <w:r>
              <w:rPr>
                <w:rFonts w:ascii="Arial Narrow" w:cs="Arial Narrow" w:eastAsia="Arial Narrow" w:hAnsi="Arial Narrow"/>
                <w:sz w:val="18"/>
                <w:szCs w:val="18"/>
                <w:b w:val="1"/>
                <w:bCs w:val="1"/>
                <w:color w:val="auto"/>
              </w:rPr>
              <w:t>Rated Annual</w:t>
            </w:r>
          </w:p>
        </w:tc>
        <w:tc>
          <w:tcPr>
            <w:tcW w:w="140" w:type="dxa"/>
            <w:vAlign w:val="bottom"/>
          </w:tcPr>
          <w:p>
            <w:pPr>
              <w:spacing w:after="0"/>
              <w:rPr>
                <w:sz w:val="17"/>
                <w:szCs w:val="17"/>
                <w:color w:val="auto"/>
              </w:rPr>
            </w:pPr>
          </w:p>
        </w:tc>
        <w:tc>
          <w:tcPr>
            <w:tcW w:w="1120" w:type="dxa"/>
            <w:vAlign w:val="bottom"/>
          </w:tcPr>
          <w:p>
            <w:pPr>
              <w:jc w:val="right"/>
              <w:ind w:right="10"/>
              <w:spacing w:after="0"/>
              <w:rPr>
                <w:sz w:val="20"/>
                <w:szCs w:val="20"/>
                <w:color w:val="auto"/>
              </w:rPr>
            </w:pPr>
            <w:r>
              <w:rPr>
                <w:rFonts w:ascii="Arial Narrow" w:cs="Arial Narrow" w:eastAsia="Arial Narrow" w:hAnsi="Arial Narrow"/>
                <w:sz w:val="18"/>
                <w:szCs w:val="18"/>
                <w:b w:val="1"/>
                <w:bCs w:val="1"/>
                <w:color w:val="auto"/>
              </w:rPr>
              <w:t>Annual</w:t>
            </w:r>
          </w:p>
        </w:tc>
        <w:tc>
          <w:tcPr>
            <w:tcW w:w="7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ind w:left="180"/>
              <w:spacing w:after="0"/>
              <w:rPr>
                <w:sz w:val="20"/>
                <w:szCs w:val="20"/>
                <w:color w:val="auto"/>
              </w:rPr>
            </w:pPr>
            <w:r>
              <w:rPr>
                <w:rFonts w:ascii="Arial Narrow" w:cs="Arial Narrow" w:eastAsia="Arial Narrow" w:hAnsi="Arial Narrow"/>
                <w:sz w:val="18"/>
                <w:szCs w:val="18"/>
                <w:b w:val="1"/>
                <w:bCs w:val="1"/>
                <w:color w:val="auto"/>
              </w:rPr>
              <w:t>Kiln</w:t>
            </w:r>
          </w:p>
        </w:tc>
        <w:tc>
          <w:tcPr>
            <w:tcW w:w="0" w:type="dxa"/>
            <w:vAlign w:val="bottom"/>
          </w:tcPr>
          <w:p>
            <w:pPr>
              <w:spacing w:after="0"/>
              <w:rPr>
                <w:sz w:val="1"/>
                <w:szCs w:val="1"/>
                <w:color w:val="auto"/>
              </w:rPr>
            </w:pPr>
          </w:p>
        </w:tc>
      </w:tr>
      <w:tr>
        <w:trPr>
          <w:trHeight w:val="207"/>
        </w:trPr>
        <w:tc>
          <w:tcPr>
            <w:tcW w:w="1820" w:type="dxa"/>
            <w:vAlign w:val="bottom"/>
            <w:vMerge w:val="restart"/>
          </w:tcPr>
          <w:p>
            <w:pPr>
              <w:spacing w:after="0"/>
              <w:rPr>
                <w:sz w:val="20"/>
                <w:szCs w:val="20"/>
                <w:color w:val="auto"/>
              </w:rPr>
            </w:pPr>
            <w:r>
              <w:rPr>
                <w:rFonts w:ascii="Arial Narrow" w:cs="Arial Narrow" w:eastAsia="Arial Narrow" w:hAnsi="Arial Narrow"/>
                <w:sz w:val="18"/>
                <w:szCs w:val="18"/>
                <w:b w:val="1"/>
                <w:bCs w:val="1"/>
                <w:color w:val="auto"/>
              </w:rPr>
              <w:t>Plant Location</w:t>
            </w:r>
          </w:p>
        </w:tc>
        <w:tc>
          <w:tcPr>
            <w:tcW w:w="1280" w:type="dxa"/>
            <w:vAlign w:val="bottom"/>
          </w:tcPr>
          <w:p>
            <w:pPr>
              <w:jc w:val="right"/>
              <w:ind w:right="22"/>
              <w:spacing w:after="0"/>
              <w:rPr>
                <w:sz w:val="20"/>
                <w:szCs w:val="20"/>
                <w:color w:val="auto"/>
              </w:rPr>
            </w:pPr>
            <w:r>
              <w:rPr>
                <w:rFonts w:ascii="Arial Narrow" w:cs="Arial Narrow" w:eastAsia="Arial Narrow" w:hAnsi="Arial Narrow"/>
                <w:sz w:val="18"/>
                <w:szCs w:val="18"/>
                <w:b w:val="1"/>
                <w:bCs w:val="1"/>
                <w:color w:val="auto"/>
              </w:rPr>
              <w:t>Clinker</w:t>
            </w:r>
          </w:p>
        </w:tc>
        <w:tc>
          <w:tcPr>
            <w:tcW w:w="140" w:type="dxa"/>
            <w:vAlign w:val="bottom"/>
          </w:tcPr>
          <w:p>
            <w:pPr>
              <w:spacing w:after="0"/>
              <w:rPr>
                <w:sz w:val="17"/>
                <w:szCs w:val="17"/>
                <w:color w:val="auto"/>
              </w:rPr>
            </w:pPr>
          </w:p>
        </w:tc>
        <w:tc>
          <w:tcPr>
            <w:tcW w:w="1120" w:type="dxa"/>
            <w:vAlign w:val="bottom"/>
          </w:tcPr>
          <w:p>
            <w:pPr>
              <w:jc w:val="right"/>
              <w:ind w:right="10"/>
              <w:spacing w:after="0"/>
              <w:rPr>
                <w:sz w:val="20"/>
                <w:szCs w:val="20"/>
                <w:color w:val="auto"/>
              </w:rPr>
            </w:pPr>
            <w:r>
              <w:rPr>
                <w:rFonts w:ascii="Arial Narrow" w:cs="Arial Narrow" w:eastAsia="Arial Narrow" w:hAnsi="Arial Narrow"/>
                <w:sz w:val="18"/>
                <w:szCs w:val="18"/>
                <w:b w:val="1"/>
                <w:bCs w:val="1"/>
                <w:color w:val="auto"/>
              </w:rPr>
              <w:t>Grinding</w:t>
            </w:r>
          </w:p>
        </w:tc>
        <w:tc>
          <w:tcPr>
            <w:tcW w:w="3020" w:type="dxa"/>
            <w:vAlign w:val="bottom"/>
            <w:gridSpan w:val="2"/>
          </w:tcPr>
          <w:p>
            <w:pPr>
              <w:ind w:left="140"/>
              <w:spacing w:after="0"/>
              <w:rPr>
                <w:sz w:val="20"/>
                <w:szCs w:val="20"/>
                <w:color w:val="auto"/>
              </w:rPr>
            </w:pPr>
            <w:r>
              <w:rPr>
                <w:rFonts w:ascii="Arial Narrow" w:cs="Arial Narrow" w:eastAsia="Arial Narrow" w:hAnsi="Arial Narrow"/>
                <w:sz w:val="18"/>
                <w:szCs w:val="18"/>
                <w:b w:val="1"/>
                <w:bCs w:val="1"/>
                <w:color w:val="auto"/>
              </w:rPr>
              <w:t>Manufacturing</w:t>
            </w:r>
          </w:p>
        </w:tc>
        <w:tc>
          <w:tcPr>
            <w:tcW w:w="920" w:type="dxa"/>
            <w:vAlign w:val="bottom"/>
          </w:tcPr>
          <w:p>
            <w:pPr>
              <w:ind w:left="180"/>
              <w:spacing w:after="0"/>
              <w:rPr>
                <w:sz w:val="20"/>
                <w:szCs w:val="20"/>
                <w:color w:val="auto"/>
              </w:rPr>
            </w:pPr>
            <w:r>
              <w:rPr>
                <w:rFonts w:ascii="Arial Narrow" w:cs="Arial Narrow" w:eastAsia="Arial Narrow" w:hAnsi="Arial Narrow"/>
                <w:sz w:val="18"/>
                <w:szCs w:val="18"/>
                <w:b w:val="1"/>
                <w:bCs w:val="1"/>
                <w:color w:val="auto"/>
              </w:rPr>
              <w:t>Number</w:t>
            </w:r>
          </w:p>
        </w:tc>
        <w:tc>
          <w:tcPr>
            <w:tcW w:w="1060" w:type="dxa"/>
            <w:vAlign w:val="bottom"/>
          </w:tcPr>
          <w:p>
            <w:pPr>
              <w:ind w:left="180"/>
              <w:spacing w:after="0"/>
              <w:rPr>
                <w:sz w:val="20"/>
                <w:szCs w:val="20"/>
                <w:color w:val="auto"/>
              </w:rPr>
            </w:pPr>
            <w:r>
              <w:rPr>
                <w:rFonts w:ascii="Arial Narrow" w:cs="Arial Narrow" w:eastAsia="Arial Narrow" w:hAnsi="Arial Narrow"/>
                <w:sz w:val="18"/>
                <w:szCs w:val="18"/>
                <w:b w:val="1"/>
                <w:bCs w:val="1"/>
                <w:color w:val="auto"/>
              </w:rPr>
              <w:t>Dedication</w:t>
            </w:r>
          </w:p>
        </w:tc>
        <w:tc>
          <w:tcPr>
            <w:tcW w:w="0" w:type="dxa"/>
            <w:vAlign w:val="bottom"/>
          </w:tcPr>
          <w:p>
            <w:pPr>
              <w:spacing w:after="0"/>
              <w:rPr>
                <w:sz w:val="1"/>
                <w:szCs w:val="1"/>
                <w:color w:val="auto"/>
              </w:rPr>
            </w:pPr>
          </w:p>
        </w:tc>
      </w:tr>
      <w:tr>
        <w:trPr>
          <w:trHeight w:val="299"/>
        </w:trPr>
        <w:tc>
          <w:tcPr>
            <w:tcW w:w="1820" w:type="dxa"/>
            <w:vAlign w:val="bottom"/>
            <w:tcBorders>
              <w:bottom w:val="single" w:sz="8" w:color="auto"/>
            </w:tcBorders>
            <w:vMerge w:val="continue"/>
          </w:tcPr>
          <w:p>
            <w:pPr>
              <w:spacing w:after="0"/>
              <w:rPr>
                <w:sz w:val="24"/>
                <w:szCs w:val="24"/>
                <w:color w:val="auto"/>
              </w:rPr>
            </w:pPr>
          </w:p>
        </w:tc>
        <w:tc>
          <w:tcPr>
            <w:tcW w:w="1280" w:type="dxa"/>
            <w:vAlign w:val="bottom"/>
            <w:tcBorders>
              <w:bottom w:val="single" w:sz="8" w:color="auto"/>
            </w:tcBorders>
          </w:tcPr>
          <w:p>
            <w:pPr>
              <w:jc w:val="right"/>
              <w:ind w:right="22"/>
              <w:spacing w:after="0"/>
              <w:rPr>
                <w:sz w:val="20"/>
                <w:szCs w:val="20"/>
                <w:color w:val="auto"/>
              </w:rPr>
            </w:pPr>
            <w:r>
              <w:rPr>
                <w:rFonts w:ascii="Arial Narrow" w:cs="Arial Narrow" w:eastAsia="Arial Narrow" w:hAnsi="Arial Narrow"/>
                <w:sz w:val="18"/>
                <w:szCs w:val="18"/>
                <w:b w:val="1"/>
                <w:bCs w:val="1"/>
                <w:color w:val="auto"/>
              </w:rPr>
              <w:t xml:space="preserve">Capacity </w:t>
            </w:r>
            <w:r>
              <w:rPr>
                <w:rFonts w:ascii="Arial Narrow" w:cs="Arial Narrow" w:eastAsia="Arial Narrow" w:hAnsi="Arial Narrow"/>
                <w:sz w:val="24"/>
                <w:szCs w:val="24"/>
                <w:b w:val="1"/>
                <w:bCs w:val="1"/>
                <w:color w:val="auto"/>
                <w:vertAlign w:val="superscript"/>
              </w:rPr>
              <w:t>(1)</w:t>
            </w: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Narrow" w:cs="Arial Narrow" w:eastAsia="Arial Narrow" w:hAnsi="Arial Narrow"/>
                <w:sz w:val="18"/>
                <w:szCs w:val="18"/>
                <w:b w:val="1"/>
                <w:bCs w:val="1"/>
                <w:color w:val="auto"/>
              </w:rPr>
              <w:t>Capacity</w:t>
            </w:r>
          </w:p>
        </w:tc>
        <w:tc>
          <w:tcPr>
            <w:tcW w:w="3020" w:type="dxa"/>
            <w:vAlign w:val="bottom"/>
            <w:tcBorders>
              <w:bottom w:val="single" w:sz="8" w:color="auto"/>
            </w:tcBorders>
            <w:gridSpan w:val="2"/>
          </w:tcPr>
          <w:p>
            <w:pPr>
              <w:ind w:left="140"/>
              <w:spacing w:after="0"/>
              <w:rPr>
                <w:sz w:val="20"/>
                <w:szCs w:val="20"/>
                <w:color w:val="auto"/>
              </w:rPr>
            </w:pPr>
            <w:r>
              <w:rPr>
                <w:rFonts w:ascii="Arial Narrow" w:cs="Arial Narrow" w:eastAsia="Arial Narrow" w:hAnsi="Arial Narrow"/>
                <w:sz w:val="18"/>
                <w:szCs w:val="18"/>
                <w:b w:val="1"/>
                <w:bCs w:val="1"/>
                <w:color w:val="auto"/>
              </w:rPr>
              <w:t>Process</w:t>
            </w:r>
          </w:p>
        </w:tc>
        <w:tc>
          <w:tcPr>
            <w:tcW w:w="920" w:type="dxa"/>
            <w:vAlign w:val="bottom"/>
            <w:tcBorders>
              <w:bottom w:val="single" w:sz="8" w:color="auto"/>
            </w:tcBorders>
          </w:tcPr>
          <w:p>
            <w:pPr>
              <w:ind w:left="180"/>
              <w:spacing w:after="0"/>
              <w:rPr>
                <w:sz w:val="20"/>
                <w:szCs w:val="20"/>
                <w:color w:val="auto"/>
              </w:rPr>
            </w:pPr>
            <w:r>
              <w:rPr>
                <w:rFonts w:ascii="Arial Narrow" w:cs="Arial Narrow" w:eastAsia="Arial Narrow" w:hAnsi="Arial Narrow"/>
                <w:sz w:val="18"/>
                <w:szCs w:val="18"/>
                <w:b w:val="1"/>
                <w:bCs w:val="1"/>
                <w:color w:val="auto"/>
              </w:rPr>
              <w:t>of Kilns</w:t>
            </w:r>
          </w:p>
        </w:tc>
        <w:tc>
          <w:tcPr>
            <w:tcW w:w="1060" w:type="dxa"/>
            <w:vAlign w:val="bottom"/>
            <w:tcBorders>
              <w:bottom w:val="single" w:sz="8" w:color="auto"/>
            </w:tcBorders>
          </w:tcPr>
          <w:p>
            <w:pPr>
              <w:ind w:left="180"/>
              <w:spacing w:after="0"/>
              <w:rPr>
                <w:sz w:val="20"/>
                <w:szCs w:val="20"/>
                <w:color w:val="auto"/>
              </w:rPr>
            </w:pPr>
            <w:r>
              <w:rPr>
                <w:rFonts w:ascii="Arial Narrow" w:cs="Arial Narrow" w:eastAsia="Arial Narrow" w:hAnsi="Arial Narrow"/>
                <w:sz w:val="18"/>
                <w:szCs w:val="18"/>
                <w:b w:val="1"/>
                <w:bCs w:val="1"/>
                <w:color w:val="auto"/>
              </w:rPr>
              <w:t>Date</w:t>
            </w:r>
          </w:p>
        </w:tc>
        <w:tc>
          <w:tcPr>
            <w:tcW w:w="0" w:type="dxa"/>
            <w:vAlign w:val="bottom"/>
          </w:tcPr>
          <w:p>
            <w:pPr>
              <w:spacing w:after="0"/>
              <w:rPr>
                <w:sz w:val="1"/>
                <w:szCs w:val="1"/>
                <w:color w:val="auto"/>
              </w:rPr>
            </w:pPr>
          </w:p>
        </w:tc>
      </w:tr>
      <w:tr>
        <w:trPr>
          <w:trHeight w:val="344"/>
        </w:trPr>
        <w:tc>
          <w:tcPr>
            <w:tcW w:w="1820" w:type="dxa"/>
            <w:vAlign w:val="bottom"/>
          </w:tcPr>
          <w:p>
            <w:pPr>
              <w:spacing w:after="0"/>
              <w:rPr>
                <w:sz w:val="20"/>
                <w:szCs w:val="20"/>
                <w:color w:val="auto"/>
              </w:rPr>
            </w:pPr>
            <w:r>
              <w:rPr>
                <w:rFonts w:ascii="Arial Narrow" w:cs="Arial Narrow" w:eastAsia="Arial Narrow" w:hAnsi="Arial Narrow"/>
                <w:sz w:val="20"/>
                <w:szCs w:val="20"/>
                <w:b w:val="1"/>
                <w:bCs w:val="1"/>
                <w:color w:val="386CAD"/>
              </w:rPr>
              <w:t xml:space="preserve">Buda, TX </w:t>
            </w:r>
            <w:r>
              <w:rPr>
                <w:rFonts w:ascii="Arial Narrow" w:cs="Arial Narrow" w:eastAsia="Arial Narrow" w:hAnsi="Arial Narrow"/>
                <w:sz w:val="13"/>
                <w:szCs w:val="13"/>
                <w:b w:val="1"/>
                <w:bCs w:val="1"/>
                <w:color w:val="386CAD"/>
              </w:rPr>
              <w:t>(2)</w:t>
            </w:r>
          </w:p>
        </w:tc>
        <w:tc>
          <w:tcPr>
            <w:tcW w:w="1280" w:type="dxa"/>
            <w:vAlign w:val="bottom"/>
          </w:tcPr>
          <w:p>
            <w:pPr>
              <w:jc w:val="right"/>
              <w:ind w:right="22"/>
              <w:spacing w:after="0"/>
              <w:rPr>
                <w:sz w:val="20"/>
                <w:szCs w:val="20"/>
                <w:color w:val="auto"/>
              </w:rPr>
            </w:pPr>
            <w:r>
              <w:rPr>
                <w:rFonts w:ascii="Arial Narrow" w:cs="Arial Narrow" w:eastAsia="Arial Narrow" w:hAnsi="Arial Narrow"/>
                <w:sz w:val="20"/>
                <w:szCs w:val="20"/>
                <w:color w:val="auto"/>
              </w:rPr>
              <w:t>1,300</w:t>
            </w:r>
          </w:p>
        </w:tc>
        <w:tc>
          <w:tcPr>
            <w:tcW w:w="1260" w:type="dxa"/>
            <w:vAlign w:val="bottom"/>
            <w:gridSpan w:val="2"/>
          </w:tcPr>
          <w:p>
            <w:pPr>
              <w:jc w:val="right"/>
              <w:ind w:right="10"/>
              <w:spacing w:after="0"/>
              <w:rPr>
                <w:sz w:val="20"/>
                <w:szCs w:val="20"/>
                <w:color w:val="auto"/>
              </w:rPr>
            </w:pPr>
            <w:r>
              <w:rPr>
                <w:rFonts w:ascii="Arial Narrow" w:cs="Arial Narrow" w:eastAsia="Arial Narrow" w:hAnsi="Arial Narrow"/>
                <w:sz w:val="20"/>
                <w:szCs w:val="20"/>
                <w:color w:val="auto"/>
              </w:rPr>
              <w:t>1,435</w:t>
            </w:r>
          </w:p>
        </w:tc>
        <w:tc>
          <w:tcPr>
            <w:tcW w:w="3020" w:type="dxa"/>
            <w:vAlign w:val="bottom"/>
            <w:gridSpan w:val="2"/>
          </w:tcPr>
          <w:p>
            <w:pPr>
              <w:ind w:left="140"/>
              <w:spacing w:after="0"/>
              <w:rPr>
                <w:sz w:val="20"/>
                <w:szCs w:val="20"/>
                <w:color w:val="auto"/>
              </w:rPr>
            </w:pPr>
            <w:r>
              <w:rPr>
                <w:rFonts w:ascii="Arial Narrow" w:cs="Arial Narrow" w:eastAsia="Arial Narrow" w:hAnsi="Arial Narrow"/>
                <w:sz w:val="20"/>
                <w:szCs w:val="20"/>
                <w:color w:val="auto"/>
              </w:rPr>
              <w:t>Dry – 4 Stage Preheater/Pre-calciner</w:t>
            </w:r>
          </w:p>
        </w:tc>
        <w:tc>
          <w:tcPr>
            <w:tcW w:w="920" w:type="dxa"/>
            <w:vAlign w:val="bottom"/>
          </w:tcPr>
          <w:p>
            <w:pPr>
              <w:ind w:left="180"/>
              <w:spacing w:after="0"/>
              <w:rPr>
                <w:sz w:val="20"/>
                <w:szCs w:val="20"/>
                <w:color w:val="auto"/>
              </w:rPr>
            </w:pPr>
            <w:r>
              <w:rPr>
                <w:rFonts w:ascii="Arial Narrow" w:cs="Arial Narrow" w:eastAsia="Arial Narrow" w:hAnsi="Arial Narrow"/>
                <w:sz w:val="20"/>
                <w:szCs w:val="20"/>
                <w:color w:val="auto"/>
              </w:rPr>
              <w:t>1</w:t>
            </w:r>
          </w:p>
        </w:tc>
        <w:tc>
          <w:tcPr>
            <w:tcW w:w="1060" w:type="dxa"/>
            <w:vAlign w:val="bottom"/>
          </w:tcPr>
          <w:p>
            <w:pPr>
              <w:ind w:left="180"/>
              <w:spacing w:after="0"/>
              <w:rPr>
                <w:sz w:val="20"/>
                <w:szCs w:val="20"/>
                <w:color w:val="auto"/>
              </w:rPr>
            </w:pPr>
            <w:r>
              <w:rPr>
                <w:rFonts w:ascii="Arial Narrow" w:cs="Arial Narrow" w:eastAsia="Arial Narrow" w:hAnsi="Arial Narrow"/>
                <w:sz w:val="20"/>
                <w:szCs w:val="20"/>
                <w:color w:val="auto"/>
              </w:rPr>
              <w:t>1983</w:t>
            </w:r>
          </w:p>
        </w:tc>
        <w:tc>
          <w:tcPr>
            <w:tcW w:w="0" w:type="dxa"/>
            <w:vAlign w:val="bottom"/>
          </w:tcPr>
          <w:p>
            <w:pPr>
              <w:spacing w:after="0"/>
              <w:rPr>
                <w:sz w:val="1"/>
                <w:szCs w:val="1"/>
                <w:color w:val="auto"/>
              </w:rPr>
            </w:pPr>
          </w:p>
        </w:tc>
      </w:tr>
      <w:tr>
        <w:trPr>
          <w:trHeight w:val="65"/>
        </w:trPr>
        <w:tc>
          <w:tcPr>
            <w:tcW w:w="1820" w:type="dxa"/>
            <w:vAlign w:val="bottom"/>
            <w:tcBorders>
              <w:bottom w:val="single" w:sz="8" w:color="A6A6A6"/>
            </w:tcBorders>
          </w:tcPr>
          <w:p>
            <w:pPr>
              <w:spacing w:after="0"/>
              <w:rPr>
                <w:sz w:val="5"/>
                <w:szCs w:val="5"/>
                <w:color w:val="auto"/>
              </w:rPr>
            </w:pPr>
          </w:p>
        </w:tc>
        <w:tc>
          <w:tcPr>
            <w:tcW w:w="128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1120" w:type="dxa"/>
            <w:vAlign w:val="bottom"/>
            <w:tcBorders>
              <w:bottom w:val="single" w:sz="8" w:color="A6A6A6"/>
            </w:tcBorders>
          </w:tcPr>
          <w:p>
            <w:pPr>
              <w:spacing w:after="0"/>
              <w:rPr>
                <w:sz w:val="5"/>
                <w:szCs w:val="5"/>
                <w:color w:val="auto"/>
              </w:rPr>
            </w:pPr>
          </w:p>
        </w:tc>
        <w:tc>
          <w:tcPr>
            <w:tcW w:w="3020" w:type="dxa"/>
            <w:vAlign w:val="bottom"/>
            <w:tcBorders>
              <w:bottom w:val="single" w:sz="8" w:color="A6A6A6"/>
            </w:tcBorders>
            <w:gridSpan w:val="2"/>
          </w:tcPr>
          <w:p>
            <w:pPr>
              <w:spacing w:after="0"/>
              <w:rPr>
                <w:sz w:val="5"/>
                <w:szCs w:val="5"/>
                <w:color w:val="auto"/>
              </w:rPr>
            </w:pPr>
          </w:p>
        </w:tc>
        <w:tc>
          <w:tcPr>
            <w:tcW w:w="920" w:type="dxa"/>
            <w:vAlign w:val="bottom"/>
            <w:tcBorders>
              <w:bottom w:val="single" w:sz="8" w:color="A6A6A6"/>
            </w:tcBorders>
          </w:tcPr>
          <w:p>
            <w:pPr>
              <w:spacing w:after="0"/>
              <w:rPr>
                <w:sz w:val="5"/>
                <w:szCs w:val="5"/>
                <w:color w:val="auto"/>
              </w:rPr>
            </w:pPr>
          </w:p>
        </w:tc>
        <w:tc>
          <w:tcPr>
            <w:tcW w:w="106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1820" w:type="dxa"/>
            <w:vAlign w:val="bottom"/>
          </w:tcPr>
          <w:p>
            <w:pPr>
              <w:spacing w:after="0"/>
              <w:rPr>
                <w:sz w:val="20"/>
                <w:szCs w:val="20"/>
                <w:color w:val="auto"/>
              </w:rPr>
            </w:pPr>
            <w:r>
              <w:rPr>
                <w:rFonts w:ascii="Arial Narrow" w:cs="Arial Narrow" w:eastAsia="Arial Narrow" w:hAnsi="Arial Narrow"/>
                <w:sz w:val="20"/>
                <w:szCs w:val="20"/>
                <w:b w:val="1"/>
                <w:bCs w:val="1"/>
                <w:color w:val="386CAD"/>
              </w:rPr>
              <w:t>LaSalle, IL</w:t>
            </w:r>
          </w:p>
        </w:tc>
        <w:tc>
          <w:tcPr>
            <w:tcW w:w="1280" w:type="dxa"/>
            <w:vAlign w:val="bottom"/>
          </w:tcPr>
          <w:p>
            <w:pPr>
              <w:jc w:val="right"/>
              <w:ind w:right="22"/>
              <w:spacing w:after="0"/>
              <w:rPr>
                <w:sz w:val="20"/>
                <w:szCs w:val="20"/>
                <w:color w:val="auto"/>
              </w:rPr>
            </w:pPr>
            <w:r>
              <w:rPr>
                <w:rFonts w:ascii="Arial Narrow" w:cs="Arial Narrow" w:eastAsia="Arial Narrow" w:hAnsi="Arial Narrow"/>
                <w:sz w:val="20"/>
                <w:szCs w:val="20"/>
                <w:color w:val="auto"/>
              </w:rPr>
              <w:t>1,000</w:t>
            </w:r>
          </w:p>
        </w:tc>
        <w:tc>
          <w:tcPr>
            <w:tcW w:w="1260" w:type="dxa"/>
            <w:vAlign w:val="bottom"/>
            <w:gridSpan w:val="2"/>
          </w:tcPr>
          <w:p>
            <w:pPr>
              <w:jc w:val="right"/>
              <w:ind w:right="10"/>
              <w:spacing w:after="0"/>
              <w:rPr>
                <w:sz w:val="20"/>
                <w:szCs w:val="20"/>
                <w:color w:val="auto"/>
              </w:rPr>
            </w:pPr>
            <w:r>
              <w:rPr>
                <w:rFonts w:ascii="Arial Narrow" w:cs="Arial Narrow" w:eastAsia="Arial Narrow" w:hAnsi="Arial Narrow"/>
                <w:sz w:val="20"/>
                <w:szCs w:val="20"/>
                <w:color w:val="auto"/>
              </w:rPr>
              <w:t>1,100</w:t>
            </w:r>
          </w:p>
        </w:tc>
        <w:tc>
          <w:tcPr>
            <w:tcW w:w="3020" w:type="dxa"/>
            <w:vAlign w:val="bottom"/>
            <w:gridSpan w:val="2"/>
          </w:tcPr>
          <w:p>
            <w:pPr>
              <w:ind w:left="140"/>
              <w:spacing w:after="0"/>
              <w:rPr>
                <w:sz w:val="20"/>
                <w:szCs w:val="20"/>
                <w:color w:val="auto"/>
              </w:rPr>
            </w:pPr>
            <w:r>
              <w:rPr>
                <w:rFonts w:ascii="Arial Narrow" w:cs="Arial Narrow" w:eastAsia="Arial Narrow" w:hAnsi="Arial Narrow"/>
                <w:sz w:val="20"/>
                <w:szCs w:val="20"/>
                <w:color w:val="auto"/>
              </w:rPr>
              <w:t>Dry – 5 Stage Preheater/Pre-calciner</w:t>
            </w:r>
          </w:p>
        </w:tc>
        <w:tc>
          <w:tcPr>
            <w:tcW w:w="920" w:type="dxa"/>
            <w:vAlign w:val="bottom"/>
          </w:tcPr>
          <w:p>
            <w:pPr>
              <w:ind w:left="180"/>
              <w:spacing w:after="0"/>
              <w:rPr>
                <w:sz w:val="20"/>
                <w:szCs w:val="20"/>
                <w:color w:val="auto"/>
              </w:rPr>
            </w:pPr>
            <w:r>
              <w:rPr>
                <w:rFonts w:ascii="Arial Narrow" w:cs="Arial Narrow" w:eastAsia="Arial Narrow" w:hAnsi="Arial Narrow"/>
                <w:sz w:val="20"/>
                <w:szCs w:val="20"/>
                <w:color w:val="auto"/>
              </w:rPr>
              <w:t>1</w:t>
            </w:r>
          </w:p>
        </w:tc>
        <w:tc>
          <w:tcPr>
            <w:tcW w:w="1060" w:type="dxa"/>
            <w:vAlign w:val="bottom"/>
          </w:tcPr>
          <w:p>
            <w:pPr>
              <w:ind w:left="180"/>
              <w:spacing w:after="0"/>
              <w:rPr>
                <w:sz w:val="20"/>
                <w:szCs w:val="20"/>
                <w:color w:val="auto"/>
              </w:rPr>
            </w:pPr>
            <w:r>
              <w:rPr>
                <w:rFonts w:ascii="Arial Narrow" w:cs="Arial Narrow" w:eastAsia="Arial Narrow" w:hAnsi="Arial Narrow"/>
                <w:sz w:val="20"/>
                <w:szCs w:val="20"/>
                <w:color w:val="auto"/>
              </w:rPr>
              <w:t>2006</w:t>
            </w:r>
          </w:p>
        </w:tc>
        <w:tc>
          <w:tcPr>
            <w:tcW w:w="0" w:type="dxa"/>
            <w:vAlign w:val="bottom"/>
          </w:tcPr>
          <w:p>
            <w:pPr>
              <w:spacing w:after="0"/>
              <w:rPr>
                <w:sz w:val="1"/>
                <w:szCs w:val="1"/>
                <w:color w:val="auto"/>
              </w:rPr>
            </w:pPr>
          </w:p>
        </w:tc>
      </w:tr>
      <w:tr>
        <w:trPr>
          <w:trHeight w:val="65"/>
        </w:trPr>
        <w:tc>
          <w:tcPr>
            <w:tcW w:w="1820" w:type="dxa"/>
            <w:vAlign w:val="bottom"/>
            <w:tcBorders>
              <w:bottom w:val="single" w:sz="8" w:color="A6A6A6"/>
            </w:tcBorders>
          </w:tcPr>
          <w:p>
            <w:pPr>
              <w:spacing w:after="0"/>
              <w:rPr>
                <w:sz w:val="5"/>
                <w:szCs w:val="5"/>
                <w:color w:val="auto"/>
              </w:rPr>
            </w:pPr>
          </w:p>
        </w:tc>
        <w:tc>
          <w:tcPr>
            <w:tcW w:w="128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1120" w:type="dxa"/>
            <w:vAlign w:val="bottom"/>
            <w:tcBorders>
              <w:bottom w:val="single" w:sz="8" w:color="A6A6A6"/>
            </w:tcBorders>
          </w:tcPr>
          <w:p>
            <w:pPr>
              <w:spacing w:after="0"/>
              <w:rPr>
                <w:sz w:val="5"/>
                <w:szCs w:val="5"/>
                <w:color w:val="auto"/>
              </w:rPr>
            </w:pPr>
          </w:p>
        </w:tc>
        <w:tc>
          <w:tcPr>
            <w:tcW w:w="3020" w:type="dxa"/>
            <w:vAlign w:val="bottom"/>
            <w:tcBorders>
              <w:bottom w:val="single" w:sz="8" w:color="A6A6A6"/>
            </w:tcBorders>
            <w:gridSpan w:val="2"/>
          </w:tcPr>
          <w:p>
            <w:pPr>
              <w:spacing w:after="0"/>
              <w:rPr>
                <w:sz w:val="5"/>
                <w:szCs w:val="5"/>
                <w:color w:val="auto"/>
              </w:rPr>
            </w:pPr>
          </w:p>
        </w:tc>
        <w:tc>
          <w:tcPr>
            <w:tcW w:w="920" w:type="dxa"/>
            <w:vAlign w:val="bottom"/>
            <w:tcBorders>
              <w:bottom w:val="single" w:sz="8" w:color="A6A6A6"/>
            </w:tcBorders>
          </w:tcPr>
          <w:p>
            <w:pPr>
              <w:spacing w:after="0"/>
              <w:rPr>
                <w:sz w:val="5"/>
                <w:szCs w:val="5"/>
                <w:color w:val="auto"/>
              </w:rPr>
            </w:pPr>
          </w:p>
        </w:tc>
        <w:tc>
          <w:tcPr>
            <w:tcW w:w="106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1820" w:type="dxa"/>
            <w:vAlign w:val="bottom"/>
          </w:tcPr>
          <w:p>
            <w:pPr>
              <w:spacing w:after="0"/>
              <w:rPr>
                <w:sz w:val="20"/>
                <w:szCs w:val="20"/>
                <w:color w:val="auto"/>
              </w:rPr>
            </w:pPr>
            <w:r>
              <w:rPr>
                <w:rFonts w:ascii="Arial Narrow" w:cs="Arial Narrow" w:eastAsia="Arial Narrow" w:hAnsi="Arial Narrow"/>
                <w:sz w:val="20"/>
                <w:szCs w:val="20"/>
                <w:b w:val="1"/>
                <w:bCs w:val="1"/>
                <w:color w:val="386CAD"/>
              </w:rPr>
              <w:t>Sugar Creek, MO</w:t>
            </w:r>
          </w:p>
        </w:tc>
        <w:tc>
          <w:tcPr>
            <w:tcW w:w="1280" w:type="dxa"/>
            <w:vAlign w:val="bottom"/>
          </w:tcPr>
          <w:p>
            <w:pPr>
              <w:jc w:val="right"/>
              <w:ind w:right="22"/>
              <w:spacing w:after="0"/>
              <w:rPr>
                <w:sz w:val="20"/>
                <w:szCs w:val="20"/>
                <w:color w:val="auto"/>
              </w:rPr>
            </w:pPr>
            <w:r>
              <w:rPr>
                <w:rFonts w:ascii="Arial Narrow" w:cs="Arial Narrow" w:eastAsia="Arial Narrow" w:hAnsi="Arial Narrow"/>
                <w:sz w:val="20"/>
                <w:szCs w:val="20"/>
                <w:color w:val="auto"/>
              </w:rPr>
              <w:t>1,000</w:t>
            </w:r>
          </w:p>
        </w:tc>
        <w:tc>
          <w:tcPr>
            <w:tcW w:w="1260" w:type="dxa"/>
            <w:vAlign w:val="bottom"/>
            <w:gridSpan w:val="2"/>
          </w:tcPr>
          <w:p>
            <w:pPr>
              <w:jc w:val="right"/>
              <w:ind w:right="10"/>
              <w:spacing w:after="0"/>
              <w:rPr>
                <w:sz w:val="20"/>
                <w:szCs w:val="20"/>
                <w:color w:val="auto"/>
              </w:rPr>
            </w:pPr>
            <w:r>
              <w:rPr>
                <w:rFonts w:ascii="Arial Narrow" w:cs="Arial Narrow" w:eastAsia="Arial Narrow" w:hAnsi="Arial Narrow"/>
                <w:sz w:val="20"/>
                <w:szCs w:val="20"/>
                <w:color w:val="auto"/>
              </w:rPr>
              <w:t>1,300</w:t>
            </w:r>
          </w:p>
        </w:tc>
        <w:tc>
          <w:tcPr>
            <w:tcW w:w="3020" w:type="dxa"/>
            <w:vAlign w:val="bottom"/>
            <w:gridSpan w:val="2"/>
          </w:tcPr>
          <w:p>
            <w:pPr>
              <w:ind w:left="140"/>
              <w:spacing w:after="0"/>
              <w:rPr>
                <w:sz w:val="20"/>
                <w:szCs w:val="20"/>
                <w:color w:val="auto"/>
              </w:rPr>
            </w:pPr>
            <w:r>
              <w:rPr>
                <w:rFonts w:ascii="Arial Narrow" w:cs="Arial Narrow" w:eastAsia="Arial Narrow" w:hAnsi="Arial Narrow"/>
                <w:sz w:val="20"/>
                <w:szCs w:val="20"/>
                <w:color w:val="auto"/>
              </w:rPr>
              <w:t>Dry – 5 Stage Preheater/Pre-calciner</w:t>
            </w:r>
          </w:p>
        </w:tc>
        <w:tc>
          <w:tcPr>
            <w:tcW w:w="920" w:type="dxa"/>
            <w:vAlign w:val="bottom"/>
          </w:tcPr>
          <w:p>
            <w:pPr>
              <w:ind w:left="180"/>
              <w:spacing w:after="0"/>
              <w:rPr>
                <w:sz w:val="20"/>
                <w:szCs w:val="20"/>
                <w:color w:val="auto"/>
              </w:rPr>
            </w:pPr>
            <w:r>
              <w:rPr>
                <w:rFonts w:ascii="Arial Narrow" w:cs="Arial Narrow" w:eastAsia="Arial Narrow" w:hAnsi="Arial Narrow"/>
                <w:sz w:val="20"/>
                <w:szCs w:val="20"/>
                <w:color w:val="auto"/>
              </w:rPr>
              <w:t>1</w:t>
            </w:r>
          </w:p>
        </w:tc>
        <w:tc>
          <w:tcPr>
            <w:tcW w:w="1060" w:type="dxa"/>
            <w:vAlign w:val="bottom"/>
          </w:tcPr>
          <w:p>
            <w:pPr>
              <w:ind w:left="180"/>
              <w:spacing w:after="0"/>
              <w:rPr>
                <w:sz w:val="20"/>
                <w:szCs w:val="20"/>
                <w:color w:val="auto"/>
              </w:rPr>
            </w:pPr>
            <w:r>
              <w:rPr>
                <w:rFonts w:ascii="Arial Narrow" w:cs="Arial Narrow" w:eastAsia="Arial Narrow" w:hAnsi="Arial Narrow"/>
                <w:sz w:val="20"/>
                <w:szCs w:val="20"/>
                <w:color w:val="auto"/>
              </w:rPr>
              <w:t>2002</w:t>
            </w:r>
          </w:p>
        </w:tc>
        <w:tc>
          <w:tcPr>
            <w:tcW w:w="0" w:type="dxa"/>
            <w:vAlign w:val="bottom"/>
          </w:tcPr>
          <w:p>
            <w:pPr>
              <w:spacing w:after="0"/>
              <w:rPr>
                <w:sz w:val="1"/>
                <w:szCs w:val="1"/>
                <w:color w:val="auto"/>
              </w:rPr>
            </w:pPr>
          </w:p>
        </w:tc>
      </w:tr>
      <w:tr>
        <w:trPr>
          <w:trHeight w:val="65"/>
        </w:trPr>
        <w:tc>
          <w:tcPr>
            <w:tcW w:w="1820" w:type="dxa"/>
            <w:vAlign w:val="bottom"/>
            <w:tcBorders>
              <w:bottom w:val="single" w:sz="8" w:color="A6A6A6"/>
            </w:tcBorders>
          </w:tcPr>
          <w:p>
            <w:pPr>
              <w:spacing w:after="0"/>
              <w:rPr>
                <w:sz w:val="5"/>
                <w:szCs w:val="5"/>
                <w:color w:val="auto"/>
              </w:rPr>
            </w:pPr>
          </w:p>
        </w:tc>
        <w:tc>
          <w:tcPr>
            <w:tcW w:w="128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1120" w:type="dxa"/>
            <w:vAlign w:val="bottom"/>
            <w:tcBorders>
              <w:bottom w:val="single" w:sz="8" w:color="A6A6A6"/>
            </w:tcBorders>
          </w:tcPr>
          <w:p>
            <w:pPr>
              <w:spacing w:after="0"/>
              <w:rPr>
                <w:sz w:val="5"/>
                <w:szCs w:val="5"/>
                <w:color w:val="auto"/>
              </w:rPr>
            </w:pPr>
          </w:p>
        </w:tc>
        <w:tc>
          <w:tcPr>
            <w:tcW w:w="700" w:type="dxa"/>
            <w:vAlign w:val="bottom"/>
            <w:tcBorders>
              <w:bottom w:val="single" w:sz="8" w:color="A6A6A6"/>
            </w:tcBorders>
          </w:tcPr>
          <w:p>
            <w:pPr>
              <w:spacing w:after="0"/>
              <w:rPr>
                <w:sz w:val="5"/>
                <w:szCs w:val="5"/>
                <w:color w:val="auto"/>
              </w:rPr>
            </w:pPr>
          </w:p>
        </w:tc>
        <w:tc>
          <w:tcPr>
            <w:tcW w:w="2320" w:type="dxa"/>
            <w:vAlign w:val="bottom"/>
            <w:tcBorders>
              <w:bottom w:val="single" w:sz="8" w:color="A6A6A6"/>
            </w:tcBorders>
          </w:tcPr>
          <w:p>
            <w:pPr>
              <w:spacing w:after="0"/>
              <w:rPr>
                <w:sz w:val="5"/>
                <w:szCs w:val="5"/>
                <w:color w:val="auto"/>
              </w:rPr>
            </w:pPr>
          </w:p>
        </w:tc>
        <w:tc>
          <w:tcPr>
            <w:tcW w:w="920" w:type="dxa"/>
            <w:vAlign w:val="bottom"/>
            <w:tcBorders>
              <w:bottom w:val="single" w:sz="8" w:color="A6A6A6"/>
            </w:tcBorders>
          </w:tcPr>
          <w:p>
            <w:pPr>
              <w:spacing w:after="0"/>
              <w:rPr>
                <w:sz w:val="5"/>
                <w:szCs w:val="5"/>
                <w:color w:val="auto"/>
              </w:rPr>
            </w:pPr>
          </w:p>
        </w:tc>
        <w:tc>
          <w:tcPr>
            <w:tcW w:w="106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1820" w:type="dxa"/>
            <w:vAlign w:val="bottom"/>
          </w:tcPr>
          <w:p>
            <w:pPr>
              <w:spacing w:after="0"/>
              <w:rPr>
                <w:sz w:val="20"/>
                <w:szCs w:val="20"/>
                <w:color w:val="auto"/>
              </w:rPr>
            </w:pPr>
            <w:r>
              <w:rPr>
                <w:rFonts w:ascii="Arial Narrow" w:cs="Arial Narrow" w:eastAsia="Arial Narrow" w:hAnsi="Arial Narrow"/>
                <w:sz w:val="20"/>
                <w:szCs w:val="20"/>
                <w:b w:val="1"/>
                <w:bCs w:val="1"/>
                <w:color w:val="386CAD"/>
              </w:rPr>
              <w:t>Laramie, WY</w:t>
            </w:r>
          </w:p>
        </w:tc>
        <w:tc>
          <w:tcPr>
            <w:tcW w:w="1280" w:type="dxa"/>
            <w:vAlign w:val="bottom"/>
          </w:tcPr>
          <w:p>
            <w:pPr>
              <w:jc w:val="right"/>
              <w:ind w:right="22"/>
              <w:spacing w:after="0"/>
              <w:rPr>
                <w:sz w:val="20"/>
                <w:szCs w:val="20"/>
                <w:color w:val="auto"/>
              </w:rPr>
            </w:pPr>
            <w:r>
              <w:rPr>
                <w:rFonts w:ascii="Arial Narrow" w:cs="Arial Narrow" w:eastAsia="Arial Narrow" w:hAnsi="Arial Narrow"/>
                <w:sz w:val="20"/>
                <w:szCs w:val="20"/>
                <w:color w:val="auto"/>
              </w:rPr>
              <w:t>650</w:t>
            </w:r>
          </w:p>
        </w:tc>
        <w:tc>
          <w:tcPr>
            <w:tcW w:w="1260" w:type="dxa"/>
            <w:vAlign w:val="bottom"/>
            <w:gridSpan w:val="2"/>
          </w:tcPr>
          <w:p>
            <w:pPr>
              <w:jc w:val="right"/>
              <w:ind w:right="10"/>
              <w:spacing w:after="0"/>
              <w:rPr>
                <w:sz w:val="20"/>
                <w:szCs w:val="20"/>
                <w:color w:val="auto"/>
              </w:rPr>
            </w:pPr>
            <w:r>
              <w:rPr>
                <w:rFonts w:ascii="Arial Narrow" w:cs="Arial Narrow" w:eastAsia="Arial Narrow" w:hAnsi="Arial Narrow"/>
                <w:sz w:val="20"/>
                <w:szCs w:val="20"/>
                <w:color w:val="auto"/>
              </w:rPr>
              <w:t>800</w:t>
            </w:r>
          </w:p>
        </w:tc>
        <w:tc>
          <w:tcPr>
            <w:tcW w:w="700" w:type="dxa"/>
            <w:vAlign w:val="bottom"/>
          </w:tcPr>
          <w:p>
            <w:pPr>
              <w:ind w:left="140"/>
              <w:spacing w:after="0"/>
              <w:rPr>
                <w:sz w:val="20"/>
                <w:szCs w:val="20"/>
                <w:color w:val="auto"/>
              </w:rPr>
            </w:pPr>
            <w:r>
              <w:rPr>
                <w:rFonts w:ascii="Arial Narrow" w:cs="Arial Narrow" w:eastAsia="Arial Narrow" w:hAnsi="Arial Narrow"/>
                <w:sz w:val="20"/>
                <w:szCs w:val="20"/>
                <w:color w:val="auto"/>
              </w:rPr>
              <w:t>Dry – 2</w:t>
            </w:r>
          </w:p>
        </w:tc>
        <w:tc>
          <w:tcPr>
            <w:tcW w:w="2320" w:type="dxa"/>
            <w:vAlign w:val="bottom"/>
          </w:tcPr>
          <w:p>
            <w:pPr>
              <w:ind w:left="20"/>
              <w:spacing w:after="0"/>
              <w:rPr>
                <w:sz w:val="20"/>
                <w:szCs w:val="20"/>
                <w:color w:val="auto"/>
              </w:rPr>
            </w:pPr>
            <w:r>
              <w:rPr>
                <w:rFonts w:ascii="Arial Narrow" w:cs="Arial Narrow" w:eastAsia="Arial Narrow" w:hAnsi="Arial Narrow"/>
                <w:sz w:val="20"/>
                <w:szCs w:val="20"/>
                <w:color w:val="auto"/>
              </w:rPr>
              <w:t>Stage Preheater</w:t>
            </w:r>
          </w:p>
        </w:tc>
        <w:tc>
          <w:tcPr>
            <w:tcW w:w="920" w:type="dxa"/>
            <w:vAlign w:val="bottom"/>
          </w:tcPr>
          <w:p>
            <w:pPr>
              <w:ind w:left="180"/>
              <w:spacing w:after="0"/>
              <w:rPr>
                <w:sz w:val="20"/>
                <w:szCs w:val="20"/>
                <w:color w:val="auto"/>
              </w:rPr>
            </w:pPr>
            <w:r>
              <w:rPr>
                <w:rFonts w:ascii="Arial Narrow" w:cs="Arial Narrow" w:eastAsia="Arial Narrow" w:hAnsi="Arial Narrow"/>
                <w:sz w:val="20"/>
                <w:szCs w:val="20"/>
                <w:color w:val="auto"/>
              </w:rPr>
              <w:t>1</w:t>
            </w:r>
          </w:p>
        </w:tc>
        <w:tc>
          <w:tcPr>
            <w:tcW w:w="1060" w:type="dxa"/>
            <w:vAlign w:val="bottom"/>
          </w:tcPr>
          <w:p>
            <w:pPr>
              <w:ind w:left="180"/>
              <w:spacing w:after="0"/>
              <w:rPr>
                <w:sz w:val="20"/>
                <w:szCs w:val="20"/>
                <w:color w:val="auto"/>
              </w:rPr>
            </w:pPr>
            <w:r>
              <w:rPr>
                <w:rFonts w:ascii="Arial Narrow" w:cs="Arial Narrow" w:eastAsia="Arial Narrow" w:hAnsi="Arial Narrow"/>
                <w:sz w:val="20"/>
                <w:szCs w:val="20"/>
                <w:color w:val="auto"/>
              </w:rPr>
              <w:t>1988</w:t>
            </w:r>
          </w:p>
        </w:tc>
        <w:tc>
          <w:tcPr>
            <w:tcW w:w="0" w:type="dxa"/>
            <w:vAlign w:val="bottom"/>
          </w:tcPr>
          <w:p>
            <w:pPr>
              <w:spacing w:after="0"/>
              <w:rPr>
                <w:sz w:val="1"/>
                <w:szCs w:val="1"/>
                <w:color w:val="auto"/>
              </w:rPr>
            </w:pPr>
          </w:p>
        </w:tc>
      </w:tr>
      <w:tr>
        <w:trPr>
          <w:trHeight w:val="65"/>
        </w:trPr>
        <w:tc>
          <w:tcPr>
            <w:tcW w:w="1820" w:type="dxa"/>
            <w:vAlign w:val="bottom"/>
          </w:tcPr>
          <w:p>
            <w:pPr>
              <w:spacing w:after="0"/>
              <w:rPr>
                <w:sz w:val="5"/>
                <w:szCs w:val="5"/>
                <w:color w:val="auto"/>
              </w:rPr>
            </w:pPr>
          </w:p>
        </w:tc>
        <w:tc>
          <w:tcPr>
            <w:tcW w:w="128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1120" w:type="dxa"/>
            <w:vAlign w:val="bottom"/>
            <w:tcBorders>
              <w:bottom w:val="single" w:sz="8" w:color="A6A6A6"/>
            </w:tcBorders>
          </w:tcPr>
          <w:p>
            <w:pPr>
              <w:spacing w:after="0"/>
              <w:rPr>
                <w:sz w:val="5"/>
                <w:szCs w:val="5"/>
                <w:color w:val="auto"/>
              </w:rPr>
            </w:pPr>
          </w:p>
        </w:tc>
        <w:tc>
          <w:tcPr>
            <w:tcW w:w="3020" w:type="dxa"/>
            <w:vAlign w:val="bottom"/>
            <w:tcBorders>
              <w:bottom w:val="single" w:sz="8" w:color="A6A6A6"/>
            </w:tcBorders>
            <w:gridSpan w:val="2"/>
          </w:tcPr>
          <w:p>
            <w:pPr>
              <w:spacing w:after="0"/>
              <w:rPr>
                <w:sz w:val="5"/>
                <w:szCs w:val="5"/>
                <w:color w:val="auto"/>
              </w:rPr>
            </w:pPr>
          </w:p>
        </w:tc>
        <w:tc>
          <w:tcPr>
            <w:tcW w:w="920" w:type="dxa"/>
            <w:vAlign w:val="bottom"/>
            <w:tcBorders>
              <w:bottom w:val="single" w:sz="8" w:color="A6A6A6"/>
            </w:tcBorders>
          </w:tcPr>
          <w:p>
            <w:pPr>
              <w:spacing w:after="0"/>
              <w:rPr>
                <w:sz w:val="5"/>
                <w:szCs w:val="5"/>
                <w:color w:val="auto"/>
              </w:rPr>
            </w:pPr>
          </w:p>
        </w:tc>
        <w:tc>
          <w:tcPr>
            <w:tcW w:w="106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18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20" w:type="dxa"/>
            <w:vAlign w:val="bottom"/>
            <w:gridSpan w:val="2"/>
          </w:tcPr>
          <w:p>
            <w:pPr>
              <w:ind w:left="140"/>
              <w:spacing w:after="0"/>
              <w:rPr>
                <w:sz w:val="20"/>
                <w:szCs w:val="20"/>
                <w:color w:val="auto"/>
              </w:rPr>
            </w:pPr>
            <w:r>
              <w:rPr>
                <w:rFonts w:ascii="Arial Narrow" w:cs="Arial Narrow" w:eastAsia="Arial Narrow" w:hAnsi="Arial Narrow"/>
                <w:sz w:val="20"/>
                <w:szCs w:val="20"/>
                <w:color w:val="auto"/>
              </w:rPr>
              <w:t>Dry – Long Dry Kiln</w:t>
            </w:r>
          </w:p>
        </w:tc>
        <w:tc>
          <w:tcPr>
            <w:tcW w:w="920" w:type="dxa"/>
            <w:vAlign w:val="bottom"/>
          </w:tcPr>
          <w:p>
            <w:pPr>
              <w:ind w:left="180"/>
              <w:spacing w:after="0"/>
              <w:rPr>
                <w:sz w:val="20"/>
                <w:szCs w:val="20"/>
                <w:color w:val="auto"/>
              </w:rPr>
            </w:pPr>
            <w:r>
              <w:rPr>
                <w:rFonts w:ascii="Arial Narrow" w:cs="Arial Narrow" w:eastAsia="Arial Narrow" w:hAnsi="Arial Narrow"/>
                <w:sz w:val="20"/>
                <w:szCs w:val="20"/>
                <w:color w:val="auto"/>
              </w:rPr>
              <w:t>1</w:t>
            </w:r>
          </w:p>
        </w:tc>
        <w:tc>
          <w:tcPr>
            <w:tcW w:w="1060" w:type="dxa"/>
            <w:vAlign w:val="bottom"/>
          </w:tcPr>
          <w:p>
            <w:pPr>
              <w:ind w:left="180"/>
              <w:spacing w:after="0"/>
              <w:rPr>
                <w:sz w:val="20"/>
                <w:szCs w:val="20"/>
                <w:color w:val="auto"/>
              </w:rPr>
            </w:pPr>
            <w:r>
              <w:rPr>
                <w:rFonts w:ascii="Arial Narrow" w:cs="Arial Narrow" w:eastAsia="Arial Narrow" w:hAnsi="Arial Narrow"/>
                <w:sz w:val="20"/>
                <w:szCs w:val="20"/>
                <w:color w:val="auto"/>
              </w:rPr>
              <w:t>1996</w:t>
            </w:r>
          </w:p>
        </w:tc>
        <w:tc>
          <w:tcPr>
            <w:tcW w:w="0" w:type="dxa"/>
            <w:vAlign w:val="bottom"/>
          </w:tcPr>
          <w:p>
            <w:pPr>
              <w:spacing w:after="0"/>
              <w:rPr>
                <w:sz w:val="1"/>
                <w:szCs w:val="1"/>
                <w:color w:val="auto"/>
              </w:rPr>
            </w:pPr>
          </w:p>
        </w:tc>
      </w:tr>
      <w:tr>
        <w:trPr>
          <w:trHeight w:val="65"/>
        </w:trPr>
        <w:tc>
          <w:tcPr>
            <w:tcW w:w="1820" w:type="dxa"/>
            <w:vAlign w:val="bottom"/>
            <w:tcBorders>
              <w:bottom w:val="single" w:sz="8" w:color="A6A6A6"/>
            </w:tcBorders>
          </w:tcPr>
          <w:p>
            <w:pPr>
              <w:spacing w:after="0"/>
              <w:rPr>
                <w:sz w:val="5"/>
                <w:szCs w:val="5"/>
                <w:color w:val="auto"/>
              </w:rPr>
            </w:pPr>
          </w:p>
        </w:tc>
        <w:tc>
          <w:tcPr>
            <w:tcW w:w="128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1120" w:type="dxa"/>
            <w:vAlign w:val="bottom"/>
            <w:tcBorders>
              <w:bottom w:val="single" w:sz="8" w:color="A6A6A6"/>
            </w:tcBorders>
          </w:tcPr>
          <w:p>
            <w:pPr>
              <w:spacing w:after="0"/>
              <w:rPr>
                <w:sz w:val="5"/>
                <w:szCs w:val="5"/>
                <w:color w:val="auto"/>
              </w:rPr>
            </w:pPr>
          </w:p>
        </w:tc>
        <w:tc>
          <w:tcPr>
            <w:tcW w:w="3020" w:type="dxa"/>
            <w:vAlign w:val="bottom"/>
            <w:tcBorders>
              <w:bottom w:val="single" w:sz="8" w:color="A6A6A6"/>
            </w:tcBorders>
            <w:gridSpan w:val="2"/>
          </w:tcPr>
          <w:p>
            <w:pPr>
              <w:spacing w:after="0"/>
              <w:rPr>
                <w:sz w:val="5"/>
                <w:szCs w:val="5"/>
                <w:color w:val="auto"/>
              </w:rPr>
            </w:pPr>
          </w:p>
        </w:tc>
        <w:tc>
          <w:tcPr>
            <w:tcW w:w="920" w:type="dxa"/>
            <w:vAlign w:val="bottom"/>
            <w:tcBorders>
              <w:bottom w:val="single" w:sz="8" w:color="A6A6A6"/>
            </w:tcBorders>
          </w:tcPr>
          <w:p>
            <w:pPr>
              <w:spacing w:after="0"/>
              <w:rPr>
                <w:sz w:val="5"/>
                <w:szCs w:val="5"/>
                <w:color w:val="auto"/>
              </w:rPr>
            </w:pPr>
          </w:p>
        </w:tc>
        <w:tc>
          <w:tcPr>
            <w:tcW w:w="106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1820" w:type="dxa"/>
            <w:vAlign w:val="bottom"/>
          </w:tcPr>
          <w:p>
            <w:pPr>
              <w:spacing w:after="0"/>
              <w:rPr>
                <w:sz w:val="20"/>
                <w:szCs w:val="20"/>
                <w:color w:val="auto"/>
              </w:rPr>
            </w:pPr>
            <w:r>
              <w:rPr>
                <w:rFonts w:ascii="Arial Narrow" w:cs="Arial Narrow" w:eastAsia="Arial Narrow" w:hAnsi="Arial Narrow"/>
                <w:sz w:val="20"/>
                <w:szCs w:val="20"/>
                <w:b w:val="1"/>
                <w:bCs w:val="1"/>
                <w:color w:val="386CAD"/>
              </w:rPr>
              <w:t>Tulsa, OK</w:t>
            </w:r>
          </w:p>
        </w:tc>
        <w:tc>
          <w:tcPr>
            <w:tcW w:w="1280" w:type="dxa"/>
            <w:vAlign w:val="bottom"/>
          </w:tcPr>
          <w:p>
            <w:pPr>
              <w:jc w:val="right"/>
              <w:ind w:right="22"/>
              <w:spacing w:after="0"/>
              <w:rPr>
                <w:sz w:val="20"/>
                <w:szCs w:val="20"/>
                <w:color w:val="auto"/>
              </w:rPr>
            </w:pPr>
            <w:r>
              <w:rPr>
                <w:rFonts w:ascii="Arial Narrow" w:cs="Arial Narrow" w:eastAsia="Arial Narrow" w:hAnsi="Arial Narrow"/>
                <w:sz w:val="20"/>
                <w:szCs w:val="20"/>
                <w:color w:val="auto"/>
              </w:rPr>
              <w:t>600</w:t>
            </w:r>
          </w:p>
        </w:tc>
        <w:tc>
          <w:tcPr>
            <w:tcW w:w="1260" w:type="dxa"/>
            <w:vAlign w:val="bottom"/>
            <w:gridSpan w:val="2"/>
          </w:tcPr>
          <w:p>
            <w:pPr>
              <w:jc w:val="right"/>
              <w:ind w:right="10"/>
              <w:spacing w:after="0"/>
              <w:rPr>
                <w:sz w:val="20"/>
                <w:szCs w:val="20"/>
                <w:color w:val="auto"/>
              </w:rPr>
            </w:pPr>
            <w:r>
              <w:rPr>
                <w:rFonts w:ascii="Arial Narrow" w:cs="Arial Narrow" w:eastAsia="Arial Narrow" w:hAnsi="Arial Narrow"/>
                <w:sz w:val="20"/>
                <w:szCs w:val="20"/>
                <w:color w:val="auto"/>
              </w:rPr>
              <w:t>900</w:t>
            </w:r>
          </w:p>
        </w:tc>
        <w:tc>
          <w:tcPr>
            <w:tcW w:w="3020" w:type="dxa"/>
            <w:vAlign w:val="bottom"/>
            <w:gridSpan w:val="2"/>
          </w:tcPr>
          <w:p>
            <w:pPr>
              <w:ind w:left="140"/>
              <w:spacing w:after="0"/>
              <w:rPr>
                <w:sz w:val="20"/>
                <w:szCs w:val="20"/>
                <w:color w:val="auto"/>
              </w:rPr>
            </w:pPr>
            <w:r>
              <w:rPr>
                <w:rFonts w:ascii="Arial Narrow" w:cs="Arial Narrow" w:eastAsia="Arial Narrow" w:hAnsi="Arial Narrow"/>
                <w:sz w:val="20"/>
                <w:szCs w:val="20"/>
                <w:color w:val="auto"/>
              </w:rPr>
              <w:t>Dry – Long Dry Kiln</w:t>
            </w:r>
          </w:p>
        </w:tc>
        <w:tc>
          <w:tcPr>
            <w:tcW w:w="920" w:type="dxa"/>
            <w:vAlign w:val="bottom"/>
          </w:tcPr>
          <w:p>
            <w:pPr>
              <w:ind w:left="180"/>
              <w:spacing w:after="0"/>
              <w:rPr>
                <w:sz w:val="20"/>
                <w:szCs w:val="20"/>
                <w:color w:val="auto"/>
              </w:rPr>
            </w:pPr>
            <w:r>
              <w:rPr>
                <w:rFonts w:ascii="Arial Narrow" w:cs="Arial Narrow" w:eastAsia="Arial Narrow" w:hAnsi="Arial Narrow"/>
                <w:sz w:val="20"/>
                <w:szCs w:val="20"/>
                <w:color w:val="auto"/>
              </w:rPr>
              <w:t>1</w:t>
            </w:r>
          </w:p>
        </w:tc>
        <w:tc>
          <w:tcPr>
            <w:tcW w:w="1060" w:type="dxa"/>
            <w:vAlign w:val="bottom"/>
          </w:tcPr>
          <w:p>
            <w:pPr>
              <w:ind w:left="180"/>
              <w:spacing w:after="0"/>
              <w:rPr>
                <w:sz w:val="20"/>
                <w:szCs w:val="20"/>
                <w:color w:val="auto"/>
              </w:rPr>
            </w:pPr>
            <w:r>
              <w:rPr>
                <w:rFonts w:ascii="Arial Narrow" w:cs="Arial Narrow" w:eastAsia="Arial Narrow" w:hAnsi="Arial Narrow"/>
                <w:sz w:val="20"/>
                <w:szCs w:val="20"/>
                <w:color w:val="auto"/>
              </w:rPr>
              <w:t>1961</w:t>
            </w:r>
          </w:p>
        </w:tc>
        <w:tc>
          <w:tcPr>
            <w:tcW w:w="0" w:type="dxa"/>
            <w:vAlign w:val="bottom"/>
          </w:tcPr>
          <w:p>
            <w:pPr>
              <w:spacing w:after="0"/>
              <w:rPr>
                <w:sz w:val="1"/>
                <w:szCs w:val="1"/>
                <w:color w:val="auto"/>
              </w:rPr>
            </w:pPr>
          </w:p>
        </w:tc>
      </w:tr>
      <w:tr>
        <w:trPr>
          <w:trHeight w:val="65"/>
        </w:trPr>
        <w:tc>
          <w:tcPr>
            <w:tcW w:w="1820" w:type="dxa"/>
            <w:vAlign w:val="bottom"/>
          </w:tcPr>
          <w:p>
            <w:pPr>
              <w:spacing w:after="0"/>
              <w:rPr>
                <w:sz w:val="5"/>
                <w:szCs w:val="5"/>
                <w:color w:val="auto"/>
              </w:rPr>
            </w:pPr>
          </w:p>
        </w:tc>
        <w:tc>
          <w:tcPr>
            <w:tcW w:w="128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1120" w:type="dxa"/>
            <w:vAlign w:val="bottom"/>
            <w:tcBorders>
              <w:bottom w:val="single" w:sz="8" w:color="A6A6A6"/>
            </w:tcBorders>
          </w:tcPr>
          <w:p>
            <w:pPr>
              <w:spacing w:after="0"/>
              <w:rPr>
                <w:sz w:val="5"/>
                <w:szCs w:val="5"/>
                <w:color w:val="auto"/>
              </w:rPr>
            </w:pPr>
          </w:p>
        </w:tc>
        <w:tc>
          <w:tcPr>
            <w:tcW w:w="3020" w:type="dxa"/>
            <w:vAlign w:val="bottom"/>
            <w:tcBorders>
              <w:bottom w:val="single" w:sz="8" w:color="A6A6A6"/>
            </w:tcBorders>
            <w:gridSpan w:val="2"/>
          </w:tcPr>
          <w:p>
            <w:pPr>
              <w:spacing w:after="0"/>
              <w:rPr>
                <w:sz w:val="5"/>
                <w:szCs w:val="5"/>
                <w:color w:val="auto"/>
              </w:rPr>
            </w:pPr>
          </w:p>
        </w:tc>
        <w:tc>
          <w:tcPr>
            <w:tcW w:w="920" w:type="dxa"/>
            <w:vAlign w:val="bottom"/>
            <w:tcBorders>
              <w:bottom w:val="single" w:sz="8" w:color="A6A6A6"/>
            </w:tcBorders>
          </w:tcPr>
          <w:p>
            <w:pPr>
              <w:spacing w:after="0"/>
              <w:rPr>
                <w:sz w:val="5"/>
                <w:szCs w:val="5"/>
                <w:color w:val="auto"/>
              </w:rPr>
            </w:pPr>
          </w:p>
        </w:tc>
        <w:tc>
          <w:tcPr>
            <w:tcW w:w="106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55"/>
        </w:trPr>
        <w:tc>
          <w:tcPr>
            <w:tcW w:w="18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20" w:type="dxa"/>
            <w:vAlign w:val="bottom"/>
            <w:gridSpan w:val="2"/>
          </w:tcPr>
          <w:p>
            <w:pPr>
              <w:ind w:left="140"/>
              <w:spacing w:after="0" w:line="230" w:lineRule="exact"/>
              <w:rPr>
                <w:sz w:val="20"/>
                <w:szCs w:val="20"/>
                <w:color w:val="auto"/>
              </w:rPr>
            </w:pPr>
            <w:r>
              <w:rPr>
                <w:rFonts w:ascii="Arial Narrow" w:cs="Arial Narrow" w:eastAsia="Arial Narrow" w:hAnsi="Arial Narrow"/>
                <w:sz w:val="20"/>
                <w:szCs w:val="20"/>
                <w:color w:val="auto"/>
              </w:rPr>
              <w:t xml:space="preserve">Dry </w:t>
            </w:r>
            <w:r>
              <w:rPr>
                <w:rFonts w:ascii="MS Gothic" w:cs="MS Gothic" w:eastAsia="MS Gothic" w:hAnsi="MS Gothic"/>
                <w:sz w:val="20"/>
                <w:szCs w:val="20"/>
                <w:color w:val="auto"/>
              </w:rPr>
              <w:t>‒</w:t>
            </w:r>
            <w:r>
              <w:rPr>
                <w:rFonts w:ascii="Arial Narrow" w:cs="Arial Narrow" w:eastAsia="Arial Narrow" w:hAnsi="Arial Narrow"/>
                <w:sz w:val="20"/>
                <w:szCs w:val="20"/>
                <w:color w:val="auto"/>
              </w:rPr>
              <w:t xml:space="preserve"> Long Dry Kiln</w:t>
            </w:r>
          </w:p>
        </w:tc>
        <w:tc>
          <w:tcPr>
            <w:tcW w:w="920" w:type="dxa"/>
            <w:vAlign w:val="bottom"/>
          </w:tcPr>
          <w:p>
            <w:pPr>
              <w:ind w:left="180"/>
              <w:spacing w:after="0"/>
              <w:rPr>
                <w:sz w:val="20"/>
                <w:szCs w:val="20"/>
                <w:color w:val="auto"/>
              </w:rPr>
            </w:pPr>
            <w:r>
              <w:rPr>
                <w:rFonts w:ascii="Arial Narrow" w:cs="Arial Narrow" w:eastAsia="Arial Narrow" w:hAnsi="Arial Narrow"/>
                <w:sz w:val="20"/>
                <w:szCs w:val="20"/>
                <w:color w:val="auto"/>
              </w:rPr>
              <w:t>1</w:t>
            </w:r>
          </w:p>
        </w:tc>
        <w:tc>
          <w:tcPr>
            <w:tcW w:w="1060" w:type="dxa"/>
            <w:vAlign w:val="bottom"/>
          </w:tcPr>
          <w:p>
            <w:pPr>
              <w:ind w:left="180"/>
              <w:spacing w:after="0"/>
              <w:rPr>
                <w:sz w:val="20"/>
                <w:szCs w:val="20"/>
                <w:color w:val="auto"/>
              </w:rPr>
            </w:pPr>
            <w:r>
              <w:rPr>
                <w:rFonts w:ascii="Arial Narrow" w:cs="Arial Narrow" w:eastAsia="Arial Narrow" w:hAnsi="Arial Narrow"/>
                <w:sz w:val="20"/>
                <w:szCs w:val="20"/>
                <w:color w:val="auto"/>
              </w:rPr>
              <w:t>1964</w:t>
            </w:r>
          </w:p>
        </w:tc>
        <w:tc>
          <w:tcPr>
            <w:tcW w:w="0" w:type="dxa"/>
            <w:vAlign w:val="bottom"/>
          </w:tcPr>
          <w:p>
            <w:pPr>
              <w:spacing w:after="0"/>
              <w:rPr>
                <w:sz w:val="1"/>
                <w:szCs w:val="1"/>
                <w:color w:val="auto"/>
              </w:rPr>
            </w:pPr>
          </w:p>
        </w:tc>
      </w:tr>
      <w:tr>
        <w:trPr>
          <w:trHeight w:val="80"/>
        </w:trPr>
        <w:tc>
          <w:tcPr>
            <w:tcW w:w="1820" w:type="dxa"/>
            <w:vAlign w:val="bottom"/>
            <w:tcBorders>
              <w:bottom w:val="single" w:sz="8" w:color="A6A6A6"/>
            </w:tcBorders>
          </w:tcPr>
          <w:p>
            <w:pPr>
              <w:spacing w:after="0"/>
              <w:rPr>
                <w:sz w:val="6"/>
                <w:szCs w:val="6"/>
                <w:color w:val="auto"/>
              </w:rPr>
            </w:pPr>
          </w:p>
        </w:tc>
        <w:tc>
          <w:tcPr>
            <w:tcW w:w="1280" w:type="dxa"/>
            <w:vAlign w:val="bottom"/>
            <w:tcBorders>
              <w:bottom w:val="single" w:sz="8" w:color="A6A6A6"/>
            </w:tcBorders>
          </w:tcPr>
          <w:p>
            <w:pPr>
              <w:spacing w:after="0"/>
              <w:rPr>
                <w:sz w:val="6"/>
                <w:szCs w:val="6"/>
                <w:color w:val="auto"/>
              </w:rPr>
            </w:pPr>
          </w:p>
        </w:tc>
        <w:tc>
          <w:tcPr>
            <w:tcW w:w="140" w:type="dxa"/>
            <w:vAlign w:val="bottom"/>
            <w:tcBorders>
              <w:bottom w:val="single" w:sz="8" w:color="A6A6A6"/>
            </w:tcBorders>
          </w:tcPr>
          <w:p>
            <w:pPr>
              <w:spacing w:after="0"/>
              <w:rPr>
                <w:sz w:val="6"/>
                <w:szCs w:val="6"/>
                <w:color w:val="auto"/>
              </w:rPr>
            </w:pPr>
          </w:p>
        </w:tc>
        <w:tc>
          <w:tcPr>
            <w:tcW w:w="1120" w:type="dxa"/>
            <w:vAlign w:val="bottom"/>
            <w:tcBorders>
              <w:bottom w:val="single" w:sz="8" w:color="A6A6A6"/>
            </w:tcBorders>
          </w:tcPr>
          <w:p>
            <w:pPr>
              <w:spacing w:after="0"/>
              <w:rPr>
                <w:sz w:val="6"/>
                <w:szCs w:val="6"/>
                <w:color w:val="auto"/>
              </w:rPr>
            </w:pPr>
          </w:p>
        </w:tc>
        <w:tc>
          <w:tcPr>
            <w:tcW w:w="3020" w:type="dxa"/>
            <w:vAlign w:val="bottom"/>
            <w:tcBorders>
              <w:bottom w:val="single" w:sz="8" w:color="A6A6A6"/>
            </w:tcBorders>
            <w:gridSpan w:val="2"/>
          </w:tcPr>
          <w:p>
            <w:pPr>
              <w:spacing w:after="0"/>
              <w:rPr>
                <w:sz w:val="6"/>
                <w:szCs w:val="6"/>
                <w:color w:val="auto"/>
              </w:rPr>
            </w:pPr>
          </w:p>
        </w:tc>
        <w:tc>
          <w:tcPr>
            <w:tcW w:w="920" w:type="dxa"/>
            <w:vAlign w:val="bottom"/>
            <w:tcBorders>
              <w:bottom w:val="single" w:sz="8" w:color="A6A6A6"/>
            </w:tcBorders>
          </w:tcPr>
          <w:p>
            <w:pPr>
              <w:spacing w:after="0"/>
              <w:rPr>
                <w:sz w:val="6"/>
                <w:szCs w:val="6"/>
                <w:color w:val="auto"/>
              </w:rPr>
            </w:pPr>
          </w:p>
        </w:tc>
        <w:tc>
          <w:tcPr>
            <w:tcW w:w="1060" w:type="dxa"/>
            <w:vAlign w:val="bottom"/>
            <w:tcBorders>
              <w:bottom w:val="single" w:sz="8" w:color="A6A6A6"/>
            </w:tcBorders>
          </w:tcPr>
          <w:p>
            <w:pPr>
              <w:spacing w:after="0"/>
              <w:rPr>
                <w:sz w:val="6"/>
                <w:szCs w:val="6"/>
                <w:color w:val="auto"/>
              </w:rPr>
            </w:pPr>
          </w:p>
        </w:tc>
        <w:tc>
          <w:tcPr>
            <w:tcW w:w="0" w:type="dxa"/>
            <w:vAlign w:val="bottom"/>
          </w:tcPr>
          <w:p>
            <w:pPr>
              <w:spacing w:after="0"/>
              <w:rPr>
                <w:sz w:val="1"/>
                <w:szCs w:val="1"/>
                <w:color w:val="auto"/>
              </w:rPr>
            </w:pPr>
          </w:p>
        </w:tc>
      </w:tr>
      <w:tr>
        <w:trPr>
          <w:trHeight w:val="339"/>
        </w:trPr>
        <w:tc>
          <w:tcPr>
            <w:tcW w:w="1820" w:type="dxa"/>
            <w:vAlign w:val="bottom"/>
          </w:tcPr>
          <w:p>
            <w:pPr>
              <w:spacing w:after="0"/>
              <w:rPr>
                <w:sz w:val="20"/>
                <w:szCs w:val="20"/>
                <w:color w:val="auto"/>
              </w:rPr>
            </w:pPr>
            <w:r>
              <w:rPr>
                <w:rFonts w:ascii="Arial Narrow" w:cs="Arial Narrow" w:eastAsia="Arial Narrow" w:hAnsi="Arial Narrow"/>
                <w:sz w:val="20"/>
                <w:szCs w:val="20"/>
                <w:b w:val="1"/>
                <w:bCs w:val="1"/>
                <w:color w:val="386CAD"/>
              </w:rPr>
              <w:t>Fernley, NV</w:t>
            </w:r>
          </w:p>
        </w:tc>
        <w:tc>
          <w:tcPr>
            <w:tcW w:w="1280" w:type="dxa"/>
            <w:vAlign w:val="bottom"/>
          </w:tcPr>
          <w:p>
            <w:pPr>
              <w:jc w:val="right"/>
              <w:ind w:right="22"/>
              <w:spacing w:after="0"/>
              <w:rPr>
                <w:sz w:val="20"/>
                <w:szCs w:val="20"/>
                <w:color w:val="auto"/>
              </w:rPr>
            </w:pPr>
            <w:r>
              <w:rPr>
                <w:rFonts w:ascii="Arial Narrow" w:cs="Arial Narrow" w:eastAsia="Arial Narrow" w:hAnsi="Arial Narrow"/>
                <w:sz w:val="20"/>
                <w:szCs w:val="20"/>
                <w:color w:val="auto"/>
              </w:rPr>
              <w:t>500</w:t>
            </w:r>
          </w:p>
        </w:tc>
        <w:tc>
          <w:tcPr>
            <w:tcW w:w="1260" w:type="dxa"/>
            <w:vAlign w:val="bottom"/>
            <w:gridSpan w:val="2"/>
          </w:tcPr>
          <w:p>
            <w:pPr>
              <w:jc w:val="right"/>
              <w:ind w:right="10"/>
              <w:spacing w:after="0"/>
              <w:rPr>
                <w:sz w:val="20"/>
                <w:szCs w:val="20"/>
                <w:color w:val="auto"/>
              </w:rPr>
            </w:pPr>
            <w:r>
              <w:rPr>
                <w:rFonts w:ascii="Arial Narrow" w:cs="Arial Narrow" w:eastAsia="Arial Narrow" w:hAnsi="Arial Narrow"/>
                <w:sz w:val="20"/>
                <w:szCs w:val="20"/>
                <w:color w:val="auto"/>
              </w:rPr>
              <w:t>550</w:t>
            </w:r>
          </w:p>
        </w:tc>
        <w:tc>
          <w:tcPr>
            <w:tcW w:w="3020" w:type="dxa"/>
            <w:vAlign w:val="bottom"/>
            <w:gridSpan w:val="2"/>
          </w:tcPr>
          <w:p>
            <w:pPr>
              <w:ind w:left="140"/>
              <w:spacing w:after="0"/>
              <w:rPr>
                <w:sz w:val="20"/>
                <w:szCs w:val="20"/>
                <w:color w:val="auto"/>
              </w:rPr>
            </w:pPr>
            <w:r>
              <w:rPr>
                <w:rFonts w:ascii="Arial Narrow" w:cs="Arial Narrow" w:eastAsia="Arial Narrow" w:hAnsi="Arial Narrow"/>
                <w:sz w:val="20"/>
                <w:szCs w:val="20"/>
                <w:color w:val="auto"/>
              </w:rPr>
              <w:t>Dry – Long Dry Kiln</w:t>
            </w:r>
          </w:p>
        </w:tc>
        <w:tc>
          <w:tcPr>
            <w:tcW w:w="920" w:type="dxa"/>
            <w:vAlign w:val="bottom"/>
          </w:tcPr>
          <w:p>
            <w:pPr>
              <w:ind w:left="180"/>
              <w:spacing w:after="0"/>
              <w:rPr>
                <w:sz w:val="20"/>
                <w:szCs w:val="20"/>
                <w:color w:val="auto"/>
              </w:rPr>
            </w:pPr>
            <w:r>
              <w:rPr>
                <w:rFonts w:ascii="Arial Narrow" w:cs="Arial Narrow" w:eastAsia="Arial Narrow" w:hAnsi="Arial Narrow"/>
                <w:sz w:val="20"/>
                <w:szCs w:val="20"/>
                <w:color w:val="auto"/>
              </w:rPr>
              <w:t>1</w:t>
            </w:r>
          </w:p>
        </w:tc>
        <w:tc>
          <w:tcPr>
            <w:tcW w:w="1060" w:type="dxa"/>
            <w:vAlign w:val="bottom"/>
          </w:tcPr>
          <w:p>
            <w:pPr>
              <w:ind w:left="180"/>
              <w:spacing w:after="0"/>
              <w:rPr>
                <w:sz w:val="20"/>
                <w:szCs w:val="20"/>
                <w:color w:val="auto"/>
              </w:rPr>
            </w:pPr>
            <w:r>
              <w:rPr>
                <w:rFonts w:ascii="Arial Narrow" w:cs="Arial Narrow" w:eastAsia="Arial Narrow" w:hAnsi="Arial Narrow"/>
                <w:sz w:val="20"/>
                <w:szCs w:val="20"/>
                <w:color w:val="auto"/>
              </w:rPr>
              <w:t>1964</w:t>
            </w:r>
          </w:p>
        </w:tc>
        <w:tc>
          <w:tcPr>
            <w:tcW w:w="0" w:type="dxa"/>
            <w:vAlign w:val="bottom"/>
          </w:tcPr>
          <w:p>
            <w:pPr>
              <w:spacing w:after="0"/>
              <w:rPr>
                <w:sz w:val="1"/>
                <w:szCs w:val="1"/>
                <w:color w:val="auto"/>
              </w:rPr>
            </w:pPr>
          </w:p>
        </w:tc>
      </w:tr>
      <w:tr>
        <w:trPr>
          <w:trHeight w:val="65"/>
        </w:trPr>
        <w:tc>
          <w:tcPr>
            <w:tcW w:w="1820" w:type="dxa"/>
            <w:vAlign w:val="bottom"/>
          </w:tcPr>
          <w:p>
            <w:pPr>
              <w:spacing w:after="0"/>
              <w:rPr>
                <w:sz w:val="5"/>
                <w:szCs w:val="5"/>
                <w:color w:val="auto"/>
              </w:rPr>
            </w:pPr>
          </w:p>
        </w:tc>
        <w:tc>
          <w:tcPr>
            <w:tcW w:w="128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1120" w:type="dxa"/>
            <w:vAlign w:val="bottom"/>
            <w:tcBorders>
              <w:bottom w:val="single" w:sz="8" w:color="A6A6A6"/>
            </w:tcBorders>
          </w:tcPr>
          <w:p>
            <w:pPr>
              <w:spacing w:after="0"/>
              <w:rPr>
                <w:sz w:val="5"/>
                <w:szCs w:val="5"/>
                <w:color w:val="auto"/>
              </w:rPr>
            </w:pPr>
          </w:p>
        </w:tc>
        <w:tc>
          <w:tcPr>
            <w:tcW w:w="700" w:type="dxa"/>
            <w:vAlign w:val="bottom"/>
            <w:tcBorders>
              <w:bottom w:val="single" w:sz="8" w:color="A6A6A6"/>
            </w:tcBorders>
          </w:tcPr>
          <w:p>
            <w:pPr>
              <w:spacing w:after="0"/>
              <w:rPr>
                <w:sz w:val="5"/>
                <w:szCs w:val="5"/>
                <w:color w:val="auto"/>
              </w:rPr>
            </w:pPr>
          </w:p>
        </w:tc>
        <w:tc>
          <w:tcPr>
            <w:tcW w:w="2320" w:type="dxa"/>
            <w:vAlign w:val="bottom"/>
            <w:tcBorders>
              <w:bottom w:val="single" w:sz="8" w:color="A6A6A6"/>
            </w:tcBorders>
          </w:tcPr>
          <w:p>
            <w:pPr>
              <w:spacing w:after="0"/>
              <w:rPr>
                <w:sz w:val="5"/>
                <w:szCs w:val="5"/>
                <w:color w:val="auto"/>
              </w:rPr>
            </w:pPr>
          </w:p>
        </w:tc>
        <w:tc>
          <w:tcPr>
            <w:tcW w:w="920" w:type="dxa"/>
            <w:vAlign w:val="bottom"/>
            <w:tcBorders>
              <w:bottom w:val="single" w:sz="8" w:color="A6A6A6"/>
            </w:tcBorders>
          </w:tcPr>
          <w:p>
            <w:pPr>
              <w:spacing w:after="0"/>
              <w:rPr>
                <w:sz w:val="5"/>
                <w:szCs w:val="5"/>
                <w:color w:val="auto"/>
              </w:rPr>
            </w:pPr>
          </w:p>
        </w:tc>
        <w:tc>
          <w:tcPr>
            <w:tcW w:w="106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18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ind w:left="140"/>
              <w:spacing w:after="0"/>
              <w:rPr>
                <w:sz w:val="20"/>
                <w:szCs w:val="20"/>
                <w:color w:val="auto"/>
              </w:rPr>
            </w:pPr>
            <w:r>
              <w:rPr>
                <w:rFonts w:ascii="Arial Narrow" w:cs="Arial Narrow" w:eastAsia="Arial Narrow" w:hAnsi="Arial Narrow"/>
                <w:sz w:val="20"/>
                <w:szCs w:val="20"/>
                <w:color w:val="auto"/>
              </w:rPr>
              <w:t>Dry – 1</w:t>
            </w:r>
          </w:p>
        </w:tc>
        <w:tc>
          <w:tcPr>
            <w:tcW w:w="2320" w:type="dxa"/>
            <w:vAlign w:val="bottom"/>
          </w:tcPr>
          <w:p>
            <w:pPr>
              <w:ind w:left="20"/>
              <w:spacing w:after="0"/>
              <w:rPr>
                <w:sz w:val="20"/>
                <w:szCs w:val="20"/>
                <w:color w:val="auto"/>
              </w:rPr>
            </w:pPr>
            <w:r>
              <w:rPr>
                <w:rFonts w:ascii="Arial Narrow" w:cs="Arial Narrow" w:eastAsia="Arial Narrow" w:hAnsi="Arial Narrow"/>
                <w:sz w:val="20"/>
                <w:szCs w:val="20"/>
                <w:color w:val="auto"/>
              </w:rPr>
              <w:t>Stage Preheater</w:t>
            </w:r>
          </w:p>
        </w:tc>
        <w:tc>
          <w:tcPr>
            <w:tcW w:w="920" w:type="dxa"/>
            <w:vAlign w:val="bottom"/>
          </w:tcPr>
          <w:p>
            <w:pPr>
              <w:ind w:left="180"/>
              <w:spacing w:after="0"/>
              <w:rPr>
                <w:sz w:val="20"/>
                <w:szCs w:val="20"/>
                <w:color w:val="auto"/>
              </w:rPr>
            </w:pPr>
            <w:r>
              <w:rPr>
                <w:rFonts w:ascii="Arial Narrow" w:cs="Arial Narrow" w:eastAsia="Arial Narrow" w:hAnsi="Arial Narrow"/>
                <w:sz w:val="20"/>
                <w:szCs w:val="20"/>
                <w:color w:val="auto"/>
              </w:rPr>
              <w:t>1</w:t>
            </w:r>
          </w:p>
        </w:tc>
        <w:tc>
          <w:tcPr>
            <w:tcW w:w="1060" w:type="dxa"/>
            <w:vAlign w:val="bottom"/>
          </w:tcPr>
          <w:p>
            <w:pPr>
              <w:ind w:left="180"/>
              <w:spacing w:after="0"/>
              <w:rPr>
                <w:sz w:val="20"/>
                <w:szCs w:val="20"/>
                <w:color w:val="auto"/>
              </w:rPr>
            </w:pPr>
            <w:r>
              <w:rPr>
                <w:rFonts w:ascii="Arial Narrow" w:cs="Arial Narrow" w:eastAsia="Arial Narrow" w:hAnsi="Arial Narrow"/>
                <w:sz w:val="20"/>
                <w:szCs w:val="20"/>
                <w:color w:val="auto"/>
              </w:rPr>
              <w:t>1969</w:t>
            </w:r>
          </w:p>
        </w:tc>
        <w:tc>
          <w:tcPr>
            <w:tcW w:w="0" w:type="dxa"/>
            <w:vAlign w:val="bottom"/>
          </w:tcPr>
          <w:p>
            <w:pPr>
              <w:spacing w:after="0"/>
              <w:rPr>
                <w:sz w:val="1"/>
                <w:szCs w:val="1"/>
                <w:color w:val="auto"/>
              </w:rPr>
            </w:pPr>
          </w:p>
        </w:tc>
      </w:tr>
      <w:tr>
        <w:trPr>
          <w:trHeight w:val="65"/>
        </w:trPr>
        <w:tc>
          <w:tcPr>
            <w:tcW w:w="1820" w:type="dxa"/>
            <w:vAlign w:val="bottom"/>
            <w:tcBorders>
              <w:bottom w:val="single" w:sz="8" w:color="A6A6A6"/>
            </w:tcBorders>
          </w:tcPr>
          <w:p>
            <w:pPr>
              <w:spacing w:after="0"/>
              <w:rPr>
                <w:sz w:val="5"/>
                <w:szCs w:val="5"/>
                <w:color w:val="auto"/>
              </w:rPr>
            </w:pPr>
          </w:p>
        </w:tc>
        <w:tc>
          <w:tcPr>
            <w:tcW w:w="128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1120" w:type="dxa"/>
            <w:vAlign w:val="bottom"/>
            <w:tcBorders>
              <w:bottom w:val="single" w:sz="8" w:color="A6A6A6"/>
            </w:tcBorders>
          </w:tcPr>
          <w:p>
            <w:pPr>
              <w:spacing w:after="0"/>
              <w:rPr>
                <w:sz w:val="5"/>
                <w:szCs w:val="5"/>
                <w:color w:val="auto"/>
              </w:rPr>
            </w:pPr>
          </w:p>
        </w:tc>
        <w:tc>
          <w:tcPr>
            <w:tcW w:w="700" w:type="dxa"/>
            <w:vAlign w:val="bottom"/>
            <w:tcBorders>
              <w:bottom w:val="single" w:sz="8" w:color="A6A6A6"/>
            </w:tcBorders>
          </w:tcPr>
          <w:p>
            <w:pPr>
              <w:spacing w:after="0"/>
              <w:rPr>
                <w:sz w:val="5"/>
                <w:szCs w:val="5"/>
                <w:color w:val="auto"/>
              </w:rPr>
            </w:pPr>
          </w:p>
        </w:tc>
        <w:tc>
          <w:tcPr>
            <w:tcW w:w="2320" w:type="dxa"/>
            <w:vAlign w:val="bottom"/>
            <w:tcBorders>
              <w:bottom w:val="single" w:sz="8" w:color="A6A6A6"/>
            </w:tcBorders>
          </w:tcPr>
          <w:p>
            <w:pPr>
              <w:spacing w:after="0"/>
              <w:rPr>
                <w:sz w:val="5"/>
                <w:szCs w:val="5"/>
                <w:color w:val="auto"/>
              </w:rPr>
            </w:pPr>
          </w:p>
        </w:tc>
        <w:tc>
          <w:tcPr>
            <w:tcW w:w="920" w:type="dxa"/>
            <w:vAlign w:val="bottom"/>
            <w:tcBorders>
              <w:bottom w:val="single" w:sz="8" w:color="A6A6A6"/>
            </w:tcBorders>
          </w:tcPr>
          <w:p>
            <w:pPr>
              <w:spacing w:after="0"/>
              <w:rPr>
                <w:sz w:val="5"/>
                <w:szCs w:val="5"/>
                <w:color w:val="auto"/>
              </w:rPr>
            </w:pPr>
          </w:p>
        </w:tc>
        <w:tc>
          <w:tcPr>
            <w:tcW w:w="106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1820" w:type="dxa"/>
            <w:vAlign w:val="bottom"/>
          </w:tcPr>
          <w:p>
            <w:pPr>
              <w:spacing w:after="0"/>
              <w:rPr>
                <w:sz w:val="20"/>
                <w:szCs w:val="20"/>
                <w:color w:val="auto"/>
              </w:rPr>
            </w:pPr>
            <w:r>
              <w:rPr>
                <w:rFonts w:ascii="Arial Narrow" w:cs="Arial Narrow" w:eastAsia="Arial Narrow" w:hAnsi="Arial Narrow"/>
                <w:sz w:val="20"/>
                <w:szCs w:val="20"/>
                <w:b w:val="1"/>
                <w:bCs w:val="1"/>
                <w:color w:val="386CAD"/>
              </w:rPr>
              <w:t>Louisville, KY</w:t>
            </w:r>
          </w:p>
        </w:tc>
        <w:tc>
          <w:tcPr>
            <w:tcW w:w="1280" w:type="dxa"/>
            <w:vAlign w:val="bottom"/>
          </w:tcPr>
          <w:p>
            <w:pPr>
              <w:jc w:val="right"/>
              <w:ind w:right="22"/>
              <w:spacing w:after="0"/>
              <w:rPr>
                <w:sz w:val="20"/>
                <w:szCs w:val="20"/>
                <w:color w:val="auto"/>
              </w:rPr>
            </w:pPr>
            <w:r>
              <w:rPr>
                <w:rFonts w:ascii="Arial Narrow" w:cs="Arial Narrow" w:eastAsia="Arial Narrow" w:hAnsi="Arial Narrow"/>
                <w:sz w:val="20"/>
                <w:szCs w:val="20"/>
                <w:color w:val="auto"/>
              </w:rPr>
              <w:t>1,550</w:t>
            </w:r>
          </w:p>
        </w:tc>
        <w:tc>
          <w:tcPr>
            <w:tcW w:w="1260" w:type="dxa"/>
            <w:vAlign w:val="bottom"/>
            <w:gridSpan w:val="2"/>
          </w:tcPr>
          <w:p>
            <w:pPr>
              <w:jc w:val="right"/>
              <w:ind w:right="10"/>
              <w:spacing w:after="0"/>
              <w:rPr>
                <w:sz w:val="20"/>
                <w:szCs w:val="20"/>
                <w:color w:val="auto"/>
              </w:rPr>
            </w:pPr>
            <w:r>
              <w:rPr>
                <w:rFonts w:ascii="Arial Narrow" w:cs="Arial Narrow" w:eastAsia="Arial Narrow" w:hAnsi="Arial Narrow"/>
                <w:sz w:val="20"/>
                <w:szCs w:val="20"/>
                <w:color w:val="auto"/>
              </w:rPr>
              <w:t>1,800</w:t>
            </w:r>
          </w:p>
        </w:tc>
        <w:tc>
          <w:tcPr>
            <w:tcW w:w="700" w:type="dxa"/>
            <w:vAlign w:val="bottom"/>
          </w:tcPr>
          <w:p>
            <w:pPr>
              <w:ind w:left="140"/>
              <w:spacing w:after="0"/>
              <w:rPr>
                <w:sz w:val="20"/>
                <w:szCs w:val="20"/>
                <w:color w:val="auto"/>
              </w:rPr>
            </w:pPr>
            <w:r>
              <w:rPr>
                <w:rFonts w:ascii="Arial Narrow" w:cs="Arial Narrow" w:eastAsia="Arial Narrow" w:hAnsi="Arial Narrow"/>
                <w:sz w:val="20"/>
                <w:szCs w:val="20"/>
                <w:color w:val="auto"/>
              </w:rPr>
              <w:t>Dry – 4</w:t>
            </w:r>
          </w:p>
        </w:tc>
        <w:tc>
          <w:tcPr>
            <w:tcW w:w="2320" w:type="dxa"/>
            <w:vAlign w:val="bottom"/>
          </w:tcPr>
          <w:p>
            <w:pPr>
              <w:ind w:left="20"/>
              <w:spacing w:after="0"/>
              <w:rPr>
                <w:sz w:val="20"/>
                <w:szCs w:val="20"/>
                <w:color w:val="auto"/>
              </w:rPr>
            </w:pPr>
            <w:r>
              <w:rPr>
                <w:rFonts w:ascii="Arial Narrow" w:cs="Arial Narrow" w:eastAsia="Arial Narrow" w:hAnsi="Arial Narrow"/>
                <w:sz w:val="20"/>
                <w:szCs w:val="20"/>
                <w:color w:val="auto"/>
              </w:rPr>
              <w:t>Stage Preheater/Pre-calciner</w:t>
            </w:r>
          </w:p>
        </w:tc>
        <w:tc>
          <w:tcPr>
            <w:tcW w:w="920" w:type="dxa"/>
            <w:vAlign w:val="bottom"/>
          </w:tcPr>
          <w:p>
            <w:pPr>
              <w:ind w:left="180"/>
              <w:spacing w:after="0"/>
              <w:rPr>
                <w:sz w:val="20"/>
                <w:szCs w:val="20"/>
                <w:color w:val="auto"/>
              </w:rPr>
            </w:pPr>
            <w:r>
              <w:rPr>
                <w:rFonts w:ascii="Arial Narrow" w:cs="Arial Narrow" w:eastAsia="Arial Narrow" w:hAnsi="Arial Narrow"/>
                <w:sz w:val="20"/>
                <w:szCs w:val="20"/>
                <w:color w:val="auto"/>
              </w:rPr>
              <w:t>1</w:t>
            </w:r>
          </w:p>
        </w:tc>
        <w:tc>
          <w:tcPr>
            <w:tcW w:w="1060" w:type="dxa"/>
            <w:vAlign w:val="bottom"/>
          </w:tcPr>
          <w:p>
            <w:pPr>
              <w:ind w:left="180"/>
              <w:spacing w:after="0"/>
              <w:rPr>
                <w:sz w:val="20"/>
                <w:szCs w:val="20"/>
                <w:color w:val="auto"/>
              </w:rPr>
            </w:pPr>
            <w:r>
              <w:rPr>
                <w:rFonts w:ascii="Arial Narrow" w:cs="Arial Narrow" w:eastAsia="Arial Narrow" w:hAnsi="Arial Narrow"/>
                <w:sz w:val="20"/>
                <w:szCs w:val="20"/>
                <w:color w:val="auto"/>
              </w:rPr>
              <w:t>1999</w:t>
            </w:r>
          </w:p>
        </w:tc>
        <w:tc>
          <w:tcPr>
            <w:tcW w:w="0" w:type="dxa"/>
            <w:vAlign w:val="bottom"/>
          </w:tcPr>
          <w:p>
            <w:pPr>
              <w:spacing w:after="0"/>
              <w:rPr>
                <w:sz w:val="1"/>
                <w:szCs w:val="1"/>
                <w:color w:val="auto"/>
              </w:rPr>
            </w:pPr>
          </w:p>
        </w:tc>
      </w:tr>
      <w:tr>
        <w:trPr>
          <w:trHeight w:val="65"/>
        </w:trPr>
        <w:tc>
          <w:tcPr>
            <w:tcW w:w="1820" w:type="dxa"/>
            <w:vAlign w:val="bottom"/>
            <w:tcBorders>
              <w:bottom w:val="single" w:sz="8" w:color="A6A6A6"/>
            </w:tcBorders>
          </w:tcPr>
          <w:p>
            <w:pPr>
              <w:spacing w:after="0"/>
              <w:rPr>
                <w:sz w:val="5"/>
                <w:szCs w:val="5"/>
                <w:color w:val="auto"/>
              </w:rPr>
            </w:pPr>
          </w:p>
        </w:tc>
        <w:tc>
          <w:tcPr>
            <w:tcW w:w="128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1120" w:type="dxa"/>
            <w:vAlign w:val="bottom"/>
            <w:tcBorders>
              <w:bottom w:val="single" w:sz="8" w:color="A6A6A6"/>
            </w:tcBorders>
          </w:tcPr>
          <w:p>
            <w:pPr>
              <w:spacing w:after="0"/>
              <w:rPr>
                <w:sz w:val="5"/>
                <w:szCs w:val="5"/>
                <w:color w:val="auto"/>
              </w:rPr>
            </w:pPr>
          </w:p>
        </w:tc>
        <w:tc>
          <w:tcPr>
            <w:tcW w:w="700" w:type="dxa"/>
            <w:vAlign w:val="bottom"/>
            <w:tcBorders>
              <w:bottom w:val="single" w:sz="8" w:color="A6A6A6"/>
            </w:tcBorders>
          </w:tcPr>
          <w:p>
            <w:pPr>
              <w:spacing w:after="0"/>
              <w:rPr>
                <w:sz w:val="5"/>
                <w:szCs w:val="5"/>
                <w:color w:val="auto"/>
              </w:rPr>
            </w:pPr>
          </w:p>
        </w:tc>
        <w:tc>
          <w:tcPr>
            <w:tcW w:w="2320" w:type="dxa"/>
            <w:vAlign w:val="bottom"/>
            <w:tcBorders>
              <w:bottom w:val="single" w:sz="8" w:color="A6A6A6"/>
            </w:tcBorders>
          </w:tcPr>
          <w:p>
            <w:pPr>
              <w:spacing w:after="0"/>
              <w:rPr>
                <w:sz w:val="5"/>
                <w:szCs w:val="5"/>
                <w:color w:val="auto"/>
              </w:rPr>
            </w:pPr>
          </w:p>
        </w:tc>
        <w:tc>
          <w:tcPr>
            <w:tcW w:w="920" w:type="dxa"/>
            <w:vAlign w:val="bottom"/>
            <w:tcBorders>
              <w:bottom w:val="single" w:sz="8" w:color="A6A6A6"/>
            </w:tcBorders>
          </w:tcPr>
          <w:p>
            <w:pPr>
              <w:spacing w:after="0"/>
              <w:rPr>
                <w:sz w:val="5"/>
                <w:szCs w:val="5"/>
                <w:color w:val="auto"/>
              </w:rPr>
            </w:pPr>
          </w:p>
        </w:tc>
        <w:tc>
          <w:tcPr>
            <w:tcW w:w="106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1820" w:type="dxa"/>
            <w:vAlign w:val="bottom"/>
          </w:tcPr>
          <w:p>
            <w:pPr>
              <w:spacing w:after="0"/>
              <w:rPr>
                <w:sz w:val="20"/>
                <w:szCs w:val="20"/>
                <w:color w:val="auto"/>
              </w:rPr>
            </w:pPr>
            <w:r>
              <w:rPr>
                <w:rFonts w:ascii="Arial Narrow" w:cs="Arial Narrow" w:eastAsia="Arial Narrow" w:hAnsi="Arial Narrow"/>
                <w:sz w:val="20"/>
                <w:szCs w:val="20"/>
                <w:b w:val="1"/>
                <w:bCs w:val="1"/>
                <w:color w:val="386CAD"/>
              </w:rPr>
              <w:t>Fairborn, OH</w:t>
            </w:r>
          </w:p>
        </w:tc>
        <w:tc>
          <w:tcPr>
            <w:tcW w:w="1280" w:type="dxa"/>
            <w:vAlign w:val="bottom"/>
          </w:tcPr>
          <w:p>
            <w:pPr>
              <w:jc w:val="right"/>
              <w:ind w:right="22"/>
              <w:spacing w:after="0"/>
              <w:rPr>
                <w:sz w:val="20"/>
                <w:szCs w:val="20"/>
                <w:color w:val="auto"/>
              </w:rPr>
            </w:pPr>
            <w:r>
              <w:rPr>
                <w:rFonts w:ascii="Arial Narrow" w:cs="Arial Narrow" w:eastAsia="Arial Narrow" w:hAnsi="Arial Narrow"/>
                <w:sz w:val="20"/>
                <w:szCs w:val="20"/>
                <w:color w:val="auto"/>
              </w:rPr>
              <w:t>730</w:t>
            </w:r>
          </w:p>
        </w:tc>
        <w:tc>
          <w:tcPr>
            <w:tcW w:w="1260" w:type="dxa"/>
            <w:vAlign w:val="bottom"/>
            <w:gridSpan w:val="2"/>
          </w:tcPr>
          <w:p>
            <w:pPr>
              <w:jc w:val="right"/>
              <w:ind w:right="10"/>
              <w:spacing w:after="0"/>
              <w:rPr>
                <w:sz w:val="20"/>
                <w:szCs w:val="20"/>
                <w:color w:val="auto"/>
              </w:rPr>
            </w:pPr>
            <w:r>
              <w:rPr>
                <w:rFonts w:ascii="Arial Narrow" w:cs="Arial Narrow" w:eastAsia="Arial Narrow" w:hAnsi="Arial Narrow"/>
                <w:sz w:val="20"/>
                <w:szCs w:val="20"/>
                <w:color w:val="auto"/>
              </w:rPr>
              <w:t>980</w:t>
            </w:r>
          </w:p>
        </w:tc>
        <w:tc>
          <w:tcPr>
            <w:tcW w:w="700" w:type="dxa"/>
            <w:vAlign w:val="bottom"/>
          </w:tcPr>
          <w:p>
            <w:pPr>
              <w:ind w:left="140"/>
              <w:spacing w:after="0"/>
              <w:rPr>
                <w:sz w:val="20"/>
                <w:szCs w:val="20"/>
                <w:color w:val="auto"/>
              </w:rPr>
            </w:pPr>
            <w:r>
              <w:rPr>
                <w:rFonts w:ascii="Arial Narrow" w:cs="Arial Narrow" w:eastAsia="Arial Narrow" w:hAnsi="Arial Narrow"/>
                <w:sz w:val="20"/>
                <w:szCs w:val="20"/>
                <w:color w:val="auto"/>
              </w:rPr>
              <w:t>Dry – 4</w:t>
            </w:r>
          </w:p>
        </w:tc>
        <w:tc>
          <w:tcPr>
            <w:tcW w:w="2320" w:type="dxa"/>
            <w:vAlign w:val="bottom"/>
          </w:tcPr>
          <w:p>
            <w:pPr>
              <w:ind w:left="20"/>
              <w:spacing w:after="0"/>
              <w:rPr>
                <w:sz w:val="20"/>
                <w:szCs w:val="20"/>
                <w:color w:val="auto"/>
              </w:rPr>
            </w:pPr>
            <w:r>
              <w:rPr>
                <w:rFonts w:ascii="Arial Narrow" w:cs="Arial Narrow" w:eastAsia="Arial Narrow" w:hAnsi="Arial Narrow"/>
                <w:sz w:val="20"/>
                <w:szCs w:val="20"/>
                <w:color w:val="auto"/>
              </w:rPr>
              <w:t>Stage Preheater</w:t>
            </w:r>
          </w:p>
        </w:tc>
        <w:tc>
          <w:tcPr>
            <w:tcW w:w="920" w:type="dxa"/>
            <w:vAlign w:val="bottom"/>
          </w:tcPr>
          <w:p>
            <w:pPr>
              <w:ind w:left="180"/>
              <w:spacing w:after="0"/>
              <w:rPr>
                <w:sz w:val="20"/>
                <w:szCs w:val="20"/>
                <w:color w:val="auto"/>
              </w:rPr>
            </w:pPr>
            <w:r>
              <w:rPr>
                <w:rFonts w:ascii="Arial Narrow" w:cs="Arial Narrow" w:eastAsia="Arial Narrow" w:hAnsi="Arial Narrow"/>
                <w:sz w:val="20"/>
                <w:szCs w:val="20"/>
                <w:color w:val="auto"/>
              </w:rPr>
              <w:t>1</w:t>
            </w:r>
          </w:p>
        </w:tc>
        <w:tc>
          <w:tcPr>
            <w:tcW w:w="1060" w:type="dxa"/>
            <w:vAlign w:val="bottom"/>
          </w:tcPr>
          <w:p>
            <w:pPr>
              <w:ind w:left="180"/>
              <w:spacing w:after="0"/>
              <w:rPr>
                <w:sz w:val="20"/>
                <w:szCs w:val="20"/>
                <w:color w:val="auto"/>
              </w:rPr>
            </w:pPr>
            <w:r>
              <w:rPr>
                <w:rFonts w:ascii="Arial Narrow" w:cs="Arial Narrow" w:eastAsia="Arial Narrow" w:hAnsi="Arial Narrow"/>
                <w:sz w:val="20"/>
                <w:szCs w:val="20"/>
                <w:color w:val="auto"/>
              </w:rPr>
              <w:t>1974</w:t>
            </w:r>
          </w:p>
        </w:tc>
        <w:tc>
          <w:tcPr>
            <w:tcW w:w="0" w:type="dxa"/>
            <w:vAlign w:val="bottom"/>
          </w:tcPr>
          <w:p>
            <w:pPr>
              <w:spacing w:after="0"/>
              <w:rPr>
                <w:sz w:val="1"/>
                <w:szCs w:val="1"/>
                <w:color w:val="auto"/>
              </w:rPr>
            </w:pPr>
          </w:p>
        </w:tc>
      </w:tr>
      <w:tr>
        <w:trPr>
          <w:trHeight w:val="90"/>
        </w:trPr>
        <w:tc>
          <w:tcPr>
            <w:tcW w:w="1820" w:type="dxa"/>
            <w:vAlign w:val="bottom"/>
            <w:tcBorders>
              <w:bottom w:val="single" w:sz="8" w:color="A6A6A6"/>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700" w:type="dxa"/>
            <w:vAlign w:val="bottom"/>
            <w:tcBorders>
              <w:bottom w:val="single" w:sz="8" w:color="A6A6A6"/>
            </w:tcBorders>
          </w:tcPr>
          <w:p>
            <w:pPr>
              <w:spacing w:after="0"/>
              <w:rPr>
                <w:sz w:val="7"/>
                <w:szCs w:val="7"/>
                <w:color w:val="auto"/>
              </w:rPr>
            </w:pPr>
          </w:p>
        </w:tc>
        <w:tc>
          <w:tcPr>
            <w:tcW w:w="2320" w:type="dxa"/>
            <w:vAlign w:val="bottom"/>
            <w:tcBorders>
              <w:bottom w:val="single" w:sz="8" w:color="A6A6A6"/>
            </w:tcBorders>
          </w:tcPr>
          <w:p>
            <w:pPr>
              <w:spacing w:after="0"/>
              <w:rPr>
                <w:sz w:val="7"/>
                <w:szCs w:val="7"/>
                <w:color w:val="auto"/>
              </w:rPr>
            </w:pPr>
          </w:p>
        </w:tc>
        <w:tc>
          <w:tcPr>
            <w:tcW w:w="920" w:type="dxa"/>
            <w:vAlign w:val="bottom"/>
            <w:tcBorders>
              <w:bottom w:val="single" w:sz="8" w:color="A6A6A6"/>
            </w:tcBorders>
          </w:tcPr>
          <w:p>
            <w:pPr>
              <w:spacing w:after="0"/>
              <w:rPr>
                <w:sz w:val="7"/>
                <w:szCs w:val="7"/>
                <w:color w:val="auto"/>
              </w:rPr>
            </w:pPr>
          </w:p>
        </w:tc>
        <w:tc>
          <w:tcPr>
            <w:tcW w:w="1060" w:type="dxa"/>
            <w:vAlign w:val="bottom"/>
            <w:tcBorders>
              <w:bottom w:val="single" w:sz="8" w:color="A6A6A6"/>
            </w:tcBorders>
          </w:tcPr>
          <w:p>
            <w:pPr>
              <w:spacing w:after="0"/>
              <w:rPr>
                <w:sz w:val="7"/>
                <w:szCs w:val="7"/>
                <w:color w:val="auto"/>
              </w:rPr>
            </w:pPr>
          </w:p>
        </w:tc>
        <w:tc>
          <w:tcPr>
            <w:tcW w:w="0" w:type="dxa"/>
            <w:vAlign w:val="bottom"/>
          </w:tcPr>
          <w:p>
            <w:pPr>
              <w:spacing w:after="0"/>
              <w:rPr>
                <w:sz w:val="1"/>
                <w:szCs w:val="1"/>
                <w:color w:val="auto"/>
              </w:rPr>
            </w:pPr>
          </w:p>
        </w:tc>
      </w:tr>
      <w:tr>
        <w:trPr>
          <w:trHeight w:val="344"/>
        </w:trPr>
        <w:tc>
          <w:tcPr>
            <w:tcW w:w="1820" w:type="dxa"/>
            <w:vAlign w:val="bottom"/>
          </w:tcPr>
          <w:p>
            <w:pPr>
              <w:spacing w:after="0"/>
              <w:rPr>
                <w:sz w:val="20"/>
                <w:szCs w:val="20"/>
                <w:color w:val="auto"/>
              </w:rPr>
            </w:pPr>
            <w:r>
              <w:rPr>
                <w:rFonts w:ascii="Arial Narrow" w:cs="Arial Narrow" w:eastAsia="Arial Narrow" w:hAnsi="Arial Narrow"/>
                <w:sz w:val="20"/>
                <w:szCs w:val="20"/>
                <w:b w:val="1"/>
                <w:bCs w:val="1"/>
                <w:color w:val="386CAD"/>
              </w:rPr>
              <w:t>Total Gross</w:t>
            </w:r>
          </w:p>
        </w:tc>
        <w:tc>
          <w:tcPr>
            <w:tcW w:w="1280" w:type="dxa"/>
            <w:vAlign w:val="bottom"/>
          </w:tcPr>
          <w:p>
            <w:pPr>
              <w:jc w:val="right"/>
              <w:ind w:right="22"/>
              <w:spacing w:after="0"/>
              <w:rPr>
                <w:sz w:val="20"/>
                <w:szCs w:val="20"/>
                <w:color w:val="auto"/>
              </w:rPr>
            </w:pPr>
            <w:r>
              <w:rPr>
                <w:rFonts w:ascii="Arial Narrow" w:cs="Arial Narrow" w:eastAsia="Arial Narrow" w:hAnsi="Arial Narrow"/>
                <w:sz w:val="20"/>
                <w:szCs w:val="20"/>
                <w:color w:val="auto"/>
              </w:rPr>
              <w:t>7,330</w:t>
            </w:r>
          </w:p>
        </w:tc>
        <w:tc>
          <w:tcPr>
            <w:tcW w:w="1260" w:type="dxa"/>
            <w:vAlign w:val="bottom"/>
            <w:gridSpan w:val="2"/>
          </w:tcPr>
          <w:p>
            <w:pPr>
              <w:jc w:val="right"/>
              <w:ind w:right="10"/>
              <w:spacing w:after="0"/>
              <w:rPr>
                <w:sz w:val="20"/>
                <w:szCs w:val="20"/>
                <w:color w:val="auto"/>
              </w:rPr>
            </w:pPr>
            <w:r>
              <w:rPr>
                <w:rFonts w:ascii="Arial Narrow" w:cs="Arial Narrow" w:eastAsia="Arial Narrow" w:hAnsi="Arial Narrow"/>
                <w:sz w:val="20"/>
                <w:szCs w:val="20"/>
                <w:color w:val="auto"/>
              </w:rPr>
              <w:t>8,865</w:t>
            </w:r>
          </w:p>
        </w:tc>
        <w:tc>
          <w:tcPr>
            <w:tcW w:w="7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820" w:type="dxa"/>
            <w:vAlign w:val="bottom"/>
            <w:tcBorders>
              <w:bottom w:val="single" w:sz="8" w:color="A6A6A6"/>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700" w:type="dxa"/>
            <w:vAlign w:val="bottom"/>
            <w:tcBorders>
              <w:bottom w:val="single" w:sz="8" w:color="A6A6A6"/>
            </w:tcBorders>
          </w:tcPr>
          <w:p>
            <w:pPr>
              <w:spacing w:after="0"/>
              <w:rPr>
                <w:sz w:val="7"/>
                <w:szCs w:val="7"/>
                <w:color w:val="auto"/>
              </w:rPr>
            </w:pPr>
          </w:p>
        </w:tc>
        <w:tc>
          <w:tcPr>
            <w:tcW w:w="2320" w:type="dxa"/>
            <w:vAlign w:val="bottom"/>
            <w:tcBorders>
              <w:bottom w:val="single" w:sz="8" w:color="A6A6A6"/>
            </w:tcBorders>
          </w:tcPr>
          <w:p>
            <w:pPr>
              <w:spacing w:after="0"/>
              <w:rPr>
                <w:sz w:val="7"/>
                <w:szCs w:val="7"/>
                <w:color w:val="auto"/>
              </w:rPr>
            </w:pPr>
          </w:p>
        </w:tc>
        <w:tc>
          <w:tcPr>
            <w:tcW w:w="920" w:type="dxa"/>
            <w:vAlign w:val="bottom"/>
            <w:tcBorders>
              <w:bottom w:val="single" w:sz="8" w:color="A6A6A6"/>
            </w:tcBorders>
          </w:tcPr>
          <w:p>
            <w:pPr>
              <w:spacing w:after="0"/>
              <w:rPr>
                <w:sz w:val="7"/>
                <w:szCs w:val="7"/>
                <w:color w:val="auto"/>
              </w:rPr>
            </w:pPr>
          </w:p>
        </w:tc>
        <w:tc>
          <w:tcPr>
            <w:tcW w:w="1060" w:type="dxa"/>
            <w:vAlign w:val="bottom"/>
            <w:tcBorders>
              <w:bottom w:val="single" w:sz="8" w:color="A6A6A6"/>
            </w:tcBorders>
          </w:tcPr>
          <w:p>
            <w:pPr>
              <w:spacing w:after="0"/>
              <w:rPr>
                <w:sz w:val="7"/>
                <w:szCs w:val="7"/>
                <w:color w:val="auto"/>
              </w:rPr>
            </w:pPr>
          </w:p>
        </w:tc>
        <w:tc>
          <w:tcPr>
            <w:tcW w:w="0" w:type="dxa"/>
            <w:vAlign w:val="bottom"/>
          </w:tcPr>
          <w:p>
            <w:pPr>
              <w:spacing w:after="0"/>
              <w:rPr>
                <w:sz w:val="1"/>
                <w:szCs w:val="1"/>
                <w:color w:val="auto"/>
              </w:rPr>
            </w:pPr>
          </w:p>
        </w:tc>
      </w:tr>
      <w:tr>
        <w:trPr>
          <w:trHeight w:val="344"/>
        </w:trPr>
        <w:tc>
          <w:tcPr>
            <w:tcW w:w="1820" w:type="dxa"/>
            <w:vAlign w:val="bottom"/>
          </w:tcPr>
          <w:p>
            <w:pPr>
              <w:spacing w:after="0"/>
              <w:rPr>
                <w:sz w:val="20"/>
                <w:szCs w:val="20"/>
                <w:color w:val="auto"/>
              </w:rPr>
            </w:pPr>
            <w:r>
              <w:rPr>
                <w:rFonts w:ascii="Arial Narrow" w:cs="Arial Narrow" w:eastAsia="Arial Narrow" w:hAnsi="Arial Narrow"/>
                <w:sz w:val="20"/>
                <w:szCs w:val="20"/>
                <w:b w:val="1"/>
                <w:bCs w:val="1"/>
                <w:color w:val="386CAD"/>
              </w:rPr>
              <w:t xml:space="preserve">Total Net </w:t>
            </w:r>
            <w:r>
              <w:rPr>
                <w:rFonts w:ascii="Arial Narrow" w:cs="Arial Narrow" w:eastAsia="Arial Narrow" w:hAnsi="Arial Narrow"/>
                <w:sz w:val="13"/>
                <w:szCs w:val="13"/>
                <w:b w:val="1"/>
                <w:bCs w:val="1"/>
                <w:color w:val="386CAD"/>
              </w:rPr>
              <w:t>(3)</w:t>
            </w:r>
          </w:p>
        </w:tc>
        <w:tc>
          <w:tcPr>
            <w:tcW w:w="1280" w:type="dxa"/>
            <w:vAlign w:val="bottom"/>
          </w:tcPr>
          <w:p>
            <w:pPr>
              <w:jc w:val="right"/>
              <w:ind w:right="22"/>
              <w:spacing w:after="0"/>
              <w:rPr>
                <w:sz w:val="20"/>
                <w:szCs w:val="20"/>
                <w:color w:val="auto"/>
              </w:rPr>
            </w:pPr>
            <w:r>
              <w:rPr>
                <w:rFonts w:ascii="Arial Narrow" w:cs="Arial Narrow" w:eastAsia="Arial Narrow" w:hAnsi="Arial Narrow"/>
                <w:sz w:val="20"/>
                <w:szCs w:val="20"/>
                <w:b w:val="1"/>
                <w:bCs w:val="1"/>
                <w:color w:val="auto"/>
              </w:rPr>
              <w:t>6,680</w:t>
            </w:r>
          </w:p>
        </w:tc>
        <w:tc>
          <w:tcPr>
            <w:tcW w:w="1260" w:type="dxa"/>
            <w:vAlign w:val="bottom"/>
            <w:gridSpan w:val="2"/>
          </w:tcPr>
          <w:p>
            <w:pPr>
              <w:jc w:val="right"/>
              <w:ind w:right="10"/>
              <w:spacing w:after="0"/>
              <w:rPr>
                <w:sz w:val="20"/>
                <w:szCs w:val="20"/>
                <w:color w:val="auto"/>
              </w:rPr>
            </w:pPr>
            <w:r>
              <w:rPr>
                <w:rFonts w:ascii="Arial Narrow" w:cs="Arial Narrow" w:eastAsia="Arial Narrow" w:hAnsi="Arial Narrow"/>
                <w:sz w:val="20"/>
                <w:szCs w:val="20"/>
                <w:b w:val="1"/>
                <w:bCs w:val="1"/>
                <w:color w:val="auto"/>
              </w:rPr>
              <w:t>8,150</w:t>
            </w:r>
          </w:p>
        </w:tc>
        <w:tc>
          <w:tcPr>
            <w:tcW w:w="7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1820" w:type="dxa"/>
            <w:vAlign w:val="bottom"/>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700" w:type="dxa"/>
            <w:vAlign w:val="bottom"/>
          </w:tcPr>
          <w:p>
            <w:pPr>
              <w:spacing w:after="0"/>
              <w:rPr>
                <w:sz w:val="5"/>
                <w:szCs w:val="5"/>
                <w:color w:val="auto"/>
              </w:rPr>
            </w:pPr>
          </w:p>
        </w:tc>
        <w:tc>
          <w:tcPr>
            <w:tcW w:w="23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ind w:left="180" w:hanging="180"/>
        <w:spacing w:after="0"/>
        <w:tabs>
          <w:tab w:leader="none" w:pos="180" w:val="left"/>
        </w:tabs>
        <w:numPr>
          <w:ilvl w:val="0"/>
          <w:numId w:val="6"/>
        </w:numPr>
        <w:rPr>
          <w:rFonts w:ascii="Arial" w:cs="Arial" w:eastAsia="Arial" w:hAnsi="Arial"/>
          <w:sz w:val="10"/>
          <w:szCs w:val="10"/>
          <w:color w:val="auto"/>
        </w:rPr>
      </w:pPr>
      <w:r>
        <w:rPr>
          <w:rFonts w:ascii="Arial" w:cs="Arial" w:eastAsia="Arial" w:hAnsi="Arial"/>
          <w:sz w:val="16"/>
          <w:szCs w:val="16"/>
          <w:color w:val="auto"/>
        </w:rPr>
        <w:t>One short ton equals 2,000 pounds.</w:t>
      </w:r>
    </w:p>
    <w:p>
      <w:pPr>
        <w:ind w:left="180" w:right="20" w:hanging="180"/>
        <w:spacing w:after="0"/>
        <w:tabs>
          <w:tab w:leader="none" w:pos="180" w:val="left"/>
        </w:tabs>
        <w:numPr>
          <w:ilvl w:val="0"/>
          <w:numId w:val="6"/>
        </w:numPr>
        <w:rPr>
          <w:rFonts w:ascii="Arial" w:cs="Arial" w:eastAsia="Arial" w:hAnsi="Arial"/>
          <w:sz w:val="10"/>
          <w:szCs w:val="10"/>
          <w:color w:val="auto"/>
        </w:rPr>
      </w:pPr>
      <w:r>
        <w:rPr>
          <w:rFonts w:ascii="Arial" w:cs="Arial" w:eastAsia="Arial" w:hAnsi="Arial"/>
          <w:sz w:val="16"/>
          <w:szCs w:val="16"/>
          <w:color w:val="auto"/>
        </w:rPr>
        <w:t>The amount shown represents 100% of plant capacity. This plant is owned by the Joint Venture in which the Company has a 50% interest.</w:t>
      </w:r>
    </w:p>
    <w:p>
      <w:pPr>
        <w:ind w:left="180" w:hanging="180"/>
        <w:spacing w:after="0"/>
        <w:tabs>
          <w:tab w:leader="none" w:pos="180" w:val="left"/>
        </w:tabs>
        <w:numPr>
          <w:ilvl w:val="0"/>
          <w:numId w:val="6"/>
        </w:numPr>
        <w:rPr>
          <w:rFonts w:ascii="Arial" w:cs="Arial" w:eastAsia="Arial" w:hAnsi="Arial"/>
          <w:sz w:val="10"/>
          <w:szCs w:val="10"/>
          <w:color w:val="auto"/>
        </w:rPr>
      </w:pPr>
      <w:r>
        <w:rPr>
          <w:rFonts w:ascii="Arial" w:cs="Arial" w:eastAsia="Arial" w:hAnsi="Arial"/>
          <w:sz w:val="16"/>
          <w:szCs w:val="16"/>
          <w:color w:val="auto"/>
        </w:rPr>
        <w:t>Net of partner’s 50% interest in the Buda, Texas plant.</w:t>
      </w:r>
    </w:p>
    <w:p>
      <w:pPr>
        <w:spacing w:after="0" w:line="144" w:lineRule="exact"/>
        <w:rPr>
          <w:sz w:val="20"/>
          <w:szCs w:val="20"/>
          <w:color w:val="auto"/>
        </w:rPr>
      </w:pPr>
    </w:p>
    <w:p>
      <w:pPr>
        <w:ind w:right="380"/>
        <w:spacing w:after="0" w:line="303" w:lineRule="auto"/>
        <w:rPr>
          <w:sz w:val="20"/>
          <w:szCs w:val="20"/>
          <w:color w:val="auto"/>
        </w:rPr>
      </w:pPr>
      <w:r>
        <w:rPr>
          <w:rFonts w:ascii="Arial" w:cs="Arial" w:eastAsia="Arial" w:hAnsi="Arial"/>
          <w:sz w:val="20"/>
          <w:szCs w:val="20"/>
          <w:color w:val="auto"/>
        </w:rPr>
        <w:t>All our cement subsidiaries are wholly owned except the Buda, Texas plant, which is owned by Texas Lehigh Cement Company LP, a limited partnership joint venture owned 50% by us, and 50% by HM Southeast Cement LLC, a subsidiary of Heidelberg Materials (our Joint Venture Partner).</w:t>
      </w:r>
    </w:p>
    <w:p>
      <w:pPr>
        <w:spacing w:after="0" w:line="59" w:lineRule="exact"/>
        <w:rPr>
          <w:sz w:val="20"/>
          <w:szCs w:val="20"/>
          <w:color w:val="auto"/>
        </w:rPr>
      </w:pPr>
    </w:p>
    <w:p>
      <w:pPr>
        <w:ind w:right="60"/>
        <w:spacing w:after="0" w:line="292" w:lineRule="auto"/>
        <w:rPr>
          <w:sz w:val="20"/>
          <w:szCs w:val="20"/>
          <w:color w:val="auto"/>
        </w:rPr>
      </w:pPr>
      <w:r>
        <w:rPr>
          <w:rFonts w:ascii="Arial" w:cs="Arial" w:eastAsia="Arial" w:hAnsi="Arial"/>
          <w:sz w:val="20"/>
          <w:szCs w:val="20"/>
          <w:color w:val="auto"/>
        </w:rPr>
        <w:t>Our cement production, including our 50% share of the cement Joint Venture production, totaled 6.9 million short tons and 6.0 million short tons for fiscal 2026 and fiscal 2025, respectively. Total net Cement sales, including our 50% share of cement sales from the Joint Venture, were 7.5 million short tons and 6.9 million short tons in fiscal 2026, and fiscal 2025, respectively. Total net Cement sales exceed production primarily because of imports through the Houston and Stockton import terminals.</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2A64A7"/>
        </w:rPr>
        <w:t>Demand, Sales, and Distribution</w:t>
      </w:r>
    </w:p>
    <w:p>
      <w:pPr>
        <w:spacing w:after="0" w:line="163" w:lineRule="exact"/>
        <w:rPr>
          <w:sz w:val="20"/>
          <w:szCs w:val="20"/>
          <w:color w:val="auto"/>
        </w:rPr>
      </w:pPr>
    </w:p>
    <w:p>
      <w:pPr>
        <w:ind w:right="300"/>
        <w:spacing w:after="0" w:line="290" w:lineRule="auto"/>
        <w:rPr>
          <w:sz w:val="20"/>
          <w:szCs w:val="20"/>
          <w:color w:val="auto"/>
        </w:rPr>
      </w:pPr>
      <w:r>
        <w:rPr>
          <w:rFonts w:ascii="Arial" w:cs="Arial" w:eastAsia="Arial" w:hAnsi="Arial"/>
          <w:sz w:val="20"/>
          <w:szCs w:val="20"/>
          <w:color w:val="auto"/>
        </w:rPr>
        <w:t>The principal sources of demand for cement and slag are public infrastructure, private nonresidential construction, and residential construction, with public infrastructure comprising nearly 50% of total demand. Cement consumption in the U.S. decreased approximately 2% during calendar 2025, and the ACA forecasts cement consumption will decline approximately 2.5% in calendar 2026. Demand for cement is seasonal, particularly in northern states where inclement winter weather often affects construction activity. Cement sales are generally highest from spring through the middle of autumn.</w:t>
      </w:r>
    </w:p>
    <w:p>
      <w:pPr>
        <w:sectPr>
          <w:pgSz w:w="11880" w:h="15480" w:orient="portrait"/>
          <w:cols w:equalWidth="0" w:num="1">
            <w:col w:w="9360"/>
          </w:cols>
          <w:pgMar w:left="1260" w:top="1267"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880" w:h="15480" w:orient="portrait"/>
          <w:cols w:equalWidth="0" w:num="1">
            <w:col w:w="9360"/>
          </w:cols>
          <w:pgMar w:left="1260" w:top="1267" w:right="1260" w:bottom="0" w:gutter="0" w:footer="0" w:header="0"/>
          <w:type w:val="continuous"/>
        </w:sectPr>
      </w:pPr>
    </w:p>
    <w:bookmarkStart w:id="16" w:name="page17"/>
    <w:bookmarkEnd w:id="16"/>
    <w:p>
      <w:pPr>
        <w:ind w:right="20"/>
        <w:spacing w:after="0" w:line="325" w:lineRule="auto"/>
        <w:rPr>
          <w:sz w:val="20"/>
          <w:szCs w:val="20"/>
          <w:color w:val="auto"/>
        </w:rPr>
      </w:pPr>
      <w:r>
        <w:rPr>
          <w:rFonts w:ascii="Arial" w:cs="Arial" w:eastAsia="Arial" w:hAnsi="Arial"/>
          <w:sz w:val="20"/>
          <w:szCs w:val="20"/>
          <w:color w:val="auto"/>
        </w:rPr>
        <w:t>Demand for slag has increased as the availability of fly ash has decreased due to the reduction in the use of coal to generate power.</w:t>
      </w:r>
    </w:p>
    <w:p>
      <w:pPr>
        <w:spacing w:after="0" w:line="37" w:lineRule="exact"/>
        <w:rPr>
          <w:sz w:val="20"/>
          <w:szCs w:val="20"/>
          <w:color w:val="auto"/>
        </w:rPr>
      </w:pPr>
    </w:p>
    <w:p>
      <w:pPr>
        <w:spacing w:after="0" w:line="290" w:lineRule="auto"/>
        <w:rPr>
          <w:sz w:val="20"/>
          <w:szCs w:val="20"/>
          <w:color w:val="auto"/>
        </w:rPr>
      </w:pPr>
      <w:r>
        <w:rPr>
          <w:rFonts w:ascii="Arial" w:cs="Arial" w:eastAsia="Arial" w:hAnsi="Arial"/>
          <w:sz w:val="20"/>
          <w:szCs w:val="20"/>
          <w:color w:val="auto"/>
        </w:rPr>
        <w:t>Because of cement’s low value-to-weight ratio, the relative cost of transporting cement on land is high and limits the geographic area in which each company can profitably market its products. The low value-to-weight ratio generally limits shipments by truck to a 150-mile radius from each plant, up to 300 miles by rail, and further by barge. No single cement company has a plant network extensive enough to serve all geographic areas, so profitability is sensitive to shifts in the balance between regional supply and demand.</w:t>
      </w:r>
    </w:p>
    <w:p>
      <w:pPr>
        <w:spacing w:after="0" w:line="73" w:lineRule="exact"/>
        <w:rPr>
          <w:sz w:val="20"/>
          <w:szCs w:val="20"/>
          <w:color w:val="auto"/>
        </w:rPr>
      </w:pPr>
    </w:p>
    <w:p>
      <w:pPr>
        <w:ind w:right="240"/>
        <w:spacing w:after="0" w:line="288" w:lineRule="auto"/>
        <w:rPr>
          <w:sz w:val="20"/>
          <w:szCs w:val="20"/>
          <w:color w:val="auto"/>
        </w:rPr>
      </w:pPr>
      <w:r>
        <w:rPr>
          <w:rFonts w:ascii="Arial" w:cs="Arial" w:eastAsia="Arial" w:hAnsi="Arial"/>
          <w:sz w:val="20"/>
          <w:szCs w:val="20"/>
          <w:color w:val="auto"/>
        </w:rPr>
        <w:t>Environmental and zoning regulations have made it increasingly difficult for the U.S. cement industry to expand existing facilities and to build new cement facilities. Although we cannot predict which policies federal, state, and local government bodies will enact in the future, we anticipate that zoning and permitting of new capacity additions will remain difficult. This could potentially enhance the value of our existing facilities. Furthermore, cost-efficient alternatives to cement are currently limited, and the availability of some alternatives is diminishing. For example, the availability of fly ash, a cement replacement, has decreased because of the retirement of coal-fired power plants and the conversion of power plants from coal to natural gas and other forms of energy.</w:t>
      </w:r>
    </w:p>
    <w:p>
      <w:pPr>
        <w:spacing w:after="0" w:line="72" w:lineRule="exact"/>
        <w:rPr>
          <w:sz w:val="20"/>
          <w:szCs w:val="20"/>
          <w:color w:val="auto"/>
        </w:rPr>
      </w:pPr>
    </w:p>
    <w:p>
      <w:pPr>
        <w:ind w:right="220"/>
        <w:spacing w:after="0" w:line="288" w:lineRule="auto"/>
        <w:rPr>
          <w:sz w:val="20"/>
          <w:szCs w:val="20"/>
          <w:color w:val="auto"/>
        </w:rPr>
      </w:pPr>
      <w:r>
        <w:rPr>
          <w:rFonts w:ascii="Arial" w:cs="Arial" w:eastAsia="Arial" w:hAnsi="Arial"/>
          <w:sz w:val="20"/>
          <w:szCs w:val="20"/>
          <w:color w:val="auto"/>
        </w:rPr>
        <w:t>The difficulty in adding cement capacity, coupled with limited alternatives, leads to high U.S. cement manufacturing utilization rates, as well as the need for imported cement when demand levels are high. Cement imports into the U.S. occur mostly to supplement domestic cement production or to supply a particular region. Cement is typically imported into deep water ports along the coasts or on the Great Lakes or transported on the Mississippi River system near major population centers. Our position in the U.S. heartland, away from most import terminals, provides a degree of insulation from coastal imports, given the expense of transporting cement from deep water ports into the heartland regions. This geographic position further enhances the value of our plant network.</w:t>
      </w:r>
    </w:p>
    <w:p>
      <w:pPr>
        <w:spacing w:after="0" w:line="72" w:lineRule="exact"/>
        <w:rPr>
          <w:sz w:val="20"/>
          <w:szCs w:val="20"/>
          <w:color w:val="auto"/>
        </w:rPr>
      </w:pPr>
    </w:p>
    <w:p>
      <w:pPr>
        <w:spacing w:after="0" w:line="296" w:lineRule="auto"/>
        <w:rPr>
          <w:sz w:val="20"/>
          <w:szCs w:val="20"/>
          <w:color w:val="auto"/>
        </w:rPr>
      </w:pPr>
      <w:r>
        <w:rPr>
          <w:rFonts w:ascii="Arial" w:cs="Arial" w:eastAsia="Arial" w:hAnsi="Arial"/>
          <w:sz w:val="20"/>
          <w:szCs w:val="20"/>
          <w:color w:val="auto"/>
        </w:rPr>
        <w:t>The ACA estimates that imports represented approximately 23% of cement used in the U.S. during calendar 2025, similar to the amount used in calendar 2024. Based on the historical distribution of cement into the market, we believe that no less than approximately 5% to 10% of total U.S. consumption will consistently be served by imported cement.</w:t>
      </w:r>
    </w:p>
    <w:p>
      <w:pPr>
        <w:sectPr>
          <w:pgSz w:w="11880" w:h="15480" w:orient="portrait"/>
          <w:cols w:equalWidth="0" w:num="1">
            <w:col w:w="9340"/>
          </w:cols>
          <w:pgMar w:left="1260" w:top="1267"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w:t>
      </w:r>
    </w:p>
    <w:p>
      <w:pPr>
        <w:sectPr>
          <w:pgSz w:w="11880" w:h="15480" w:orient="portrait"/>
          <w:cols w:equalWidth="0" w:num="1">
            <w:col w:w="9340"/>
          </w:cols>
          <w:pgMar w:left="1260" w:top="1267" w:right="1280" w:bottom="0" w:gutter="0" w:footer="0" w:header="0"/>
          <w:type w:val="continuous"/>
        </w:sectPr>
      </w:pPr>
    </w:p>
    <w:bookmarkStart w:id="17" w:name="page18"/>
    <w:bookmarkEnd w:id="17"/>
    <w:p>
      <w:pPr>
        <w:ind w:right="320"/>
        <w:spacing w:after="0" w:line="303" w:lineRule="auto"/>
        <w:rPr>
          <w:sz w:val="20"/>
          <w:szCs w:val="20"/>
          <w:color w:val="auto"/>
        </w:rPr>
      </w:pPr>
      <w:r>
        <w:rPr>
          <w:rFonts w:ascii="Arial" w:cs="Arial" w:eastAsia="Arial" w:hAnsi="Arial"/>
          <w:sz w:val="20"/>
          <w:szCs w:val="20"/>
          <w:color w:val="auto"/>
        </w:rPr>
        <w:t>The following table shows the geographic areas served by each of our cement and slag plants and the location of our distribution terminals in each area. We have over 30 cement storage and distribution terminals, which are strategically located to extend the sales areas of our plants.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1310" w:type="dxa"/>
            <w:vAlign w:val="bottom"/>
            <w:shd w:val="clear" w:color="auto" w:fill="042F70"/>
          </w:tcPr>
          <w:p>
            <w:pPr>
              <w:spacing w:after="0"/>
              <w:rPr>
                <w:sz w:val="23"/>
                <w:szCs w:val="23"/>
                <w:color w:val="auto"/>
              </w:rPr>
            </w:pPr>
          </w:p>
        </w:tc>
        <w:tc>
          <w:tcPr>
            <w:tcW w:w="750" w:type="dxa"/>
            <w:vAlign w:val="bottom"/>
            <w:shd w:val="clear" w:color="auto" w:fill="042F70"/>
          </w:tcPr>
          <w:p>
            <w:pPr>
              <w:ind w:left="50"/>
              <w:spacing w:after="0"/>
              <w:rPr>
                <w:sz w:val="20"/>
                <w:szCs w:val="20"/>
                <w:color w:val="auto"/>
              </w:rPr>
            </w:pPr>
            <w:r>
              <w:rPr>
                <w:rFonts w:ascii="Arial Narrow" w:cs="Arial Narrow" w:eastAsia="Arial Narrow" w:hAnsi="Arial Narrow"/>
                <w:sz w:val="18"/>
                <w:szCs w:val="18"/>
                <w:b w:val="1"/>
                <w:bCs w:val="1"/>
                <w:color w:val="FFFFFF"/>
              </w:rPr>
              <w:t>Type of</w:t>
            </w:r>
          </w:p>
        </w:tc>
        <w:tc>
          <w:tcPr>
            <w:tcW w:w="1880" w:type="dxa"/>
            <w:vAlign w:val="bottom"/>
            <w:shd w:val="clear" w:color="auto" w:fill="042F70"/>
          </w:tcPr>
          <w:p>
            <w:pPr>
              <w:ind w:left="160"/>
              <w:spacing w:after="0"/>
              <w:rPr>
                <w:sz w:val="20"/>
                <w:szCs w:val="20"/>
                <w:color w:val="auto"/>
              </w:rPr>
            </w:pPr>
            <w:r>
              <w:rPr>
                <w:rFonts w:ascii="Arial Narrow" w:cs="Arial Narrow" w:eastAsia="Arial Narrow" w:hAnsi="Arial Narrow"/>
                <w:sz w:val="18"/>
                <w:szCs w:val="18"/>
                <w:b w:val="1"/>
                <w:bCs w:val="1"/>
                <w:color w:val="FFFFFF"/>
              </w:rPr>
              <w:t>Operating Company</w:t>
            </w:r>
          </w:p>
        </w:tc>
        <w:tc>
          <w:tcPr>
            <w:tcW w:w="2020" w:type="dxa"/>
            <w:vAlign w:val="bottom"/>
            <w:shd w:val="clear" w:color="auto" w:fill="042F70"/>
          </w:tcPr>
          <w:p>
            <w:pPr>
              <w:ind w:left="120"/>
              <w:spacing w:after="0"/>
              <w:rPr>
                <w:sz w:val="20"/>
                <w:szCs w:val="20"/>
                <w:color w:val="auto"/>
              </w:rPr>
            </w:pPr>
            <w:r>
              <w:rPr>
                <w:rFonts w:ascii="Arial Narrow" w:cs="Arial Narrow" w:eastAsia="Arial Narrow" w:hAnsi="Arial Narrow"/>
                <w:sz w:val="18"/>
                <w:szCs w:val="18"/>
                <w:b w:val="1"/>
                <w:bCs w:val="1"/>
                <w:color w:val="FFFFFF"/>
              </w:rPr>
              <w:t>Principal Geographic</w:t>
            </w:r>
          </w:p>
        </w:tc>
        <w:tc>
          <w:tcPr>
            <w:tcW w:w="3400" w:type="dxa"/>
            <w:vAlign w:val="bottom"/>
            <w:shd w:val="clear" w:color="auto" w:fill="042F70"/>
          </w:tcPr>
          <w:p>
            <w:pPr>
              <w:spacing w:after="0"/>
              <w:rPr>
                <w:sz w:val="23"/>
                <w:szCs w:val="23"/>
                <w:color w:val="auto"/>
              </w:rPr>
            </w:pPr>
          </w:p>
        </w:tc>
      </w:tr>
      <w:tr>
        <w:trPr>
          <w:trHeight w:val="238"/>
        </w:trPr>
        <w:tc>
          <w:tcPr>
            <w:tcW w:w="1310" w:type="dxa"/>
            <w:vAlign w:val="bottom"/>
            <w:shd w:val="clear" w:color="auto" w:fill="042F70"/>
          </w:tcPr>
          <w:p>
            <w:pPr>
              <w:ind w:left="100"/>
              <w:spacing w:after="0"/>
              <w:rPr>
                <w:sz w:val="20"/>
                <w:szCs w:val="20"/>
                <w:color w:val="auto"/>
              </w:rPr>
            </w:pPr>
            <w:r>
              <w:rPr>
                <w:rFonts w:ascii="Arial Narrow" w:cs="Arial Narrow" w:eastAsia="Arial Narrow" w:hAnsi="Arial Narrow"/>
                <w:sz w:val="18"/>
                <w:szCs w:val="18"/>
                <w:b w:val="1"/>
                <w:bCs w:val="1"/>
                <w:color w:val="FFFFFF"/>
              </w:rPr>
              <w:t>Plant Location</w:t>
            </w:r>
          </w:p>
        </w:tc>
        <w:tc>
          <w:tcPr>
            <w:tcW w:w="750" w:type="dxa"/>
            <w:vAlign w:val="bottom"/>
            <w:shd w:val="clear" w:color="auto" w:fill="042F70"/>
          </w:tcPr>
          <w:p>
            <w:pPr>
              <w:ind w:left="50"/>
              <w:spacing w:after="0"/>
              <w:rPr>
                <w:sz w:val="20"/>
                <w:szCs w:val="20"/>
                <w:color w:val="auto"/>
              </w:rPr>
            </w:pPr>
            <w:r>
              <w:rPr>
                <w:rFonts w:ascii="Arial Narrow" w:cs="Arial Narrow" w:eastAsia="Arial Narrow" w:hAnsi="Arial Narrow"/>
                <w:sz w:val="18"/>
                <w:szCs w:val="18"/>
                <w:b w:val="1"/>
                <w:bCs w:val="1"/>
                <w:color w:val="FFFFFF"/>
              </w:rPr>
              <w:t>Plant</w:t>
            </w:r>
          </w:p>
        </w:tc>
        <w:tc>
          <w:tcPr>
            <w:tcW w:w="1880" w:type="dxa"/>
            <w:vAlign w:val="bottom"/>
            <w:shd w:val="clear" w:color="auto" w:fill="042F70"/>
          </w:tcPr>
          <w:p>
            <w:pPr>
              <w:ind w:left="160"/>
              <w:spacing w:after="0"/>
              <w:rPr>
                <w:sz w:val="20"/>
                <w:szCs w:val="20"/>
                <w:color w:val="auto"/>
              </w:rPr>
            </w:pPr>
            <w:r>
              <w:rPr>
                <w:rFonts w:ascii="Arial Narrow" w:cs="Arial Narrow" w:eastAsia="Arial Narrow" w:hAnsi="Arial Narrow"/>
                <w:sz w:val="18"/>
                <w:szCs w:val="18"/>
                <w:b w:val="1"/>
                <w:bCs w:val="1"/>
                <w:color w:val="FFFFFF"/>
              </w:rPr>
              <w:t>Name</w:t>
            </w:r>
          </w:p>
        </w:tc>
        <w:tc>
          <w:tcPr>
            <w:tcW w:w="2020" w:type="dxa"/>
            <w:vAlign w:val="bottom"/>
            <w:shd w:val="clear" w:color="auto" w:fill="042F70"/>
          </w:tcPr>
          <w:p>
            <w:pPr>
              <w:ind w:left="120"/>
              <w:spacing w:after="0"/>
              <w:rPr>
                <w:sz w:val="20"/>
                <w:szCs w:val="20"/>
                <w:color w:val="auto"/>
              </w:rPr>
            </w:pPr>
            <w:r>
              <w:rPr>
                <w:rFonts w:ascii="Arial Narrow" w:cs="Arial Narrow" w:eastAsia="Arial Narrow" w:hAnsi="Arial Narrow"/>
                <w:sz w:val="18"/>
                <w:szCs w:val="18"/>
                <w:b w:val="1"/>
                <w:bCs w:val="1"/>
                <w:color w:val="FFFFFF"/>
              </w:rPr>
              <w:t>Areas</w:t>
            </w:r>
          </w:p>
        </w:tc>
        <w:tc>
          <w:tcPr>
            <w:tcW w:w="3400" w:type="dxa"/>
            <w:vAlign w:val="bottom"/>
            <w:shd w:val="clear" w:color="auto" w:fill="042F70"/>
          </w:tcPr>
          <w:p>
            <w:pPr>
              <w:ind w:left="60"/>
              <w:spacing w:after="0" w:line="237" w:lineRule="exact"/>
              <w:rPr>
                <w:sz w:val="20"/>
                <w:szCs w:val="20"/>
                <w:color w:val="auto"/>
              </w:rPr>
            </w:pPr>
            <w:r>
              <w:rPr>
                <w:rFonts w:ascii="Arial Narrow" w:cs="Arial Narrow" w:eastAsia="Arial Narrow" w:hAnsi="Arial Narrow"/>
                <w:sz w:val="18"/>
                <w:szCs w:val="18"/>
                <w:b w:val="1"/>
                <w:bCs w:val="1"/>
                <w:color w:val="FFFFFF"/>
              </w:rPr>
              <w:t xml:space="preserve">Distribution Terminals </w:t>
            </w:r>
            <w:r>
              <w:rPr>
                <w:rFonts w:ascii="Arial Narrow" w:cs="Arial Narrow" w:eastAsia="Arial Narrow" w:hAnsi="Arial Narrow"/>
                <w:sz w:val="24"/>
                <w:szCs w:val="24"/>
                <w:b w:val="1"/>
                <w:bCs w:val="1"/>
                <w:color w:val="FFFFFF"/>
                <w:vertAlign w:val="superscript"/>
              </w:rPr>
              <w:t>(1)</w:t>
            </w:r>
          </w:p>
        </w:tc>
      </w:tr>
      <w:tr>
        <w:trPr>
          <w:trHeight w:val="83"/>
        </w:trPr>
        <w:tc>
          <w:tcPr>
            <w:tcW w:w="1310" w:type="dxa"/>
            <w:vAlign w:val="bottom"/>
            <w:shd w:val="clear" w:color="auto" w:fill="042F70"/>
          </w:tcPr>
          <w:p>
            <w:pPr>
              <w:spacing w:after="0"/>
              <w:rPr>
                <w:sz w:val="7"/>
                <w:szCs w:val="7"/>
                <w:color w:val="auto"/>
              </w:rPr>
            </w:pPr>
          </w:p>
        </w:tc>
        <w:tc>
          <w:tcPr>
            <w:tcW w:w="750" w:type="dxa"/>
            <w:vAlign w:val="bottom"/>
            <w:shd w:val="clear" w:color="auto" w:fill="042F70"/>
          </w:tcPr>
          <w:p>
            <w:pPr>
              <w:spacing w:after="0"/>
              <w:rPr>
                <w:sz w:val="7"/>
                <w:szCs w:val="7"/>
                <w:color w:val="auto"/>
              </w:rPr>
            </w:pPr>
          </w:p>
        </w:tc>
        <w:tc>
          <w:tcPr>
            <w:tcW w:w="1880" w:type="dxa"/>
            <w:vAlign w:val="bottom"/>
            <w:shd w:val="clear" w:color="auto" w:fill="042F70"/>
          </w:tcPr>
          <w:p>
            <w:pPr>
              <w:spacing w:after="0"/>
              <w:rPr>
                <w:sz w:val="7"/>
                <w:szCs w:val="7"/>
                <w:color w:val="auto"/>
              </w:rPr>
            </w:pPr>
          </w:p>
        </w:tc>
        <w:tc>
          <w:tcPr>
            <w:tcW w:w="2020" w:type="dxa"/>
            <w:vAlign w:val="bottom"/>
            <w:shd w:val="clear" w:color="auto" w:fill="042F70"/>
          </w:tcPr>
          <w:p>
            <w:pPr>
              <w:spacing w:after="0"/>
              <w:rPr>
                <w:sz w:val="7"/>
                <w:szCs w:val="7"/>
                <w:color w:val="auto"/>
              </w:rPr>
            </w:pPr>
          </w:p>
        </w:tc>
        <w:tc>
          <w:tcPr>
            <w:tcW w:w="3400" w:type="dxa"/>
            <w:vAlign w:val="bottom"/>
            <w:shd w:val="clear" w:color="auto" w:fill="042F70"/>
          </w:tcPr>
          <w:p>
            <w:pPr>
              <w:spacing w:after="0"/>
              <w:rPr>
                <w:sz w:val="7"/>
                <w:szCs w:val="7"/>
                <w:color w:val="auto"/>
              </w:rPr>
            </w:pPr>
          </w:p>
        </w:tc>
      </w:tr>
      <w:tr>
        <w:trPr>
          <w:trHeight w:val="264"/>
        </w:trPr>
        <w:tc>
          <w:tcPr>
            <w:tcW w:w="1310" w:type="dxa"/>
            <w:vAlign w:val="bottom"/>
          </w:tcPr>
          <w:p>
            <w:pPr>
              <w:ind w:left="100"/>
              <w:spacing w:after="0"/>
              <w:rPr>
                <w:sz w:val="20"/>
                <w:szCs w:val="20"/>
                <w:color w:val="auto"/>
              </w:rPr>
            </w:pPr>
            <w:r>
              <w:rPr>
                <w:rFonts w:ascii="Arial Narrow" w:cs="Arial Narrow" w:eastAsia="Arial Narrow" w:hAnsi="Arial Narrow"/>
                <w:sz w:val="20"/>
                <w:szCs w:val="20"/>
                <w:b w:val="1"/>
                <w:bCs w:val="1"/>
                <w:color w:val="386CAD"/>
              </w:rPr>
              <w:t>Buda,</w:t>
            </w:r>
          </w:p>
        </w:tc>
        <w:tc>
          <w:tcPr>
            <w:tcW w:w="750" w:type="dxa"/>
            <w:vAlign w:val="bottom"/>
          </w:tcPr>
          <w:p>
            <w:pPr>
              <w:ind w:left="50"/>
              <w:spacing w:after="0"/>
              <w:rPr>
                <w:sz w:val="20"/>
                <w:szCs w:val="20"/>
                <w:color w:val="auto"/>
              </w:rPr>
            </w:pPr>
            <w:r>
              <w:rPr>
                <w:rFonts w:ascii="Arial Narrow" w:cs="Arial Narrow" w:eastAsia="Arial Narrow" w:hAnsi="Arial Narrow"/>
                <w:sz w:val="19"/>
                <w:szCs w:val="19"/>
                <w:color w:val="auto"/>
              </w:rPr>
              <w:t>Cement</w:t>
            </w:r>
          </w:p>
        </w:tc>
        <w:tc>
          <w:tcPr>
            <w:tcW w:w="1880" w:type="dxa"/>
            <w:vAlign w:val="bottom"/>
          </w:tcPr>
          <w:p>
            <w:pPr>
              <w:ind w:left="160"/>
              <w:spacing w:after="0"/>
              <w:rPr>
                <w:sz w:val="20"/>
                <w:szCs w:val="20"/>
                <w:color w:val="auto"/>
              </w:rPr>
            </w:pPr>
            <w:r>
              <w:rPr>
                <w:rFonts w:ascii="Arial Narrow" w:cs="Arial Narrow" w:eastAsia="Arial Narrow" w:hAnsi="Arial Narrow"/>
                <w:sz w:val="19"/>
                <w:szCs w:val="19"/>
                <w:color w:val="auto"/>
              </w:rPr>
              <w:t>Texas Lehigh Cement</w:t>
            </w:r>
          </w:p>
        </w:tc>
        <w:tc>
          <w:tcPr>
            <w:tcW w:w="2020" w:type="dxa"/>
            <w:vAlign w:val="bottom"/>
          </w:tcPr>
          <w:p>
            <w:pPr>
              <w:ind w:left="120"/>
              <w:spacing w:after="0"/>
              <w:rPr>
                <w:sz w:val="20"/>
                <w:szCs w:val="20"/>
                <w:color w:val="auto"/>
              </w:rPr>
            </w:pPr>
            <w:r>
              <w:rPr>
                <w:rFonts w:ascii="Arial Narrow" w:cs="Arial Narrow" w:eastAsia="Arial Narrow" w:hAnsi="Arial Narrow"/>
                <w:sz w:val="19"/>
                <w:szCs w:val="19"/>
                <w:color w:val="auto"/>
              </w:rPr>
              <w:t>Texas and western</w:t>
            </w:r>
          </w:p>
        </w:tc>
        <w:tc>
          <w:tcPr>
            <w:tcW w:w="3400" w:type="dxa"/>
            <w:vAlign w:val="bottom"/>
          </w:tcPr>
          <w:p>
            <w:pPr>
              <w:ind w:left="60"/>
              <w:spacing w:after="0"/>
              <w:rPr>
                <w:sz w:val="20"/>
                <w:szCs w:val="20"/>
                <w:color w:val="auto"/>
              </w:rPr>
            </w:pPr>
            <w:r>
              <w:rPr>
                <w:rFonts w:ascii="Arial Narrow" w:cs="Arial Narrow" w:eastAsia="Arial Narrow" w:hAnsi="Arial Narrow"/>
                <w:sz w:val="19"/>
                <w:szCs w:val="19"/>
                <w:color w:val="auto"/>
              </w:rPr>
              <w:t>Corpus Christi, Texas; Houston, Texas;</w:t>
            </w:r>
          </w:p>
        </w:tc>
      </w:tr>
      <w:tr>
        <w:trPr>
          <w:trHeight w:val="218"/>
        </w:trPr>
        <w:tc>
          <w:tcPr>
            <w:tcW w:w="1310" w:type="dxa"/>
            <w:vAlign w:val="bottom"/>
          </w:tcPr>
          <w:p>
            <w:pPr>
              <w:ind w:left="100"/>
              <w:spacing w:after="0" w:line="218" w:lineRule="exact"/>
              <w:rPr>
                <w:sz w:val="20"/>
                <w:szCs w:val="20"/>
                <w:color w:val="auto"/>
              </w:rPr>
            </w:pPr>
            <w:r>
              <w:rPr>
                <w:rFonts w:ascii="Arial Narrow" w:cs="Arial Narrow" w:eastAsia="Arial Narrow" w:hAnsi="Arial Narrow"/>
                <w:sz w:val="20"/>
                <w:szCs w:val="20"/>
                <w:b w:val="1"/>
                <w:bCs w:val="1"/>
                <w:color w:val="386CAD"/>
              </w:rPr>
              <w:t>Texas</w:t>
            </w:r>
          </w:p>
        </w:tc>
        <w:tc>
          <w:tcPr>
            <w:tcW w:w="750" w:type="dxa"/>
            <w:vAlign w:val="bottom"/>
          </w:tcPr>
          <w:p>
            <w:pPr>
              <w:spacing w:after="0"/>
              <w:rPr>
                <w:sz w:val="18"/>
                <w:szCs w:val="18"/>
                <w:color w:val="auto"/>
              </w:rPr>
            </w:pPr>
          </w:p>
        </w:tc>
        <w:tc>
          <w:tcPr>
            <w:tcW w:w="1880" w:type="dxa"/>
            <w:vAlign w:val="bottom"/>
          </w:tcPr>
          <w:p>
            <w:pPr>
              <w:ind w:left="160"/>
              <w:spacing w:after="0"/>
              <w:rPr>
                <w:sz w:val="20"/>
                <w:szCs w:val="20"/>
                <w:color w:val="auto"/>
              </w:rPr>
            </w:pPr>
            <w:r>
              <w:rPr>
                <w:rFonts w:ascii="Arial Narrow" w:cs="Arial Narrow" w:eastAsia="Arial Narrow" w:hAnsi="Arial Narrow"/>
                <w:sz w:val="19"/>
                <w:szCs w:val="19"/>
                <w:color w:val="auto"/>
              </w:rPr>
              <w:t>Company LP (the Joint</w:t>
            </w:r>
          </w:p>
        </w:tc>
        <w:tc>
          <w:tcPr>
            <w:tcW w:w="2020" w:type="dxa"/>
            <w:vAlign w:val="bottom"/>
          </w:tcPr>
          <w:p>
            <w:pPr>
              <w:ind w:left="120"/>
              <w:spacing w:after="0"/>
              <w:rPr>
                <w:sz w:val="20"/>
                <w:szCs w:val="20"/>
                <w:color w:val="auto"/>
              </w:rPr>
            </w:pPr>
            <w:r>
              <w:rPr>
                <w:rFonts w:ascii="Arial Narrow" w:cs="Arial Narrow" w:eastAsia="Arial Narrow" w:hAnsi="Arial Narrow"/>
                <w:sz w:val="19"/>
                <w:szCs w:val="19"/>
                <w:color w:val="auto"/>
              </w:rPr>
              <w:t>Louisiana</w:t>
            </w:r>
          </w:p>
        </w:tc>
        <w:tc>
          <w:tcPr>
            <w:tcW w:w="3400" w:type="dxa"/>
            <w:vAlign w:val="bottom"/>
          </w:tcPr>
          <w:p>
            <w:pPr>
              <w:ind w:left="60"/>
              <w:spacing w:after="0"/>
              <w:rPr>
                <w:sz w:val="20"/>
                <w:szCs w:val="20"/>
                <w:color w:val="auto"/>
              </w:rPr>
            </w:pPr>
            <w:r>
              <w:rPr>
                <w:rFonts w:ascii="Arial Narrow" w:cs="Arial Narrow" w:eastAsia="Arial Narrow" w:hAnsi="Arial Narrow"/>
                <w:sz w:val="19"/>
                <w:szCs w:val="19"/>
                <w:color w:val="auto"/>
              </w:rPr>
              <w:t>Roanoke (Fort Worth), Texas; Waco,</w:t>
            </w:r>
          </w:p>
        </w:tc>
      </w:tr>
      <w:tr>
        <w:trPr>
          <w:trHeight w:val="218"/>
        </w:trPr>
        <w:tc>
          <w:tcPr>
            <w:tcW w:w="1310" w:type="dxa"/>
            <w:vAlign w:val="bottom"/>
          </w:tcPr>
          <w:p>
            <w:pPr>
              <w:spacing w:after="0"/>
              <w:rPr>
                <w:sz w:val="18"/>
                <w:szCs w:val="18"/>
                <w:color w:val="auto"/>
              </w:rPr>
            </w:pPr>
          </w:p>
        </w:tc>
        <w:tc>
          <w:tcPr>
            <w:tcW w:w="750" w:type="dxa"/>
            <w:vAlign w:val="bottom"/>
          </w:tcPr>
          <w:p>
            <w:pPr>
              <w:spacing w:after="0"/>
              <w:rPr>
                <w:sz w:val="18"/>
                <w:szCs w:val="18"/>
                <w:color w:val="auto"/>
              </w:rPr>
            </w:pPr>
          </w:p>
        </w:tc>
        <w:tc>
          <w:tcPr>
            <w:tcW w:w="1880" w:type="dxa"/>
            <w:vAlign w:val="bottom"/>
          </w:tcPr>
          <w:p>
            <w:pPr>
              <w:ind w:left="160"/>
              <w:spacing w:after="0"/>
              <w:rPr>
                <w:sz w:val="20"/>
                <w:szCs w:val="20"/>
                <w:color w:val="auto"/>
              </w:rPr>
            </w:pPr>
            <w:r>
              <w:rPr>
                <w:rFonts w:ascii="Arial Narrow" w:cs="Arial Narrow" w:eastAsia="Arial Narrow" w:hAnsi="Arial Narrow"/>
                <w:sz w:val="19"/>
                <w:szCs w:val="19"/>
                <w:color w:val="auto"/>
              </w:rPr>
              <w:t>Venture)</w:t>
            </w:r>
          </w:p>
        </w:tc>
        <w:tc>
          <w:tcPr>
            <w:tcW w:w="2020" w:type="dxa"/>
            <w:vAlign w:val="bottom"/>
          </w:tcPr>
          <w:p>
            <w:pPr>
              <w:spacing w:after="0"/>
              <w:rPr>
                <w:sz w:val="18"/>
                <w:szCs w:val="18"/>
                <w:color w:val="auto"/>
              </w:rPr>
            </w:pPr>
          </w:p>
        </w:tc>
        <w:tc>
          <w:tcPr>
            <w:tcW w:w="3400" w:type="dxa"/>
            <w:vAlign w:val="bottom"/>
          </w:tcPr>
          <w:p>
            <w:pPr>
              <w:ind w:left="60"/>
              <w:spacing w:after="0"/>
              <w:rPr>
                <w:sz w:val="20"/>
                <w:szCs w:val="20"/>
                <w:color w:val="auto"/>
              </w:rPr>
            </w:pPr>
            <w:r>
              <w:rPr>
                <w:rFonts w:ascii="Arial Narrow" w:cs="Arial Narrow" w:eastAsia="Arial Narrow" w:hAnsi="Arial Narrow"/>
                <w:sz w:val="19"/>
                <w:szCs w:val="19"/>
                <w:color w:val="auto"/>
              </w:rPr>
              <w:t>Texas; Houston Cement Company</w:t>
            </w:r>
          </w:p>
        </w:tc>
      </w:tr>
      <w:tr>
        <w:trPr>
          <w:trHeight w:val="264"/>
        </w:trPr>
        <w:tc>
          <w:tcPr>
            <w:tcW w:w="1310" w:type="dxa"/>
            <w:vAlign w:val="bottom"/>
          </w:tcPr>
          <w:p>
            <w:pPr>
              <w:spacing w:after="0"/>
              <w:rPr>
                <w:sz w:val="22"/>
                <w:szCs w:val="22"/>
                <w:color w:val="auto"/>
              </w:rPr>
            </w:pPr>
          </w:p>
        </w:tc>
        <w:tc>
          <w:tcPr>
            <w:tcW w:w="75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3400" w:type="dxa"/>
            <w:vAlign w:val="bottom"/>
          </w:tcPr>
          <w:p>
            <w:pPr>
              <w:ind w:left="60"/>
              <w:spacing w:after="0"/>
              <w:rPr>
                <w:sz w:val="20"/>
                <w:szCs w:val="20"/>
                <w:color w:val="auto"/>
              </w:rPr>
            </w:pPr>
            <w:r>
              <w:rPr>
                <w:rFonts w:ascii="Arial Narrow" w:cs="Arial Narrow" w:eastAsia="Arial Narrow" w:hAnsi="Arial Narrow"/>
                <w:sz w:val="19"/>
                <w:szCs w:val="19"/>
                <w:color w:val="auto"/>
              </w:rPr>
              <w:t>(Joint Venture), Houston, Texas</w:t>
            </w:r>
          </w:p>
        </w:tc>
      </w:tr>
      <w:tr>
        <w:trPr>
          <w:trHeight w:val="65"/>
        </w:trPr>
        <w:tc>
          <w:tcPr>
            <w:tcW w:w="1310" w:type="dxa"/>
            <w:vAlign w:val="bottom"/>
            <w:tcBorders>
              <w:bottom w:val="single" w:sz="8" w:color="A6A6A6"/>
            </w:tcBorders>
          </w:tcPr>
          <w:p>
            <w:pPr>
              <w:spacing w:after="0"/>
              <w:rPr>
                <w:sz w:val="5"/>
                <w:szCs w:val="5"/>
                <w:color w:val="auto"/>
              </w:rPr>
            </w:pPr>
          </w:p>
        </w:tc>
        <w:tc>
          <w:tcPr>
            <w:tcW w:w="750" w:type="dxa"/>
            <w:vAlign w:val="bottom"/>
            <w:tcBorders>
              <w:bottom w:val="single" w:sz="8" w:color="A6A6A6"/>
            </w:tcBorders>
          </w:tcPr>
          <w:p>
            <w:pPr>
              <w:spacing w:after="0"/>
              <w:rPr>
                <w:sz w:val="5"/>
                <w:szCs w:val="5"/>
                <w:color w:val="auto"/>
              </w:rPr>
            </w:pPr>
          </w:p>
        </w:tc>
        <w:tc>
          <w:tcPr>
            <w:tcW w:w="1880" w:type="dxa"/>
            <w:vAlign w:val="bottom"/>
            <w:tcBorders>
              <w:bottom w:val="single" w:sz="8" w:color="A6A6A6"/>
            </w:tcBorders>
          </w:tcPr>
          <w:p>
            <w:pPr>
              <w:spacing w:after="0"/>
              <w:rPr>
                <w:sz w:val="5"/>
                <w:szCs w:val="5"/>
                <w:color w:val="auto"/>
              </w:rPr>
            </w:pPr>
          </w:p>
        </w:tc>
        <w:tc>
          <w:tcPr>
            <w:tcW w:w="2020" w:type="dxa"/>
            <w:vAlign w:val="bottom"/>
            <w:tcBorders>
              <w:bottom w:val="single" w:sz="8" w:color="A6A6A6"/>
            </w:tcBorders>
          </w:tcPr>
          <w:p>
            <w:pPr>
              <w:spacing w:after="0"/>
              <w:rPr>
                <w:sz w:val="5"/>
                <w:szCs w:val="5"/>
                <w:color w:val="auto"/>
              </w:rPr>
            </w:pPr>
          </w:p>
        </w:tc>
        <w:tc>
          <w:tcPr>
            <w:tcW w:w="3400" w:type="dxa"/>
            <w:vAlign w:val="bottom"/>
            <w:tcBorders>
              <w:bottom w:val="single" w:sz="8" w:color="A6A6A6"/>
            </w:tcBorders>
          </w:tcPr>
          <w:p>
            <w:pPr>
              <w:spacing w:after="0"/>
              <w:rPr>
                <w:sz w:val="5"/>
                <w:szCs w:val="5"/>
                <w:color w:val="auto"/>
              </w:rPr>
            </w:pPr>
          </w:p>
        </w:tc>
      </w:tr>
      <w:tr>
        <w:trPr>
          <w:trHeight w:val="281"/>
        </w:trPr>
        <w:tc>
          <w:tcPr>
            <w:tcW w:w="1310" w:type="dxa"/>
            <w:vAlign w:val="bottom"/>
          </w:tcPr>
          <w:p>
            <w:pPr>
              <w:ind w:left="100"/>
              <w:spacing w:after="0"/>
              <w:rPr>
                <w:sz w:val="20"/>
                <w:szCs w:val="20"/>
                <w:color w:val="auto"/>
              </w:rPr>
            </w:pPr>
            <w:r>
              <w:rPr>
                <w:rFonts w:ascii="Arial Narrow" w:cs="Arial Narrow" w:eastAsia="Arial Narrow" w:hAnsi="Arial Narrow"/>
                <w:sz w:val="20"/>
                <w:szCs w:val="20"/>
                <w:b w:val="1"/>
                <w:bCs w:val="1"/>
                <w:color w:val="386CAD"/>
              </w:rPr>
              <w:t>LaSalle,</w:t>
            </w:r>
          </w:p>
        </w:tc>
        <w:tc>
          <w:tcPr>
            <w:tcW w:w="750" w:type="dxa"/>
            <w:vAlign w:val="bottom"/>
          </w:tcPr>
          <w:p>
            <w:pPr>
              <w:ind w:left="50"/>
              <w:spacing w:after="0"/>
              <w:rPr>
                <w:sz w:val="20"/>
                <w:szCs w:val="20"/>
                <w:color w:val="auto"/>
              </w:rPr>
            </w:pPr>
            <w:r>
              <w:rPr>
                <w:rFonts w:ascii="Arial Narrow" w:cs="Arial Narrow" w:eastAsia="Arial Narrow" w:hAnsi="Arial Narrow"/>
                <w:sz w:val="19"/>
                <w:szCs w:val="19"/>
                <w:color w:val="auto"/>
              </w:rPr>
              <w:t>Cement</w:t>
            </w:r>
          </w:p>
        </w:tc>
        <w:tc>
          <w:tcPr>
            <w:tcW w:w="1880" w:type="dxa"/>
            <w:vAlign w:val="bottom"/>
          </w:tcPr>
          <w:p>
            <w:pPr>
              <w:ind w:left="160"/>
              <w:spacing w:after="0"/>
              <w:rPr>
                <w:sz w:val="20"/>
                <w:szCs w:val="20"/>
                <w:color w:val="auto"/>
              </w:rPr>
            </w:pPr>
            <w:r>
              <w:rPr>
                <w:rFonts w:ascii="Arial Narrow" w:cs="Arial Narrow" w:eastAsia="Arial Narrow" w:hAnsi="Arial Narrow"/>
                <w:sz w:val="19"/>
                <w:szCs w:val="19"/>
                <w:color w:val="auto"/>
              </w:rPr>
              <w:t>Illinois Cement</w:t>
            </w:r>
          </w:p>
        </w:tc>
        <w:tc>
          <w:tcPr>
            <w:tcW w:w="2020" w:type="dxa"/>
            <w:vAlign w:val="bottom"/>
          </w:tcPr>
          <w:p>
            <w:pPr>
              <w:ind w:left="120"/>
              <w:spacing w:after="0"/>
              <w:rPr>
                <w:sz w:val="20"/>
                <w:szCs w:val="20"/>
                <w:color w:val="auto"/>
              </w:rPr>
            </w:pPr>
            <w:r>
              <w:rPr>
                <w:rFonts w:ascii="Arial Narrow" w:cs="Arial Narrow" w:eastAsia="Arial Narrow" w:hAnsi="Arial Narrow"/>
                <w:sz w:val="19"/>
                <w:szCs w:val="19"/>
                <w:color w:val="auto"/>
              </w:rPr>
              <w:t>Illinois, Michigan, and</w:t>
            </w:r>
          </w:p>
        </w:tc>
        <w:tc>
          <w:tcPr>
            <w:tcW w:w="3400" w:type="dxa"/>
            <w:vAlign w:val="bottom"/>
          </w:tcPr>
          <w:p>
            <w:pPr>
              <w:ind w:left="60"/>
              <w:spacing w:after="0"/>
              <w:rPr>
                <w:sz w:val="20"/>
                <w:szCs w:val="20"/>
                <w:color w:val="auto"/>
              </w:rPr>
            </w:pPr>
            <w:r>
              <w:rPr>
                <w:rFonts w:ascii="Arial Narrow" w:cs="Arial Narrow" w:eastAsia="Arial Narrow" w:hAnsi="Arial Narrow"/>
                <w:sz w:val="19"/>
                <w:szCs w:val="19"/>
                <w:color w:val="auto"/>
              </w:rPr>
              <w:t>Hartland, Wisconsin; South Beloit, Illinois;</w:t>
            </w:r>
          </w:p>
        </w:tc>
      </w:tr>
      <w:tr>
        <w:trPr>
          <w:trHeight w:val="287"/>
        </w:trPr>
        <w:tc>
          <w:tcPr>
            <w:tcW w:w="1310" w:type="dxa"/>
            <w:vAlign w:val="bottom"/>
          </w:tcPr>
          <w:p>
            <w:pPr>
              <w:ind w:left="100"/>
              <w:spacing w:after="0"/>
              <w:rPr>
                <w:sz w:val="20"/>
                <w:szCs w:val="20"/>
                <w:color w:val="auto"/>
              </w:rPr>
            </w:pPr>
            <w:r>
              <w:rPr>
                <w:rFonts w:ascii="Arial Narrow" w:cs="Arial Narrow" w:eastAsia="Arial Narrow" w:hAnsi="Arial Narrow"/>
                <w:sz w:val="20"/>
                <w:szCs w:val="20"/>
                <w:b w:val="1"/>
                <w:bCs w:val="1"/>
                <w:color w:val="386CAD"/>
              </w:rPr>
              <w:t>Illinois</w:t>
            </w:r>
          </w:p>
        </w:tc>
        <w:tc>
          <w:tcPr>
            <w:tcW w:w="750" w:type="dxa"/>
            <w:vAlign w:val="bottom"/>
          </w:tcPr>
          <w:p>
            <w:pPr>
              <w:spacing w:after="0"/>
              <w:rPr>
                <w:sz w:val="24"/>
                <w:szCs w:val="24"/>
                <w:color w:val="auto"/>
              </w:rPr>
            </w:pPr>
          </w:p>
        </w:tc>
        <w:tc>
          <w:tcPr>
            <w:tcW w:w="1880" w:type="dxa"/>
            <w:vAlign w:val="bottom"/>
          </w:tcPr>
          <w:p>
            <w:pPr>
              <w:ind w:left="160"/>
              <w:spacing w:after="0"/>
              <w:rPr>
                <w:sz w:val="20"/>
                <w:szCs w:val="20"/>
                <w:color w:val="auto"/>
              </w:rPr>
            </w:pPr>
            <w:r>
              <w:rPr>
                <w:rFonts w:ascii="Arial Narrow" w:cs="Arial Narrow" w:eastAsia="Arial Narrow" w:hAnsi="Arial Narrow"/>
                <w:sz w:val="19"/>
                <w:szCs w:val="19"/>
                <w:color w:val="auto"/>
              </w:rPr>
              <w:t>Company</w:t>
            </w:r>
          </w:p>
        </w:tc>
        <w:tc>
          <w:tcPr>
            <w:tcW w:w="2020" w:type="dxa"/>
            <w:vAlign w:val="bottom"/>
          </w:tcPr>
          <w:p>
            <w:pPr>
              <w:ind w:left="120"/>
              <w:spacing w:after="0"/>
              <w:rPr>
                <w:sz w:val="20"/>
                <w:szCs w:val="20"/>
                <w:color w:val="auto"/>
              </w:rPr>
            </w:pPr>
            <w:r>
              <w:rPr>
                <w:rFonts w:ascii="Arial Narrow" w:cs="Arial Narrow" w:eastAsia="Arial Narrow" w:hAnsi="Arial Narrow"/>
                <w:sz w:val="19"/>
                <w:szCs w:val="19"/>
                <w:color w:val="auto"/>
              </w:rPr>
              <w:t>southern Wisconsin</w:t>
            </w:r>
          </w:p>
        </w:tc>
        <w:tc>
          <w:tcPr>
            <w:tcW w:w="3400" w:type="dxa"/>
            <w:vAlign w:val="bottom"/>
          </w:tcPr>
          <w:p>
            <w:pPr>
              <w:ind w:left="60"/>
              <w:spacing w:after="0"/>
              <w:rPr>
                <w:sz w:val="20"/>
                <w:szCs w:val="20"/>
                <w:color w:val="auto"/>
              </w:rPr>
            </w:pPr>
            <w:r>
              <w:rPr>
                <w:rFonts w:ascii="Arial Narrow" w:cs="Arial Narrow" w:eastAsia="Arial Narrow" w:hAnsi="Arial Narrow"/>
                <w:sz w:val="19"/>
                <w:szCs w:val="19"/>
                <w:color w:val="auto"/>
              </w:rPr>
              <w:t>Ottawa, Illinois</w:t>
            </w:r>
          </w:p>
        </w:tc>
      </w:tr>
      <w:tr>
        <w:trPr>
          <w:trHeight w:val="65"/>
        </w:trPr>
        <w:tc>
          <w:tcPr>
            <w:tcW w:w="1310" w:type="dxa"/>
            <w:vAlign w:val="bottom"/>
            <w:tcBorders>
              <w:bottom w:val="single" w:sz="8" w:color="A6A6A6"/>
            </w:tcBorders>
          </w:tcPr>
          <w:p>
            <w:pPr>
              <w:spacing w:after="0"/>
              <w:rPr>
                <w:sz w:val="5"/>
                <w:szCs w:val="5"/>
                <w:color w:val="auto"/>
              </w:rPr>
            </w:pPr>
          </w:p>
        </w:tc>
        <w:tc>
          <w:tcPr>
            <w:tcW w:w="750" w:type="dxa"/>
            <w:vAlign w:val="bottom"/>
            <w:tcBorders>
              <w:bottom w:val="single" w:sz="8" w:color="A6A6A6"/>
            </w:tcBorders>
          </w:tcPr>
          <w:p>
            <w:pPr>
              <w:spacing w:after="0"/>
              <w:rPr>
                <w:sz w:val="5"/>
                <w:szCs w:val="5"/>
                <w:color w:val="auto"/>
              </w:rPr>
            </w:pPr>
          </w:p>
        </w:tc>
        <w:tc>
          <w:tcPr>
            <w:tcW w:w="1880" w:type="dxa"/>
            <w:vAlign w:val="bottom"/>
            <w:tcBorders>
              <w:bottom w:val="single" w:sz="8" w:color="A6A6A6"/>
            </w:tcBorders>
          </w:tcPr>
          <w:p>
            <w:pPr>
              <w:spacing w:after="0"/>
              <w:rPr>
                <w:sz w:val="5"/>
                <w:szCs w:val="5"/>
                <w:color w:val="auto"/>
              </w:rPr>
            </w:pPr>
          </w:p>
        </w:tc>
        <w:tc>
          <w:tcPr>
            <w:tcW w:w="2020" w:type="dxa"/>
            <w:vAlign w:val="bottom"/>
            <w:tcBorders>
              <w:bottom w:val="single" w:sz="8" w:color="A6A6A6"/>
            </w:tcBorders>
          </w:tcPr>
          <w:p>
            <w:pPr>
              <w:spacing w:after="0"/>
              <w:rPr>
                <w:sz w:val="5"/>
                <w:szCs w:val="5"/>
                <w:color w:val="auto"/>
              </w:rPr>
            </w:pPr>
          </w:p>
        </w:tc>
        <w:tc>
          <w:tcPr>
            <w:tcW w:w="3400" w:type="dxa"/>
            <w:vAlign w:val="bottom"/>
            <w:tcBorders>
              <w:bottom w:val="single" w:sz="8" w:color="A6A6A6"/>
            </w:tcBorders>
          </w:tcPr>
          <w:p>
            <w:pPr>
              <w:spacing w:after="0"/>
              <w:rPr>
                <w:sz w:val="5"/>
                <w:szCs w:val="5"/>
                <w:color w:val="auto"/>
              </w:rPr>
            </w:pPr>
          </w:p>
        </w:tc>
      </w:tr>
      <w:tr>
        <w:trPr>
          <w:trHeight w:val="281"/>
        </w:trPr>
        <w:tc>
          <w:tcPr>
            <w:tcW w:w="1310" w:type="dxa"/>
            <w:vAlign w:val="bottom"/>
          </w:tcPr>
          <w:p>
            <w:pPr>
              <w:ind w:left="100"/>
              <w:spacing w:after="0"/>
              <w:rPr>
                <w:sz w:val="20"/>
                <w:szCs w:val="20"/>
                <w:color w:val="auto"/>
              </w:rPr>
            </w:pPr>
            <w:r>
              <w:rPr>
                <w:rFonts w:ascii="Arial Narrow" w:cs="Arial Narrow" w:eastAsia="Arial Narrow" w:hAnsi="Arial Narrow"/>
                <w:sz w:val="20"/>
                <w:szCs w:val="20"/>
                <w:b w:val="1"/>
                <w:bCs w:val="1"/>
                <w:color w:val="386CAD"/>
              </w:rPr>
              <w:t>Sugar Creek,</w:t>
            </w:r>
          </w:p>
        </w:tc>
        <w:tc>
          <w:tcPr>
            <w:tcW w:w="750" w:type="dxa"/>
            <w:vAlign w:val="bottom"/>
          </w:tcPr>
          <w:p>
            <w:pPr>
              <w:ind w:left="50"/>
              <w:spacing w:after="0"/>
              <w:rPr>
                <w:sz w:val="20"/>
                <w:szCs w:val="20"/>
                <w:color w:val="auto"/>
              </w:rPr>
            </w:pPr>
            <w:r>
              <w:rPr>
                <w:rFonts w:ascii="Arial Narrow" w:cs="Arial Narrow" w:eastAsia="Arial Narrow" w:hAnsi="Arial Narrow"/>
                <w:sz w:val="19"/>
                <w:szCs w:val="19"/>
                <w:color w:val="auto"/>
              </w:rPr>
              <w:t>Cement</w:t>
            </w:r>
          </w:p>
        </w:tc>
        <w:tc>
          <w:tcPr>
            <w:tcW w:w="1880" w:type="dxa"/>
            <w:vAlign w:val="bottom"/>
          </w:tcPr>
          <w:p>
            <w:pPr>
              <w:ind w:left="160"/>
              <w:spacing w:after="0"/>
              <w:rPr>
                <w:sz w:val="20"/>
                <w:szCs w:val="20"/>
                <w:color w:val="auto"/>
              </w:rPr>
            </w:pPr>
            <w:r>
              <w:rPr>
                <w:rFonts w:ascii="Arial Narrow" w:cs="Arial Narrow" w:eastAsia="Arial Narrow" w:hAnsi="Arial Narrow"/>
                <w:sz w:val="19"/>
                <w:szCs w:val="19"/>
                <w:color w:val="auto"/>
              </w:rPr>
              <w:t>Central Plains Cement</w:t>
            </w:r>
          </w:p>
        </w:tc>
        <w:tc>
          <w:tcPr>
            <w:tcW w:w="2020" w:type="dxa"/>
            <w:vAlign w:val="bottom"/>
          </w:tcPr>
          <w:p>
            <w:pPr>
              <w:ind w:left="120"/>
              <w:spacing w:after="0"/>
              <w:rPr>
                <w:sz w:val="20"/>
                <w:szCs w:val="20"/>
                <w:color w:val="auto"/>
              </w:rPr>
            </w:pPr>
            <w:r>
              <w:rPr>
                <w:rFonts w:ascii="Arial Narrow" w:cs="Arial Narrow" w:eastAsia="Arial Narrow" w:hAnsi="Arial Narrow"/>
                <w:sz w:val="19"/>
                <w:szCs w:val="19"/>
                <w:color w:val="auto"/>
              </w:rPr>
              <w:t>Western Missouri, eastern</w:t>
            </w:r>
          </w:p>
        </w:tc>
        <w:tc>
          <w:tcPr>
            <w:tcW w:w="3400" w:type="dxa"/>
            <w:vAlign w:val="bottom"/>
          </w:tcPr>
          <w:p>
            <w:pPr>
              <w:ind w:left="60"/>
              <w:spacing w:after="0"/>
              <w:rPr>
                <w:sz w:val="20"/>
                <w:szCs w:val="20"/>
                <w:color w:val="auto"/>
              </w:rPr>
            </w:pPr>
            <w:r>
              <w:rPr>
                <w:rFonts w:ascii="Arial Narrow" w:cs="Arial Narrow" w:eastAsia="Arial Narrow" w:hAnsi="Arial Narrow"/>
                <w:sz w:val="19"/>
                <w:szCs w:val="19"/>
                <w:color w:val="auto"/>
              </w:rPr>
              <w:t>Sugar Creek, Missouri; Wichita, Kansas;</w:t>
            </w:r>
          </w:p>
        </w:tc>
      </w:tr>
      <w:tr>
        <w:trPr>
          <w:trHeight w:val="227"/>
        </w:trPr>
        <w:tc>
          <w:tcPr>
            <w:tcW w:w="1310" w:type="dxa"/>
            <w:vAlign w:val="bottom"/>
          </w:tcPr>
          <w:p>
            <w:pPr>
              <w:ind w:left="100"/>
              <w:spacing w:after="0" w:line="227" w:lineRule="exact"/>
              <w:rPr>
                <w:sz w:val="20"/>
                <w:szCs w:val="20"/>
                <w:color w:val="auto"/>
              </w:rPr>
            </w:pPr>
            <w:r>
              <w:rPr>
                <w:rFonts w:ascii="Arial Narrow" w:cs="Arial Narrow" w:eastAsia="Arial Narrow" w:hAnsi="Arial Narrow"/>
                <w:sz w:val="20"/>
                <w:szCs w:val="20"/>
                <w:b w:val="1"/>
                <w:bCs w:val="1"/>
                <w:color w:val="386CAD"/>
              </w:rPr>
              <w:t>Missouri</w:t>
            </w:r>
          </w:p>
        </w:tc>
        <w:tc>
          <w:tcPr>
            <w:tcW w:w="750" w:type="dxa"/>
            <w:vAlign w:val="bottom"/>
          </w:tcPr>
          <w:p>
            <w:pPr>
              <w:spacing w:after="0"/>
              <w:rPr>
                <w:sz w:val="19"/>
                <w:szCs w:val="19"/>
                <w:color w:val="auto"/>
              </w:rPr>
            </w:pPr>
          </w:p>
        </w:tc>
        <w:tc>
          <w:tcPr>
            <w:tcW w:w="1880" w:type="dxa"/>
            <w:vAlign w:val="bottom"/>
          </w:tcPr>
          <w:p>
            <w:pPr>
              <w:ind w:left="160"/>
              <w:spacing w:after="0"/>
              <w:rPr>
                <w:sz w:val="20"/>
                <w:szCs w:val="20"/>
                <w:color w:val="auto"/>
              </w:rPr>
            </w:pPr>
            <w:r>
              <w:rPr>
                <w:rFonts w:ascii="Arial Narrow" w:cs="Arial Narrow" w:eastAsia="Arial Narrow" w:hAnsi="Arial Narrow"/>
                <w:sz w:val="19"/>
                <w:szCs w:val="19"/>
                <w:color w:val="auto"/>
              </w:rPr>
              <w:t>Company</w:t>
            </w:r>
          </w:p>
        </w:tc>
        <w:tc>
          <w:tcPr>
            <w:tcW w:w="2020" w:type="dxa"/>
            <w:vAlign w:val="bottom"/>
          </w:tcPr>
          <w:p>
            <w:pPr>
              <w:ind w:left="120"/>
              <w:spacing w:after="0"/>
              <w:rPr>
                <w:sz w:val="20"/>
                <w:szCs w:val="20"/>
                <w:color w:val="auto"/>
              </w:rPr>
            </w:pPr>
            <w:r>
              <w:rPr>
                <w:rFonts w:ascii="Arial Narrow" w:cs="Arial Narrow" w:eastAsia="Arial Narrow" w:hAnsi="Arial Narrow"/>
                <w:sz w:val="19"/>
                <w:szCs w:val="19"/>
                <w:color w:val="auto"/>
              </w:rPr>
              <w:t>Kansas, eastern</w:t>
            </w:r>
          </w:p>
        </w:tc>
        <w:tc>
          <w:tcPr>
            <w:tcW w:w="3400" w:type="dxa"/>
            <w:vAlign w:val="bottom"/>
          </w:tcPr>
          <w:p>
            <w:pPr>
              <w:ind w:left="60"/>
              <w:spacing w:after="0"/>
              <w:rPr>
                <w:sz w:val="20"/>
                <w:szCs w:val="20"/>
                <w:color w:val="auto"/>
              </w:rPr>
            </w:pPr>
            <w:r>
              <w:rPr>
                <w:rFonts w:ascii="Arial Narrow" w:cs="Arial Narrow" w:eastAsia="Arial Narrow" w:hAnsi="Arial Narrow"/>
                <w:sz w:val="19"/>
                <w:szCs w:val="19"/>
                <w:color w:val="auto"/>
              </w:rPr>
              <w:t>Omaha, Nebraska; Altoona, Iowa</w:t>
            </w:r>
          </w:p>
        </w:tc>
      </w:tr>
      <w:tr>
        <w:trPr>
          <w:trHeight w:val="264"/>
        </w:trPr>
        <w:tc>
          <w:tcPr>
            <w:tcW w:w="1310" w:type="dxa"/>
            <w:vAlign w:val="bottom"/>
          </w:tcPr>
          <w:p>
            <w:pPr>
              <w:spacing w:after="0"/>
              <w:rPr>
                <w:sz w:val="22"/>
                <w:szCs w:val="22"/>
                <w:color w:val="auto"/>
              </w:rPr>
            </w:pPr>
          </w:p>
        </w:tc>
        <w:tc>
          <w:tcPr>
            <w:tcW w:w="75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2020" w:type="dxa"/>
            <w:vAlign w:val="bottom"/>
          </w:tcPr>
          <w:p>
            <w:pPr>
              <w:ind w:left="120"/>
              <w:spacing w:after="0"/>
              <w:rPr>
                <w:sz w:val="20"/>
                <w:szCs w:val="20"/>
                <w:color w:val="auto"/>
              </w:rPr>
            </w:pPr>
            <w:r>
              <w:rPr>
                <w:rFonts w:ascii="Arial Narrow" w:cs="Arial Narrow" w:eastAsia="Arial Narrow" w:hAnsi="Arial Narrow"/>
                <w:sz w:val="19"/>
                <w:szCs w:val="19"/>
                <w:color w:val="auto"/>
              </w:rPr>
              <w:t>Nebraska, and Iowa</w:t>
            </w:r>
          </w:p>
        </w:tc>
        <w:tc>
          <w:tcPr>
            <w:tcW w:w="3400" w:type="dxa"/>
            <w:vAlign w:val="bottom"/>
          </w:tcPr>
          <w:p>
            <w:pPr>
              <w:spacing w:after="0"/>
              <w:rPr>
                <w:sz w:val="22"/>
                <w:szCs w:val="22"/>
                <w:color w:val="auto"/>
              </w:rPr>
            </w:pPr>
          </w:p>
        </w:tc>
      </w:tr>
      <w:tr>
        <w:trPr>
          <w:trHeight w:val="56"/>
        </w:trPr>
        <w:tc>
          <w:tcPr>
            <w:tcW w:w="1310" w:type="dxa"/>
            <w:vAlign w:val="bottom"/>
            <w:tcBorders>
              <w:bottom w:val="single" w:sz="8" w:color="A6A6A6"/>
            </w:tcBorders>
          </w:tcPr>
          <w:p>
            <w:pPr>
              <w:spacing w:after="0"/>
              <w:rPr>
                <w:sz w:val="4"/>
                <w:szCs w:val="4"/>
                <w:color w:val="auto"/>
              </w:rPr>
            </w:pPr>
          </w:p>
        </w:tc>
        <w:tc>
          <w:tcPr>
            <w:tcW w:w="750" w:type="dxa"/>
            <w:vAlign w:val="bottom"/>
            <w:tcBorders>
              <w:bottom w:val="single" w:sz="8" w:color="A6A6A6"/>
            </w:tcBorders>
          </w:tcPr>
          <w:p>
            <w:pPr>
              <w:spacing w:after="0"/>
              <w:rPr>
                <w:sz w:val="4"/>
                <w:szCs w:val="4"/>
                <w:color w:val="auto"/>
              </w:rPr>
            </w:pPr>
          </w:p>
        </w:tc>
        <w:tc>
          <w:tcPr>
            <w:tcW w:w="1880" w:type="dxa"/>
            <w:vAlign w:val="bottom"/>
            <w:tcBorders>
              <w:bottom w:val="single" w:sz="8" w:color="A6A6A6"/>
            </w:tcBorders>
          </w:tcPr>
          <w:p>
            <w:pPr>
              <w:spacing w:after="0"/>
              <w:rPr>
                <w:sz w:val="4"/>
                <w:szCs w:val="4"/>
                <w:color w:val="auto"/>
              </w:rPr>
            </w:pPr>
          </w:p>
        </w:tc>
        <w:tc>
          <w:tcPr>
            <w:tcW w:w="2020" w:type="dxa"/>
            <w:vAlign w:val="bottom"/>
            <w:tcBorders>
              <w:bottom w:val="single" w:sz="8" w:color="A6A6A6"/>
            </w:tcBorders>
          </w:tcPr>
          <w:p>
            <w:pPr>
              <w:spacing w:after="0"/>
              <w:rPr>
                <w:sz w:val="4"/>
                <w:szCs w:val="4"/>
                <w:color w:val="auto"/>
              </w:rPr>
            </w:pPr>
          </w:p>
        </w:tc>
        <w:tc>
          <w:tcPr>
            <w:tcW w:w="3400" w:type="dxa"/>
            <w:vAlign w:val="bottom"/>
            <w:tcBorders>
              <w:bottom w:val="single" w:sz="8" w:color="A6A6A6"/>
            </w:tcBorders>
          </w:tcPr>
          <w:p>
            <w:pPr>
              <w:spacing w:after="0"/>
              <w:rPr>
                <w:sz w:val="4"/>
                <w:szCs w:val="4"/>
                <w:color w:val="auto"/>
              </w:rPr>
            </w:pPr>
          </w:p>
        </w:tc>
      </w:tr>
      <w:tr>
        <w:trPr>
          <w:trHeight w:val="281"/>
        </w:trPr>
        <w:tc>
          <w:tcPr>
            <w:tcW w:w="1310" w:type="dxa"/>
            <w:vAlign w:val="bottom"/>
          </w:tcPr>
          <w:p>
            <w:pPr>
              <w:ind w:left="100"/>
              <w:spacing w:after="0"/>
              <w:rPr>
                <w:sz w:val="20"/>
                <w:szCs w:val="20"/>
                <w:color w:val="auto"/>
              </w:rPr>
            </w:pPr>
            <w:r>
              <w:rPr>
                <w:rFonts w:ascii="Arial Narrow" w:cs="Arial Narrow" w:eastAsia="Arial Narrow" w:hAnsi="Arial Narrow"/>
                <w:sz w:val="20"/>
                <w:szCs w:val="20"/>
                <w:b w:val="1"/>
                <w:bCs w:val="1"/>
                <w:color w:val="386CAD"/>
              </w:rPr>
              <w:t>Tulsa,</w:t>
            </w:r>
          </w:p>
        </w:tc>
        <w:tc>
          <w:tcPr>
            <w:tcW w:w="750" w:type="dxa"/>
            <w:vAlign w:val="bottom"/>
          </w:tcPr>
          <w:p>
            <w:pPr>
              <w:ind w:left="50"/>
              <w:spacing w:after="0"/>
              <w:rPr>
                <w:sz w:val="20"/>
                <w:szCs w:val="20"/>
                <w:color w:val="auto"/>
              </w:rPr>
            </w:pPr>
            <w:r>
              <w:rPr>
                <w:rFonts w:ascii="Arial Narrow" w:cs="Arial Narrow" w:eastAsia="Arial Narrow" w:hAnsi="Arial Narrow"/>
                <w:sz w:val="19"/>
                <w:szCs w:val="19"/>
                <w:color w:val="auto"/>
              </w:rPr>
              <w:t>Cement</w:t>
            </w:r>
          </w:p>
        </w:tc>
        <w:tc>
          <w:tcPr>
            <w:tcW w:w="1880" w:type="dxa"/>
            <w:vAlign w:val="bottom"/>
          </w:tcPr>
          <w:p>
            <w:pPr>
              <w:ind w:left="160"/>
              <w:spacing w:after="0"/>
              <w:rPr>
                <w:sz w:val="20"/>
                <w:szCs w:val="20"/>
                <w:color w:val="auto"/>
              </w:rPr>
            </w:pPr>
            <w:r>
              <w:rPr>
                <w:rFonts w:ascii="Arial Narrow" w:cs="Arial Narrow" w:eastAsia="Arial Narrow" w:hAnsi="Arial Narrow"/>
                <w:sz w:val="19"/>
                <w:szCs w:val="19"/>
                <w:color w:val="auto"/>
              </w:rPr>
              <w:t>Central Plains Cement</w:t>
            </w:r>
          </w:p>
        </w:tc>
        <w:tc>
          <w:tcPr>
            <w:tcW w:w="2020" w:type="dxa"/>
            <w:vAlign w:val="bottom"/>
          </w:tcPr>
          <w:p>
            <w:pPr>
              <w:ind w:left="120"/>
              <w:spacing w:after="0"/>
              <w:rPr>
                <w:sz w:val="20"/>
                <w:szCs w:val="20"/>
                <w:color w:val="auto"/>
              </w:rPr>
            </w:pPr>
            <w:r>
              <w:rPr>
                <w:rFonts w:ascii="Arial Narrow" w:cs="Arial Narrow" w:eastAsia="Arial Narrow" w:hAnsi="Arial Narrow"/>
                <w:sz w:val="19"/>
                <w:szCs w:val="19"/>
                <w:color w:val="auto"/>
              </w:rPr>
              <w:t>Oklahoma, western</w:t>
            </w:r>
          </w:p>
        </w:tc>
        <w:tc>
          <w:tcPr>
            <w:tcW w:w="3400" w:type="dxa"/>
            <w:vAlign w:val="bottom"/>
          </w:tcPr>
          <w:p>
            <w:pPr>
              <w:ind w:left="60"/>
              <w:spacing w:after="0"/>
              <w:rPr>
                <w:sz w:val="20"/>
                <w:szCs w:val="20"/>
                <w:color w:val="auto"/>
              </w:rPr>
            </w:pPr>
            <w:r>
              <w:rPr>
                <w:rFonts w:ascii="Arial Narrow" w:cs="Arial Narrow" w:eastAsia="Arial Narrow" w:hAnsi="Arial Narrow"/>
                <w:sz w:val="19"/>
                <w:szCs w:val="19"/>
                <w:color w:val="auto"/>
              </w:rPr>
              <w:t>Oklahoma City, Oklahoma;</w:t>
            </w:r>
          </w:p>
        </w:tc>
      </w:tr>
      <w:tr>
        <w:trPr>
          <w:trHeight w:val="218"/>
        </w:trPr>
        <w:tc>
          <w:tcPr>
            <w:tcW w:w="1310" w:type="dxa"/>
            <w:vAlign w:val="bottom"/>
          </w:tcPr>
          <w:p>
            <w:pPr>
              <w:ind w:left="100"/>
              <w:spacing w:after="0" w:line="218" w:lineRule="exact"/>
              <w:rPr>
                <w:sz w:val="20"/>
                <w:szCs w:val="20"/>
                <w:color w:val="auto"/>
              </w:rPr>
            </w:pPr>
            <w:r>
              <w:rPr>
                <w:rFonts w:ascii="Arial Narrow" w:cs="Arial Narrow" w:eastAsia="Arial Narrow" w:hAnsi="Arial Narrow"/>
                <w:sz w:val="20"/>
                <w:szCs w:val="20"/>
                <w:b w:val="1"/>
                <w:bCs w:val="1"/>
                <w:color w:val="386CAD"/>
              </w:rPr>
              <w:t>Oklahoma</w:t>
            </w:r>
          </w:p>
        </w:tc>
        <w:tc>
          <w:tcPr>
            <w:tcW w:w="750" w:type="dxa"/>
            <w:vAlign w:val="bottom"/>
          </w:tcPr>
          <w:p>
            <w:pPr>
              <w:spacing w:after="0"/>
              <w:rPr>
                <w:sz w:val="18"/>
                <w:szCs w:val="18"/>
                <w:color w:val="auto"/>
              </w:rPr>
            </w:pPr>
          </w:p>
        </w:tc>
        <w:tc>
          <w:tcPr>
            <w:tcW w:w="1880" w:type="dxa"/>
            <w:vAlign w:val="bottom"/>
          </w:tcPr>
          <w:p>
            <w:pPr>
              <w:ind w:left="160"/>
              <w:spacing w:after="0"/>
              <w:rPr>
                <w:sz w:val="20"/>
                <w:szCs w:val="20"/>
                <w:color w:val="auto"/>
              </w:rPr>
            </w:pPr>
            <w:r>
              <w:rPr>
                <w:rFonts w:ascii="Arial Narrow" w:cs="Arial Narrow" w:eastAsia="Arial Narrow" w:hAnsi="Arial Narrow"/>
                <w:sz w:val="19"/>
                <w:szCs w:val="19"/>
                <w:color w:val="auto"/>
              </w:rPr>
              <w:t>Company</w:t>
            </w:r>
          </w:p>
        </w:tc>
        <w:tc>
          <w:tcPr>
            <w:tcW w:w="2020" w:type="dxa"/>
            <w:vAlign w:val="bottom"/>
          </w:tcPr>
          <w:p>
            <w:pPr>
              <w:ind w:left="120"/>
              <w:spacing w:after="0"/>
              <w:rPr>
                <w:sz w:val="20"/>
                <w:szCs w:val="20"/>
                <w:color w:val="auto"/>
              </w:rPr>
            </w:pPr>
            <w:r>
              <w:rPr>
                <w:rFonts w:ascii="Arial Narrow" w:cs="Arial Narrow" w:eastAsia="Arial Narrow" w:hAnsi="Arial Narrow"/>
                <w:sz w:val="19"/>
                <w:szCs w:val="19"/>
                <w:color w:val="auto"/>
              </w:rPr>
              <w:t>Arkansas, and southern</w:t>
            </w:r>
          </w:p>
        </w:tc>
        <w:tc>
          <w:tcPr>
            <w:tcW w:w="3400" w:type="dxa"/>
            <w:vAlign w:val="bottom"/>
          </w:tcPr>
          <w:p>
            <w:pPr>
              <w:ind w:left="60"/>
              <w:spacing w:after="0"/>
              <w:rPr>
                <w:sz w:val="20"/>
                <w:szCs w:val="20"/>
                <w:color w:val="auto"/>
              </w:rPr>
            </w:pPr>
            <w:r>
              <w:rPr>
                <w:rFonts w:ascii="Arial Narrow" w:cs="Arial Narrow" w:eastAsia="Arial Narrow" w:hAnsi="Arial Narrow"/>
                <w:sz w:val="19"/>
                <w:szCs w:val="19"/>
                <w:color w:val="auto"/>
              </w:rPr>
              <w:t>Springfield, Missouri</w:t>
            </w:r>
          </w:p>
        </w:tc>
      </w:tr>
      <w:tr>
        <w:trPr>
          <w:trHeight w:val="264"/>
        </w:trPr>
        <w:tc>
          <w:tcPr>
            <w:tcW w:w="1310" w:type="dxa"/>
            <w:vAlign w:val="bottom"/>
          </w:tcPr>
          <w:p>
            <w:pPr>
              <w:spacing w:after="0"/>
              <w:rPr>
                <w:sz w:val="22"/>
                <w:szCs w:val="22"/>
                <w:color w:val="auto"/>
              </w:rPr>
            </w:pPr>
          </w:p>
        </w:tc>
        <w:tc>
          <w:tcPr>
            <w:tcW w:w="75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2020" w:type="dxa"/>
            <w:vAlign w:val="bottom"/>
          </w:tcPr>
          <w:p>
            <w:pPr>
              <w:ind w:left="120"/>
              <w:spacing w:after="0"/>
              <w:rPr>
                <w:sz w:val="20"/>
                <w:szCs w:val="20"/>
                <w:color w:val="auto"/>
              </w:rPr>
            </w:pPr>
            <w:r>
              <w:rPr>
                <w:rFonts w:ascii="Arial Narrow" w:cs="Arial Narrow" w:eastAsia="Arial Narrow" w:hAnsi="Arial Narrow"/>
                <w:sz w:val="19"/>
                <w:szCs w:val="19"/>
                <w:color w:val="auto"/>
              </w:rPr>
              <w:t>Missouri</w:t>
            </w:r>
          </w:p>
        </w:tc>
        <w:tc>
          <w:tcPr>
            <w:tcW w:w="3400" w:type="dxa"/>
            <w:vAlign w:val="bottom"/>
          </w:tcPr>
          <w:p>
            <w:pPr>
              <w:spacing w:after="0"/>
              <w:rPr>
                <w:sz w:val="22"/>
                <w:szCs w:val="22"/>
                <w:color w:val="auto"/>
              </w:rPr>
            </w:pPr>
          </w:p>
        </w:tc>
      </w:tr>
      <w:tr>
        <w:trPr>
          <w:trHeight w:val="65"/>
        </w:trPr>
        <w:tc>
          <w:tcPr>
            <w:tcW w:w="1310" w:type="dxa"/>
            <w:vAlign w:val="bottom"/>
            <w:tcBorders>
              <w:bottom w:val="single" w:sz="8" w:color="A6A6A6"/>
            </w:tcBorders>
          </w:tcPr>
          <w:p>
            <w:pPr>
              <w:spacing w:after="0"/>
              <w:rPr>
                <w:sz w:val="5"/>
                <w:szCs w:val="5"/>
                <w:color w:val="auto"/>
              </w:rPr>
            </w:pPr>
          </w:p>
        </w:tc>
        <w:tc>
          <w:tcPr>
            <w:tcW w:w="750" w:type="dxa"/>
            <w:vAlign w:val="bottom"/>
            <w:tcBorders>
              <w:bottom w:val="single" w:sz="8" w:color="A6A6A6"/>
            </w:tcBorders>
          </w:tcPr>
          <w:p>
            <w:pPr>
              <w:spacing w:after="0"/>
              <w:rPr>
                <w:sz w:val="5"/>
                <w:szCs w:val="5"/>
                <w:color w:val="auto"/>
              </w:rPr>
            </w:pPr>
          </w:p>
        </w:tc>
        <w:tc>
          <w:tcPr>
            <w:tcW w:w="1880" w:type="dxa"/>
            <w:vAlign w:val="bottom"/>
            <w:tcBorders>
              <w:bottom w:val="single" w:sz="8" w:color="A6A6A6"/>
            </w:tcBorders>
          </w:tcPr>
          <w:p>
            <w:pPr>
              <w:spacing w:after="0"/>
              <w:rPr>
                <w:sz w:val="5"/>
                <w:szCs w:val="5"/>
                <w:color w:val="auto"/>
              </w:rPr>
            </w:pPr>
          </w:p>
        </w:tc>
        <w:tc>
          <w:tcPr>
            <w:tcW w:w="2020" w:type="dxa"/>
            <w:vAlign w:val="bottom"/>
            <w:tcBorders>
              <w:bottom w:val="single" w:sz="8" w:color="A6A6A6"/>
            </w:tcBorders>
          </w:tcPr>
          <w:p>
            <w:pPr>
              <w:spacing w:after="0"/>
              <w:rPr>
                <w:sz w:val="5"/>
                <w:szCs w:val="5"/>
                <w:color w:val="auto"/>
              </w:rPr>
            </w:pPr>
          </w:p>
        </w:tc>
        <w:tc>
          <w:tcPr>
            <w:tcW w:w="3400" w:type="dxa"/>
            <w:vAlign w:val="bottom"/>
            <w:tcBorders>
              <w:bottom w:val="single" w:sz="8" w:color="A6A6A6"/>
            </w:tcBorders>
          </w:tcPr>
          <w:p>
            <w:pPr>
              <w:spacing w:after="0"/>
              <w:rPr>
                <w:sz w:val="5"/>
                <w:szCs w:val="5"/>
                <w:color w:val="auto"/>
              </w:rPr>
            </w:pPr>
          </w:p>
        </w:tc>
      </w:tr>
      <w:tr>
        <w:trPr>
          <w:trHeight w:val="281"/>
        </w:trPr>
        <w:tc>
          <w:tcPr>
            <w:tcW w:w="1310" w:type="dxa"/>
            <w:vAlign w:val="bottom"/>
          </w:tcPr>
          <w:p>
            <w:pPr>
              <w:ind w:left="100"/>
              <w:spacing w:after="0"/>
              <w:rPr>
                <w:sz w:val="20"/>
                <w:szCs w:val="20"/>
                <w:color w:val="auto"/>
              </w:rPr>
            </w:pPr>
            <w:r>
              <w:rPr>
                <w:rFonts w:ascii="Arial Narrow" w:cs="Arial Narrow" w:eastAsia="Arial Narrow" w:hAnsi="Arial Narrow"/>
                <w:sz w:val="20"/>
                <w:szCs w:val="20"/>
                <w:b w:val="1"/>
                <w:bCs w:val="1"/>
                <w:color w:val="386CAD"/>
              </w:rPr>
              <w:t>Laramie,</w:t>
            </w:r>
          </w:p>
        </w:tc>
        <w:tc>
          <w:tcPr>
            <w:tcW w:w="750" w:type="dxa"/>
            <w:vAlign w:val="bottom"/>
          </w:tcPr>
          <w:p>
            <w:pPr>
              <w:ind w:left="50"/>
              <w:spacing w:after="0"/>
              <w:rPr>
                <w:sz w:val="20"/>
                <w:szCs w:val="20"/>
                <w:color w:val="auto"/>
              </w:rPr>
            </w:pPr>
            <w:r>
              <w:rPr>
                <w:rFonts w:ascii="Arial Narrow" w:cs="Arial Narrow" w:eastAsia="Arial Narrow" w:hAnsi="Arial Narrow"/>
                <w:sz w:val="19"/>
                <w:szCs w:val="19"/>
                <w:color w:val="auto"/>
              </w:rPr>
              <w:t>Cement</w:t>
            </w:r>
          </w:p>
        </w:tc>
        <w:tc>
          <w:tcPr>
            <w:tcW w:w="1880" w:type="dxa"/>
            <w:vAlign w:val="bottom"/>
          </w:tcPr>
          <w:p>
            <w:pPr>
              <w:ind w:left="160"/>
              <w:spacing w:after="0"/>
              <w:rPr>
                <w:sz w:val="20"/>
                <w:szCs w:val="20"/>
                <w:color w:val="auto"/>
              </w:rPr>
            </w:pPr>
            <w:r>
              <w:rPr>
                <w:rFonts w:ascii="Arial Narrow" w:cs="Arial Narrow" w:eastAsia="Arial Narrow" w:hAnsi="Arial Narrow"/>
                <w:sz w:val="19"/>
                <w:szCs w:val="19"/>
                <w:color w:val="auto"/>
              </w:rPr>
              <w:t>Mountain Cement</w:t>
            </w:r>
          </w:p>
        </w:tc>
        <w:tc>
          <w:tcPr>
            <w:tcW w:w="2020" w:type="dxa"/>
            <w:vAlign w:val="bottom"/>
          </w:tcPr>
          <w:p>
            <w:pPr>
              <w:ind w:left="120"/>
              <w:spacing w:after="0"/>
              <w:rPr>
                <w:sz w:val="20"/>
                <w:szCs w:val="20"/>
                <w:color w:val="auto"/>
              </w:rPr>
            </w:pPr>
            <w:r>
              <w:rPr>
                <w:rFonts w:ascii="Arial Narrow" w:cs="Arial Narrow" w:eastAsia="Arial Narrow" w:hAnsi="Arial Narrow"/>
                <w:sz w:val="19"/>
                <w:szCs w:val="19"/>
                <w:color w:val="auto"/>
              </w:rPr>
              <w:t>Wyoming, Utah, Colorado,</w:t>
            </w:r>
          </w:p>
        </w:tc>
        <w:tc>
          <w:tcPr>
            <w:tcW w:w="3400" w:type="dxa"/>
            <w:vAlign w:val="bottom"/>
          </w:tcPr>
          <w:p>
            <w:pPr>
              <w:ind w:left="60"/>
              <w:spacing w:after="0"/>
              <w:rPr>
                <w:sz w:val="20"/>
                <w:szCs w:val="20"/>
                <w:color w:val="auto"/>
              </w:rPr>
            </w:pPr>
            <w:r>
              <w:rPr>
                <w:rFonts w:ascii="Arial Narrow" w:cs="Arial Narrow" w:eastAsia="Arial Narrow" w:hAnsi="Arial Narrow"/>
                <w:sz w:val="19"/>
                <w:szCs w:val="19"/>
                <w:color w:val="auto"/>
              </w:rPr>
              <w:t>Salt Lake City, Utah; Denver, Colorado;</w:t>
            </w:r>
          </w:p>
        </w:tc>
      </w:tr>
      <w:tr>
        <w:trPr>
          <w:trHeight w:val="287"/>
        </w:trPr>
        <w:tc>
          <w:tcPr>
            <w:tcW w:w="1310" w:type="dxa"/>
            <w:vAlign w:val="bottom"/>
          </w:tcPr>
          <w:p>
            <w:pPr>
              <w:ind w:left="100"/>
              <w:spacing w:after="0"/>
              <w:rPr>
                <w:sz w:val="20"/>
                <w:szCs w:val="20"/>
                <w:color w:val="auto"/>
              </w:rPr>
            </w:pPr>
            <w:r>
              <w:rPr>
                <w:rFonts w:ascii="Arial Narrow" w:cs="Arial Narrow" w:eastAsia="Arial Narrow" w:hAnsi="Arial Narrow"/>
                <w:sz w:val="20"/>
                <w:szCs w:val="20"/>
                <w:b w:val="1"/>
                <w:bCs w:val="1"/>
                <w:color w:val="386CAD"/>
              </w:rPr>
              <w:t>Wyoming</w:t>
            </w:r>
          </w:p>
        </w:tc>
        <w:tc>
          <w:tcPr>
            <w:tcW w:w="750" w:type="dxa"/>
            <w:vAlign w:val="bottom"/>
          </w:tcPr>
          <w:p>
            <w:pPr>
              <w:spacing w:after="0"/>
              <w:rPr>
                <w:sz w:val="24"/>
                <w:szCs w:val="24"/>
                <w:color w:val="auto"/>
              </w:rPr>
            </w:pPr>
          </w:p>
        </w:tc>
        <w:tc>
          <w:tcPr>
            <w:tcW w:w="1880" w:type="dxa"/>
            <w:vAlign w:val="bottom"/>
          </w:tcPr>
          <w:p>
            <w:pPr>
              <w:ind w:left="160"/>
              <w:spacing w:after="0"/>
              <w:rPr>
                <w:sz w:val="20"/>
                <w:szCs w:val="20"/>
                <w:color w:val="auto"/>
              </w:rPr>
            </w:pPr>
            <w:r>
              <w:rPr>
                <w:rFonts w:ascii="Arial Narrow" w:cs="Arial Narrow" w:eastAsia="Arial Narrow" w:hAnsi="Arial Narrow"/>
                <w:sz w:val="19"/>
                <w:szCs w:val="19"/>
                <w:color w:val="auto"/>
              </w:rPr>
              <w:t>Company</w:t>
            </w:r>
          </w:p>
        </w:tc>
        <w:tc>
          <w:tcPr>
            <w:tcW w:w="2020" w:type="dxa"/>
            <w:vAlign w:val="bottom"/>
          </w:tcPr>
          <w:p>
            <w:pPr>
              <w:ind w:left="120"/>
              <w:spacing w:after="0"/>
              <w:rPr>
                <w:sz w:val="20"/>
                <w:szCs w:val="20"/>
                <w:color w:val="auto"/>
              </w:rPr>
            </w:pPr>
            <w:r>
              <w:rPr>
                <w:rFonts w:ascii="Arial Narrow" w:cs="Arial Narrow" w:eastAsia="Arial Narrow" w:hAnsi="Arial Narrow"/>
                <w:sz w:val="19"/>
                <w:szCs w:val="19"/>
                <w:color w:val="auto"/>
              </w:rPr>
              <w:t>and western Nebraska</w:t>
            </w:r>
          </w:p>
        </w:tc>
        <w:tc>
          <w:tcPr>
            <w:tcW w:w="3400" w:type="dxa"/>
            <w:vAlign w:val="bottom"/>
          </w:tcPr>
          <w:p>
            <w:pPr>
              <w:ind w:left="60"/>
              <w:spacing w:after="0"/>
              <w:rPr>
                <w:sz w:val="20"/>
                <w:szCs w:val="20"/>
                <w:color w:val="auto"/>
              </w:rPr>
            </w:pPr>
            <w:r>
              <w:rPr>
                <w:rFonts w:ascii="Arial Narrow" w:cs="Arial Narrow" w:eastAsia="Arial Narrow" w:hAnsi="Arial Narrow"/>
                <w:sz w:val="19"/>
                <w:szCs w:val="19"/>
                <w:color w:val="auto"/>
              </w:rPr>
              <w:t>North Platte, Nebraska</w:t>
            </w:r>
          </w:p>
        </w:tc>
      </w:tr>
      <w:tr>
        <w:trPr>
          <w:trHeight w:val="65"/>
        </w:trPr>
        <w:tc>
          <w:tcPr>
            <w:tcW w:w="1310" w:type="dxa"/>
            <w:vAlign w:val="bottom"/>
            <w:tcBorders>
              <w:bottom w:val="single" w:sz="8" w:color="A6A6A6"/>
            </w:tcBorders>
          </w:tcPr>
          <w:p>
            <w:pPr>
              <w:spacing w:after="0"/>
              <w:rPr>
                <w:sz w:val="5"/>
                <w:szCs w:val="5"/>
                <w:color w:val="auto"/>
              </w:rPr>
            </w:pPr>
          </w:p>
        </w:tc>
        <w:tc>
          <w:tcPr>
            <w:tcW w:w="750" w:type="dxa"/>
            <w:vAlign w:val="bottom"/>
            <w:tcBorders>
              <w:bottom w:val="single" w:sz="8" w:color="A6A6A6"/>
            </w:tcBorders>
          </w:tcPr>
          <w:p>
            <w:pPr>
              <w:spacing w:after="0"/>
              <w:rPr>
                <w:sz w:val="5"/>
                <w:szCs w:val="5"/>
                <w:color w:val="auto"/>
              </w:rPr>
            </w:pPr>
          </w:p>
        </w:tc>
        <w:tc>
          <w:tcPr>
            <w:tcW w:w="1880" w:type="dxa"/>
            <w:vAlign w:val="bottom"/>
            <w:tcBorders>
              <w:bottom w:val="single" w:sz="8" w:color="A6A6A6"/>
            </w:tcBorders>
          </w:tcPr>
          <w:p>
            <w:pPr>
              <w:spacing w:after="0"/>
              <w:rPr>
                <w:sz w:val="5"/>
                <w:szCs w:val="5"/>
                <w:color w:val="auto"/>
              </w:rPr>
            </w:pPr>
          </w:p>
        </w:tc>
        <w:tc>
          <w:tcPr>
            <w:tcW w:w="2020" w:type="dxa"/>
            <w:vAlign w:val="bottom"/>
            <w:tcBorders>
              <w:bottom w:val="single" w:sz="8" w:color="A6A6A6"/>
            </w:tcBorders>
          </w:tcPr>
          <w:p>
            <w:pPr>
              <w:spacing w:after="0"/>
              <w:rPr>
                <w:sz w:val="5"/>
                <w:szCs w:val="5"/>
                <w:color w:val="auto"/>
              </w:rPr>
            </w:pPr>
          </w:p>
        </w:tc>
        <w:tc>
          <w:tcPr>
            <w:tcW w:w="3400" w:type="dxa"/>
            <w:vAlign w:val="bottom"/>
            <w:tcBorders>
              <w:bottom w:val="single" w:sz="8" w:color="A6A6A6"/>
            </w:tcBorders>
          </w:tcPr>
          <w:p>
            <w:pPr>
              <w:spacing w:after="0"/>
              <w:rPr>
                <w:sz w:val="5"/>
                <w:szCs w:val="5"/>
                <w:color w:val="auto"/>
              </w:rPr>
            </w:pPr>
          </w:p>
        </w:tc>
      </w:tr>
      <w:tr>
        <w:trPr>
          <w:trHeight w:val="281"/>
        </w:trPr>
        <w:tc>
          <w:tcPr>
            <w:tcW w:w="1310" w:type="dxa"/>
            <w:vAlign w:val="bottom"/>
          </w:tcPr>
          <w:p>
            <w:pPr>
              <w:ind w:left="100"/>
              <w:spacing w:after="0"/>
              <w:rPr>
                <w:sz w:val="20"/>
                <w:szCs w:val="20"/>
                <w:color w:val="auto"/>
              </w:rPr>
            </w:pPr>
            <w:r>
              <w:rPr>
                <w:rFonts w:ascii="Arial Narrow" w:cs="Arial Narrow" w:eastAsia="Arial Narrow" w:hAnsi="Arial Narrow"/>
                <w:sz w:val="20"/>
                <w:szCs w:val="20"/>
                <w:b w:val="1"/>
                <w:bCs w:val="1"/>
                <w:color w:val="386CAD"/>
              </w:rPr>
              <w:t>Fernley,</w:t>
            </w:r>
          </w:p>
        </w:tc>
        <w:tc>
          <w:tcPr>
            <w:tcW w:w="750" w:type="dxa"/>
            <w:vAlign w:val="bottom"/>
          </w:tcPr>
          <w:p>
            <w:pPr>
              <w:ind w:left="50"/>
              <w:spacing w:after="0"/>
              <w:rPr>
                <w:sz w:val="20"/>
                <w:szCs w:val="20"/>
                <w:color w:val="auto"/>
              </w:rPr>
            </w:pPr>
            <w:r>
              <w:rPr>
                <w:rFonts w:ascii="Arial Narrow" w:cs="Arial Narrow" w:eastAsia="Arial Narrow" w:hAnsi="Arial Narrow"/>
                <w:sz w:val="19"/>
                <w:szCs w:val="19"/>
                <w:color w:val="auto"/>
              </w:rPr>
              <w:t>Cement</w:t>
            </w:r>
          </w:p>
        </w:tc>
        <w:tc>
          <w:tcPr>
            <w:tcW w:w="1880" w:type="dxa"/>
            <w:vAlign w:val="bottom"/>
          </w:tcPr>
          <w:p>
            <w:pPr>
              <w:ind w:left="160"/>
              <w:spacing w:after="0"/>
              <w:rPr>
                <w:sz w:val="20"/>
                <w:szCs w:val="20"/>
                <w:color w:val="auto"/>
              </w:rPr>
            </w:pPr>
            <w:r>
              <w:rPr>
                <w:rFonts w:ascii="Arial Narrow" w:cs="Arial Narrow" w:eastAsia="Arial Narrow" w:hAnsi="Arial Narrow"/>
                <w:sz w:val="19"/>
                <w:szCs w:val="19"/>
                <w:color w:val="auto"/>
              </w:rPr>
              <w:t>Nevada Cement</w:t>
            </w:r>
          </w:p>
        </w:tc>
        <w:tc>
          <w:tcPr>
            <w:tcW w:w="2020" w:type="dxa"/>
            <w:vAlign w:val="bottom"/>
          </w:tcPr>
          <w:p>
            <w:pPr>
              <w:ind w:left="120"/>
              <w:spacing w:after="0"/>
              <w:rPr>
                <w:sz w:val="20"/>
                <w:szCs w:val="20"/>
                <w:color w:val="auto"/>
              </w:rPr>
            </w:pPr>
            <w:r>
              <w:rPr>
                <w:rFonts w:ascii="Arial Narrow" w:cs="Arial Narrow" w:eastAsia="Arial Narrow" w:hAnsi="Arial Narrow"/>
                <w:sz w:val="19"/>
                <w:szCs w:val="19"/>
                <w:color w:val="auto"/>
              </w:rPr>
              <w:t>Northern Nevada and</w:t>
            </w:r>
          </w:p>
        </w:tc>
        <w:tc>
          <w:tcPr>
            <w:tcW w:w="3400" w:type="dxa"/>
            <w:vAlign w:val="bottom"/>
          </w:tcPr>
          <w:p>
            <w:pPr>
              <w:ind w:left="60"/>
              <w:spacing w:after="0"/>
              <w:rPr>
                <w:sz w:val="20"/>
                <w:szCs w:val="20"/>
                <w:color w:val="auto"/>
              </w:rPr>
            </w:pPr>
            <w:r>
              <w:rPr>
                <w:rFonts w:ascii="Arial Narrow" w:cs="Arial Narrow" w:eastAsia="Arial Narrow" w:hAnsi="Arial Narrow"/>
                <w:sz w:val="19"/>
                <w:szCs w:val="19"/>
                <w:color w:val="auto"/>
              </w:rPr>
              <w:t xml:space="preserve">Sacramento, California; Stockton, California; </w:t>
            </w:r>
            <w:r>
              <w:rPr>
                <w:rFonts w:ascii="Arial Narrow" w:cs="Arial Narrow" w:eastAsia="Arial Narrow" w:hAnsi="Arial Narrow"/>
                <w:sz w:val="12"/>
                <w:szCs w:val="12"/>
                <w:color w:val="auto"/>
              </w:rPr>
              <w:t>(2)</w:t>
            </w:r>
          </w:p>
        </w:tc>
      </w:tr>
      <w:tr>
        <w:trPr>
          <w:trHeight w:val="287"/>
        </w:trPr>
        <w:tc>
          <w:tcPr>
            <w:tcW w:w="1310" w:type="dxa"/>
            <w:vAlign w:val="bottom"/>
          </w:tcPr>
          <w:p>
            <w:pPr>
              <w:ind w:left="100"/>
              <w:spacing w:after="0"/>
              <w:rPr>
                <w:sz w:val="20"/>
                <w:szCs w:val="20"/>
                <w:color w:val="auto"/>
              </w:rPr>
            </w:pPr>
            <w:r>
              <w:rPr>
                <w:rFonts w:ascii="Arial Narrow" w:cs="Arial Narrow" w:eastAsia="Arial Narrow" w:hAnsi="Arial Narrow"/>
                <w:sz w:val="20"/>
                <w:szCs w:val="20"/>
                <w:b w:val="1"/>
                <w:bCs w:val="1"/>
                <w:color w:val="386CAD"/>
              </w:rPr>
              <w:t>Nevada</w:t>
            </w:r>
          </w:p>
        </w:tc>
        <w:tc>
          <w:tcPr>
            <w:tcW w:w="750" w:type="dxa"/>
            <w:vAlign w:val="bottom"/>
          </w:tcPr>
          <w:p>
            <w:pPr>
              <w:spacing w:after="0"/>
              <w:rPr>
                <w:sz w:val="24"/>
                <w:szCs w:val="24"/>
                <w:color w:val="auto"/>
              </w:rPr>
            </w:pPr>
          </w:p>
        </w:tc>
        <w:tc>
          <w:tcPr>
            <w:tcW w:w="1880" w:type="dxa"/>
            <w:vAlign w:val="bottom"/>
          </w:tcPr>
          <w:p>
            <w:pPr>
              <w:ind w:left="160"/>
              <w:spacing w:after="0"/>
              <w:rPr>
                <w:sz w:val="20"/>
                <w:szCs w:val="20"/>
                <w:color w:val="auto"/>
              </w:rPr>
            </w:pPr>
            <w:r>
              <w:rPr>
                <w:rFonts w:ascii="Arial Narrow" w:cs="Arial Narrow" w:eastAsia="Arial Narrow" w:hAnsi="Arial Narrow"/>
                <w:sz w:val="19"/>
                <w:szCs w:val="19"/>
                <w:color w:val="auto"/>
              </w:rPr>
              <w:t>Company</w:t>
            </w:r>
          </w:p>
        </w:tc>
        <w:tc>
          <w:tcPr>
            <w:tcW w:w="2020" w:type="dxa"/>
            <w:vAlign w:val="bottom"/>
          </w:tcPr>
          <w:p>
            <w:pPr>
              <w:ind w:left="120"/>
              <w:spacing w:after="0"/>
              <w:rPr>
                <w:sz w:val="20"/>
                <w:szCs w:val="20"/>
                <w:color w:val="auto"/>
              </w:rPr>
            </w:pPr>
            <w:r>
              <w:rPr>
                <w:rFonts w:ascii="Arial Narrow" w:cs="Arial Narrow" w:eastAsia="Arial Narrow" w:hAnsi="Arial Narrow"/>
                <w:sz w:val="19"/>
                <w:szCs w:val="19"/>
                <w:color w:val="auto"/>
              </w:rPr>
              <w:t>northern California</w:t>
            </w:r>
          </w:p>
        </w:tc>
        <w:tc>
          <w:tcPr>
            <w:tcW w:w="3400" w:type="dxa"/>
            <w:vAlign w:val="bottom"/>
          </w:tcPr>
          <w:p>
            <w:pPr>
              <w:ind w:left="60"/>
              <w:spacing w:after="0"/>
              <w:rPr>
                <w:sz w:val="20"/>
                <w:szCs w:val="20"/>
                <w:color w:val="auto"/>
              </w:rPr>
            </w:pPr>
            <w:r>
              <w:rPr>
                <w:rFonts w:ascii="Arial Narrow" w:cs="Arial Narrow" w:eastAsia="Arial Narrow" w:hAnsi="Arial Narrow"/>
                <w:sz w:val="19"/>
                <w:szCs w:val="19"/>
                <w:color w:val="auto"/>
              </w:rPr>
              <w:t xml:space="preserve">Redwood City, California </w:t>
            </w:r>
            <w:r>
              <w:rPr>
                <w:rFonts w:ascii="Arial Narrow" w:cs="Arial Narrow" w:eastAsia="Arial Narrow" w:hAnsi="Arial Narrow"/>
                <w:sz w:val="12"/>
                <w:szCs w:val="12"/>
                <w:color w:val="auto"/>
              </w:rPr>
              <w:t>(2)</w:t>
            </w:r>
          </w:p>
        </w:tc>
      </w:tr>
      <w:tr>
        <w:trPr>
          <w:trHeight w:val="65"/>
        </w:trPr>
        <w:tc>
          <w:tcPr>
            <w:tcW w:w="1310" w:type="dxa"/>
            <w:vAlign w:val="bottom"/>
            <w:tcBorders>
              <w:bottom w:val="single" w:sz="8" w:color="A6A6A6"/>
            </w:tcBorders>
          </w:tcPr>
          <w:p>
            <w:pPr>
              <w:spacing w:after="0"/>
              <w:rPr>
                <w:sz w:val="5"/>
                <w:szCs w:val="5"/>
                <w:color w:val="auto"/>
              </w:rPr>
            </w:pPr>
          </w:p>
        </w:tc>
        <w:tc>
          <w:tcPr>
            <w:tcW w:w="750" w:type="dxa"/>
            <w:vAlign w:val="bottom"/>
            <w:tcBorders>
              <w:bottom w:val="single" w:sz="8" w:color="A6A6A6"/>
            </w:tcBorders>
          </w:tcPr>
          <w:p>
            <w:pPr>
              <w:spacing w:after="0"/>
              <w:rPr>
                <w:sz w:val="5"/>
                <w:szCs w:val="5"/>
                <w:color w:val="auto"/>
              </w:rPr>
            </w:pPr>
          </w:p>
        </w:tc>
        <w:tc>
          <w:tcPr>
            <w:tcW w:w="1880" w:type="dxa"/>
            <w:vAlign w:val="bottom"/>
            <w:tcBorders>
              <w:bottom w:val="single" w:sz="8" w:color="A6A6A6"/>
            </w:tcBorders>
          </w:tcPr>
          <w:p>
            <w:pPr>
              <w:spacing w:after="0"/>
              <w:rPr>
                <w:sz w:val="5"/>
                <w:szCs w:val="5"/>
                <w:color w:val="auto"/>
              </w:rPr>
            </w:pPr>
          </w:p>
        </w:tc>
        <w:tc>
          <w:tcPr>
            <w:tcW w:w="2020" w:type="dxa"/>
            <w:vAlign w:val="bottom"/>
            <w:tcBorders>
              <w:bottom w:val="single" w:sz="8" w:color="A6A6A6"/>
            </w:tcBorders>
          </w:tcPr>
          <w:p>
            <w:pPr>
              <w:spacing w:after="0"/>
              <w:rPr>
                <w:sz w:val="5"/>
                <w:szCs w:val="5"/>
                <w:color w:val="auto"/>
              </w:rPr>
            </w:pPr>
          </w:p>
        </w:tc>
        <w:tc>
          <w:tcPr>
            <w:tcW w:w="3400" w:type="dxa"/>
            <w:vAlign w:val="bottom"/>
            <w:tcBorders>
              <w:bottom w:val="single" w:sz="8" w:color="A6A6A6"/>
            </w:tcBorders>
          </w:tcPr>
          <w:p>
            <w:pPr>
              <w:spacing w:after="0"/>
              <w:rPr>
                <w:sz w:val="5"/>
                <w:szCs w:val="5"/>
                <w:color w:val="auto"/>
              </w:rPr>
            </w:pPr>
          </w:p>
        </w:tc>
      </w:tr>
      <w:tr>
        <w:trPr>
          <w:trHeight w:val="281"/>
        </w:trPr>
        <w:tc>
          <w:tcPr>
            <w:tcW w:w="1310" w:type="dxa"/>
            <w:vAlign w:val="bottom"/>
          </w:tcPr>
          <w:p>
            <w:pPr>
              <w:ind w:left="100"/>
              <w:spacing w:after="0"/>
              <w:rPr>
                <w:sz w:val="20"/>
                <w:szCs w:val="20"/>
                <w:color w:val="auto"/>
              </w:rPr>
            </w:pPr>
            <w:r>
              <w:rPr>
                <w:rFonts w:ascii="Arial Narrow" w:cs="Arial Narrow" w:eastAsia="Arial Narrow" w:hAnsi="Arial Narrow"/>
                <w:sz w:val="20"/>
                <w:szCs w:val="20"/>
                <w:b w:val="1"/>
                <w:bCs w:val="1"/>
                <w:color w:val="386CAD"/>
              </w:rPr>
              <w:t>Louisville,</w:t>
            </w:r>
          </w:p>
        </w:tc>
        <w:tc>
          <w:tcPr>
            <w:tcW w:w="750" w:type="dxa"/>
            <w:vAlign w:val="bottom"/>
          </w:tcPr>
          <w:p>
            <w:pPr>
              <w:ind w:left="50"/>
              <w:spacing w:after="0"/>
              <w:rPr>
                <w:sz w:val="20"/>
                <w:szCs w:val="20"/>
                <w:color w:val="auto"/>
              </w:rPr>
            </w:pPr>
            <w:r>
              <w:rPr>
                <w:rFonts w:ascii="Arial Narrow" w:cs="Arial Narrow" w:eastAsia="Arial Narrow" w:hAnsi="Arial Narrow"/>
                <w:sz w:val="19"/>
                <w:szCs w:val="19"/>
                <w:color w:val="auto"/>
              </w:rPr>
              <w:t>Cement</w:t>
            </w:r>
          </w:p>
        </w:tc>
        <w:tc>
          <w:tcPr>
            <w:tcW w:w="1880" w:type="dxa"/>
            <w:vAlign w:val="bottom"/>
          </w:tcPr>
          <w:p>
            <w:pPr>
              <w:ind w:left="160"/>
              <w:spacing w:after="0"/>
              <w:rPr>
                <w:sz w:val="20"/>
                <w:szCs w:val="20"/>
                <w:color w:val="auto"/>
              </w:rPr>
            </w:pPr>
            <w:r>
              <w:rPr>
                <w:rFonts w:ascii="Arial Narrow" w:cs="Arial Narrow" w:eastAsia="Arial Narrow" w:hAnsi="Arial Narrow"/>
                <w:sz w:val="19"/>
                <w:szCs w:val="19"/>
                <w:color w:val="auto"/>
              </w:rPr>
              <w:t>Kosmos Cement</w:t>
            </w:r>
          </w:p>
        </w:tc>
        <w:tc>
          <w:tcPr>
            <w:tcW w:w="2020" w:type="dxa"/>
            <w:vAlign w:val="bottom"/>
          </w:tcPr>
          <w:p>
            <w:pPr>
              <w:ind w:left="120"/>
              <w:spacing w:after="0"/>
              <w:rPr>
                <w:sz w:val="20"/>
                <w:szCs w:val="20"/>
                <w:color w:val="auto"/>
              </w:rPr>
            </w:pPr>
            <w:r>
              <w:rPr>
                <w:rFonts w:ascii="Arial Narrow" w:cs="Arial Narrow" w:eastAsia="Arial Narrow" w:hAnsi="Arial Narrow"/>
                <w:sz w:val="19"/>
                <w:szCs w:val="19"/>
                <w:color w:val="auto"/>
              </w:rPr>
              <w:t>Kentucky, Ohio, Indiana,</w:t>
            </w:r>
          </w:p>
        </w:tc>
        <w:tc>
          <w:tcPr>
            <w:tcW w:w="3400" w:type="dxa"/>
            <w:vAlign w:val="bottom"/>
          </w:tcPr>
          <w:p>
            <w:pPr>
              <w:ind w:left="60"/>
              <w:spacing w:after="0"/>
              <w:rPr>
                <w:sz w:val="20"/>
                <w:szCs w:val="20"/>
                <w:color w:val="auto"/>
              </w:rPr>
            </w:pPr>
            <w:r>
              <w:rPr>
                <w:rFonts w:ascii="Arial Narrow" w:cs="Arial Narrow" w:eastAsia="Arial Narrow" w:hAnsi="Arial Narrow"/>
                <w:sz w:val="19"/>
                <w:szCs w:val="19"/>
                <w:color w:val="auto"/>
              </w:rPr>
              <w:t>Indianapolis, Indiana; Ceredo, West Virginia;</w:t>
            </w:r>
          </w:p>
        </w:tc>
      </w:tr>
      <w:tr>
        <w:trPr>
          <w:trHeight w:val="227"/>
        </w:trPr>
        <w:tc>
          <w:tcPr>
            <w:tcW w:w="1310" w:type="dxa"/>
            <w:vAlign w:val="bottom"/>
          </w:tcPr>
          <w:p>
            <w:pPr>
              <w:ind w:left="100"/>
              <w:spacing w:after="0" w:line="227" w:lineRule="exact"/>
              <w:rPr>
                <w:sz w:val="20"/>
                <w:szCs w:val="20"/>
                <w:color w:val="auto"/>
              </w:rPr>
            </w:pPr>
            <w:r>
              <w:rPr>
                <w:rFonts w:ascii="Arial Narrow" w:cs="Arial Narrow" w:eastAsia="Arial Narrow" w:hAnsi="Arial Narrow"/>
                <w:sz w:val="20"/>
                <w:szCs w:val="20"/>
                <w:b w:val="1"/>
                <w:bCs w:val="1"/>
                <w:color w:val="386CAD"/>
              </w:rPr>
              <w:t>Kentucky</w:t>
            </w:r>
          </w:p>
        </w:tc>
        <w:tc>
          <w:tcPr>
            <w:tcW w:w="750" w:type="dxa"/>
            <w:vAlign w:val="bottom"/>
          </w:tcPr>
          <w:p>
            <w:pPr>
              <w:spacing w:after="0"/>
              <w:rPr>
                <w:sz w:val="19"/>
                <w:szCs w:val="19"/>
                <w:color w:val="auto"/>
              </w:rPr>
            </w:pPr>
          </w:p>
        </w:tc>
        <w:tc>
          <w:tcPr>
            <w:tcW w:w="1880" w:type="dxa"/>
            <w:vAlign w:val="bottom"/>
          </w:tcPr>
          <w:p>
            <w:pPr>
              <w:ind w:left="160"/>
              <w:spacing w:after="0"/>
              <w:rPr>
                <w:sz w:val="20"/>
                <w:szCs w:val="20"/>
                <w:color w:val="auto"/>
              </w:rPr>
            </w:pPr>
            <w:r>
              <w:rPr>
                <w:rFonts w:ascii="Arial Narrow" w:cs="Arial Narrow" w:eastAsia="Arial Narrow" w:hAnsi="Arial Narrow"/>
                <w:sz w:val="19"/>
                <w:szCs w:val="19"/>
                <w:color w:val="auto"/>
              </w:rPr>
              <w:t>Company</w:t>
            </w:r>
          </w:p>
        </w:tc>
        <w:tc>
          <w:tcPr>
            <w:tcW w:w="2020" w:type="dxa"/>
            <w:vAlign w:val="bottom"/>
          </w:tcPr>
          <w:p>
            <w:pPr>
              <w:ind w:left="120"/>
              <w:spacing w:after="0"/>
              <w:rPr>
                <w:sz w:val="20"/>
                <w:szCs w:val="20"/>
                <w:color w:val="auto"/>
              </w:rPr>
            </w:pPr>
            <w:r>
              <w:rPr>
                <w:rFonts w:ascii="Arial Narrow" w:cs="Arial Narrow" w:eastAsia="Arial Narrow" w:hAnsi="Arial Narrow"/>
                <w:sz w:val="19"/>
                <w:szCs w:val="19"/>
                <w:color w:val="auto"/>
              </w:rPr>
              <w:t>West Virginia, eastern</w:t>
            </w:r>
          </w:p>
        </w:tc>
        <w:tc>
          <w:tcPr>
            <w:tcW w:w="3400" w:type="dxa"/>
            <w:vAlign w:val="bottom"/>
          </w:tcPr>
          <w:p>
            <w:pPr>
              <w:ind w:left="60"/>
              <w:spacing w:after="0"/>
              <w:rPr>
                <w:sz w:val="20"/>
                <w:szCs w:val="20"/>
                <w:color w:val="auto"/>
              </w:rPr>
            </w:pPr>
            <w:r>
              <w:rPr>
                <w:rFonts w:ascii="Arial Narrow" w:cs="Arial Narrow" w:eastAsia="Arial Narrow" w:hAnsi="Arial Narrow"/>
                <w:sz w:val="19"/>
                <w:szCs w:val="19"/>
                <w:color w:val="auto"/>
              </w:rPr>
              <w:t xml:space="preserve">Lexington, Kentucky </w:t>
            </w:r>
            <w:r>
              <w:rPr>
                <w:rFonts w:ascii="Arial Narrow" w:cs="Arial Narrow" w:eastAsia="Arial Narrow" w:hAnsi="Arial Narrow"/>
                <w:sz w:val="12"/>
                <w:szCs w:val="12"/>
                <w:color w:val="auto"/>
              </w:rPr>
              <w:t>(2)</w:t>
            </w:r>
            <w:r>
              <w:rPr>
                <w:rFonts w:ascii="Arial Narrow" w:cs="Arial Narrow" w:eastAsia="Arial Narrow" w:hAnsi="Arial Narrow"/>
                <w:sz w:val="19"/>
                <w:szCs w:val="19"/>
                <w:color w:val="auto"/>
              </w:rPr>
              <w:t>; Cincinnati, Ohio;</w:t>
            </w:r>
          </w:p>
        </w:tc>
      </w:tr>
      <w:tr>
        <w:trPr>
          <w:trHeight w:val="209"/>
        </w:trPr>
        <w:tc>
          <w:tcPr>
            <w:tcW w:w="1310" w:type="dxa"/>
            <w:vAlign w:val="bottom"/>
          </w:tcPr>
          <w:p>
            <w:pPr>
              <w:spacing w:after="0"/>
              <w:rPr>
                <w:sz w:val="18"/>
                <w:szCs w:val="18"/>
                <w:color w:val="auto"/>
              </w:rPr>
            </w:pPr>
          </w:p>
        </w:tc>
        <w:tc>
          <w:tcPr>
            <w:tcW w:w="75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20" w:type="dxa"/>
            <w:vAlign w:val="bottom"/>
          </w:tcPr>
          <w:p>
            <w:pPr>
              <w:ind w:left="120"/>
              <w:spacing w:after="0" w:line="209" w:lineRule="exact"/>
              <w:rPr>
                <w:sz w:val="20"/>
                <w:szCs w:val="20"/>
                <w:color w:val="auto"/>
              </w:rPr>
            </w:pPr>
            <w:r>
              <w:rPr>
                <w:rFonts w:ascii="Arial Narrow" w:cs="Arial Narrow" w:eastAsia="Arial Narrow" w:hAnsi="Arial Narrow"/>
                <w:sz w:val="19"/>
                <w:szCs w:val="19"/>
                <w:color w:val="auto"/>
              </w:rPr>
              <w:t>Illinois, western</w:t>
            </w:r>
          </w:p>
        </w:tc>
        <w:tc>
          <w:tcPr>
            <w:tcW w:w="3400" w:type="dxa"/>
            <w:vAlign w:val="bottom"/>
          </w:tcPr>
          <w:p>
            <w:pPr>
              <w:ind w:left="60"/>
              <w:spacing w:after="0" w:line="209" w:lineRule="exact"/>
              <w:rPr>
                <w:sz w:val="20"/>
                <w:szCs w:val="20"/>
                <w:color w:val="auto"/>
              </w:rPr>
            </w:pPr>
            <w:r>
              <w:rPr>
                <w:rFonts w:ascii="Arial Narrow" w:cs="Arial Narrow" w:eastAsia="Arial Narrow" w:hAnsi="Arial Narrow"/>
                <w:sz w:val="19"/>
                <w:szCs w:val="19"/>
                <w:color w:val="auto"/>
              </w:rPr>
              <w:t>Pittsburgh, Pennsylvania; Nashville,</w:t>
            </w:r>
          </w:p>
        </w:tc>
      </w:tr>
      <w:tr>
        <w:trPr>
          <w:trHeight w:val="218"/>
        </w:trPr>
        <w:tc>
          <w:tcPr>
            <w:tcW w:w="1310" w:type="dxa"/>
            <w:vAlign w:val="bottom"/>
          </w:tcPr>
          <w:p>
            <w:pPr>
              <w:spacing w:after="0"/>
              <w:rPr>
                <w:sz w:val="18"/>
                <w:szCs w:val="18"/>
                <w:color w:val="auto"/>
              </w:rPr>
            </w:pPr>
          </w:p>
        </w:tc>
        <w:tc>
          <w:tcPr>
            <w:tcW w:w="75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20" w:type="dxa"/>
            <w:vAlign w:val="bottom"/>
          </w:tcPr>
          <w:p>
            <w:pPr>
              <w:ind w:left="120"/>
              <w:spacing w:after="0"/>
              <w:rPr>
                <w:sz w:val="20"/>
                <w:szCs w:val="20"/>
                <w:color w:val="auto"/>
              </w:rPr>
            </w:pPr>
            <w:r>
              <w:rPr>
                <w:rFonts w:ascii="Arial Narrow" w:cs="Arial Narrow" w:eastAsia="Arial Narrow" w:hAnsi="Arial Narrow"/>
                <w:sz w:val="19"/>
                <w:szCs w:val="19"/>
                <w:color w:val="auto"/>
              </w:rPr>
              <w:t>Pennsylvania, and</w:t>
            </w:r>
          </w:p>
        </w:tc>
        <w:tc>
          <w:tcPr>
            <w:tcW w:w="3400" w:type="dxa"/>
            <w:vAlign w:val="bottom"/>
          </w:tcPr>
          <w:p>
            <w:pPr>
              <w:ind w:left="60"/>
              <w:spacing w:after="0"/>
              <w:rPr>
                <w:sz w:val="20"/>
                <w:szCs w:val="20"/>
                <w:color w:val="auto"/>
              </w:rPr>
            </w:pPr>
            <w:r>
              <w:rPr>
                <w:rFonts w:ascii="Arial Narrow" w:cs="Arial Narrow" w:eastAsia="Arial Narrow" w:hAnsi="Arial Narrow"/>
                <w:sz w:val="19"/>
                <w:szCs w:val="19"/>
                <w:color w:val="auto"/>
              </w:rPr>
              <w:t>Tennessee; Charleston, West Virginia;</w:t>
            </w:r>
          </w:p>
        </w:tc>
      </w:tr>
      <w:tr>
        <w:trPr>
          <w:trHeight w:val="264"/>
        </w:trPr>
        <w:tc>
          <w:tcPr>
            <w:tcW w:w="1310" w:type="dxa"/>
            <w:vAlign w:val="bottom"/>
          </w:tcPr>
          <w:p>
            <w:pPr>
              <w:spacing w:after="0"/>
              <w:rPr>
                <w:sz w:val="22"/>
                <w:szCs w:val="22"/>
                <w:color w:val="auto"/>
              </w:rPr>
            </w:pPr>
          </w:p>
        </w:tc>
        <w:tc>
          <w:tcPr>
            <w:tcW w:w="75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2020" w:type="dxa"/>
            <w:vAlign w:val="bottom"/>
          </w:tcPr>
          <w:p>
            <w:pPr>
              <w:ind w:left="120"/>
              <w:spacing w:after="0"/>
              <w:rPr>
                <w:sz w:val="20"/>
                <w:szCs w:val="20"/>
                <w:color w:val="auto"/>
              </w:rPr>
            </w:pPr>
            <w:r>
              <w:rPr>
                <w:rFonts w:ascii="Arial Narrow" w:cs="Arial Narrow" w:eastAsia="Arial Narrow" w:hAnsi="Arial Narrow"/>
                <w:sz w:val="19"/>
                <w:szCs w:val="19"/>
                <w:color w:val="auto"/>
              </w:rPr>
              <w:t>northern Tennessee</w:t>
            </w:r>
          </w:p>
        </w:tc>
        <w:tc>
          <w:tcPr>
            <w:tcW w:w="3400" w:type="dxa"/>
            <w:vAlign w:val="bottom"/>
          </w:tcPr>
          <w:p>
            <w:pPr>
              <w:ind w:left="60"/>
              <w:spacing w:after="0"/>
              <w:rPr>
                <w:sz w:val="20"/>
                <w:szCs w:val="20"/>
                <w:color w:val="auto"/>
              </w:rPr>
            </w:pPr>
            <w:r>
              <w:rPr>
                <w:rFonts w:ascii="Arial Narrow" w:cs="Arial Narrow" w:eastAsia="Arial Narrow" w:hAnsi="Arial Narrow"/>
                <w:sz w:val="19"/>
                <w:szCs w:val="19"/>
                <w:color w:val="auto"/>
              </w:rPr>
              <w:t xml:space="preserve">Mount Vernon, Indiana </w:t>
            </w:r>
            <w:r>
              <w:rPr>
                <w:rFonts w:ascii="Arial Narrow" w:cs="Arial Narrow" w:eastAsia="Arial Narrow" w:hAnsi="Arial Narrow"/>
                <w:sz w:val="12"/>
                <w:szCs w:val="12"/>
                <w:color w:val="auto"/>
              </w:rPr>
              <w:t>(2)</w:t>
            </w:r>
          </w:p>
        </w:tc>
      </w:tr>
      <w:tr>
        <w:trPr>
          <w:trHeight w:val="65"/>
        </w:trPr>
        <w:tc>
          <w:tcPr>
            <w:tcW w:w="1310" w:type="dxa"/>
            <w:vAlign w:val="bottom"/>
            <w:tcBorders>
              <w:bottom w:val="single" w:sz="8" w:color="A6A6A6"/>
            </w:tcBorders>
          </w:tcPr>
          <w:p>
            <w:pPr>
              <w:spacing w:after="0"/>
              <w:rPr>
                <w:sz w:val="5"/>
                <w:szCs w:val="5"/>
                <w:color w:val="auto"/>
              </w:rPr>
            </w:pPr>
          </w:p>
        </w:tc>
        <w:tc>
          <w:tcPr>
            <w:tcW w:w="750" w:type="dxa"/>
            <w:vAlign w:val="bottom"/>
            <w:tcBorders>
              <w:bottom w:val="single" w:sz="8" w:color="A6A6A6"/>
            </w:tcBorders>
          </w:tcPr>
          <w:p>
            <w:pPr>
              <w:spacing w:after="0"/>
              <w:rPr>
                <w:sz w:val="5"/>
                <w:szCs w:val="5"/>
                <w:color w:val="auto"/>
              </w:rPr>
            </w:pPr>
          </w:p>
        </w:tc>
        <w:tc>
          <w:tcPr>
            <w:tcW w:w="1880" w:type="dxa"/>
            <w:vAlign w:val="bottom"/>
            <w:tcBorders>
              <w:bottom w:val="single" w:sz="8" w:color="A6A6A6"/>
            </w:tcBorders>
          </w:tcPr>
          <w:p>
            <w:pPr>
              <w:spacing w:after="0"/>
              <w:rPr>
                <w:sz w:val="5"/>
                <w:szCs w:val="5"/>
                <w:color w:val="auto"/>
              </w:rPr>
            </w:pPr>
          </w:p>
        </w:tc>
        <w:tc>
          <w:tcPr>
            <w:tcW w:w="2020" w:type="dxa"/>
            <w:vAlign w:val="bottom"/>
            <w:tcBorders>
              <w:bottom w:val="single" w:sz="8" w:color="A6A6A6"/>
            </w:tcBorders>
          </w:tcPr>
          <w:p>
            <w:pPr>
              <w:spacing w:after="0"/>
              <w:rPr>
                <w:sz w:val="5"/>
                <w:szCs w:val="5"/>
                <w:color w:val="auto"/>
              </w:rPr>
            </w:pPr>
          </w:p>
        </w:tc>
        <w:tc>
          <w:tcPr>
            <w:tcW w:w="3400" w:type="dxa"/>
            <w:vAlign w:val="bottom"/>
            <w:tcBorders>
              <w:bottom w:val="single" w:sz="8" w:color="A6A6A6"/>
            </w:tcBorders>
          </w:tcPr>
          <w:p>
            <w:pPr>
              <w:spacing w:after="0"/>
              <w:rPr>
                <w:sz w:val="5"/>
                <w:szCs w:val="5"/>
                <w:color w:val="auto"/>
              </w:rPr>
            </w:pPr>
          </w:p>
        </w:tc>
      </w:tr>
      <w:tr>
        <w:trPr>
          <w:trHeight w:val="281"/>
        </w:trPr>
        <w:tc>
          <w:tcPr>
            <w:tcW w:w="1310" w:type="dxa"/>
            <w:vAlign w:val="bottom"/>
          </w:tcPr>
          <w:p>
            <w:pPr>
              <w:ind w:left="100"/>
              <w:spacing w:after="0"/>
              <w:rPr>
                <w:sz w:val="20"/>
                <w:szCs w:val="20"/>
                <w:color w:val="auto"/>
              </w:rPr>
            </w:pPr>
            <w:r>
              <w:rPr>
                <w:rFonts w:ascii="Arial Narrow" w:cs="Arial Narrow" w:eastAsia="Arial Narrow" w:hAnsi="Arial Narrow"/>
                <w:sz w:val="20"/>
                <w:szCs w:val="20"/>
                <w:b w:val="1"/>
                <w:bCs w:val="1"/>
                <w:color w:val="386CAD"/>
              </w:rPr>
              <w:t>Fairborn,</w:t>
            </w:r>
          </w:p>
        </w:tc>
        <w:tc>
          <w:tcPr>
            <w:tcW w:w="750" w:type="dxa"/>
            <w:vAlign w:val="bottom"/>
          </w:tcPr>
          <w:p>
            <w:pPr>
              <w:ind w:left="50"/>
              <w:spacing w:after="0"/>
              <w:rPr>
                <w:sz w:val="20"/>
                <w:szCs w:val="20"/>
                <w:color w:val="auto"/>
              </w:rPr>
            </w:pPr>
            <w:r>
              <w:rPr>
                <w:rFonts w:ascii="Arial Narrow" w:cs="Arial Narrow" w:eastAsia="Arial Narrow" w:hAnsi="Arial Narrow"/>
                <w:sz w:val="19"/>
                <w:szCs w:val="19"/>
                <w:color w:val="auto"/>
              </w:rPr>
              <w:t>Cement</w:t>
            </w:r>
          </w:p>
        </w:tc>
        <w:tc>
          <w:tcPr>
            <w:tcW w:w="1880" w:type="dxa"/>
            <w:vAlign w:val="bottom"/>
          </w:tcPr>
          <w:p>
            <w:pPr>
              <w:ind w:left="160"/>
              <w:spacing w:after="0"/>
              <w:rPr>
                <w:sz w:val="20"/>
                <w:szCs w:val="20"/>
                <w:color w:val="auto"/>
              </w:rPr>
            </w:pPr>
            <w:r>
              <w:rPr>
                <w:rFonts w:ascii="Arial Narrow" w:cs="Arial Narrow" w:eastAsia="Arial Narrow" w:hAnsi="Arial Narrow"/>
                <w:sz w:val="19"/>
                <w:szCs w:val="19"/>
                <w:color w:val="auto"/>
              </w:rPr>
              <w:t>Fairborn Cement</w:t>
            </w:r>
          </w:p>
        </w:tc>
        <w:tc>
          <w:tcPr>
            <w:tcW w:w="2020" w:type="dxa"/>
            <w:vAlign w:val="bottom"/>
          </w:tcPr>
          <w:p>
            <w:pPr>
              <w:ind w:left="120"/>
              <w:spacing w:after="0"/>
              <w:rPr>
                <w:sz w:val="20"/>
                <w:szCs w:val="20"/>
                <w:color w:val="auto"/>
              </w:rPr>
            </w:pPr>
            <w:r>
              <w:rPr>
                <w:rFonts w:ascii="Arial Narrow" w:cs="Arial Narrow" w:eastAsia="Arial Narrow" w:hAnsi="Arial Narrow"/>
                <w:sz w:val="19"/>
                <w:szCs w:val="19"/>
                <w:color w:val="auto"/>
              </w:rPr>
              <w:t>Ohio, eastern Indiana, and</w:t>
            </w:r>
          </w:p>
        </w:tc>
        <w:tc>
          <w:tcPr>
            <w:tcW w:w="3400" w:type="dxa"/>
            <w:vAlign w:val="bottom"/>
          </w:tcPr>
          <w:p>
            <w:pPr>
              <w:ind w:left="60"/>
              <w:spacing w:after="0"/>
              <w:rPr>
                <w:sz w:val="20"/>
                <w:szCs w:val="20"/>
                <w:color w:val="auto"/>
              </w:rPr>
            </w:pPr>
            <w:r>
              <w:rPr>
                <w:rFonts w:ascii="Arial Narrow" w:cs="Arial Narrow" w:eastAsia="Arial Narrow" w:hAnsi="Arial Narrow"/>
                <w:sz w:val="19"/>
                <w:szCs w:val="19"/>
                <w:color w:val="auto"/>
              </w:rPr>
              <w:t>Columbus, Ohio</w:t>
            </w:r>
          </w:p>
        </w:tc>
      </w:tr>
      <w:tr>
        <w:trPr>
          <w:trHeight w:val="287"/>
        </w:trPr>
        <w:tc>
          <w:tcPr>
            <w:tcW w:w="1310" w:type="dxa"/>
            <w:vAlign w:val="bottom"/>
          </w:tcPr>
          <w:p>
            <w:pPr>
              <w:ind w:left="100"/>
              <w:spacing w:after="0"/>
              <w:rPr>
                <w:sz w:val="20"/>
                <w:szCs w:val="20"/>
                <w:color w:val="auto"/>
              </w:rPr>
            </w:pPr>
            <w:r>
              <w:rPr>
                <w:rFonts w:ascii="Arial Narrow" w:cs="Arial Narrow" w:eastAsia="Arial Narrow" w:hAnsi="Arial Narrow"/>
                <w:sz w:val="20"/>
                <w:szCs w:val="20"/>
                <w:b w:val="1"/>
                <w:bCs w:val="1"/>
                <w:color w:val="386CAD"/>
              </w:rPr>
              <w:t>Ohio</w:t>
            </w:r>
          </w:p>
        </w:tc>
        <w:tc>
          <w:tcPr>
            <w:tcW w:w="750" w:type="dxa"/>
            <w:vAlign w:val="bottom"/>
          </w:tcPr>
          <w:p>
            <w:pPr>
              <w:spacing w:after="0"/>
              <w:rPr>
                <w:sz w:val="24"/>
                <w:szCs w:val="24"/>
                <w:color w:val="auto"/>
              </w:rPr>
            </w:pPr>
          </w:p>
        </w:tc>
        <w:tc>
          <w:tcPr>
            <w:tcW w:w="1880" w:type="dxa"/>
            <w:vAlign w:val="bottom"/>
          </w:tcPr>
          <w:p>
            <w:pPr>
              <w:ind w:left="160"/>
              <w:spacing w:after="0"/>
              <w:rPr>
                <w:sz w:val="20"/>
                <w:szCs w:val="20"/>
                <w:color w:val="auto"/>
              </w:rPr>
            </w:pPr>
            <w:r>
              <w:rPr>
                <w:rFonts w:ascii="Arial Narrow" w:cs="Arial Narrow" w:eastAsia="Arial Narrow" w:hAnsi="Arial Narrow"/>
                <w:sz w:val="19"/>
                <w:szCs w:val="19"/>
                <w:color w:val="auto"/>
              </w:rPr>
              <w:t>Company</w:t>
            </w:r>
          </w:p>
        </w:tc>
        <w:tc>
          <w:tcPr>
            <w:tcW w:w="2020" w:type="dxa"/>
            <w:vAlign w:val="bottom"/>
          </w:tcPr>
          <w:p>
            <w:pPr>
              <w:ind w:left="120"/>
              <w:spacing w:after="0"/>
              <w:rPr>
                <w:sz w:val="20"/>
                <w:szCs w:val="20"/>
                <w:color w:val="auto"/>
              </w:rPr>
            </w:pPr>
            <w:r>
              <w:rPr>
                <w:rFonts w:ascii="Arial Narrow" w:cs="Arial Narrow" w:eastAsia="Arial Narrow" w:hAnsi="Arial Narrow"/>
                <w:sz w:val="19"/>
                <w:szCs w:val="19"/>
                <w:color w:val="auto"/>
              </w:rPr>
              <w:t>northern Kentucky</w:t>
            </w:r>
          </w:p>
        </w:tc>
        <w:tc>
          <w:tcPr>
            <w:tcW w:w="3400" w:type="dxa"/>
            <w:vAlign w:val="bottom"/>
          </w:tcPr>
          <w:p>
            <w:pPr>
              <w:spacing w:after="0"/>
              <w:rPr>
                <w:sz w:val="24"/>
                <w:szCs w:val="24"/>
                <w:color w:val="auto"/>
              </w:rPr>
            </w:pPr>
          </w:p>
        </w:tc>
      </w:tr>
      <w:tr>
        <w:trPr>
          <w:trHeight w:val="65"/>
        </w:trPr>
        <w:tc>
          <w:tcPr>
            <w:tcW w:w="1310" w:type="dxa"/>
            <w:vAlign w:val="bottom"/>
            <w:tcBorders>
              <w:bottom w:val="single" w:sz="8" w:color="A6A6A6"/>
            </w:tcBorders>
          </w:tcPr>
          <w:p>
            <w:pPr>
              <w:spacing w:after="0"/>
              <w:rPr>
                <w:sz w:val="5"/>
                <w:szCs w:val="5"/>
                <w:color w:val="auto"/>
              </w:rPr>
            </w:pPr>
          </w:p>
        </w:tc>
        <w:tc>
          <w:tcPr>
            <w:tcW w:w="750" w:type="dxa"/>
            <w:vAlign w:val="bottom"/>
            <w:tcBorders>
              <w:bottom w:val="single" w:sz="8" w:color="A6A6A6"/>
            </w:tcBorders>
          </w:tcPr>
          <w:p>
            <w:pPr>
              <w:spacing w:after="0"/>
              <w:rPr>
                <w:sz w:val="5"/>
                <w:szCs w:val="5"/>
                <w:color w:val="auto"/>
              </w:rPr>
            </w:pPr>
          </w:p>
        </w:tc>
        <w:tc>
          <w:tcPr>
            <w:tcW w:w="1880" w:type="dxa"/>
            <w:vAlign w:val="bottom"/>
            <w:tcBorders>
              <w:bottom w:val="single" w:sz="8" w:color="A6A6A6"/>
            </w:tcBorders>
          </w:tcPr>
          <w:p>
            <w:pPr>
              <w:spacing w:after="0"/>
              <w:rPr>
                <w:sz w:val="5"/>
                <w:szCs w:val="5"/>
                <w:color w:val="auto"/>
              </w:rPr>
            </w:pPr>
          </w:p>
        </w:tc>
        <w:tc>
          <w:tcPr>
            <w:tcW w:w="2020" w:type="dxa"/>
            <w:vAlign w:val="bottom"/>
            <w:tcBorders>
              <w:bottom w:val="single" w:sz="8" w:color="A6A6A6"/>
            </w:tcBorders>
          </w:tcPr>
          <w:p>
            <w:pPr>
              <w:spacing w:after="0"/>
              <w:rPr>
                <w:sz w:val="5"/>
                <w:szCs w:val="5"/>
                <w:color w:val="auto"/>
              </w:rPr>
            </w:pPr>
          </w:p>
        </w:tc>
        <w:tc>
          <w:tcPr>
            <w:tcW w:w="3400" w:type="dxa"/>
            <w:vAlign w:val="bottom"/>
            <w:tcBorders>
              <w:bottom w:val="single" w:sz="8" w:color="A6A6A6"/>
            </w:tcBorders>
          </w:tcPr>
          <w:p>
            <w:pPr>
              <w:spacing w:after="0"/>
              <w:rPr>
                <w:sz w:val="5"/>
                <w:szCs w:val="5"/>
                <w:color w:val="auto"/>
              </w:rPr>
            </w:pPr>
          </w:p>
        </w:tc>
      </w:tr>
      <w:tr>
        <w:trPr>
          <w:trHeight w:val="281"/>
        </w:trPr>
        <w:tc>
          <w:tcPr>
            <w:tcW w:w="1310" w:type="dxa"/>
            <w:vAlign w:val="bottom"/>
          </w:tcPr>
          <w:p>
            <w:pPr>
              <w:ind w:left="100"/>
              <w:spacing w:after="0"/>
              <w:rPr>
                <w:sz w:val="20"/>
                <w:szCs w:val="20"/>
                <w:color w:val="auto"/>
              </w:rPr>
            </w:pPr>
            <w:r>
              <w:rPr>
                <w:rFonts w:ascii="Arial Narrow" w:cs="Arial Narrow" w:eastAsia="Arial Narrow" w:hAnsi="Arial Narrow"/>
                <w:sz w:val="20"/>
                <w:szCs w:val="20"/>
                <w:b w:val="1"/>
                <w:bCs w:val="1"/>
                <w:color w:val="386CAD"/>
              </w:rPr>
              <w:t>Chicago,</w:t>
            </w:r>
          </w:p>
        </w:tc>
        <w:tc>
          <w:tcPr>
            <w:tcW w:w="750" w:type="dxa"/>
            <w:vAlign w:val="bottom"/>
          </w:tcPr>
          <w:p>
            <w:pPr>
              <w:ind w:left="50"/>
              <w:spacing w:after="0"/>
              <w:rPr>
                <w:sz w:val="20"/>
                <w:szCs w:val="20"/>
                <w:color w:val="auto"/>
              </w:rPr>
            </w:pPr>
            <w:r>
              <w:rPr>
                <w:rFonts w:ascii="Arial Narrow" w:cs="Arial Narrow" w:eastAsia="Arial Narrow" w:hAnsi="Arial Narrow"/>
                <w:sz w:val="19"/>
                <w:szCs w:val="19"/>
                <w:color w:val="auto"/>
              </w:rPr>
              <w:t>Slag</w:t>
            </w:r>
          </w:p>
        </w:tc>
        <w:tc>
          <w:tcPr>
            <w:tcW w:w="1880" w:type="dxa"/>
            <w:vAlign w:val="bottom"/>
          </w:tcPr>
          <w:p>
            <w:pPr>
              <w:ind w:left="160"/>
              <w:spacing w:after="0"/>
              <w:rPr>
                <w:sz w:val="20"/>
                <w:szCs w:val="20"/>
                <w:color w:val="auto"/>
              </w:rPr>
            </w:pPr>
            <w:r>
              <w:rPr>
                <w:rFonts w:ascii="Arial Narrow" w:cs="Arial Narrow" w:eastAsia="Arial Narrow" w:hAnsi="Arial Narrow"/>
                <w:sz w:val="19"/>
                <w:szCs w:val="19"/>
                <w:color w:val="auto"/>
              </w:rPr>
              <w:t>Skyway Cement</w:t>
            </w:r>
          </w:p>
        </w:tc>
        <w:tc>
          <w:tcPr>
            <w:tcW w:w="2020" w:type="dxa"/>
            <w:vAlign w:val="bottom"/>
          </w:tcPr>
          <w:p>
            <w:pPr>
              <w:ind w:left="120"/>
              <w:spacing w:after="0"/>
              <w:rPr>
                <w:sz w:val="20"/>
                <w:szCs w:val="20"/>
                <w:color w:val="auto"/>
              </w:rPr>
            </w:pPr>
            <w:r>
              <w:rPr>
                <w:rFonts w:ascii="Arial Narrow" w:cs="Arial Narrow" w:eastAsia="Arial Narrow" w:hAnsi="Arial Narrow"/>
                <w:sz w:val="19"/>
                <w:szCs w:val="19"/>
                <w:color w:val="auto"/>
              </w:rPr>
              <w:t>Illinois, Pennsylvania,</w:t>
            </w:r>
          </w:p>
        </w:tc>
        <w:tc>
          <w:tcPr>
            <w:tcW w:w="3400" w:type="dxa"/>
            <w:vAlign w:val="bottom"/>
          </w:tcPr>
          <w:p>
            <w:pPr>
              <w:ind w:left="60"/>
              <w:spacing w:after="0"/>
              <w:rPr>
                <w:sz w:val="20"/>
                <w:szCs w:val="20"/>
                <w:color w:val="auto"/>
              </w:rPr>
            </w:pPr>
            <w:r>
              <w:rPr>
                <w:rFonts w:ascii="Arial Narrow" w:cs="Arial Narrow" w:eastAsia="Arial Narrow" w:hAnsi="Arial Narrow"/>
                <w:sz w:val="19"/>
                <w:szCs w:val="19"/>
                <w:color w:val="auto"/>
              </w:rPr>
              <w:t>Kansas City, Missouri; Etna, Pennsylvania</w:t>
            </w:r>
          </w:p>
        </w:tc>
      </w:tr>
      <w:tr>
        <w:trPr>
          <w:trHeight w:val="227"/>
        </w:trPr>
        <w:tc>
          <w:tcPr>
            <w:tcW w:w="1310" w:type="dxa"/>
            <w:vAlign w:val="bottom"/>
          </w:tcPr>
          <w:p>
            <w:pPr>
              <w:ind w:left="100"/>
              <w:spacing w:after="0" w:line="227" w:lineRule="exact"/>
              <w:rPr>
                <w:sz w:val="20"/>
                <w:szCs w:val="20"/>
                <w:color w:val="auto"/>
              </w:rPr>
            </w:pPr>
            <w:r>
              <w:rPr>
                <w:rFonts w:ascii="Arial Narrow" w:cs="Arial Narrow" w:eastAsia="Arial Narrow" w:hAnsi="Arial Narrow"/>
                <w:sz w:val="20"/>
                <w:szCs w:val="20"/>
                <w:b w:val="1"/>
                <w:bCs w:val="1"/>
                <w:color w:val="386CAD"/>
              </w:rPr>
              <w:t>Illinois</w:t>
            </w:r>
          </w:p>
        </w:tc>
        <w:tc>
          <w:tcPr>
            <w:tcW w:w="750" w:type="dxa"/>
            <w:vAlign w:val="bottom"/>
          </w:tcPr>
          <w:p>
            <w:pPr>
              <w:spacing w:after="0"/>
              <w:rPr>
                <w:sz w:val="19"/>
                <w:szCs w:val="19"/>
                <w:color w:val="auto"/>
              </w:rPr>
            </w:pPr>
          </w:p>
        </w:tc>
        <w:tc>
          <w:tcPr>
            <w:tcW w:w="1880" w:type="dxa"/>
            <w:vAlign w:val="bottom"/>
          </w:tcPr>
          <w:p>
            <w:pPr>
              <w:ind w:left="160"/>
              <w:spacing w:after="0"/>
              <w:rPr>
                <w:sz w:val="20"/>
                <w:szCs w:val="20"/>
                <w:color w:val="auto"/>
              </w:rPr>
            </w:pPr>
            <w:r>
              <w:rPr>
                <w:rFonts w:ascii="Arial Narrow" w:cs="Arial Narrow" w:eastAsia="Arial Narrow" w:hAnsi="Arial Narrow"/>
                <w:sz w:val="19"/>
                <w:szCs w:val="19"/>
                <w:color w:val="auto"/>
              </w:rPr>
              <w:t>Company</w:t>
            </w:r>
          </w:p>
        </w:tc>
        <w:tc>
          <w:tcPr>
            <w:tcW w:w="2020" w:type="dxa"/>
            <w:vAlign w:val="bottom"/>
          </w:tcPr>
          <w:p>
            <w:pPr>
              <w:ind w:left="120"/>
              <w:spacing w:after="0"/>
              <w:rPr>
                <w:sz w:val="20"/>
                <w:szCs w:val="20"/>
                <w:color w:val="auto"/>
              </w:rPr>
            </w:pPr>
            <w:r>
              <w:rPr>
                <w:rFonts w:ascii="Arial Narrow" w:cs="Arial Narrow" w:eastAsia="Arial Narrow" w:hAnsi="Arial Narrow"/>
                <w:sz w:val="19"/>
                <w:szCs w:val="19"/>
                <w:color w:val="auto"/>
              </w:rPr>
              <w:t>Iowa, Ohio, Minnesota,</w:t>
            </w:r>
          </w:p>
        </w:tc>
        <w:tc>
          <w:tcPr>
            <w:tcW w:w="3400" w:type="dxa"/>
            <w:vAlign w:val="bottom"/>
          </w:tcPr>
          <w:p>
            <w:pPr>
              <w:spacing w:after="0"/>
              <w:rPr>
                <w:sz w:val="19"/>
                <w:szCs w:val="19"/>
                <w:color w:val="auto"/>
              </w:rPr>
            </w:pPr>
          </w:p>
        </w:tc>
      </w:tr>
      <w:tr>
        <w:trPr>
          <w:trHeight w:val="264"/>
        </w:trPr>
        <w:tc>
          <w:tcPr>
            <w:tcW w:w="1310" w:type="dxa"/>
            <w:vAlign w:val="bottom"/>
          </w:tcPr>
          <w:p>
            <w:pPr>
              <w:spacing w:after="0"/>
              <w:rPr>
                <w:sz w:val="22"/>
                <w:szCs w:val="22"/>
                <w:color w:val="auto"/>
              </w:rPr>
            </w:pPr>
          </w:p>
        </w:tc>
        <w:tc>
          <w:tcPr>
            <w:tcW w:w="75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2020" w:type="dxa"/>
            <w:vAlign w:val="bottom"/>
          </w:tcPr>
          <w:p>
            <w:pPr>
              <w:ind w:left="120"/>
              <w:spacing w:after="0"/>
              <w:rPr>
                <w:sz w:val="20"/>
                <w:szCs w:val="20"/>
                <w:color w:val="auto"/>
              </w:rPr>
            </w:pPr>
            <w:r>
              <w:rPr>
                <w:rFonts w:ascii="Arial Narrow" w:cs="Arial Narrow" w:eastAsia="Arial Narrow" w:hAnsi="Arial Narrow"/>
                <w:sz w:val="19"/>
                <w:szCs w:val="19"/>
                <w:color w:val="auto"/>
              </w:rPr>
              <w:t>Missouri, and Kansas</w:t>
            </w:r>
          </w:p>
        </w:tc>
        <w:tc>
          <w:tcPr>
            <w:tcW w:w="3400" w:type="dxa"/>
            <w:vAlign w:val="bottom"/>
          </w:tcPr>
          <w:p>
            <w:pPr>
              <w:spacing w:after="0"/>
              <w:rPr>
                <w:sz w:val="22"/>
                <w:szCs w:val="22"/>
                <w:color w:val="auto"/>
              </w:rPr>
            </w:pPr>
          </w:p>
        </w:tc>
      </w:tr>
      <w:tr>
        <w:trPr>
          <w:trHeight w:val="56"/>
        </w:trPr>
        <w:tc>
          <w:tcPr>
            <w:tcW w:w="1310" w:type="dxa"/>
            <w:vAlign w:val="bottom"/>
            <w:tcBorders>
              <w:bottom w:val="single" w:sz="8" w:color="A6A6A6"/>
            </w:tcBorders>
          </w:tcPr>
          <w:p>
            <w:pPr>
              <w:spacing w:after="0"/>
              <w:rPr>
                <w:sz w:val="4"/>
                <w:szCs w:val="4"/>
                <w:color w:val="auto"/>
              </w:rPr>
            </w:pPr>
          </w:p>
        </w:tc>
        <w:tc>
          <w:tcPr>
            <w:tcW w:w="750" w:type="dxa"/>
            <w:vAlign w:val="bottom"/>
            <w:tcBorders>
              <w:bottom w:val="single" w:sz="8" w:color="A6A6A6"/>
            </w:tcBorders>
          </w:tcPr>
          <w:p>
            <w:pPr>
              <w:spacing w:after="0"/>
              <w:rPr>
                <w:sz w:val="4"/>
                <w:szCs w:val="4"/>
                <w:color w:val="auto"/>
              </w:rPr>
            </w:pPr>
          </w:p>
        </w:tc>
        <w:tc>
          <w:tcPr>
            <w:tcW w:w="1880" w:type="dxa"/>
            <w:vAlign w:val="bottom"/>
            <w:tcBorders>
              <w:bottom w:val="single" w:sz="8" w:color="A6A6A6"/>
            </w:tcBorders>
          </w:tcPr>
          <w:p>
            <w:pPr>
              <w:spacing w:after="0"/>
              <w:rPr>
                <w:sz w:val="4"/>
                <w:szCs w:val="4"/>
                <w:color w:val="auto"/>
              </w:rPr>
            </w:pPr>
          </w:p>
        </w:tc>
        <w:tc>
          <w:tcPr>
            <w:tcW w:w="2020" w:type="dxa"/>
            <w:vAlign w:val="bottom"/>
            <w:tcBorders>
              <w:bottom w:val="single" w:sz="8" w:color="A6A6A6"/>
            </w:tcBorders>
          </w:tcPr>
          <w:p>
            <w:pPr>
              <w:spacing w:after="0"/>
              <w:rPr>
                <w:sz w:val="4"/>
                <w:szCs w:val="4"/>
                <w:color w:val="auto"/>
              </w:rPr>
            </w:pPr>
          </w:p>
        </w:tc>
        <w:tc>
          <w:tcPr>
            <w:tcW w:w="3400" w:type="dxa"/>
            <w:vAlign w:val="bottom"/>
            <w:tcBorders>
              <w:bottom w:val="single" w:sz="8" w:color="A6A6A6"/>
            </w:tcBorders>
          </w:tcPr>
          <w:p>
            <w:pPr>
              <w:spacing w:after="0"/>
              <w:rPr>
                <w:sz w:val="4"/>
                <w:szCs w:val="4"/>
                <w:color w:val="auto"/>
              </w:rPr>
            </w:pPr>
          </w:p>
        </w:tc>
      </w:tr>
      <w:tr>
        <w:trPr>
          <w:trHeight w:val="281"/>
        </w:trPr>
        <w:tc>
          <w:tcPr>
            <w:tcW w:w="1310" w:type="dxa"/>
            <w:vAlign w:val="bottom"/>
          </w:tcPr>
          <w:p>
            <w:pPr>
              <w:ind w:left="100"/>
              <w:spacing w:after="0"/>
              <w:rPr>
                <w:sz w:val="20"/>
                <w:szCs w:val="20"/>
                <w:color w:val="auto"/>
              </w:rPr>
            </w:pPr>
            <w:r>
              <w:rPr>
                <w:rFonts w:ascii="Arial Narrow" w:cs="Arial Narrow" w:eastAsia="Arial Narrow" w:hAnsi="Arial Narrow"/>
                <w:sz w:val="20"/>
                <w:szCs w:val="20"/>
                <w:b w:val="1"/>
                <w:bCs w:val="1"/>
                <w:color w:val="386CAD"/>
              </w:rPr>
              <w:t>Houston,</w:t>
            </w:r>
          </w:p>
        </w:tc>
        <w:tc>
          <w:tcPr>
            <w:tcW w:w="750" w:type="dxa"/>
            <w:vAlign w:val="bottom"/>
          </w:tcPr>
          <w:p>
            <w:pPr>
              <w:ind w:left="50"/>
              <w:spacing w:after="0"/>
              <w:rPr>
                <w:sz w:val="20"/>
                <w:szCs w:val="20"/>
                <w:color w:val="auto"/>
              </w:rPr>
            </w:pPr>
            <w:r>
              <w:rPr>
                <w:rFonts w:ascii="Arial Narrow" w:cs="Arial Narrow" w:eastAsia="Arial Narrow" w:hAnsi="Arial Narrow"/>
                <w:sz w:val="19"/>
                <w:szCs w:val="19"/>
                <w:color w:val="auto"/>
              </w:rPr>
              <w:t>Slag</w:t>
            </w:r>
          </w:p>
        </w:tc>
        <w:tc>
          <w:tcPr>
            <w:tcW w:w="1880" w:type="dxa"/>
            <w:vAlign w:val="bottom"/>
          </w:tcPr>
          <w:p>
            <w:pPr>
              <w:ind w:left="160"/>
              <w:spacing w:after="0"/>
              <w:rPr>
                <w:sz w:val="20"/>
                <w:szCs w:val="20"/>
                <w:color w:val="auto"/>
              </w:rPr>
            </w:pPr>
            <w:r>
              <w:rPr>
                <w:rFonts w:ascii="Arial Narrow" w:cs="Arial Narrow" w:eastAsia="Arial Narrow" w:hAnsi="Arial Narrow"/>
                <w:sz w:val="19"/>
                <w:szCs w:val="19"/>
                <w:color w:val="auto"/>
              </w:rPr>
              <w:t>Texas Lehigh Cement</w:t>
            </w:r>
          </w:p>
        </w:tc>
        <w:tc>
          <w:tcPr>
            <w:tcW w:w="2020" w:type="dxa"/>
            <w:vAlign w:val="bottom"/>
          </w:tcPr>
          <w:p>
            <w:pPr>
              <w:ind w:left="120"/>
              <w:spacing w:after="0"/>
              <w:rPr>
                <w:sz w:val="20"/>
                <w:szCs w:val="20"/>
                <w:color w:val="auto"/>
              </w:rPr>
            </w:pPr>
            <w:r>
              <w:rPr>
                <w:rFonts w:ascii="Arial Narrow" w:cs="Arial Narrow" w:eastAsia="Arial Narrow" w:hAnsi="Arial Narrow"/>
                <w:sz w:val="19"/>
                <w:szCs w:val="19"/>
                <w:color w:val="auto"/>
              </w:rPr>
              <w:t>Texas, Louisiana</w:t>
            </w:r>
          </w:p>
        </w:tc>
        <w:tc>
          <w:tcPr>
            <w:tcW w:w="3400" w:type="dxa"/>
            <w:vAlign w:val="bottom"/>
          </w:tcPr>
          <w:p>
            <w:pPr>
              <w:ind w:left="60"/>
              <w:spacing w:after="0"/>
              <w:rPr>
                <w:sz w:val="20"/>
                <w:szCs w:val="20"/>
                <w:color w:val="auto"/>
              </w:rPr>
            </w:pPr>
            <w:r>
              <w:rPr>
                <w:rFonts w:ascii="Arial Narrow" w:cs="Arial Narrow" w:eastAsia="Arial Narrow" w:hAnsi="Arial Narrow"/>
                <w:sz w:val="19"/>
                <w:szCs w:val="19"/>
                <w:color w:val="auto"/>
              </w:rPr>
              <w:t>Houston, Texas</w:t>
            </w:r>
          </w:p>
        </w:tc>
      </w:tr>
      <w:tr>
        <w:trPr>
          <w:trHeight w:val="227"/>
        </w:trPr>
        <w:tc>
          <w:tcPr>
            <w:tcW w:w="1310" w:type="dxa"/>
            <w:vAlign w:val="bottom"/>
          </w:tcPr>
          <w:p>
            <w:pPr>
              <w:ind w:left="100"/>
              <w:spacing w:after="0" w:line="227" w:lineRule="exact"/>
              <w:rPr>
                <w:sz w:val="20"/>
                <w:szCs w:val="20"/>
                <w:color w:val="auto"/>
              </w:rPr>
            </w:pPr>
            <w:r>
              <w:rPr>
                <w:rFonts w:ascii="Arial Narrow" w:cs="Arial Narrow" w:eastAsia="Arial Narrow" w:hAnsi="Arial Narrow"/>
                <w:sz w:val="20"/>
                <w:szCs w:val="20"/>
                <w:b w:val="1"/>
                <w:bCs w:val="1"/>
                <w:color w:val="386CAD"/>
              </w:rPr>
              <w:t>Texas</w:t>
            </w:r>
          </w:p>
        </w:tc>
        <w:tc>
          <w:tcPr>
            <w:tcW w:w="750" w:type="dxa"/>
            <w:vAlign w:val="bottom"/>
          </w:tcPr>
          <w:p>
            <w:pPr>
              <w:spacing w:after="0"/>
              <w:rPr>
                <w:sz w:val="19"/>
                <w:szCs w:val="19"/>
                <w:color w:val="auto"/>
              </w:rPr>
            </w:pPr>
          </w:p>
        </w:tc>
        <w:tc>
          <w:tcPr>
            <w:tcW w:w="1880" w:type="dxa"/>
            <w:vAlign w:val="bottom"/>
          </w:tcPr>
          <w:p>
            <w:pPr>
              <w:ind w:left="160"/>
              <w:spacing w:after="0"/>
              <w:rPr>
                <w:sz w:val="20"/>
                <w:szCs w:val="20"/>
                <w:color w:val="auto"/>
              </w:rPr>
            </w:pPr>
            <w:r>
              <w:rPr>
                <w:rFonts w:ascii="Arial Narrow" w:cs="Arial Narrow" w:eastAsia="Arial Narrow" w:hAnsi="Arial Narrow"/>
                <w:sz w:val="19"/>
                <w:szCs w:val="19"/>
                <w:color w:val="auto"/>
              </w:rPr>
              <w:t>Company LP (the Joint</w:t>
            </w:r>
          </w:p>
        </w:tc>
        <w:tc>
          <w:tcPr>
            <w:tcW w:w="2020" w:type="dxa"/>
            <w:vAlign w:val="bottom"/>
          </w:tcPr>
          <w:p>
            <w:pPr>
              <w:spacing w:after="0"/>
              <w:rPr>
                <w:sz w:val="19"/>
                <w:szCs w:val="19"/>
                <w:color w:val="auto"/>
              </w:rPr>
            </w:pPr>
          </w:p>
        </w:tc>
        <w:tc>
          <w:tcPr>
            <w:tcW w:w="3400" w:type="dxa"/>
            <w:vAlign w:val="bottom"/>
          </w:tcPr>
          <w:p>
            <w:pPr>
              <w:spacing w:after="0"/>
              <w:rPr>
                <w:sz w:val="19"/>
                <w:szCs w:val="19"/>
                <w:color w:val="auto"/>
              </w:rPr>
            </w:pPr>
          </w:p>
        </w:tc>
      </w:tr>
      <w:tr>
        <w:trPr>
          <w:trHeight w:val="264"/>
        </w:trPr>
        <w:tc>
          <w:tcPr>
            <w:tcW w:w="1310" w:type="dxa"/>
            <w:vAlign w:val="bottom"/>
          </w:tcPr>
          <w:p>
            <w:pPr>
              <w:spacing w:after="0"/>
              <w:rPr>
                <w:sz w:val="22"/>
                <w:szCs w:val="22"/>
                <w:color w:val="auto"/>
              </w:rPr>
            </w:pPr>
          </w:p>
        </w:tc>
        <w:tc>
          <w:tcPr>
            <w:tcW w:w="750" w:type="dxa"/>
            <w:vAlign w:val="bottom"/>
          </w:tcPr>
          <w:p>
            <w:pPr>
              <w:spacing w:after="0"/>
              <w:rPr>
                <w:sz w:val="22"/>
                <w:szCs w:val="22"/>
                <w:color w:val="auto"/>
              </w:rPr>
            </w:pPr>
          </w:p>
        </w:tc>
        <w:tc>
          <w:tcPr>
            <w:tcW w:w="1880" w:type="dxa"/>
            <w:vAlign w:val="bottom"/>
          </w:tcPr>
          <w:p>
            <w:pPr>
              <w:ind w:left="160"/>
              <w:spacing w:after="0"/>
              <w:rPr>
                <w:sz w:val="20"/>
                <w:szCs w:val="20"/>
                <w:color w:val="auto"/>
              </w:rPr>
            </w:pPr>
            <w:r>
              <w:rPr>
                <w:rFonts w:ascii="Arial Narrow" w:cs="Arial Narrow" w:eastAsia="Arial Narrow" w:hAnsi="Arial Narrow"/>
                <w:sz w:val="19"/>
                <w:szCs w:val="19"/>
                <w:color w:val="auto"/>
              </w:rPr>
              <w:t>Venture)</w:t>
            </w:r>
          </w:p>
        </w:tc>
        <w:tc>
          <w:tcPr>
            <w:tcW w:w="2020" w:type="dxa"/>
            <w:vAlign w:val="bottom"/>
          </w:tcPr>
          <w:p>
            <w:pPr>
              <w:spacing w:after="0"/>
              <w:rPr>
                <w:sz w:val="22"/>
                <w:szCs w:val="22"/>
                <w:color w:val="auto"/>
              </w:rPr>
            </w:pPr>
          </w:p>
        </w:tc>
        <w:tc>
          <w:tcPr>
            <w:tcW w:w="340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35560</wp:posOffset>
            </wp:positionV>
            <wp:extent cx="5943600" cy="9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6">
                      <a:extLst>
                        <a:ext uri="{28A0092B-C50C-407E-A947-70E740481C1C}"/>
                      </a:extLst>
                    </a:blip>
                    <a:srcRect/>
                    <a:stretch>
                      <a:fillRect/>
                    </a:stretch>
                  </pic:blipFill>
                  <pic:spPr bwMode="auto">
                    <a:xfrm>
                      <a:off x="0" y="0"/>
                      <a:ext cx="5943600" cy="9525"/>
                    </a:xfrm>
                    <a:prstGeom prst="rect">
                      <a:avLst/>
                    </a:prstGeom>
                    <a:noFill/>
                  </pic:spPr>
                </pic:pic>
              </a:graphicData>
            </a:graphic>
          </wp:anchor>
        </w:drawing>
      </w:r>
    </w:p>
    <w:p>
      <w:pPr>
        <w:spacing w:after="0" w:line="154" w:lineRule="exact"/>
        <w:rPr>
          <w:sz w:val="20"/>
          <w:szCs w:val="20"/>
          <w:color w:val="auto"/>
        </w:rPr>
      </w:pPr>
    </w:p>
    <w:p>
      <w:pPr>
        <w:ind w:left="180" w:hanging="180"/>
        <w:spacing w:after="0"/>
        <w:tabs>
          <w:tab w:leader="none" w:pos="180" w:val="left"/>
        </w:tabs>
        <w:numPr>
          <w:ilvl w:val="0"/>
          <w:numId w:val="7"/>
        </w:numPr>
        <w:rPr>
          <w:rFonts w:ascii="Arial" w:cs="Arial" w:eastAsia="Arial" w:hAnsi="Arial"/>
          <w:sz w:val="10"/>
          <w:szCs w:val="10"/>
          <w:color w:val="auto"/>
        </w:rPr>
      </w:pPr>
      <w:r>
        <w:rPr>
          <w:rFonts w:ascii="Arial" w:cs="Arial" w:eastAsia="Arial" w:hAnsi="Arial"/>
          <w:sz w:val="16"/>
          <w:szCs w:val="16"/>
          <w:color w:val="auto"/>
        </w:rPr>
        <w:t>Each distribution terminal listed in this table is capable of handling cement and/or slag.</w:t>
      </w:r>
    </w:p>
    <w:p>
      <w:pPr>
        <w:ind w:left="180" w:hanging="180"/>
        <w:spacing w:after="0"/>
        <w:tabs>
          <w:tab w:leader="none" w:pos="180" w:val="left"/>
        </w:tabs>
        <w:numPr>
          <w:ilvl w:val="0"/>
          <w:numId w:val="7"/>
        </w:numPr>
        <w:rPr>
          <w:rFonts w:ascii="Arial" w:cs="Arial" w:eastAsia="Arial" w:hAnsi="Arial"/>
          <w:sz w:val="10"/>
          <w:szCs w:val="10"/>
          <w:color w:val="auto"/>
        </w:rPr>
      </w:pPr>
      <w:r>
        <w:rPr>
          <w:rFonts w:ascii="Arial" w:cs="Arial" w:eastAsia="Arial" w:hAnsi="Arial"/>
          <w:sz w:val="16"/>
          <w:szCs w:val="16"/>
          <w:color w:val="auto"/>
        </w:rPr>
        <w:t>These facilities are being leased.</w:t>
      </w:r>
    </w:p>
    <w:p>
      <w:pPr>
        <w:spacing w:after="0" w:line="144" w:lineRule="exact"/>
        <w:rPr>
          <w:sz w:val="20"/>
          <w:szCs w:val="20"/>
          <w:color w:val="auto"/>
        </w:rPr>
      </w:pPr>
    </w:p>
    <w:p>
      <w:pPr>
        <w:ind w:right="220"/>
        <w:spacing w:after="0" w:line="296" w:lineRule="auto"/>
        <w:rPr>
          <w:sz w:val="20"/>
          <w:szCs w:val="20"/>
          <w:color w:val="auto"/>
        </w:rPr>
      </w:pPr>
      <w:r>
        <w:rPr>
          <w:rFonts w:ascii="Arial" w:cs="Arial" w:eastAsia="Arial" w:hAnsi="Arial"/>
          <w:sz w:val="20"/>
          <w:szCs w:val="20"/>
          <w:color w:val="auto"/>
        </w:rPr>
        <w:t>The terminal in Lexington, Kentucky was originally leased under an initial term of five years, and we are currently operating the terminal on a year-to-year lease. The terminal in Mt. Vernon, Indiana is leased through fiscal 2031 and contains options that will allow the renewal of this lease for an additional twenty years.</w:t>
      </w:r>
    </w:p>
    <w:p>
      <w:pPr>
        <w:spacing w:after="0" w:line="65" w:lineRule="exact"/>
        <w:rPr>
          <w:sz w:val="20"/>
          <w:szCs w:val="20"/>
          <w:color w:val="auto"/>
        </w:rPr>
      </w:pPr>
    </w:p>
    <w:p>
      <w:pPr>
        <w:ind w:right="140"/>
        <w:spacing w:after="0" w:line="303" w:lineRule="auto"/>
        <w:rPr>
          <w:sz w:val="20"/>
          <w:szCs w:val="20"/>
          <w:color w:val="auto"/>
        </w:rPr>
      </w:pPr>
      <w:r>
        <w:rPr>
          <w:rFonts w:ascii="Arial" w:cs="Arial" w:eastAsia="Arial" w:hAnsi="Arial"/>
          <w:sz w:val="20"/>
          <w:szCs w:val="20"/>
          <w:color w:val="auto"/>
        </w:rPr>
        <w:t>Cement and slag are distributed directly to our customers mostly through customer pickup and by common carriers from our plants or distribution terminals. We transport cement and slag by truck, barge, and rail to our storage and distribution terminals.</w:t>
      </w:r>
    </w:p>
    <w:p>
      <w:pPr>
        <w:sectPr>
          <w:pgSz w:w="11880" w:h="15480" w:orient="portrait"/>
          <w:cols w:equalWidth="0" w:num="1">
            <w:col w:w="9360"/>
          </w:cols>
          <w:pgMar w:left="1260" w:top="1267"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880" w:h="15480" w:orient="portrait"/>
          <w:cols w:equalWidth="0" w:num="1">
            <w:col w:w="9360"/>
          </w:cols>
          <w:pgMar w:left="1260" w:top="1267" w:right="1260" w:bottom="0" w:gutter="0" w:footer="0" w:header="0"/>
          <w:type w:val="continuous"/>
        </w:sectPr>
      </w:pPr>
    </w:p>
    <w:bookmarkStart w:id="18" w:name="page19"/>
    <w:bookmarkEnd w:id="18"/>
    <w:p>
      <w:pPr>
        <w:jc w:val="both"/>
        <w:ind w:right="240"/>
        <w:spacing w:after="0" w:line="325" w:lineRule="auto"/>
        <w:rPr>
          <w:sz w:val="20"/>
          <w:szCs w:val="20"/>
          <w:color w:val="auto"/>
        </w:rPr>
      </w:pPr>
      <w:r>
        <w:rPr>
          <w:rFonts w:ascii="Arial" w:cs="Arial" w:eastAsia="Arial" w:hAnsi="Arial"/>
          <w:sz w:val="20"/>
          <w:szCs w:val="20"/>
          <w:color w:val="auto"/>
        </w:rPr>
        <w:t>No single customer accounted for more than 10% of our Cement segment sales during fiscal 2026. We do not typically enter into long-term cement sales contracts or have a significant level of order backlog.</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2A64A7"/>
        </w:rPr>
        <w:t>Raw Materials and Fuel Supplies</w:t>
      </w:r>
    </w:p>
    <w:p>
      <w:pPr>
        <w:spacing w:after="0" w:line="163" w:lineRule="exact"/>
        <w:rPr>
          <w:sz w:val="20"/>
          <w:szCs w:val="20"/>
          <w:color w:val="auto"/>
        </w:rPr>
      </w:pPr>
    </w:p>
    <w:p>
      <w:pPr>
        <w:ind w:right="20"/>
        <w:spacing w:after="0" w:line="286" w:lineRule="auto"/>
        <w:rPr>
          <w:sz w:val="20"/>
          <w:szCs w:val="20"/>
          <w:color w:val="auto"/>
        </w:rPr>
      </w:pPr>
      <w:r>
        <w:rPr>
          <w:rFonts w:ascii="Arial" w:cs="Arial" w:eastAsia="Arial" w:hAnsi="Arial"/>
          <w:sz w:val="20"/>
          <w:szCs w:val="20"/>
          <w:color w:val="auto"/>
        </w:rPr>
        <w:t>The principal raw material used in the production of cement is calcium carbonate in the form of limestone. Limestone is obtained mainly through mining and extraction operations conducted at mines and quarries that we own or lease and that are located in close proximity to our plants. We believe the estimated recoverable limestone reserves and resources we own or lease will permit each of our plants to operate at our present production capacity for at least 25 years. We are actively seeking to upgrade our extensive high-quality resource base at existing properties to reserves, or to acquire additional limestone reserves close to our plants. We believe we will be able to acquire more reserves in the future. Most of our existing properties have additional resources that have potential with further engineering and evaluation to be upgraded to reserves. Other raw materials used in significantly smaller quantities than limestone are sand, clay, iron ore, and gypsum. These materials are readily available and can be obtained from reserves owned or leased by the Company or purchased from outside suppliers.</w:t>
      </w:r>
    </w:p>
    <w:p>
      <w:pPr>
        <w:spacing w:after="0" w:line="75" w:lineRule="exact"/>
        <w:rPr>
          <w:sz w:val="20"/>
          <w:szCs w:val="20"/>
          <w:color w:val="auto"/>
        </w:rPr>
      </w:pPr>
    </w:p>
    <w:p>
      <w:pPr>
        <w:spacing w:after="0" w:line="292" w:lineRule="auto"/>
        <w:rPr>
          <w:sz w:val="20"/>
          <w:szCs w:val="20"/>
          <w:color w:val="auto"/>
        </w:rPr>
      </w:pPr>
      <w:r>
        <w:rPr>
          <w:rFonts w:ascii="Arial" w:cs="Arial" w:eastAsia="Arial" w:hAnsi="Arial"/>
          <w:sz w:val="20"/>
          <w:szCs w:val="20"/>
          <w:color w:val="auto"/>
        </w:rPr>
        <w:t>We use coal, petroleum coke, natural gas, and alternative fuels to power our cement plants. The cost of fuel decreased throughout fiscal 2026, compared with fiscal 2025, primarily because of lower market prices and transportation costs for solid fuels such as coal and petroleum coke. We expect the cost of fuel to remain relatively stable in fiscal 2027. In keeping with our commitment to sustainability and cost management, we continue to expand the use of alternative fuels at our cement facilities.</w:t>
      </w:r>
    </w:p>
    <w:p>
      <w:pPr>
        <w:spacing w:after="0" w:line="71" w:lineRule="exact"/>
        <w:rPr>
          <w:sz w:val="20"/>
          <w:szCs w:val="20"/>
          <w:color w:val="auto"/>
        </w:rPr>
      </w:pPr>
    </w:p>
    <w:p>
      <w:pPr>
        <w:ind w:right="20"/>
        <w:spacing w:after="0" w:line="288" w:lineRule="auto"/>
        <w:rPr>
          <w:sz w:val="20"/>
          <w:szCs w:val="20"/>
          <w:color w:val="auto"/>
        </w:rPr>
      </w:pPr>
      <w:r>
        <w:rPr>
          <w:rFonts w:ascii="Arial" w:cs="Arial" w:eastAsia="Arial" w:hAnsi="Arial"/>
          <w:sz w:val="20"/>
          <w:szCs w:val="20"/>
          <w:color w:val="auto"/>
        </w:rPr>
        <w:t>Our slag facility in Illinois has an agreement with a steel manufacturer to supply granules necessary for grinding slag. Subject to certain conditions, this agreement requires us to purchase up to 550,000 tons of granules meeting certain product specifications, which the steel manufacturer makes available each year. Electric power is also a major cost component in the manufacturing process for both cement and slag, and we have sought to diminish overall power costs by adopting interruptible power supply agreements at certain locations. These agreements may expose us to some production interruptions during periods of power curtailment. Historically, these interruptions, when they occur, have not had a significant effect on our operations.</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2A64A7"/>
        </w:rPr>
        <w:t>Environmental Matters</w:t>
      </w:r>
    </w:p>
    <w:p>
      <w:pPr>
        <w:spacing w:after="0" w:line="163" w:lineRule="exact"/>
        <w:rPr>
          <w:sz w:val="20"/>
          <w:szCs w:val="20"/>
          <w:color w:val="auto"/>
        </w:rPr>
      </w:pPr>
    </w:p>
    <w:p>
      <w:pPr>
        <w:ind w:right="80"/>
        <w:spacing w:after="0" w:line="286" w:lineRule="auto"/>
        <w:rPr>
          <w:sz w:val="20"/>
          <w:szCs w:val="20"/>
          <w:color w:val="auto"/>
        </w:rPr>
      </w:pPr>
      <w:r>
        <w:rPr>
          <w:rFonts w:ascii="Arial" w:cs="Arial" w:eastAsia="Arial" w:hAnsi="Arial"/>
          <w:sz w:val="20"/>
          <w:szCs w:val="20"/>
          <w:color w:val="auto"/>
        </w:rPr>
        <w:t>Our cement operations are subject to numerous federal, state, and local laws and regulations pertaining to health, safety, and the environment. Some of these laws, such as the federal Clean Air Act (CAA) and the federal Clean Water Act (CWA) (and analogous state laws) impose environmental-permitting requirements and govern the nature and amount of emissions that may be generated when conducting particular operations. Other laws, such as the federal Comprehensive Environmental Response, Compensation and Liability Act (CERCLA) (and analogous state laws) impose obligations to clean up or remediate spills of hazardous materials into the environment. Still other laws require us to reclaim certain land upon completion of extraction and mining operations in our quarries. We believe that we currently hold all the material environmental permits that are necessary to conduct our operations. We further believe that we are conducting our operations in substantial compliance with these permits. In addition, none of our manufacturing sites are listed as a CERCLA Superfund site.</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environmental issues involving the cement manufacturing industry deserve special mention.</w:t>
      </w:r>
    </w:p>
    <w:p>
      <w:pPr>
        <w:spacing w:after="0" w:line="160" w:lineRule="exact"/>
        <w:rPr>
          <w:sz w:val="20"/>
          <w:szCs w:val="20"/>
          <w:color w:val="auto"/>
        </w:rPr>
      </w:pPr>
    </w:p>
    <w:p>
      <w:pPr>
        <w:jc w:val="both"/>
        <w:ind w:right="100"/>
        <w:spacing w:after="0" w:line="325" w:lineRule="auto"/>
        <w:rPr>
          <w:sz w:val="20"/>
          <w:szCs w:val="20"/>
          <w:color w:val="auto"/>
        </w:rPr>
      </w:pPr>
      <w:r>
        <w:rPr>
          <w:rFonts w:ascii="Arial" w:cs="Arial" w:eastAsia="Arial" w:hAnsi="Arial"/>
          <w:sz w:val="19"/>
          <w:szCs w:val="19"/>
          <w:b w:val="1"/>
          <w:bCs w:val="1"/>
          <w:i w:val="1"/>
          <w:iCs w:val="1"/>
          <w:color w:val="auto"/>
        </w:rPr>
        <w:t xml:space="preserve">Cement Kiln Dust </w:t>
      </w:r>
      <w:r>
        <w:rPr>
          <w:rFonts w:ascii="Arial" w:cs="Arial" w:eastAsia="Arial" w:hAnsi="Arial"/>
          <w:sz w:val="19"/>
          <w:szCs w:val="19"/>
          <w:color w:val="auto"/>
        </w:rPr>
        <w:t>– Our cement operations generate Cement Kiln Dust (CKD) as a byproduct. Because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much of this CKD is unreacted raw materials, it is often returned to the production process. Substantially all CKD produced in connection with our ongoing operations is recycled. However, CKD was historically</w:t>
      </w:r>
    </w:p>
    <w:p>
      <w:pPr>
        <w:sectPr>
          <w:pgSz w:w="11880" w:h="15480" w:orient="portrait"/>
          <w:cols w:equalWidth="0" w:num="1">
            <w:col w:w="9340"/>
          </w:cols>
          <w:pgMar w:left="1260" w:top="1267" w:right="1280" w:bottom="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11</w:t>
      </w:r>
    </w:p>
    <w:p>
      <w:pPr>
        <w:sectPr>
          <w:pgSz w:w="11880" w:h="15480" w:orient="portrait"/>
          <w:cols w:equalWidth="0" w:num="1">
            <w:col w:w="9340"/>
          </w:cols>
          <w:pgMar w:left="1260" w:top="1267" w:right="1280" w:bottom="0" w:gutter="0" w:footer="0" w:header="0"/>
          <w:type w:val="continuous"/>
        </w:sectPr>
      </w:pPr>
    </w:p>
    <w:bookmarkStart w:id="19" w:name="page20"/>
    <w:bookmarkEnd w:id="19"/>
    <w:p>
      <w:pPr>
        <w:jc w:val="both"/>
        <w:ind w:right="100"/>
        <w:spacing w:after="0" w:line="281" w:lineRule="auto"/>
        <w:rPr>
          <w:sz w:val="20"/>
          <w:szCs w:val="20"/>
          <w:color w:val="auto"/>
        </w:rPr>
      </w:pPr>
      <w:r>
        <w:rPr>
          <w:rFonts w:ascii="Arial" w:cs="Arial" w:eastAsia="Arial" w:hAnsi="Arial"/>
          <w:sz w:val="20"/>
          <w:szCs w:val="20"/>
          <w:color w:val="auto"/>
        </w:rPr>
        <w:t>collected and is currently stored on-site at our Nevada, Missouri, Oklahoma and Wyoming cement plants and at a former plant site in Corpus Christi, Texas, which is no longer producing cement. Currently, CKD waste is generally excluded from the definition of hazardous waste under the federal</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regulations. However, CKD that comes in contact with water might produce a leachate with an alkalinity</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high enough to be classified as hazardous and might also leach certain hazardous trace metals</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therein. Since 2002, the U.S. Environmental Protection Agency (EPA) has been evaluating the regulatory</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status of CKD under the Resource Conservation and Recovery Act (RCRA). To date, the EPA has not</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changed the applicable regulatory framework or related definitions. If either the EPA or the states decide</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in the future to reclassify or impose new management standards on CKD, we could incur additional costs</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to comply with those requirements with respect to our historically collected CKD.</w:t>
      </w:r>
    </w:p>
    <w:p>
      <w:pPr>
        <w:spacing w:after="0" w:line="160" w:lineRule="exact"/>
        <w:rPr>
          <w:sz w:val="20"/>
          <w:szCs w:val="20"/>
          <w:color w:val="auto"/>
        </w:rPr>
      </w:pPr>
    </w:p>
    <w:p>
      <w:pPr>
        <w:ind w:right="100"/>
        <w:spacing w:after="0" w:line="285" w:lineRule="auto"/>
        <w:rPr>
          <w:sz w:val="20"/>
          <w:szCs w:val="20"/>
          <w:color w:val="auto"/>
        </w:rPr>
      </w:pPr>
      <w:r>
        <w:rPr>
          <w:rFonts w:ascii="Arial" w:cs="Arial" w:eastAsia="Arial" w:hAnsi="Arial"/>
          <w:sz w:val="20"/>
          <w:szCs w:val="20"/>
          <w:b w:val="1"/>
          <w:bCs w:val="1"/>
          <w:i w:val="1"/>
          <w:iCs w:val="1"/>
          <w:color w:val="auto"/>
        </w:rPr>
        <w:t xml:space="preserve">Potential Greenhouse Gas Regulation </w:t>
      </w:r>
      <w:r>
        <w:rPr>
          <w:rFonts w:ascii="Arial" w:cs="Arial" w:eastAsia="Arial" w:hAnsi="Arial"/>
          <w:sz w:val="20"/>
          <w:szCs w:val="20"/>
          <w:color w:val="auto"/>
        </w:rPr>
        <w:t>– Our operations generate certain greenhouse gases (GHGs),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including carbon dioxide. In particular, the cement manufacturing process requires the combustion of large amounts of fuel to generate very high kiln temperatures. In addition, the production of carbon dioxide is a byproduct of the calcination process, in which carbon dioxide is removed from calcium carbonate to produce calcium oxide. We are actively monitoring any new regulation of GHGs that could materially affect our cement operations. Several states have implemented or are considering measures to reduce emissions of GHGs, primarily through the planned development of GHG inventories or registries, or regional GHG cap and trade programs. In general, it is not possible to predict whether any future legislation or regulations will be enacted or adopted to address GHG emissions or how any such legislation or regulations would affect our business. However, any imposition of raw materials or production limitations, fuel-use or carbon taxes, or emission limitations or reductions could have a significant impact on the cement manufacturing industry and a material adverse effect on our operations.</w:t>
      </w:r>
    </w:p>
    <w:p>
      <w:pPr>
        <w:spacing w:after="0" w:line="83" w:lineRule="exact"/>
        <w:rPr>
          <w:sz w:val="20"/>
          <w:szCs w:val="20"/>
          <w:color w:val="auto"/>
        </w:rPr>
      </w:pPr>
    </w:p>
    <w:p>
      <w:pPr>
        <w:spacing w:after="0" w:line="289" w:lineRule="auto"/>
        <w:rPr>
          <w:sz w:val="20"/>
          <w:szCs w:val="20"/>
          <w:color w:val="auto"/>
        </w:rPr>
      </w:pPr>
      <w:r>
        <w:rPr>
          <w:rFonts w:ascii="Arial" w:cs="Arial" w:eastAsia="Arial" w:hAnsi="Arial"/>
          <w:sz w:val="20"/>
          <w:szCs w:val="20"/>
          <w:b w:val="1"/>
          <w:bCs w:val="1"/>
          <w:i w:val="1"/>
          <w:iCs w:val="1"/>
          <w:color w:val="auto"/>
        </w:rPr>
        <w:t xml:space="preserve">Solid Waste Incineration Regulations </w:t>
      </w:r>
      <w:r>
        <w:rPr>
          <w:rFonts w:ascii="Arial" w:cs="Arial" w:eastAsia="Arial" w:hAnsi="Arial"/>
          <w:sz w:val="20"/>
          <w:szCs w:val="20"/>
          <w:color w:val="auto"/>
        </w:rPr>
        <w:t>– The EPA has promulgated revised regulations for Commercial</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and Industrial Solid Waste Incineration (CISWI) units pursuant to Section 129 of the CAA. The EPA has approved several states’ implementation plans under this rule, and finalized a federal plan in December 2024 that applies in states that have not submitted and received approval for a state plan. Compared to the Portland Cement Manufacturing Industry National Emission Standards for Hazardous Air Pollutants (PC NESHAP), the CISWI regulations apply to a broader range of pollutants, and impose somewhat more stringent requirements related to dioxin/furans for existing and new sources.</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 xml:space="preserve">Air Quality Standards </w:t>
      </w:r>
      <w:r>
        <w:rPr>
          <w:rFonts w:ascii="Arial" w:cs="Arial" w:eastAsia="Arial" w:hAnsi="Arial"/>
          <w:sz w:val="20"/>
          <w:szCs w:val="20"/>
          <w:color w:val="auto"/>
        </w:rPr>
        <w:t>–</w:t>
      </w:r>
    </w:p>
    <w:p>
      <w:pPr>
        <w:spacing w:after="0" w:line="160" w:lineRule="exact"/>
        <w:rPr>
          <w:sz w:val="20"/>
          <w:szCs w:val="20"/>
          <w:color w:val="auto"/>
        </w:rPr>
      </w:pPr>
    </w:p>
    <w:p>
      <w:pPr>
        <w:ind w:right="20"/>
        <w:spacing w:after="0" w:line="292" w:lineRule="auto"/>
        <w:rPr>
          <w:sz w:val="20"/>
          <w:szCs w:val="20"/>
          <w:color w:val="auto"/>
        </w:rPr>
      </w:pPr>
      <w:r>
        <w:rPr>
          <w:rFonts w:ascii="Arial" w:cs="Arial" w:eastAsia="Arial" w:hAnsi="Arial"/>
          <w:sz w:val="20"/>
          <w:szCs w:val="20"/>
          <w:i w:val="1"/>
          <w:iCs w:val="1"/>
          <w:color w:val="auto"/>
        </w:rPr>
        <w:t>NAAQS for Ozone</w:t>
      </w:r>
      <w:r>
        <w:rPr>
          <w:rFonts w:ascii="Arial" w:cs="Arial" w:eastAsia="Arial" w:hAnsi="Arial"/>
          <w:sz w:val="20"/>
          <w:szCs w:val="20"/>
          <w:color w:val="auto"/>
        </w:rPr>
        <w:t>. The EPA is engaged in an ongoing review and implementation of the national</w:t>
      </w:r>
      <w:r>
        <w:rPr>
          <w:rFonts w:ascii="Arial" w:cs="Arial" w:eastAsia="Arial" w:hAnsi="Arial"/>
          <w:sz w:val="20"/>
          <w:szCs w:val="20"/>
          <w:i w:val="1"/>
          <w:iCs w:val="1"/>
          <w:color w:val="auto"/>
        </w:rPr>
        <w:t xml:space="preserve"> </w:t>
      </w:r>
      <w:r>
        <w:rPr>
          <w:rFonts w:ascii="Arial" w:cs="Arial" w:eastAsia="Arial" w:hAnsi="Arial"/>
          <w:sz w:val="20"/>
          <w:szCs w:val="20"/>
          <w:color w:val="auto"/>
        </w:rPr>
        <w:t>ambient air quality standards (NAAQS) for ozone. The CAA requires the EPA to review and, if necessary, revise the NAAQS every five years. The EPA initiated its updated review of the NAAQS in 2024 under the Biden Administration, which the agency indicated it plans to complete by 2030. The Trump Administration has not taken further action on this review to date.</w:t>
      </w:r>
    </w:p>
    <w:p>
      <w:pPr>
        <w:spacing w:after="0" w:line="71" w:lineRule="exact"/>
        <w:rPr>
          <w:sz w:val="20"/>
          <w:szCs w:val="20"/>
          <w:color w:val="auto"/>
        </w:rPr>
      </w:pPr>
    </w:p>
    <w:p>
      <w:pPr>
        <w:ind w:right="120"/>
        <w:spacing w:after="0" w:line="289" w:lineRule="auto"/>
        <w:rPr>
          <w:sz w:val="20"/>
          <w:szCs w:val="20"/>
          <w:color w:val="auto"/>
        </w:rPr>
      </w:pPr>
      <w:r>
        <w:rPr>
          <w:rFonts w:ascii="Arial" w:cs="Arial" w:eastAsia="Arial" w:hAnsi="Arial"/>
          <w:sz w:val="20"/>
          <w:szCs w:val="20"/>
          <w:color w:val="auto"/>
        </w:rPr>
        <w:t>The current 2015 ozone NAAQS (interstate transport requirements) required States to submit State Implementation Plans (SIPs) addressing the emissions that significantly contribute to nonattainment, or interference with maintenance, in downwind states. In February 2023, the EPA published a final rule disapproving in whole or in part the SIPs for twenty-one states, including Illinois, Kentucky, Missouri, Nevada, Ohio, Oklahoma, and Texas (all of which are relevant to our cement operations). The EPA is currently reconsidering many of these SIP disapprovals, including those for Kentucky, Missouri, Nevada, and Oklahoma, and anticipates completing the reconsideration action by the end of 2026.</w:t>
      </w:r>
    </w:p>
    <w:p>
      <w:pPr>
        <w:spacing w:after="0" w:line="71" w:lineRule="exact"/>
        <w:rPr>
          <w:sz w:val="20"/>
          <w:szCs w:val="20"/>
          <w:color w:val="auto"/>
        </w:rPr>
      </w:pPr>
    </w:p>
    <w:p>
      <w:pPr>
        <w:spacing w:after="0" w:line="325" w:lineRule="auto"/>
        <w:rPr>
          <w:sz w:val="20"/>
          <w:szCs w:val="20"/>
          <w:color w:val="auto"/>
        </w:rPr>
      </w:pPr>
      <w:r>
        <w:rPr>
          <w:rFonts w:ascii="Arial" w:cs="Arial" w:eastAsia="Arial" w:hAnsi="Arial"/>
          <w:sz w:val="19"/>
          <w:szCs w:val="19"/>
          <w:color w:val="auto"/>
        </w:rPr>
        <w:t>In March 2023, the EPA finalized a Federal Implementation Plan (FIP), also known as the "Good Neighbor Plan," which addresses interstate transport obligations for 23 states, including the states subject to a SIP disapproval. The FIP establishes ozone season nitrogen oxide (NOx) emissions limitations</w:t>
      </w:r>
    </w:p>
    <w:p>
      <w:pPr>
        <w:sectPr>
          <w:pgSz w:w="11880" w:h="15480" w:orient="portrait"/>
          <w:cols w:equalWidth="0" w:num="1">
            <w:col w:w="9340"/>
          </w:cols>
          <w:pgMar w:left="1260" w:top="1267" w:right="1280" w:bottom="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12</w:t>
      </w:r>
    </w:p>
    <w:p>
      <w:pPr>
        <w:sectPr>
          <w:pgSz w:w="11880" w:h="15480" w:orient="portrait"/>
          <w:cols w:equalWidth="0" w:num="1">
            <w:col w:w="9340"/>
          </w:cols>
          <w:pgMar w:left="1260" w:top="1267" w:right="1280" w:bottom="0" w:gutter="0" w:footer="0" w:header="0"/>
          <w:type w:val="continuous"/>
        </w:sectPr>
      </w:pPr>
    </w:p>
    <w:bookmarkStart w:id="20" w:name="page21"/>
    <w:bookmarkEnd w:id="20"/>
    <w:p>
      <w:pPr>
        <w:ind w:right="220"/>
        <w:spacing w:after="0" w:line="292" w:lineRule="auto"/>
        <w:rPr>
          <w:sz w:val="20"/>
          <w:szCs w:val="20"/>
          <w:color w:val="auto"/>
        </w:rPr>
      </w:pPr>
      <w:r>
        <w:rPr>
          <w:rFonts w:ascii="Arial" w:cs="Arial" w:eastAsia="Arial" w:hAnsi="Arial"/>
          <w:sz w:val="20"/>
          <w:szCs w:val="20"/>
          <w:color w:val="auto"/>
        </w:rPr>
        <w:t>beginning in 2026 for kilns used in cement and cement product manufacturing in 20 states, including all the above-listed states relevant to our cement operations. As a result of legal challenges, the FIP is currently subject to a nationwide stay, as described in more detail below. The EPA is currently reconsidering certain requirements under the Good Neighbor Plan, and anticipates completing this reconsideration action by the end of 2026.</w:t>
      </w:r>
    </w:p>
    <w:p>
      <w:pPr>
        <w:spacing w:after="0" w:line="71" w:lineRule="exact"/>
        <w:rPr>
          <w:sz w:val="20"/>
          <w:szCs w:val="20"/>
          <w:color w:val="auto"/>
        </w:rPr>
      </w:pPr>
    </w:p>
    <w:p>
      <w:pPr>
        <w:ind w:right="20"/>
        <w:spacing w:after="0" w:line="296" w:lineRule="auto"/>
        <w:rPr>
          <w:sz w:val="20"/>
          <w:szCs w:val="20"/>
          <w:color w:val="auto"/>
        </w:rPr>
      </w:pPr>
      <w:r>
        <w:rPr>
          <w:rFonts w:ascii="Arial" w:cs="Arial" w:eastAsia="Arial" w:hAnsi="Arial"/>
          <w:sz w:val="20"/>
          <w:szCs w:val="20"/>
          <w:color w:val="auto"/>
        </w:rPr>
        <w:t>Our facilities that are most directly affected by the SIP disapprovals and Good Neighbor FIP are our cement plants located in Nevada, Oklahoma, and Texas. We reached an agreement with the EPA in July 2024 to install additional NOx controls (low NOx burners) at our Nevada cement facility, which requires certain capital expenditures and may impact operating costs.</w:t>
      </w:r>
    </w:p>
    <w:p>
      <w:pPr>
        <w:spacing w:after="0" w:line="65" w:lineRule="exact"/>
        <w:rPr>
          <w:sz w:val="20"/>
          <w:szCs w:val="20"/>
          <w:color w:val="auto"/>
        </w:rPr>
      </w:pPr>
    </w:p>
    <w:p>
      <w:pPr>
        <w:ind w:right="40"/>
        <w:spacing w:after="0" w:line="285" w:lineRule="auto"/>
        <w:rPr>
          <w:sz w:val="20"/>
          <w:szCs w:val="20"/>
          <w:color w:val="auto"/>
        </w:rPr>
      </w:pPr>
      <w:r>
        <w:rPr>
          <w:rFonts w:ascii="Arial" w:cs="Arial" w:eastAsia="Arial" w:hAnsi="Arial"/>
          <w:sz w:val="20"/>
          <w:szCs w:val="20"/>
          <w:color w:val="auto"/>
        </w:rPr>
        <w:t>Various legal challenges have been filed against the EPA’s SIP disapprovals for several states and against the Good Neighbor Plan. We joined this litigation as a plaintiff in April 2023 in response to the SIP disapprovals. In the course of these challenges, petitioners obtained a stay of the SIP disapprovals for Nevada, Oklahoma, and Texas, as well as the Good Neighbor Plan, which has halted implementation of the FIP. Only two courts have issued a final ruling on the validity of the SIP disapprovals — a decision in December 2024 by the Sixth Circuit overturning the EPA’s disapproval of Kentucky’s SIP and a revised decision in March 2026 by Fifth Circuit overturning the EPA’s disapproval of Texas’s SIP. We are unable to predict the likely outcome of the legal challenges that remain pending. An adverse outcome could require us to incur significant capital expenditures related to the installation of additional controls and additional operating costs at the affected facilities or, if the installation of controls proves impracticable, to modify or curtail our operations at such facilities, which could have a material adverse effect on their profitability.</w:t>
      </w:r>
    </w:p>
    <w:p>
      <w:pPr>
        <w:spacing w:after="0" w:line="83" w:lineRule="exact"/>
        <w:rPr>
          <w:sz w:val="20"/>
          <w:szCs w:val="20"/>
          <w:color w:val="auto"/>
        </w:rPr>
      </w:pPr>
    </w:p>
    <w:p>
      <w:pPr>
        <w:ind w:right="40"/>
        <w:spacing w:after="0" w:line="287" w:lineRule="auto"/>
        <w:rPr>
          <w:sz w:val="20"/>
          <w:szCs w:val="20"/>
          <w:color w:val="auto"/>
        </w:rPr>
      </w:pPr>
      <w:r>
        <w:rPr>
          <w:rFonts w:ascii="Arial" w:cs="Arial" w:eastAsia="Arial" w:hAnsi="Arial"/>
          <w:sz w:val="20"/>
          <w:szCs w:val="20"/>
          <w:i w:val="1"/>
          <w:iCs w:val="1"/>
          <w:color w:val="auto"/>
        </w:rPr>
        <w:t xml:space="preserve">NAAQS for Fine Particulate Matter. </w:t>
      </w:r>
      <w:r>
        <w:rPr>
          <w:rFonts w:ascii="Arial" w:cs="Arial" w:eastAsia="Arial" w:hAnsi="Arial"/>
          <w:sz w:val="20"/>
          <w:szCs w:val="20"/>
          <w:color w:val="auto"/>
        </w:rPr>
        <w:t>In 2024, the EPA issued a final rule revising the NAAQS for fine</w:t>
      </w:r>
      <w:r>
        <w:rPr>
          <w:rFonts w:ascii="Arial" w:cs="Arial" w:eastAsia="Arial" w:hAnsi="Arial"/>
          <w:sz w:val="20"/>
          <w:szCs w:val="20"/>
          <w:i w:val="1"/>
          <w:iCs w:val="1"/>
          <w:color w:val="auto"/>
        </w:rPr>
        <w:t xml:space="preserve"> </w:t>
      </w:r>
      <w:r>
        <w:rPr>
          <w:rFonts w:ascii="Arial" w:cs="Arial" w:eastAsia="Arial" w:hAnsi="Arial"/>
          <w:sz w:val="20"/>
          <w:szCs w:val="20"/>
          <w:color w:val="auto"/>
        </w:rPr>
        <w:t>particulate matter (PM</w:t>
      </w:r>
      <w:r>
        <w:rPr>
          <w:rFonts w:ascii="Arial" w:cs="Arial" w:eastAsia="Arial" w:hAnsi="Arial"/>
          <w:sz w:val="13"/>
          <w:szCs w:val="13"/>
          <w:color w:val="auto"/>
        </w:rPr>
        <w:t>2.5</w:t>
      </w:r>
      <w:r>
        <w:rPr>
          <w:rFonts w:ascii="Arial" w:cs="Arial" w:eastAsia="Arial" w:hAnsi="Arial"/>
          <w:sz w:val="20"/>
          <w:szCs w:val="20"/>
          <w:color w:val="auto"/>
        </w:rPr>
        <w:t>) or soot. The final rule lowers the level of the primary (health-based) annual standards and modifies related monitoring requirements. All other existing PM standards were retained. The final rule has been challenged by various parties. In addition, the EPA is currently reconsidering these requirements. In November 2025, the EPA requested that the D.C. Circuit vacate the revised standards but the court has not yet acted on this request. The timing and outcome of these legal challenges and the EPA’s reconsideration are unknown at this time. The anticipated impacts of the new PM</w:t>
      </w:r>
      <w:r>
        <w:rPr>
          <w:rFonts w:ascii="Arial" w:cs="Arial" w:eastAsia="Arial" w:hAnsi="Arial"/>
          <w:sz w:val="13"/>
          <w:szCs w:val="13"/>
          <w:color w:val="auto"/>
        </w:rPr>
        <w:t>2.5</w:t>
      </w:r>
      <w:r>
        <w:rPr>
          <w:rFonts w:ascii="Arial" w:cs="Arial" w:eastAsia="Arial" w:hAnsi="Arial"/>
          <w:sz w:val="20"/>
          <w:szCs w:val="20"/>
          <w:color w:val="auto"/>
        </w:rPr>
        <w:t xml:space="preserve"> NAAQS are similar to those for the ozone NAAQS, discussed above, and would result in a potential increase in our capital expenditures and operating expenses and make permitting more difficult.</w:t>
      </w:r>
    </w:p>
    <w:p>
      <w:pPr>
        <w:spacing w:after="0" w:line="75" w:lineRule="exact"/>
        <w:rPr>
          <w:sz w:val="20"/>
          <w:szCs w:val="20"/>
          <w:color w:val="auto"/>
        </w:rPr>
      </w:pPr>
    </w:p>
    <w:p>
      <w:pPr>
        <w:ind w:right="140"/>
        <w:spacing w:after="0" w:line="289" w:lineRule="auto"/>
        <w:rPr>
          <w:sz w:val="20"/>
          <w:szCs w:val="20"/>
          <w:color w:val="auto"/>
        </w:rPr>
      </w:pPr>
      <w:r>
        <w:rPr>
          <w:rFonts w:ascii="Arial" w:cs="Arial" w:eastAsia="Arial" w:hAnsi="Arial"/>
          <w:sz w:val="20"/>
          <w:szCs w:val="20"/>
          <w:b w:val="1"/>
          <w:bCs w:val="1"/>
          <w:i w:val="1"/>
          <w:iCs w:val="1"/>
          <w:color w:val="auto"/>
        </w:rPr>
        <w:t xml:space="preserve">Hazardous Air Pollutants </w:t>
      </w:r>
      <w:r>
        <w:rPr>
          <w:rFonts w:ascii="Arial" w:cs="Arial" w:eastAsia="Arial" w:hAnsi="Arial"/>
          <w:sz w:val="20"/>
          <w:szCs w:val="20"/>
          <w:color w:val="auto"/>
        </w:rPr>
        <w:t>– Eagle’s cement kilns are subject to National Emissions Standards for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Hazardous Air Pollutants (NESHAPs), codified at 40 CFR Part 63 Subparts EEE and LLL. The EPA is conducting rulemakings that would revise Subparts EEE and LLL, such that kilns may be subject to additional emissions limitations, monitoring requirements and/or reporting obligations. The EPA issued a proposed rule in November 2025, which would establish emission limits and work practice standards for hydrogen fluoride and hydrogen cyanide emissions from cement kilns. To date, the EPA has not proposed updates to Subpart LLL standards.</w:t>
      </w:r>
    </w:p>
    <w:p>
      <w:pPr>
        <w:spacing w:after="0" w:line="71" w:lineRule="exact"/>
        <w:rPr>
          <w:sz w:val="20"/>
          <w:szCs w:val="20"/>
          <w:color w:val="auto"/>
        </w:rPr>
      </w:pPr>
    </w:p>
    <w:p>
      <w:pPr>
        <w:spacing w:after="0" w:line="306" w:lineRule="auto"/>
        <w:rPr>
          <w:sz w:val="20"/>
          <w:szCs w:val="20"/>
          <w:color w:val="auto"/>
        </w:rPr>
      </w:pPr>
      <w:r>
        <w:rPr>
          <w:rFonts w:ascii="Arial" w:cs="Arial" w:eastAsia="Arial" w:hAnsi="Arial"/>
          <w:sz w:val="19"/>
          <w:szCs w:val="19"/>
          <w:b w:val="1"/>
          <w:bCs w:val="1"/>
          <w:i w:val="1"/>
          <w:iCs w:val="1"/>
          <w:color w:val="auto"/>
        </w:rPr>
        <w:t xml:space="preserve">Other </w:t>
      </w:r>
      <w:r>
        <w:rPr>
          <w:rFonts w:ascii="Arial" w:cs="Arial" w:eastAsia="Arial" w:hAnsi="Arial"/>
          <w:sz w:val="19"/>
          <w:szCs w:val="19"/>
          <w:color w:val="auto"/>
        </w:rPr>
        <w:t>– We believe that our current procedures and practices in our operations, including those for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handling and managing hazardous materials, are consistent with industry standards and are in substantial compliance with applicable environmental laws and regulations. Nevertheless, because of the complexity of our operations and the environmental laws to which we are subject, there can be no assurance that past or future operations will not result in violations, remediation costs, or other liabilities or claims. Moreover, we cannot predict what environmental laws will be enacted or adopted in the future or how such future environmental laws or regulations will be administered or interpreted. Compliance with more</w:t>
      </w:r>
    </w:p>
    <w:p>
      <w:pPr>
        <w:sectPr>
          <w:pgSz w:w="11880" w:h="15480" w:orient="portrait"/>
          <w:cols w:equalWidth="0" w:num="1">
            <w:col w:w="9340"/>
          </w:cols>
          <w:pgMar w:left="1260" w:top="1267"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13</w:t>
      </w:r>
    </w:p>
    <w:p>
      <w:pPr>
        <w:sectPr>
          <w:pgSz w:w="11880" w:h="15480" w:orient="portrait"/>
          <w:cols w:equalWidth="0" w:num="1">
            <w:col w:w="9340"/>
          </w:cols>
          <w:pgMar w:left="1260" w:top="1267" w:right="1280" w:bottom="0" w:gutter="0" w:footer="0" w:header="0"/>
          <w:type w:val="continuous"/>
        </w:sectPr>
      </w:pPr>
    </w:p>
    <w:bookmarkStart w:id="21" w:name="page22"/>
    <w:bookmarkEnd w:id="21"/>
    <w:p>
      <w:pPr>
        <w:ind w:right="280"/>
        <w:spacing w:after="0" w:line="325" w:lineRule="auto"/>
        <w:rPr>
          <w:sz w:val="20"/>
          <w:szCs w:val="20"/>
          <w:color w:val="auto"/>
        </w:rPr>
      </w:pPr>
      <w:r>
        <w:rPr>
          <w:rFonts w:ascii="Arial" w:cs="Arial" w:eastAsia="Arial" w:hAnsi="Arial"/>
          <w:sz w:val="20"/>
          <w:szCs w:val="20"/>
          <w:color w:val="auto"/>
        </w:rPr>
        <w:t>stringent environmental laws, or stricter interpretation of existing environmental laws, could necessitate significant capital outlays.</w:t>
      </w:r>
    </w:p>
    <w:p>
      <w:pPr>
        <w:spacing w:after="0" w:line="37" w:lineRule="exact"/>
        <w:rPr>
          <w:sz w:val="20"/>
          <w:szCs w:val="20"/>
          <w:color w:val="auto"/>
        </w:rPr>
      </w:pPr>
    </w:p>
    <w:p>
      <w:pPr>
        <w:ind w:right="180"/>
        <w:spacing w:after="0" w:line="355" w:lineRule="auto"/>
        <w:rPr>
          <w:sz w:val="20"/>
          <w:szCs w:val="20"/>
          <w:color w:val="auto"/>
        </w:rPr>
      </w:pPr>
      <w:r>
        <w:rPr>
          <w:rFonts w:ascii="Arial" w:cs="Arial" w:eastAsia="Arial" w:hAnsi="Arial"/>
          <w:sz w:val="19"/>
          <w:szCs w:val="19"/>
          <w:color w:val="auto"/>
        </w:rPr>
        <w:t>In fiscal 2026, we had $11.1 million of capital expenditures related to compliance with environmental regulations applicable to our Cement operations. We anticipate spending $7.3 million during fiscal 2027.</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color w:val="43A8B4"/>
        </w:rPr>
        <w:t>CONCRETE AND AGGREGATES</w:t>
      </w:r>
    </w:p>
    <w:p>
      <w:pPr>
        <w:spacing w:after="0" w:line="157" w:lineRule="exact"/>
        <w:rPr>
          <w:sz w:val="20"/>
          <w:szCs w:val="20"/>
          <w:color w:val="auto"/>
        </w:rPr>
      </w:pPr>
    </w:p>
    <w:p>
      <w:pPr>
        <w:jc w:val="both"/>
        <w:ind w:right="140"/>
        <w:spacing w:after="0" w:line="303" w:lineRule="auto"/>
        <w:rPr>
          <w:sz w:val="20"/>
          <w:szCs w:val="20"/>
          <w:color w:val="auto"/>
        </w:rPr>
      </w:pPr>
      <w:r>
        <w:rPr>
          <w:rFonts w:ascii="Arial" w:cs="Arial" w:eastAsia="Arial" w:hAnsi="Arial"/>
          <w:sz w:val="20"/>
          <w:szCs w:val="20"/>
          <w:color w:val="auto"/>
        </w:rPr>
        <w:t>The aggregates business consists of mining, extracting, producing, and selling crushed stone, sand, and gravel. Aggregates are a granular material consisting of crushed stone, sand, and gravel, manufactured to specific sizes, grades, and chemistry for use primarily in construction applications.</w:t>
      </w:r>
    </w:p>
    <w:p>
      <w:pPr>
        <w:spacing w:after="0" w:line="59" w:lineRule="exact"/>
        <w:rPr>
          <w:sz w:val="20"/>
          <w:szCs w:val="20"/>
          <w:color w:val="auto"/>
        </w:rPr>
      </w:pPr>
    </w:p>
    <w:p>
      <w:pPr>
        <w:ind w:right="440"/>
        <w:spacing w:after="0" w:line="296" w:lineRule="auto"/>
        <w:rPr>
          <w:sz w:val="20"/>
          <w:szCs w:val="20"/>
          <w:color w:val="auto"/>
        </w:rPr>
      </w:pPr>
      <w:r>
        <w:rPr>
          <w:rFonts w:ascii="Arial" w:cs="Arial" w:eastAsia="Arial" w:hAnsi="Arial"/>
          <w:sz w:val="20"/>
          <w:szCs w:val="20"/>
          <w:color w:val="auto"/>
        </w:rPr>
        <w:t>Readymix concrete is a versatile, low-cost building material used in almost all construction. The production of readymix concrete involves mixing cement, sand, gravel or crushed stone, and water to form concrete, which is then sold and distributed to numerous construction contractors. Concrete is produced in batch plants and transported to customers’ job sites in mixer trucks.</w:t>
      </w:r>
    </w:p>
    <w:p>
      <w:pPr>
        <w:spacing w:after="0" w:line="65" w:lineRule="exact"/>
        <w:rPr>
          <w:sz w:val="20"/>
          <w:szCs w:val="20"/>
          <w:color w:val="auto"/>
        </w:rPr>
      </w:pPr>
    </w:p>
    <w:p>
      <w:pPr>
        <w:ind w:right="640"/>
        <w:spacing w:after="0" w:line="325" w:lineRule="auto"/>
        <w:rPr>
          <w:sz w:val="20"/>
          <w:szCs w:val="20"/>
          <w:color w:val="auto"/>
        </w:rPr>
      </w:pPr>
      <w:r>
        <w:rPr>
          <w:rFonts w:ascii="Arial" w:cs="Arial" w:eastAsia="Arial" w:hAnsi="Arial"/>
          <w:sz w:val="20"/>
          <w:szCs w:val="20"/>
          <w:color w:val="auto"/>
        </w:rPr>
        <w:t>During fiscal 2025, we acquired an aggregates operation in Northern Kentucky near our Battletown Materials plant, as well as an aggregates operation in Western Pennsylvania.</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43A8B4"/>
        </w:rPr>
        <w:t>Aggregate Mining Operations</w:t>
      </w:r>
    </w:p>
    <w:p>
      <w:pPr>
        <w:spacing w:after="0" w:line="163" w:lineRule="exact"/>
        <w:rPr>
          <w:sz w:val="20"/>
          <w:szCs w:val="20"/>
          <w:color w:val="auto"/>
        </w:rPr>
      </w:pPr>
    </w:p>
    <w:p>
      <w:pPr>
        <w:ind w:right="20"/>
        <w:spacing w:after="0" w:line="303" w:lineRule="auto"/>
        <w:rPr>
          <w:sz w:val="20"/>
          <w:szCs w:val="20"/>
          <w:color w:val="auto"/>
        </w:rPr>
      </w:pPr>
      <w:r>
        <w:rPr>
          <w:rFonts w:ascii="Arial" w:cs="Arial" w:eastAsia="Arial" w:hAnsi="Arial"/>
          <w:sz w:val="20"/>
          <w:szCs w:val="20"/>
          <w:color w:val="auto"/>
        </w:rPr>
        <w:t>Aggregates are obtained principally by mining and extracting from quarries owned or leased by the Company. For more information about our aggregates mining properties, including estimates of resources and reserves, see Item 2. Properties.</w:t>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sets forth certain information regarding our aggregates facilities at March 31, 2026.</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1580" w:type="dxa"/>
            <w:vAlign w:val="bottom"/>
          </w:tcPr>
          <w:p>
            <w:pPr>
              <w:jc w:val="right"/>
              <w:ind w:right="4"/>
              <w:spacing w:after="0"/>
              <w:rPr>
                <w:sz w:val="20"/>
                <w:szCs w:val="20"/>
                <w:color w:val="auto"/>
              </w:rPr>
            </w:pPr>
            <w:r>
              <w:rPr>
                <w:rFonts w:ascii="Arial Narrow" w:cs="Arial Narrow" w:eastAsia="Arial Narrow" w:hAnsi="Arial Narrow"/>
                <w:sz w:val="18"/>
                <w:szCs w:val="18"/>
                <w:b w:val="1"/>
                <w:bCs w:val="1"/>
                <w:color w:val="auto"/>
              </w:rPr>
              <w:t>Estimated Annual</w:t>
            </w:r>
          </w:p>
        </w:tc>
        <w:tc>
          <w:tcPr>
            <w:tcW w:w="0" w:type="dxa"/>
            <w:vAlign w:val="bottom"/>
          </w:tcPr>
          <w:p>
            <w:pPr>
              <w:spacing w:after="0"/>
              <w:rPr>
                <w:sz w:val="1"/>
                <w:szCs w:val="1"/>
                <w:color w:val="auto"/>
              </w:rPr>
            </w:pPr>
          </w:p>
        </w:tc>
      </w:tr>
      <w:tr>
        <w:trPr>
          <w:trHeight w:val="207"/>
        </w:trPr>
        <w:tc>
          <w:tcPr>
            <w:tcW w:w="3820" w:type="dxa"/>
            <w:vAlign w:val="bottom"/>
          </w:tcPr>
          <w:p>
            <w:pPr>
              <w:spacing w:after="0"/>
              <w:rPr>
                <w:sz w:val="17"/>
                <w:szCs w:val="17"/>
                <w:color w:val="auto"/>
              </w:rPr>
            </w:pPr>
          </w:p>
        </w:tc>
        <w:tc>
          <w:tcPr>
            <w:tcW w:w="3960" w:type="dxa"/>
            <w:vAlign w:val="bottom"/>
            <w:vMerge w:val="restart"/>
          </w:tcPr>
          <w:p>
            <w:pPr>
              <w:ind w:left="2060"/>
              <w:spacing w:after="0"/>
              <w:rPr>
                <w:sz w:val="20"/>
                <w:szCs w:val="20"/>
                <w:color w:val="auto"/>
              </w:rPr>
            </w:pPr>
            <w:r>
              <w:rPr>
                <w:rFonts w:ascii="Arial Narrow" w:cs="Arial Narrow" w:eastAsia="Arial Narrow" w:hAnsi="Arial Narrow"/>
                <w:sz w:val="18"/>
                <w:szCs w:val="18"/>
                <w:b w:val="1"/>
                <w:bCs w:val="1"/>
                <w:color w:val="auto"/>
              </w:rPr>
              <w:t>Types</w:t>
            </w:r>
          </w:p>
        </w:tc>
        <w:tc>
          <w:tcPr>
            <w:tcW w:w="1580" w:type="dxa"/>
            <w:vAlign w:val="bottom"/>
          </w:tcPr>
          <w:p>
            <w:pPr>
              <w:jc w:val="right"/>
              <w:ind w:right="4"/>
              <w:spacing w:after="0"/>
              <w:rPr>
                <w:sz w:val="20"/>
                <w:szCs w:val="20"/>
                <w:color w:val="auto"/>
              </w:rPr>
            </w:pPr>
            <w:r>
              <w:rPr>
                <w:rFonts w:ascii="Arial Narrow" w:cs="Arial Narrow" w:eastAsia="Arial Narrow" w:hAnsi="Arial Narrow"/>
                <w:sz w:val="18"/>
                <w:szCs w:val="18"/>
                <w:b w:val="1"/>
                <w:bCs w:val="1"/>
                <w:color w:val="auto"/>
              </w:rPr>
              <w:t>Production</w:t>
            </w:r>
          </w:p>
        </w:tc>
        <w:tc>
          <w:tcPr>
            <w:tcW w:w="0" w:type="dxa"/>
            <w:vAlign w:val="bottom"/>
          </w:tcPr>
          <w:p>
            <w:pPr>
              <w:spacing w:after="0"/>
              <w:rPr>
                <w:sz w:val="1"/>
                <w:szCs w:val="1"/>
                <w:color w:val="auto"/>
              </w:rPr>
            </w:pPr>
          </w:p>
        </w:tc>
      </w:tr>
      <w:tr>
        <w:trPr>
          <w:trHeight w:val="207"/>
        </w:trPr>
        <w:tc>
          <w:tcPr>
            <w:tcW w:w="3820" w:type="dxa"/>
            <w:vAlign w:val="bottom"/>
          </w:tcPr>
          <w:p>
            <w:pPr>
              <w:spacing w:after="0"/>
              <w:rPr>
                <w:sz w:val="17"/>
                <w:szCs w:val="17"/>
                <w:color w:val="auto"/>
              </w:rPr>
            </w:pPr>
          </w:p>
        </w:tc>
        <w:tc>
          <w:tcPr>
            <w:tcW w:w="3960" w:type="dxa"/>
            <w:vAlign w:val="bottom"/>
            <w:vMerge w:val="continue"/>
          </w:tcPr>
          <w:p>
            <w:pPr>
              <w:spacing w:after="0"/>
              <w:rPr>
                <w:sz w:val="17"/>
                <w:szCs w:val="17"/>
                <w:color w:val="auto"/>
              </w:rPr>
            </w:pPr>
          </w:p>
        </w:tc>
        <w:tc>
          <w:tcPr>
            <w:tcW w:w="1580" w:type="dxa"/>
            <w:vAlign w:val="bottom"/>
          </w:tcPr>
          <w:p>
            <w:pPr>
              <w:jc w:val="right"/>
              <w:ind w:right="4"/>
              <w:spacing w:after="0"/>
              <w:rPr>
                <w:sz w:val="20"/>
                <w:szCs w:val="20"/>
                <w:color w:val="auto"/>
              </w:rPr>
            </w:pPr>
            <w:r>
              <w:rPr>
                <w:rFonts w:ascii="Arial Narrow" w:cs="Arial Narrow" w:eastAsia="Arial Narrow" w:hAnsi="Arial Narrow"/>
                <w:sz w:val="18"/>
                <w:szCs w:val="18"/>
                <w:b w:val="1"/>
                <w:bCs w:val="1"/>
                <w:color w:val="auto"/>
              </w:rPr>
              <w:t>Capacity</w:t>
            </w:r>
          </w:p>
        </w:tc>
        <w:tc>
          <w:tcPr>
            <w:tcW w:w="0" w:type="dxa"/>
            <w:vAlign w:val="bottom"/>
          </w:tcPr>
          <w:p>
            <w:pPr>
              <w:spacing w:after="0"/>
              <w:rPr>
                <w:sz w:val="1"/>
                <w:szCs w:val="1"/>
                <w:color w:val="auto"/>
              </w:rPr>
            </w:pPr>
          </w:p>
        </w:tc>
      </w:tr>
      <w:tr>
        <w:trPr>
          <w:trHeight w:val="254"/>
        </w:trPr>
        <w:tc>
          <w:tcPr>
            <w:tcW w:w="3820" w:type="dxa"/>
            <w:vAlign w:val="bottom"/>
          </w:tcPr>
          <w:p>
            <w:pPr>
              <w:spacing w:after="0"/>
              <w:rPr>
                <w:sz w:val="20"/>
                <w:szCs w:val="20"/>
                <w:color w:val="auto"/>
              </w:rPr>
            </w:pPr>
            <w:r>
              <w:rPr>
                <w:rFonts w:ascii="Arial Narrow" w:cs="Arial Narrow" w:eastAsia="Arial Narrow" w:hAnsi="Arial Narrow"/>
                <w:sz w:val="18"/>
                <w:szCs w:val="18"/>
                <w:b w:val="1"/>
                <w:bCs w:val="1"/>
                <w:color w:val="auto"/>
              </w:rPr>
              <w:t>Location</w:t>
            </w:r>
          </w:p>
        </w:tc>
        <w:tc>
          <w:tcPr>
            <w:tcW w:w="3960" w:type="dxa"/>
            <w:vAlign w:val="bottom"/>
          </w:tcPr>
          <w:p>
            <w:pPr>
              <w:ind w:left="2060"/>
              <w:spacing w:after="0"/>
              <w:rPr>
                <w:sz w:val="20"/>
                <w:szCs w:val="20"/>
                <w:color w:val="auto"/>
              </w:rPr>
            </w:pPr>
            <w:r>
              <w:rPr>
                <w:rFonts w:ascii="Arial Narrow" w:cs="Arial Narrow" w:eastAsia="Arial Narrow" w:hAnsi="Arial Narrow"/>
                <w:sz w:val="18"/>
                <w:szCs w:val="18"/>
                <w:b w:val="1"/>
                <w:bCs w:val="1"/>
                <w:color w:val="auto"/>
              </w:rPr>
              <w:t>of Aggregates</w:t>
            </w:r>
          </w:p>
        </w:tc>
        <w:tc>
          <w:tcPr>
            <w:tcW w:w="1580" w:type="dxa"/>
            <w:vAlign w:val="bottom"/>
          </w:tcPr>
          <w:p>
            <w:pPr>
              <w:jc w:val="right"/>
              <w:ind w:right="4"/>
              <w:spacing w:after="0"/>
              <w:rPr>
                <w:sz w:val="20"/>
                <w:szCs w:val="20"/>
                <w:color w:val="auto"/>
              </w:rPr>
            </w:pPr>
            <w:r>
              <w:rPr>
                <w:rFonts w:ascii="Arial Narrow" w:cs="Arial Narrow" w:eastAsia="Arial Narrow" w:hAnsi="Arial Narrow"/>
                <w:sz w:val="18"/>
                <w:szCs w:val="18"/>
                <w:b w:val="1"/>
                <w:bCs w:val="1"/>
                <w:color w:val="auto"/>
              </w:rPr>
              <w:t>(thousand tons)</w:t>
            </w:r>
          </w:p>
        </w:tc>
        <w:tc>
          <w:tcPr>
            <w:tcW w:w="0" w:type="dxa"/>
            <w:vAlign w:val="bottom"/>
          </w:tcPr>
          <w:p>
            <w:pPr>
              <w:spacing w:after="0"/>
              <w:rPr>
                <w:sz w:val="1"/>
                <w:szCs w:val="1"/>
                <w:color w:val="auto"/>
              </w:rPr>
            </w:pPr>
          </w:p>
        </w:tc>
      </w:tr>
      <w:tr>
        <w:trPr>
          <w:trHeight w:val="46"/>
        </w:trPr>
        <w:tc>
          <w:tcPr>
            <w:tcW w:w="3820" w:type="dxa"/>
            <w:vAlign w:val="bottom"/>
            <w:tcBorders>
              <w:bottom w:val="single" w:sz="8" w:color="auto"/>
            </w:tcBorders>
          </w:tcPr>
          <w:p>
            <w:pPr>
              <w:spacing w:after="0"/>
              <w:rPr>
                <w:sz w:val="3"/>
                <w:szCs w:val="3"/>
                <w:color w:val="auto"/>
              </w:rPr>
            </w:pPr>
          </w:p>
        </w:tc>
        <w:tc>
          <w:tcPr>
            <w:tcW w:w="396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44"/>
        </w:trPr>
        <w:tc>
          <w:tcPr>
            <w:tcW w:w="3820" w:type="dxa"/>
            <w:vAlign w:val="bottom"/>
          </w:tcPr>
          <w:p>
            <w:pPr>
              <w:spacing w:after="0"/>
              <w:rPr>
                <w:sz w:val="20"/>
                <w:szCs w:val="20"/>
                <w:color w:val="auto"/>
              </w:rPr>
            </w:pPr>
            <w:r>
              <w:rPr>
                <w:rFonts w:ascii="Arial Narrow" w:cs="Arial Narrow" w:eastAsia="Arial Narrow" w:hAnsi="Arial Narrow"/>
                <w:sz w:val="20"/>
                <w:szCs w:val="20"/>
                <w:b w:val="1"/>
                <w:bCs w:val="1"/>
                <w:color w:val="43A8B4"/>
              </w:rPr>
              <w:t>Central Texas</w:t>
            </w:r>
          </w:p>
        </w:tc>
        <w:tc>
          <w:tcPr>
            <w:tcW w:w="3960" w:type="dxa"/>
            <w:vAlign w:val="bottom"/>
          </w:tcPr>
          <w:p>
            <w:pPr>
              <w:ind w:left="2060"/>
              <w:spacing w:after="0"/>
              <w:rPr>
                <w:sz w:val="20"/>
                <w:szCs w:val="20"/>
                <w:color w:val="auto"/>
              </w:rPr>
            </w:pPr>
            <w:r>
              <w:rPr>
                <w:rFonts w:ascii="Arial Narrow" w:cs="Arial Narrow" w:eastAsia="Arial Narrow" w:hAnsi="Arial Narrow"/>
                <w:sz w:val="20"/>
                <w:szCs w:val="20"/>
                <w:color w:val="auto"/>
              </w:rPr>
              <w:t>Limestone and Gravel</w:t>
            </w:r>
          </w:p>
        </w:tc>
        <w:tc>
          <w:tcPr>
            <w:tcW w:w="1580" w:type="dxa"/>
            <w:vAlign w:val="bottom"/>
          </w:tcPr>
          <w:p>
            <w:pPr>
              <w:jc w:val="right"/>
              <w:ind w:right="4"/>
              <w:spacing w:after="0"/>
              <w:rPr>
                <w:sz w:val="20"/>
                <w:szCs w:val="20"/>
                <w:color w:val="auto"/>
              </w:rPr>
            </w:pPr>
            <w:r>
              <w:rPr>
                <w:rFonts w:ascii="Arial Narrow" w:cs="Arial Narrow" w:eastAsia="Arial Narrow" w:hAnsi="Arial Narrow"/>
                <w:sz w:val="20"/>
                <w:szCs w:val="20"/>
                <w:color w:val="auto"/>
              </w:rPr>
              <w:t>2,500</w:t>
            </w:r>
          </w:p>
        </w:tc>
        <w:tc>
          <w:tcPr>
            <w:tcW w:w="0" w:type="dxa"/>
            <w:vAlign w:val="bottom"/>
          </w:tcPr>
          <w:p>
            <w:pPr>
              <w:spacing w:after="0"/>
              <w:rPr>
                <w:sz w:val="1"/>
                <w:szCs w:val="1"/>
                <w:color w:val="auto"/>
              </w:rPr>
            </w:pPr>
          </w:p>
        </w:tc>
      </w:tr>
      <w:tr>
        <w:trPr>
          <w:trHeight w:val="65"/>
        </w:trPr>
        <w:tc>
          <w:tcPr>
            <w:tcW w:w="3820" w:type="dxa"/>
            <w:vAlign w:val="bottom"/>
            <w:tcBorders>
              <w:bottom w:val="single" w:sz="8" w:color="A6A6A6"/>
            </w:tcBorders>
          </w:tcPr>
          <w:p>
            <w:pPr>
              <w:spacing w:after="0"/>
              <w:rPr>
                <w:sz w:val="5"/>
                <w:szCs w:val="5"/>
                <w:color w:val="auto"/>
              </w:rPr>
            </w:pPr>
          </w:p>
        </w:tc>
        <w:tc>
          <w:tcPr>
            <w:tcW w:w="3960" w:type="dxa"/>
            <w:vAlign w:val="bottom"/>
            <w:tcBorders>
              <w:bottom w:val="single" w:sz="8" w:color="A6A6A6"/>
            </w:tcBorders>
          </w:tcPr>
          <w:p>
            <w:pPr>
              <w:spacing w:after="0"/>
              <w:rPr>
                <w:sz w:val="5"/>
                <w:szCs w:val="5"/>
                <w:color w:val="auto"/>
              </w:rPr>
            </w:pPr>
          </w:p>
        </w:tc>
        <w:tc>
          <w:tcPr>
            <w:tcW w:w="158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3820" w:type="dxa"/>
            <w:vAlign w:val="bottom"/>
          </w:tcPr>
          <w:p>
            <w:pPr>
              <w:spacing w:after="0"/>
              <w:rPr>
                <w:sz w:val="20"/>
                <w:szCs w:val="20"/>
                <w:color w:val="auto"/>
              </w:rPr>
            </w:pPr>
            <w:r>
              <w:rPr>
                <w:rFonts w:ascii="Arial Narrow" w:cs="Arial Narrow" w:eastAsia="Arial Narrow" w:hAnsi="Arial Narrow"/>
                <w:sz w:val="20"/>
                <w:szCs w:val="20"/>
                <w:b w:val="1"/>
                <w:bCs w:val="1"/>
                <w:color w:val="43A8B4"/>
              </w:rPr>
              <w:t xml:space="preserve">Kansas City Area </w:t>
            </w:r>
            <w:r>
              <w:rPr>
                <w:rFonts w:ascii="Arial Narrow" w:cs="Arial Narrow" w:eastAsia="Arial Narrow" w:hAnsi="Arial Narrow"/>
                <w:sz w:val="13"/>
                <w:szCs w:val="13"/>
                <w:b w:val="1"/>
                <w:bCs w:val="1"/>
                <w:color w:val="43A8B4"/>
              </w:rPr>
              <w:t>(1)</w:t>
            </w:r>
          </w:p>
        </w:tc>
        <w:tc>
          <w:tcPr>
            <w:tcW w:w="3960" w:type="dxa"/>
            <w:vAlign w:val="bottom"/>
          </w:tcPr>
          <w:p>
            <w:pPr>
              <w:ind w:left="2060"/>
              <w:spacing w:after="0"/>
              <w:rPr>
                <w:sz w:val="20"/>
                <w:szCs w:val="20"/>
                <w:color w:val="auto"/>
              </w:rPr>
            </w:pPr>
            <w:r>
              <w:rPr>
                <w:rFonts w:ascii="Arial Narrow" w:cs="Arial Narrow" w:eastAsia="Arial Narrow" w:hAnsi="Arial Narrow"/>
                <w:sz w:val="20"/>
                <w:szCs w:val="20"/>
                <w:color w:val="auto"/>
              </w:rPr>
              <w:t>Limestone</w:t>
            </w:r>
          </w:p>
        </w:tc>
        <w:tc>
          <w:tcPr>
            <w:tcW w:w="1580" w:type="dxa"/>
            <w:vAlign w:val="bottom"/>
          </w:tcPr>
          <w:p>
            <w:pPr>
              <w:jc w:val="right"/>
              <w:ind w:right="4"/>
              <w:spacing w:after="0"/>
              <w:rPr>
                <w:sz w:val="20"/>
                <w:szCs w:val="20"/>
                <w:color w:val="auto"/>
              </w:rPr>
            </w:pPr>
            <w:r>
              <w:rPr>
                <w:rFonts w:ascii="Arial Narrow" w:cs="Arial Narrow" w:eastAsia="Arial Narrow" w:hAnsi="Arial Narrow"/>
                <w:sz w:val="20"/>
                <w:szCs w:val="20"/>
                <w:color w:val="auto"/>
              </w:rPr>
              <w:t>—</w:t>
            </w:r>
          </w:p>
        </w:tc>
        <w:tc>
          <w:tcPr>
            <w:tcW w:w="0" w:type="dxa"/>
            <w:vAlign w:val="bottom"/>
          </w:tcPr>
          <w:p>
            <w:pPr>
              <w:spacing w:after="0"/>
              <w:rPr>
                <w:sz w:val="1"/>
                <w:szCs w:val="1"/>
                <w:color w:val="auto"/>
              </w:rPr>
            </w:pPr>
          </w:p>
        </w:tc>
      </w:tr>
      <w:tr>
        <w:trPr>
          <w:trHeight w:val="65"/>
        </w:trPr>
        <w:tc>
          <w:tcPr>
            <w:tcW w:w="3820" w:type="dxa"/>
            <w:vAlign w:val="bottom"/>
            <w:tcBorders>
              <w:bottom w:val="single" w:sz="8" w:color="A6A6A6"/>
            </w:tcBorders>
          </w:tcPr>
          <w:p>
            <w:pPr>
              <w:spacing w:after="0"/>
              <w:rPr>
                <w:sz w:val="5"/>
                <w:szCs w:val="5"/>
                <w:color w:val="auto"/>
              </w:rPr>
            </w:pPr>
          </w:p>
        </w:tc>
        <w:tc>
          <w:tcPr>
            <w:tcW w:w="3960" w:type="dxa"/>
            <w:vAlign w:val="bottom"/>
            <w:tcBorders>
              <w:bottom w:val="single" w:sz="8" w:color="A6A6A6"/>
            </w:tcBorders>
          </w:tcPr>
          <w:p>
            <w:pPr>
              <w:spacing w:after="0"/>
              <w:rPr>
                <w:sz w:val="5"/>
                <w:szCs w:val="5"/>
                <w:color w:val="auto"/>
              </w:rPr>
            </w:pPr>
          </w:p>
        </w:tc>
        <w:tc>
          <w:tcPr>
            <w:tcW w:w="158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3820" w:type="dxa"/>
            <w:vAlign w:val="bottom"/>
          </w:tcPr>
          <w:p>
            <w:pPr>
              <w:spacing w:after="0"/>
              <w:rPr>
                <w:sz w:val="20"/>
                <w:szCs w:val="20"/>
                <w:color w:val="auto"/>
              </w:rPr>
            </w:pPr>
            <w:r>
              <w:rPr>
                <w:rFonts w:ascii="Arial Narrow" w:cs="Arial Narrow" w:eastAsia="Arial Narrow" w:hAnsi="Arial Narrow"/>
                <w:sz w:val="20"/>
                <w:szCs w:val="20"/>
                <w:b w:val="1"/>
                <w:bCs w:val="1"/>
                <w:color w:val="43A8B4"/>
              </w:rPr>
              <w:t>Northern Colorado</w:t>
            </w:r>
          </w:p>
        </w:tc>
        <w:tc>
          <w:tcPr>
            <w:tcW w:w="3960" w:type="dxa"/>
            <w:vAlign w:val="bottom"/>
          </w:tcPr>
          <w:p>
            <w:pPr>
              <w:ind w:left="2060"/>
              <w:spacing w:after="0"/>
              <w:rPr>
                <w:sz w:val="20"/>
                <w:szCs w:val="20"/>
                <w:color w:val="auto"/>
              </w:rPr>
            </w:pPr>
            <w:r>
              <w:rPr>
                <w:rFonts w:ascii="Arial Narrow" w:cs="Arial Narrow" w:eastAsia="Arial Narrow" w:hAnsi="Arial Narrow"/>
                <w:sz w:val="20"/>
                <w:szCs w:val="20"/>
                <w:color w:val="auto"/>
              </w:rPr>
              <w:t>Sand and Gravel</w:t>
            </w:r>
          </w:p>
        </w:tc>
        <w:tc>
          <w:tcPr>
            <w:tcW w:w="1580" w:type="dxa"/>
            <w:vAlign w:val="bottom"/>
          </w:tcPr>
          <w:p>
            <w:pPr>
              <w:jc w:val="right"/>
              <w:ind w:right="4"/>
              <w:spacing w:after="0"/>
              <w:rPr>
                <w:sz w:val="20"/>
                <w:szCs w:val="20"/>
                <w:color w:val="auto"/>
              </w:rPr>
            </w:pPr>
            <w:r>
              <w:rPr>
                <w:rFonts w:ascii="Arial Narrow" w:cs="Arial Narrow" w:eastAsia="Arial Narrow" w:hAnsi="Arial Narrow"/>
                <w:sz w:val="20"/>
                <w:szCs w:val="20"/>
                <w:color w:val="auto"/>
              </w:rPr>
              <w:t>1,700</w:t>
            </w:r>
          </w:p>
        </w:tc>
        <w:tc>
          <w:tcPr>
            <w:tcW w:w="0" w:type="dxa"/>
            <w:vAlign w:val="bottom"/>
          </w:tcPr>
          <w:p>
            <w:pPr>
              <w:spacing w:after="0"/>
              <w:rPr>
                <w:sz w:val="1"/>
                <w:szCs w:val="1"/>
                <w:color w:val="auto"/>
              </w:rPr>
            </w:pPr>
          </w:p>
        </w:tc>
      </w:tr>
      <w:tr>
        <w:trPr>
          <w:trHeight w:val="65"/>
        </w:trPr>
        <w:tc>
          <w:tcPr>
            <w:tcW w:w="3820" w:type="dxa"/>
            <w:vAlign w:val="bottom"/>
            <w:tcBorders>
              <w:bottom w:val="single" w:sz="8" w:color="A6A6A6"/>
            </w:tcBorders>
          </w:tcPr>
          <w:p>
            <w:pPr>
              <w:spacing w:after="0"/>
              <w:rPr>
                <w:sz w:val="5"/>
                <w:szCs w:val="5"/>
                <w:color w:val="auto"/>
              </w:rPr>
            </w:pPr>
          </w:p>
        </w:tc>
        <w:tc>
          <w:tcPr>
            <w:tcW w:w="3960" w:type="dxa"/>
            <w:vAlign w:val="bottom"/>
            <w:tcBorders>
              <w:bottom w:val="single" w:sz="8" w:color="A6A6A6"/>
            </w:tcBorders>
          </w:tcPr>
          <w:p>
            <w:pPr>
              <w:spacing w:after="0"/>
              <w:rPr>
                <w:sz w:val="5"/>
                <w:szCs w:val="5"/>
                <w:color w:val="auto"/>
              </w:rPr>
            </w:pPr>
          </w:p>
        </w:tc>
        <w:tc>
          <w:tcPr>
            <w:tcW w:w="158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3820" w:type="dxa"/>
            <w:vAlign w:val="bottom"/>
          </w:tcPr>
          <w:p>
            <w:pPr>
              <w:spacing w:after="0"/>
              <w:rPr>
                <w:sz w:val="20"/>
                <w:szCs w:val="20"/>
                <w:color w:val="auto"/>
              </w:rPr>
            </w:pPr>
            <w:r>
              <w:rPr>
                <w:rFonts w:ascii="Arial Narrow" w:cs="Arial Narrow" w:eastAsia="Arial Narrow" w:hAnsi="Arial Narrow"/>
                <w:sz w:val="20"/>
                <w:szCs w:val="20"/>
                <w:b w:val="1"/>
                <w:bCs w:val="1"/>
                <w:color w:val="43A8B4"/>
              </w:rPr>
              <w:t>Northern Kentucky</w:t>
            </w:r>
          </w:p>
        </w:tc>
        <w:tc>
          <w:tcPr>
            <w:tcW w:w="3960" w:type="dxa"/>
            <w:vAlign w:val="bottom"/>
          </w:tcPr>
          <w:p>
            <w:pPr>
              <w:ind w:left="2060"/>
              <w:spacing w:after="0"/>
              <w:rPr>
                <w:sz w:val="20"/>
                <w:szCs w:val="20"/>
                <w:color w:val="auto"/>
              </w:rPr>
            </w:pPr>
            <w:r>
              <w:rPr>
                <w:rFonts w:ascii="Arial Narrow" w:cs="Arial Narrow" w:eastAsia="Arial Narrow" w:hAnsi="Arial Narrow"/>
                <w:sz w:val="20"/>
                <w:szCs w:val="20"/>
                <w:color w:val="auto"/>
              </w:rPr>
              <w:t>Limestone</w:t>
            </w:r>
          </w:p>
        </w:tc>
        <w:tc>
          <w:tcPr>
            <w:tcW w:w="1580" w:type="dxa"/>
            <w:vAlign w:val="bottom"/>
          </w:tcPr>
          <w:p>
            <w:pPr>
              <w:jc w:val="right"/>
              <w:ind w:right="4"/>
              <w:spacing w:after="0"/>
              <w:rPr>
                <w:sz w:val="20"/>
                <w:szCs w:val="20"/>
                <w:color w:val="auto"/>
              </w:rPr>
            </w:pPr>
            <w:r>
              <w:rPr>
                <w:rFonts w:ascii="Arial Narrow" w:cs="Arial Narrow" w:eastAsia="Arial Narrow" w:hAnsi="Arial Narrow"/>
                <w:sz w:val="20"/>
                <w:szCs w:val="20"/>
                <w:color w:val="auto"/>
              </w:rPr>
              <w:t>2,200</w:t>
            </w:r>
          </w:p>
        </w:tc>
        <w:tc>
          <w:tcPr>
            <w:tcW w:w="0" w:type="dxa"/>
            <w:vAlign w:val="bottom"/>
          </w:tcPr>
          <w:p>
            <w:pPr>
              <w:spacing w:after="0"/>
              <w:rPr>
                <w:sz w:val="1"/>
                <w:szCs w:val="1"/>
                <w:color w:val="auto"/>
              </w:rPr>
            </w:pPr>
          </w:p>
        </w:tc>
      </w:tr>
      <w:tr>
        <w:trPr>
          <w:trHeight w:val="65"/>
        </w:trPr>
        <w:tc>
          <w:tcPr>
            <w:tcW w:w="3820" w:type="dxa"/>
            <w:vAlign w:val="bottom"/>
            <w:tcBorders>
              <w:bottom w:val="single" w:sz="8" w:color="A6A6A6"/>
            </w:tcBorders>
          </w:tcPr>
          <w:p>
            <w:pPr>
              <w:spacing w:after="0"/>
              <w:rPr>
                <w:sz w:val="5"/>
                <w:szCs w:val="5"/>
                <w:color w:val="auto"/>
              </w:rPr>
            </w:pPr>
          </w:p>
        </w:tc>
        <w:tc>
          <w:tcPr>
            <w:tcW w:w="3960" w:type="dxa"/>
            <w:vAlign w:val="bottom"/>
            <w:tcBorders>
              <w:bottom w:val="single" w:sz="8" w:color="A6A6A6"/>
            </w:tcBorders>
          </w:tcPr>
          <w:p>
            <w:pPr>
              <w:spacing w:after="0"/>
              <w:rPr>
                <w:sz w:val="5"/>
                <w:szCs w:val="5"/>
                <w:color w:val="auto"/>
              </w:rPr>
            </w:pPr>
          </w:p>
        </w:tc>
        <w:tc>
          <w:tcPr>
            <w:tcW w:w="158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3820" w:type="dxa"/>
            <w:vAlign w:val="bottom"/>
          </w:tcPr>
          <w:p>
            <w:pPr>
              <w:spacing w:after="0"/>
              <w:rPr>
                <w:sz w:val="20"/>
                <w:szCs w:val="20"/>
                <w:color w:val="auto"/>
              </w:rPr>
            </w:pPr>
            <w:r>
              <w:rPr>
                <w:rFonts w:ascii="Arial Narrow" w:cs="Arial Narrow" w:eastAsia="Arial Narrow" w:hAnsi="Arial Narrow"/>
                <w:sz w:val="20"/>
                <w:szCs w:val="20"/>
                <w:b w:val="1"/>
                <w:bCs w:val="1"/>
                <w:color w:val="43A8B4"/>
              </w:rPr>
              <w:t>Northern Nevada</w:t>
            </w:r>
          </w:p>
        </w:tc>
        <w:tc>
          <w:tcPr>
            <w:tcW w:w="3960" w:type="dxa"/>
            <w:vAlign w:val="bottom"/>
          </w:tcPr>
          <w:p>
            <w:pPr>
              <w:ind w:left="2060"/>
              <w:spacing w:after="0"/>
              <w:rPr>
                <w:sz w:val="20"/>
                <w:szCs w:val="20"/>
                <w:color w:val="auto"/>
              </w:rPr>
            </w:pPr>
            <w:r>
              <w:rPr>
                <w:rFonts w:ascii="Arial Narrow" w:cs="Arial Narrow" w:eastAsia="Arial Narrow" w:hAnsi="Arial Narrow"/>
                <w:sz w:val="20"/>
                <w:szCs w:val="20"/>
                <w:color w:val="auto"/>
              </w:rPr>
              <w:t>Sand and Gravel</w:t>
            </w:r>
          </w:p>
        </w:tc>
        <w:tc>
          <w:tcPr>
            <w:tcW w:w="1580" w:type="dxa"/>
            <w:vAlign w:val="bottom"/>
          </w:tcPr>
          <w:p>
            <w:pPr>
              <w:jc w:val="right"/>
              <w:ind w:right="4"/>
              <w:spacing w:after="0"/>
              <w:rPr>
                <w:sz w:val="20"/>
                <w:szCs w:val="20"/>
                <w:color w:val="auto"/>
              </w:rPr>
            </w:pPr>
            <w:r>
              <w:rPr>
                <w:rFonts w:ascii="Arial Narrow" w:cs="Arial Narrow" w:eastAsia="Arial Narrow" w:hAnsi="Arial Narrow"/>
                <w:sz w:val="20"/>
                <w:szCs w:val="20"/>
                <w:color w:val="auto"/>
              </w:rPr>
              <w:t>850</w:t>
            </w:r>
          </w:p>
        </w:tc>
        <w:tc>
          <w:tcPr>
            <w:tcW w:w="0" w:type="dxa"/>
            <w:vAlign w:val="bottom"/>
          </w:tcPr>
          <w:p>
            <w:pPr>
              <w:spacing w:after="0"/>
              <w:rPr>
                <w:sz w:val="1"/>
                <w:szCs w:val="1"/>
                <w:color w:val="auto"/>
              </w:rPr>
            </w:pPr>
          </w:p>
        </w:tc>
      </w:tr>
      <w:tr>
        <w:trPr>
          <w:trHeight w:val="65"/>
        </w:trPr>
        <w:tc>
          <w:tcPr>
            <w:tcW w:w="3820" w:type="dxa"/>
            <w:vAlign w:val="bottom"/>
            <w:tcBorders>
              <w:bottom w:val="single" w:sz="8" w:color="A6A6A6"/>
            </w:tcBorders>
          </w:tcPr>
          <w:p>
            <w:pPr>
              <w:spacing w:after="0"/>
              <w:rPr>
                <w:sz w:val="5"/>
                <w:szCs w:val="5"/>
                <w:color w:val="auto"/>
              </w:rPr>
            </w:pPr>
          </w:p>
        </w:tc>
        <w:tc>
          <w:tcPr>
            <w:tcW w:w="3960" w:type="dxa"/>
            <w:vAlign w:val="bottom"/>
            <w:tcBorders>
              <w:bottom w:val="single" w:sz="8" w:color="A6A6A6"/>
            </w:tcBorders>
          </w:tcPr>
          <w:p>
            <w:pPr>
              <w:spacing w:after="0"/>
              <w:rPr>
                <w:sz w:val="5"/>
                <w:szCs w:val="5"/>
                <w:color w:val="auto"/>
              </w:rPr>
            </w:pPr>
          </w:p>
        </w:tc>
        <w:tc>
          <w:tcPr>
            <w:tcW w:w="158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3820" w:type="dxa"/>
            <w:vAlign w:val="bottom"/>
          </w:tcPr>
          <w:p>
            <w:pPr>
              <w:spacing w:after="0"/>
              <w:rPr>
                <w:sz w:val="20"/>
                <w:szCs w:val="20"/>
                <w:color w:val="auto"/>
              </w:rPr>
            </w:pPr>
            <w:r>
              <w:rPr>
                <w:rFonts w:ascii="Arial Narrow" w:cs="Arial Narrow" w:eastAsia="Arial Narrow" w:hAnsi="Arial Narrow"/>
                <w:sz w:val="20"/>
                <w:szCs w:val="20"/>
                <w:b w:val="1"/>
                <w:bCs w:val="1"/>
                <w:color w:val="43A8B4"/>
              </w:rPr>
              <w:t>Western Pennsylvania</w:t>
            </w:r>
          </w:p>
        </w:tc>
        <w:tc>
          <w:tcPr>
            <w:tcW w:w="3960" w:type="dxa"/>
            <w:vAlign w:val="bottom"/>
          </w:tcPr>
          <w:p>
            <w:pPr>
              <w:ind w:left="2060"/>
              <w:spacing w:after="0"/>
              <w:rPr>
                <w:sz w:val="20"/>
                <w:szCs w:val="20"/>
                <w:color w:val="auto"/>
              </w:rPr>
            </w:pPr>
            <w:r>
              <w:rPr>
                <w:rFonts w:ascii="Arial Narrow" w:cs="Arial Narrow" w:eastAsia="Arial Narrow" w:hAnsi="Arial Narrow"/>
                <w:sz w:val="20"/>
                <w:szCs w:val="20"/>
                <w:color w:val="auto"/>
              </w:rPr>
              <w:t>Limestone</w:t>
            </w:r>
          </w:p>
        </w:tc>
        <w:tc>
          <w:tcPr>
            <w:tcW w:w="1580" w:type="dxa"/>
            <w:vAlign w:val="bottom"/>
          </w:tcPr>
          <w:p>
            <w:pPr>
              <w:jc w:val="right"/>
              <w:ind w:right="4"/>
              <w:spacing w:after="0"/>
              <w:rPr>
                <w:sz w:val="20"/>
                <w:szCs w:val="20"/>
                <w:color w:val="auto"/>
              </w:rPr>
            </w:pPr>
            <w:r>
              <w:rPr>
                <w:rFonts w:ascii="Arial Narrow" w:cs="Arial Narrow" w:eastAsia="Arial Narrow" w:hAnsi="Arial Narrow"/>
                <w:sz w:val="20"/>
                <w:szCs w:val="20"/>
                <w:color w:val="auto"/>
              </w:rPr>
              <w:t>1,800</w:t>
            </w:r>
          </w:p>
        </w:tc>
        <w:tc>
          <w:tcPr>
            <w:tcW w:w="0" w:type="dxa"/>
            <w:vAlign w:val="bottom"/>
          </w:tcPr>
          <w:p>
            <w:pPr>
              <w:spacing w:after="0"/>
              <w:rPr>
                <w:sz w:val="1"/>
                <w:szCs w:val="1"/>
                <w:color w:val="auto"/>
              </w:rPr>
            </w:pPr>
          </w:p>
        </w:tc>
      </w:tr>
      <w:tr>
        <w:trPr>
          <w:trHeight w:val="90"/>
        </w:trPr>
        <w:tc>
          <w:tcPr>
            <w:tcW w:w="3820" w:type="dxa"/>
            <w:vAlign w:val="bottom"/>
            <w:tcBorders>
              <w:bottom w:val="single" w:sz="8" w:color="A6A6A6"/>
            </w:tcBorders>
          </w:tcPr>
          <w:p>
            <w:pPr>
              <w:spacing w:after="0"/>
              <w:rPr>
                <w:sz w:val="7"/>
                <w:szCs w:val="7"/>
                <w:color w:val="auto"/>
              </w:rPr>
            </w:pPr>
          </w:p>
        </w:tc>
        <w:tc>
          <w:tcPr>
            <w:tcW w:w="3960" w:type="dxa"/>
            <w:vAlign w:val="bottom"/>
            <w:tcBorders>
              <w:bottom w:val="single" w:sz="8" w:color="A6A6A6"/>
            </w:tcBorders>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4"/>
        </w:trPr>
        <w:tc>
          <w:tcPr>
            <w:tcW w:w="38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580" w:type="dxa"/>
            <w:vAlign w:val="bottom"/>
          </w:tcPr>
          <w:p>
            <w:pPr>
              <w:jc w:val="right"/>
              <w:ind w:right="4"/>
              <w:spacing w:after="0"/>
              <w:rPr>
                <w:sz w:val="20"/>
                <w:szCs w:val="20"/>
                <w:color w:val="auto"/>
              </w:rPr>
            </w:pPr>
            <w:r>
              <w:rPr>
                <w:rFonts w:ascii="Arial Narrow" w:cs="Arial Narrow" w:eastAsia="Arial Narrow" w:hAnsi="Arial Narrow"/>
                <w:sz w:val="20"/>
                <w:szCs w:val="20"/>
                <w:b w:val="1"/>
                <w:bCs w:val="1"/>
                <w:color w:val="auto"/>
              </w:rPr>
              <w:t>9,050</w:t>
            </w:r>
          </w:p>
        </w:tc>
        <w:tc>
          <w:tcPr>
            <w:tcW w:w="0" w:type="dxa"/>
            <w:vAlign w:val="bottom"/>
          </w:tcPr>
          <w:p>
            <w:pPr>
              <w:spacing w:after="0"/>
              <w:rPr>
                <w:sz w:val="1"/>
                <w:szCs w:val="1"/>
                <w:color w:val="auto"/>
              </w:rPr>
            </w:pPr>
          </w:p>
        </w:tc>
      </w:tr>
      <w:tr>
        <w:trPr>
          <w:trHeight w:val="65"/>
        </w:trPr>
        <w:tc>
          <w:tcPr>
            <w:tcW w:w="3820" w:type="dxa"/>
            <w:vAlign w:val="bottom"/>
          </w:tcPr>
          <w:p>
            <w:pPr>
              <w:spacing w:after="0"/>
              <w:rPr>
                <w:sz w:val="5"/>
                <w:szCs w:val="5"/>
                <w:color w:val="auto"/>
              </w:rPr>
            </w:pPr>
          </w:p>
        </w:tc>
        <w:tc>
          <w:tcPr>
            <w:tcW w:w="3960" w:type="dxa"/>
            <w:vAlign w:val="bottom"/>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7" w:lineRule="exact"/>
        <w:rPr>
          <w:sz w:val="20"/>
          <w:szCs w:val="20"/>
          <w:color w:val="auto"/>
        </w:rPr>
      </w:pPr>
    </w:p>
    <w:p>
      <w:pPr>
        <w:ind w:left="220" w:hanging="220"/>
        <w:spacing w:after="0"/>
        <w:tabs>
          <w:tab w:leader="none" w:pos="220" w:val="left"/>
        </w:tabs>
        <w:numPr>
          <w:ilvl w:val="0"/>
          <w:numId w:val="8"/>
        </w:numPr>
        <w:rPr>
          <w:rFonts w:ascii="Arial" w:cs="Arial" w:eastAsia="Arial" w:hAnsi="Arial"/>
          <w:sz w:val="26"/>
          <w:szCs w:val="26"/>
          <w:color w:val="auto"/>
          <w:vertAlign w:val="superscript"/>
        </w:rPr>
      </w:pPr>
      <w:r>
        <w:rPr>
          <w:rFonts w:ascii="Arial" w:cs="Arial" w:eastAsia="Arial" w:hAnsi="Arial"/>
          <w:sz w:val="16"/>
          <w:szCs w:val="16"/>
          <w:color w:val="auto"/>
        </w:rPr>
        <w:t>The Company is currently not operating its aggregates plant in the Kansas City Area.</w:t>
      </w:r>
    </w:p>
    <w:p>
      <w:pPr>
        <w:spacing w:after="0" w:line="132" w:lineRule="exact"/>
        <w:rPr>
          <w:sz w:val="20"/>
          <w:szCs w:val="20"/>
          <w:color w:val="auto"/>
        </w:rPr>
      </w:pPr>
    </w:p>
    <w:p>
      <w:pPr>
        <w:ind w:right="40"/>
        <w:spacing w:after="0" w:line="290" w:lineRule="auto"/>
        <w:rPr>
          <w:sz w:val="20"/>
          <w:szCs w:val="20"/>
          <w:color w:val="auto"/>
        </w:rPr>
      </w:pPr>
      <w:r>
        <w:rPr>
          <w:rFonts w:ascii="Arial" w:cs="Arial" w:eastAsia="Arial" w:hAnsi="Arial"/>
          <w:sz w:val="20"/>
          <w:szCs w:val="20"/>
          <w:color w:val="auto"/>
        </w:rPr>
        <w:t>Our total net Aggregates sales (excluding intercompany tons sold) were 6.4 million tons in fiscal 2026, and 3.8 million tons in fiscal 2025. Total Aggregates production related to third party sales was 6.4 million tons in fiscal 2026, and 4.2 million tons in fiscal 2025. A portion of our total Aggregates production is used internally by our readymix Concrete operations in Texas, northern Colorado, and northern Nevada and by our Cement operations in northern Kentucky. In fiscal 2025, we made two aggregates related acquisitions, which contributed to the increases in fiscal 2026.</w:t>
      </w:r>
    </w:p>
    <w:p>
      <w:pPr>
        <w:sectPr>
          <w:pgSz w:w="11880" w:h="15480" w:orient="portrait"/>
          <w:cols w:equalWidth="0" w:num="1">
            <w:col w:w="9360"/>
          </w:cols>
          <w:pgMar w:left="1260" w:top="1267"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880" w:h="15480" w:orient="portrait"/>
          <w:cols w:equalWidth="0" w:num="1">
            <w:col w:w="9360"/>
          </w:cols>
          <w:pgMar w:left="1260" w:top="1267" w:right="1260" w:bottom="0" w:gutter="0" w:footer="0" w:header="0"/>
          <w:type w:val="continuous"/>
        </w:sectPr>
      </w:pPr>
    </w:p>
    <w:bookmarkStart w:id="22" w:name="page23"/>
    <w:bookmarkEnd w:id="22"/>
    <w:p>
      <w:pPr>
        <w:spacing w:after="0"/>
        <w:rPr>
          <w:sz w:val="20"/>
          <w:szCs w:val="20"/>
          <w:color w:val="auto"/>
        </w:rPr>
      </w:pPr>
      <w:r>
        <w:rPr>
          <w:rFonts w:ascii="Arial" w:cs="Arial" w:eastAsia="Arial" w:hAnsi="Arial"/>
          <w:sz w:val="20"/>
          <w:szCs w:val="20"/>
          <w:b w:val="1"/>
          <w:bCs w:val="1"/>
          <w:color w:val="43A8B4"/>
        </w:rPr>
        <w:t>Concrete Plants</w:t>
      </w:r>
    </w:p>
    <w:p>
      <w:pPr>
        <w:spacing w:after="0" w:line="163" w:lineRule="exact"/>
        <w:rPr>
          <w:sz w:val="20"/>
          <w:szCs w:val="20"/>
          <w:color w:val="auto"/>
        </w:rPr>
      </w:pPr>
    </w:p>
    <w:p>
      <w:pPr>
        <w:jc w:val="both"/>
        <w:ind w:right="340"/>
        <w:spacing w:after="0" w:line="303" w:lineRule="auto"/>
        <w:rPr>
          <w:sz w:val="20"/>
          <w:szCs w:val="20"/>
          <w:color w:val="auto"/>
        </w:rPr>
      </w:pPr>
      <w:r>
        <w:rPr>
          <w:rFonts w:ascii="Arial" w:cs="Arial" w:eastAsia="Arial" w:hAnsi="Arial"/>
          <w:sz w:val="20"/>
          <w:szCs w:val="20"/>
          <w:color w:val="auto"/>
        </w:rPr>
        <w:t>We produce and distribute readymix concrete from company-owned sites in central Texas, the greater Kansas City area, northern Colorado, and northern Nevada. The following table sets forth information regarding these operations as of March 31, 2026.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7400" w:type="dxa"/>
            <w:vAlign w:val="bottom"/>
          </w:tcPr>
          <w:p>
            <w:pPr>
              <w:spacing w:after="0"/>
              <w:rPr>
                <w:sz w:val="20"/>
                <w:szCs w:val="20"/>
                <w:color w:val="auto"/>
              </w:rPr>
            </w:pPr>
            <w:r>
              <w:rPr>
                <w:rFonts w:ascii="Arial Narrow" w:cs="Arial Narrow" w:eastAsia="Arial Narrow" w:hAnsi="Arial Narrow"/>
                <w:sz w:val="18"/>
                <w:szCs w:val="18"/>
                <w:b w:val="1"/>
                <w:bCs w:val="1"/>
                <w:color w:val="auto"/>
              </w:rPr>
              <w:t>Location</w:t>
            </w:r>
          </w:p>
        </w:tc>
        <w:tc>
          <w:tcPr>
            <w:tcW w:w="1960" w:type="dxa"/>
            <w:vAlign w:val="bottom"/>
          </w:tcPr>
          <w:p>
            <w:pPr>
              <w:jc w:val="right"/>
              <w:ind w:right="2"/>
              <w:spacing w:after="0"/>
              <w:rPr>
                <w:sz w:val="20"/>
                <w:szCs w:val="20"/>
                <w:color w:val="auto"/>
              </w:rPr>
            </w:pPr>
            <w:r>
              <w:rPr>
                <w:rFonts w:ascii="Arial Narrow" w:cs="Arial Narrow" w:eastAsia="Arial Narrow" w:hAnsi="Arial Narrow"/>
                <w:sz w:val="18"/>
                <w:szCs w:val="18"/>
                <w:b w:val="1"/>
                <w:bCs w:val="1"/>
                <w:color w:val="auto"/>
              </w:rPr>
              <w:t>Number of Plants</w:t>
            </w:r>
          </w:p>
        </w:tc>
      </w:tr>
      <w:tr>
        <w:trPr>
          <w:trHeight w:val="46"/>
        </w:trPr>
        <w:tc>
          <w:tcPr>
            <w:tcW w:w="740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r>
      <w:tr>
        <w:trPr>
          <w:trHeight w:val="344"/>
        </w:trPr>
        <w:tc>
          <w:tcPr>
            <w:tcW w:w="7400" w:type="dxa"/>
            <w:vAlign w:val="bottom"/>
          </w:tcPr>
          <w:p>
            <w:pPr>
              <w:spacing w:after="0"/>
              <w:rPr>
                <w:sz w:val="20"/>
                <w:szCs w:val="20"/>
                <w:color w:val="auto"/>
              </w:rPr>
            </w:pPr>
            <w:r>
              <w:rPr>
                <w:rFonts w:ascii="Arial Narrow" w:cs="Arial Narrow" w:eastAsia="Arial Narrow" w:hAnsi="Arial Narrow"/>
                <w:sz w:val="20"/>
                <w:szCs w:val="20"/>
                <w:b w:val="1"/>
                <w:bCs w:val="1"/>
                <w:color w:val="43A8B4"/>
              </w:rPr>
              <w:t>Central Texas</w:t>
            </w:r>
          </w:p>
        </w:tc>
        <w:tc>
          <w:tcPr>
            <w:tcW w:w="1960" w:type="dxa"/>
            <w:vAlign w:val="bottom"/>
          </w:tcPr>
          <w:p>
            <w:pPr>
              <w:jc w:val="right"/>
              <w:ind w:right="2"/>
              <w:spacing w:after="0"/>
              <w:rPr>
                <w:sz w:val="20"/>
                <w:szCs w:val="20"/>
                <w:color w:val="auto"/>
              </w:rPr>
            </w:pPr>
            <w:r>
              <w:rPr>
                <w:rFonts w:ascii="Arial Narrow" w:cs="Arial Narrow" w:eastAsia="Arial Narrow" w:hAnsi="Arial Narrow"/>
                <w:sz w:val="20"/>
                <w:szCs w:val="20"/>
                <w:color w:val="auto"/>
              </w:rPr>
              <w:t>11</w:t>
            </w:r>
          </w:p>
        </w:tc>
      </w:tr>
      <w:tr>
        <w:trPr>
          <w:trHeight w:val="65"/>
        </w:trPr>
        <w:tc>
          <w:tcPr>
            <w:tcW w:w="7400" w:type="dxa"/>
            <w:vAlign w:val="bottom"/>
            <w:tcBorders>
              <w:bottom w:val="single" w:sz="8" w:color="A6A6A6"/>
            </w:tcBorders>
          </w:tcPr>
          <w:p>
            <w:pPr>
              <w:spacing w:after="0"/>
              <w:rPr>
                <w:sz w:val="5"/>
                <w:szCs w:val="5"/>
                <w:color w:val="auto"/>
              </w:rPr>
            </w:pPr>
          </w:p>
        </w:tc>
        <w:tc>
          <w:tcPr>
            <w:tcW w:w="1960" w:type="dxa"/>
            <w:vAlign w:val="bottom"/>
            <w:tcBorders>
              <w:bottom w:val="single" w:sz="8" w:color="A6A6A6"/>
            </w:tcBorders>
          </w:tcPr>
          <w:p>
            <w:pPr>
              <w:spacing w:after="0"/>
              <w:rPr>
                <w:sz w:val="5"/>
                <w:szCs w:val="5"/>
                <w:color w:val="auto"/>
              </w:rPr>
            </w:pPr>
          </w:p>
        </w:tc>
      </w:tr>
      <w:tr>
        <w:trPr>
          <w:trHeight w:val="339"/>
        </w:trPr>
        <w:tc>
          <w:tcPr>
            <w:tcW w:w="7400" w:type="dxa"/>
            <w:vAlign w:val="bottom"/>
          </w:tcPr>
          <w:p>
            <w:pPr>
              <w:spacing w:after="0"/>
              <w:rPr>
                <w:sz w:val="20"/>
                <w:szCs w:val="20"/>
                <w:color w:val="auto"/>
              </w:rPr>
            </w:pPr>
            <w:r>
              <w:rPr>
                <w:rFonts w:ascii="Arial Narrow" w:cs="Arial Narrow" w:eastAsia="Arial Narrow" w:hAnsi="Arial Narrow"/>
                <w:sz w:val="20"/>
                <w:szCs w:val="20"/>
                <w:b w:val="1"/>
                <w:bCs w:val="1"/>
                <w:color w:val="43A8B4"/>
              </w:rPr>
              <w:t>Kansas City Area</w:t>
            </w:r>
          </w:p>
        </w:tc>
        <w:tc>
          <w:tcPr>
            <w:tcW w:w="1960" w:type="dxa"/>
            <w:vAlign w:val="bottom"/>
          </w:tcPr>
          <w:p>
            <w:pPr>
              <w:jc w:val="right"/>
              <w:ind w:right="2"/>
              <w:spacing w:after="0"/>
              <w:rPr>
                <w:sz w:val="20"/>
                <w:szCs w:val="20"/>
                <w:color w:val="auto"/>
              </w:rPr>
            </w:pPr>
            <w:r>
              <w:rPr>
                <w:rFonts w:ascii="Arial Narrow" w:cs="Arial Narrow" w:eastAsia="Arial Narrow" w:hAnsi="Arial Narrow"/>
                <w:sz w:val="20"/>
                <w:szCs w:val="20"/>
                <w:color w:val="auto"/>
              </w:rPr>
              <w:t>9</w:t>
            </w:r>
          </w:p>
        </w:tc>
      </w:tr>
      <w:tr>
        <w:trPr>
          <w:trHeight w:val="65"/>
        </w:trPr>
        <w:tc>
          <w:tcPr>
            <w:tcW w:w="7400" w:type="dxa"/>
            <w:vAlign w:val="bottom"/>
            <w:tcBorders>
              <w:bottom w:val="single" w:sz="8" w:color="A6A6A6"/>
            </w:tcBorders>
          </w:tcPr>
          <w:p>
            <w:pPr>
              <w:spacing w:after="0"/>
              <w:rPr>
                <w:sz w:val="5"/>
                <w:szCs w:val="5"/>
                <w:color w:val="auto"/>
              </w:rPr>
            </w:pPr>
          </w:p>
        </w:tc>
        <w:tc>
          <w:tcPr>
            <w:tcW w:w="1960" w:type="dxa"/>
            <w:vAlign w:val="bottom"/>
            <w:tcBorders>
              <w:bottom w:val="single" w:sz="8" w:color="A6A6A6"/>
            </w:tcBorders>
          </w:tcPr>
          <w:p>
            <w:pPr>
              <w:spacing w:after="0"/>
              <w:rPr>
                <w:sz w:val="5"/>
                <w:szCs w:val="5"/>
                <w:color w:val="auto"/>
              </w:rPr>
            </w:pPr>
          </w:p>
        </w:tc>
      </w:tr>
      <w:tr>
        <w:trPr>
          <w:trHeight w:val="339"/>
        </w:trPr>
        <w:tc>
          <w:tcPr>
            <w:tcW w:w="7400" w:type="dxa"/>
            <w:vAlign w:val="bottom"/>
          </w:tcPr>
          <w:p>
            <w:pPr>
              <w:spacing w:after="0"/>
              <w:rPr>
                <w:sz w:val="20"/>
                <w:szCs w:val="20"/>
                <w:color w:val="auto"/>
              </w:rPr>
            </w:pPr>
            <w:r>
              <w:rPr>
                <w:rFonts w:ascii="Arial Narrow" w:cs="Arial Narrow" w:eastAsia="Arial Narrow" w:hAnsi="Arial Narrow"/>
                <w:sz w:val="20"/>
                <w:szCs w:val="20"/>
                <w:b w:val="1"/>
                <w:bCs w:val="1"/>
                <w:color w:val="43A8B4"/>
              </w:rPr>
              <w:t>Northern Colorado</w:t>
            </w:r>
          </w:p>
        </w:tc>
        <w:tc>
          <w:tcPr>
            <w:tcW w:w="1960" w:type="dxa"/>
            <w:vAlign w:val="bottom"/>
          </w:tcPr>
          <w:p>
            <w:pPr>
              <w:jc w:val="right"/>
              <w:ind w:right="2"/>
              <w:spacing w:after="0"/>
              <w:rPr>
                <w:sz w:val="20"/>
                <w:szCs w:val="20"/>
                <w:color w:val="auto"/>
              </w:rPr>
            </w:pPr>
            <w:r>
              <w:rPr>
                <w:rFonts w:ascii="Arial Narrow" w:cs="Arial Narrow" w:eastAsia="Arial Narrow" w:hAnsi="Arial Narrow"/>
                <w:sz w:val="20"/>
                <w:szCs w:val="20"/>
                <w:color w:val="auto"/>
              </w:rPr>
              <w:t>4</w:t>
            </w:r>
          </w:p>
        </w:tc>
      </w:tr>
      <w:tr>
        <w:trPr>
          <w:trHeight w:val="65"/>
        </w:trPr>
        <w:tc>
          <w:tcPr>
            <w:tcW w:w="7400" w:type="dxa"/>
            <w:vAlign w:val="bottom"/>
            <w:tcBorders>
              <w:bottom w:val="single" w:sz="8" w:color="A6A6A6"/>
            </w:tcBorders>
          </w:tcPr>
          <w:p>
            <w:pPr>
              <w:spacing w:after="0"/>
              <w:rPr>
                <w:sz w:val="5"/>
                <w:szCs w:val="5"/>
                <w:color w:val="auto"/>
              </w:rPr>
            </w:pPr>
          </w:p>
        </w:tc>
        <w:tc>
          <w:tcPr>
            <w:tcW w:w="1960" w:type="dxa"/>
            <w:vAlign w:val="bottom"/>
            <w:tcBorders>
              <w:bottom w:val="single" w:sz="8" w:color="A6A6A6"/>
            </w:tcBorders>
          </w:tcPr>
          <w:p>
            <w:pPr>
              <w:spacing w:after="0"/>
              <w:rPr>
                <w:sz w:val="5"/>
                <w:szCs w:val="5"/>
                <w:color w:val="auto"/>
              </w:rPr>
            </w:pPr>
          </w:p>
        </w:tc>
      </w:tr>
      <w:tr>
        <w:trPr>
          <w:trHeight w:val="339"/>
        </w:trPr>
        <w:tc>
          <w:tcPr>
            <w:tcW w:w="7400" w:type="dxa"/>
            <w:vAlign w:val="bottom"/>
          </w:tcPr>
          <w:p>
            <w:pPr>
              <w:spacing w:after="0"/>
              <w:rPr>
                <w:sz w:val="20"/>
                <w:szCs w:val="20"/>
                <w:color w:val="auto"/>
              </w:rPr>
            </w:pPr>
            <w:r>
              <w:rPr>
                <w:rFonts w:ascii="Arial Narrow" w:cs="Arial Narrow" w:eastAsia="Arial Narrow" w:hAnsi="Arial Narrow"/>
                <w:sz w:val="20"/>
                <w:szCs w:val="20"/>
                <w:b w:val="1"/>
                <w:bCs w:val="1"/>
                <w:color w:val="43A8B4"/>
              </w:rPr>
              <w:t>Northern Nevada</w:t>
            </w:r>
          </w:p>
        </w:tc>
        <w:tc>
          <w:tcPr>
            <w:tcW w:w="1960" w:type="dxa"/>
            <w:vAlign w:val="bottom"/>
          </w:tcPr>
          <w:p>
            <w:pPr>
              <w:jc w:val="right"/>
              <w:ind w:right="2"/>
              <w:spacing w:after="0"/>
              <w:rPr>
                <w:sz w:val="20"/>
                <w:szCs w:val="20"/>
                <w:color w:val="auto"/>
              </w:rPr>
            </w:pPr>
            <w:r>
              <w:rPr>
                <w:rFonts w:ascii="Arial Narrow" w:cs="Arial Narrow" w:eastAsia="Arial Narrow" w:hAnsi="Arial Narrow"/>
                <w:sz w:val="20"/>
                <w:szCs w:val="20"/>
                <w:color w:val="auto"/>
              </w:rPr>
              <w:t>6</w:t>
            </w:r>
          </w:p>
        </w:tc>
      </w:tr>
      <w:tr>
        <w:trPr>
          <w:trHeight w:val="90"/>
        </w:trPr>
        <w:tc>
          <w:tcPr>
            <w:tcW w:w="7400" w:type="dxa"/>
            <w:vAlign w:val="bottom"/>
            <w:tcBorders>
              <w:bottom w:val="single" w:sz="8" w:color="A6A6A6"/>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r>
      <w:tr>
        <w:trPr>
          <w:trHeight w:val="344"/>
        </w:trPr>
        <w:tc>
          <w:tcPr>
            <w:tcW w:w="7400" w:type="dxa"/>
            <w:vAlign w:val="bottom"/>
          </w:tcPr>
          <w:p>
            <w:pPr>
              <w:ind w:left="200"/>
              <w:spacing w:after="0"/>
              <w:rPr>
                <w:sz w:val="20"/>
                <w:szCs w:val="20"/>
                <w:color w:val="auto"/>
              </w:rPr>
            </w:pPr>
            <w:r>
              <w:rPr>
                <w:rFonts w:ascii="Arial Narrow" w:cs="Arial Narrow" w:eastAsia="Arial Narrow" w:hAnsi="Arial Narrow"/>
                <w:sz w:val="20"/>
                <w:szCs w:val="20"/>
                <w:b w:val="1"/>
                <w:bCs w:val="1"/>
                <w:color w:val="auto"/>
              </w:rPr>
              <w:t>Total</w:t>
            </w:r>
          </w:p>
        </w:tc>
        <w:tc>
          <w:tcPr>
            <w:tcW w:w="1960" w:type="dxa"/>
            <w:vAlign w:val="bottom"/>
          </w:tcPr>
          <w:p>
            <w:pPr>
              <w:jc w:val="right"/>
              <w:ind w:right="2"/>
              <w:spacing w:after="0"/>
              <w:rPr>
                <w:sz w:val="20"/>
                <w:szCs w:val="20"/>
                <w:color w:val="auto"/>
              </w:rPr>
            </w:pPr>
            <w:r>
              <w:rPr>
                <w:rFonts w:ascii="Arial Narrow" w:cs="Arial Narrow" w:eastAsia="Arial Narrow" w:hAnsi="Arial Narrow"/>
                <w:sz w:val="20"/>
                <w:szCs w:val="20"/>
                <w:b w:val="1"/>
                <w:bCs w:val="1"/>
                <w:color w:val="auto"/>
              </w:rPr>
              <w:t>30</w:t>
            </w:r>
          </w:p>
        </w:tc>
      </w:tr>
      <w:tr>
        <w:trPr>
          <w:trHeight w:val="65"/>
        </w:trPr>
        <w:tc>
          <w:tcPr>
            <w:tcW w:w="7400" w:type="dxa"/>
            <w:vAlign w:val="bottom"/>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r>
      <w:tr>
        <w:trPr>
          <w:trHeight w:val="20"/>
        </w:trPr>
        <w:tc>
          <w:tcPr>
            <w:tcW w:w="74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Arial" w:cs="Arial" w:eastAsia="Arial" w:hAnsi="Arial"/>
          <w:sz w:val="20"/>
          <w:szCs w:val="20"/>
          <w:b w:val="1"/>
          <w:bCs w:val="1"/>
          <w:color w:val="43A8B4"/>
        </w:rPr>
        <w:t>Demand, Sales, and Distribution</w:t>
      </w:r>
    </w:p>
    <w:p>
      <w:pPr>
        <w:spacing w:after="0" w:line="163" w:lineRule="exact"/>
        <w:rPr>
          <w:sz w:val="20"/>
          <w:szCs w:val="20"/>
          <w:color w:val="auto"/>
        </w:rPr>
      </w:pPr>
    </w:p>
    <w:p>
      <w:pPr>
        <w:ind w:right="80"/>
        <w:spacing w:after="0" w:line="288" w:lineRule="auto"/>
        <w:rPr>
          <w:sz w:val="20"/>
          <w:szCs w:val="20"/>
          <w:color w:val="auto"/>
        </w:rPr>
      </w:pPr>
      <w:r>
        <w:rPr>
          <w:rFonts w:ascii="Arial" w:cs="Arial" w:eastAsia="Arial" w:hAnsi="Arial"/>
          <w:sz w:val="20"/>
          <w:szCs w:val="20"/>
          <w:color w:val="auto"/>
        </w:rPr>
        <w:t>Demand for readymix concrete and aggregates largely depends on local levels of construction activity. Construction activity is subject to weather conditions, the availability of financing at reasonable rates, and overall fluctuations in local economies, and therefore tends to be cyclical. We sell readymix concrete to numerous contractors and other customers in each plant’s marketing area. Our batch plants are strategically located to serve each marketing area. Concrete is delivered from the batch plants primarily by company-owned trucks. We sell aggregates to building contractors and other customers engaged in a wide variety of construction activities. Aggregates are distributed from our plants by common carriers and customer pickup. No single customer accounted for more than 10% of fiscal 2026 segment revenue.</w:t>
      </w:r>
    </w:p>
    <w:p>
      <w:pPr>
        <w:spacing w:after="0" w:line="72" w:lineRule="exact"/>
        <w:rPr>
          <w:sz w:val="20"/>
          <w:szCs w:val="20"/>
          <w:color w:val="auto"/>
        </w:rPr>
      </w:pPr>
    </w:p>
    <w:p>
      <w:pPr>
        <w:ind w:right="60"/>
        <w:spacing w:after="0" w:line="290" w:lineRule="auto"/>
        <w:rPr>
          <w:sz w:val="20"/>
          <w:szCs w:val="20"/>
          <w:color w:val="auto"/>
        </w:rPr>
      </w:pPr>
      <w:r>
        <w:rPr>
          <w:rFonts w:ascii="Arial" w:cs="Arial" w:eastAsia="Arial" w:hAnsi="Arial"/>
          <w:sz w:val="20"/>
          <w:szCs w:val="20"/>
          <w:color w:val="auto"/>
        </w:rPr>
        <w:t>The concrete and aggregates industry is highly fragmented, with numerous participants operating in each local area. Because the cost of transporting concrete and aggregates is very high relative to product values, producers of concrete and aggregates typically can profitably sell their products only in areas within 50 miles of their production facilities. There are high barriers to entry for new aggregates production facilities located near major metropolitan markets, including environmental permitting requirements and zoning of land to permit mining and extraction of aggregates.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43A8B4"/>
        </w:rPr>
        <w:t>Raw Materials</w:t>
      </w:r>
    </w:p>
    <w:p>
      <w:pPr>
        <w:spacing w:after="0" w:line="163" w:lineRule="exact"/>
        <w:rPr>
          <w:sz w:val="20"/>
          <w:szCs w:val="20"/>
          <w:color w:val="auto"/>
        </w:rPr>
      </w:pPr>
    </w:p>
    <w:p>
      <w:pPr>
        <w:ind w:right="460"/>
        <w:spacing w:after="0" w:line="325" w:lineRule="auto"/>
        <w:rPr>
          <w:sz w:val="20"/>
          <w:szCs w:val="20"/>
          <w:color w:val="auto"/>
        </w:rPr>
      </w:pPr>
      <w:r>
        <w:rPr>
          <w:rFonts w:ascii="Arial" w:cs="Arial" w:eastAsia="Arial" w:hAnsi="Arial"/>
          <w:sz w:val="20"/>
          <w:szCs w:val="20"/>
          <w:color w:val="auto"/>
        </w:rPr>
        <w:t>We obtain cement and aggregates for our Concrete businesses primarily from related companies, as outlined below.</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5960" w:type="dxa"/>
            <w:vAlign w:val="bottom"/>
          </w:tcPr>
          <w:p>
            <w:pPr>
              <w:spacing w:after="0"/>
              <w:rPr>
                <w:sz w:val="22"/>
                <w:szCs w:val="22"/>
                <w:color w:val="auto"/>
              </w:rPr>
            </w:pPr>
          </w:p>
        </w:tc>
        <w:tc>
          <w:tcPr>
            <w:tcW w:w="3400" w:type="dxa"/>
            <w:vAlign w:val="bottom"/>
            <w:gridSpan w:val="2"/>
          </w:tcPr>
          <w:p>
            <w:pPr>
              <w:jc w:val="right"/>
              <w:ind w:right="482"/>
              <w:spacing w:after="0"/>
              <w:rPr>
                <w:sz w:val="20"/>
                <w:szCs w:val="20"/>
                <w:color w:val="auto"/>
              </w:rPr>
            </w:pPr>
            <w:r>
              <w:rPr>
                <w:rFonts w:ascii="Arial Narrow" w:cs="Arial Narrow" w:eastAsia="Arial Narrow" w:hAnsi="Arial Narrow"/>
                <w:sz w:val="18"/>
                <w:szCs w:val="18"/>
                <w:b w:val="1"/>
                <w:bCs w:val="1"/>
                <w:color w:val="auto"/>
              </w:rPr>
              <w:t>Percentage of Internally Supplied</w:t>
            </w:r>
          </w:p>
        </w:tc>
      </w:tr>
      <w:tr>
        <w:trPr>
          <w:trHeight w:val="21"/>
        </w:trPr>
        <w:tc>
          <w:tcPr>
            <w:tcW w:w="596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69"/>
        </w:trPr>
        <w:tc>
          <w:tcPr>
            <w:tcW w:w="5960" w:type="dxa"/>
            <w:vAlign w:val="bottom"/>
          </w:tcPr>
          <w:p>
            <w:pPr>
              <w:spacing w:after="0"/>
              <w:rPr>
                <w:sz w:val="20"/>
                <w:szCs w:val="20"/>
                <w:color w:val="auto"/>
              </w:rPr>
            </w:pPr>
            <w:r>
              <w:rPr>
                <w:rFonts w:ascii="Arial Narrow" w:cs="Arial Narrow" w:eastAsia="Arial Narrow" w:hAnsi="Arial Narrow"/>
                <w:sz w:val="18"/>
                <w:szCs w:val="18"/>
                <w:b w:val="1"/>
                <w:bCs w:val="1"/>
                <w:color w:val="auto"/>
              </w:rPr>
              <w:t>Location</w:t>
            </w:r>
          </w:p>
        </w:tc>
        <w:tc>
          <w:tcPr>
            <w:tcW w:w="2000" w:type="dxa"/>
            <w:vAlign w:val="bottom"/>
          </w:tcPr>
          <w:p>
            <w:pPr>
              <w:jc w:val="right"/>
              <w:ind w:right="383"/>
              <w:spacing w:after="0"/>
              <w:rPr>
                <w:sz w:val="20"/>
                <w:szCs w:val="20"/>
                <w:color w:val="auto"/>
              </w:rPr>
            </w:pPr>
            <w:r>
              <w:rPr>
                <w:rFonts w:ascii="Arial Narrow" w:cs="Arial Narrow" w:eastAsia="Arial Narrow" w:hAnsi="Arial Narrow"/>
                <w:sz w:val="18"/>
                <w:szCs w:val="18"/>
                <w:b w:val="1"/>
                <w:bCs w:val="1"/>
                <w:color w:val="auto"/>
              </w:rPr>
              <w:t>Cement</w:t>
            </w:r>
          </w:p>
        </w:tc>
        <w:tc>
          <w:tcPr>
            <w:tcW w:w="1400" w:type="dxa"/>
            <w:vAlign w:val="bottom"/>
          </w:tcPr>
          <w:p>
            <w:pPr>
              <w:jc w:val="right"/>
              <w:ind w:right="2"/>
              <w:spacing w:after="0"/>
              <w:rPr>
                <w:sz w:val="20"/>
                <w:szCs w:val="20"/>
                <w:color w:val="auto"/>
              </w:rPr>
            </w:pPr>
            <w:r>
              <w:rPr>
                <w:rFonts w:ascii="Arial Narrow" w:cs="Arial Narrow" w:eastAsia="Arial Narrow" w:hAnsi="Arial Narrow"/>
                <w:sz w:val="18"/>
                <w:szCs w:val="18"/>
                <w:b w:val="1"/>
                <w:bCs w:val="1"/>
                <w:color w:val="auto"/>
              </w:rPr>
              <w:t>Aggregates</w:t>
            </w:r>
          </w:p>
        </w:tc>
      </w:tr>
      <w:tr>
        <w:trPr>
          <w:trHeight w:val="46"/>
        </w:trPr>
        <w:tc>
          <w:tcPr>
            <w:tcW w:w="596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344"/>
        </w:trPr>
        <w:tc>
          <w:tcPr>
            <w:tcW w:w="5960" w:type="dxa"/>
            <w:vAlign w:val="bottom"/>
          </w:tcPr>
          <w:p>
            <w:pPr>
              <w:spacing w:after="0"/>
              <w:rPr>
                <w:sz w:val="20"/>
                <w:szCs w:val="20"/>
                <w:color w:val="auto"/>
              </w:rPr>
            </w:pPr>
            <w:r>
              <w:rPr>
                <w:rFonts w:ascii="Arial Narrow" w:cs="Arial Narrow" w:eastAsia="Arial Narrow" w:hAnsi="Arial Narrow"/>
                <w:sz w:val="20"/>
                <w:szCs w:val="20"/>
                <w:b w:val="1"/>
                <w:bCs w:val="1"/>
                <w:color w:val="43A8B4"/>
              </w:rPr>
              <w:t>Central Texas</w:t>
            </w:r>
          </w:p>
        </w:tc>
        <w:tc>
          <w:tcPr>
            <w:tcW w:w="2000" w:type="dxa"/>
            <w:vAlign w:val="bottom"/>
          </w:tcPr>
          <w:p>
            <w:pPr>
              <w:jc w:val="right"/>
              <w:ind w:right="383"/>
              <w:spacing w:after="0"/>
              <w:rPr>
                <w:sz w:val="20"/>
                <w:szCs w:val="20"/>
                <w:color w:val="auto"/>
              </w:rPr>
            </w:pPr>
            <w:r>
              <w:rPr>
                <w:rFonts w:ascii="Arial Narrow" w:cs="Arial Narrow" w:eastAsia="Arial Narrow" w:hAnsi="Arial Narrow"/>
                <w:sz w:val="20"/>
                <w:szCs w:val="20"/>
                <w:color w:val="auto"/>
              </w:rPr>
              <w:t>50%</w:t>
            </w:r>
          </w:p>
        </w:tc>
        <w:tc>
          <w:tcPr>
            <w:tcW w:w="1400" w:type="dxa"/>
            <w:vAlign w:val="bottom"/>
          </w:tcPr>
          <w:p>
            <w:pPr>
              <w:jc w:val="right"/>
              <w:ind w:right="2"/>
              <w:spacing w:after="0"/>
              <w:rPr>
                <w:sz w:val="20"/>
                <w:szCs w:val="20"/>
                <w:color w:val="auto"/>
              </w:rPr>
            </w:pPr>
            <w:r>
              <w:rPr>
                <w:rFonts w:ascii="Arial Narrow" w:cs="Arial Narrow" w:eastAsia="Arial Narrow" w:hAnsi="Arial Narrow"/>
                <w:sz w:val="20"/>
                <w:szCs w:val="20"/>
                <w:color w:val="auto"/>
              </w:rPr>
              <w:t>35%</w:t>
            </w:r>
          </w:p>
        </w:tc>
      </w:tr>
      <w:tr>
        <w:trPr>
          <w:trHeight w:val="65"/>
        </w:trPr>
        <w:tc>
          <w:tcPr>
            <w:tcW w:w="5960" w:type="dxa"/>
            <w:vAlign w:val="bottom"/>
            <w:tcBorders>
              <w:bottom w:val="single" w:sz="8" w:color="A6A6A6"/>
            </w:tcBorders>
          </w:tcPr>
          <w:p>
            <w:pPr>
              <w:spacing w:after="0"/>
              <w:rPr>
                <w:sz w:val="5"/>
                <w:szCs w:val="5"/>
                <w:color w:val="auto"/>
              </w:rPr>
            </w:pPr>
          </w:p>
        </w:tc>
        <w:tc>
          <w:tcPr>
            <w:tcW w:w="2000" w:type="dxa"/>
            <w:vAlign w:val="bottom"/>
            <w:tcBorders>
              <w:bottom w:val="single" w:sz="8" w:color="A6A6A6"/>
            </w:tcBorders>
          </w:tcPr>
          <w:p>
            <w:pPr>
              <w:spacing w:after="0"/>
              <w:rPr>
                <w:sz w:val="5"/>
                <w:szCs w:val="5"/>
                <w:color w:val="auto"/>
              </w:rPr>
            </w:pPr>
          </w:p>
        </w:tc>
        <w:tc>
          <w:tcPr>
            <w:tcW w:w="1400" w:type="dxa"/>
            <w:vAlign w:val="bottom"/>
            <w:tcBorders>
              <w:bottom w:val="single" w:sz="8" w:color="A6A6A6"/>
            </w:tcBorders>
          </w:tcPr>
          <w:p>
            <w:pPr>
              <w:spacing w:after="0"/>
              <w:rPr>
                <w:sz w:val="5"/>
                <w:szCs w:val="5"/>
                <w:color w:val="auto"/>
              </w:rPr>
            </w:pPr>
          </w:p>
        </w:tc>
      </w:tr>
      <w:tr>
        <w:trPr>
          <w:trHeight w:val="339"/>
        </w:trPr>
        <w:tc>
          <w:tcPr>
            <w:tcW w:w="5960" w:type="dxa"/>
            <w:vAlign w:val="bottom"/>
          </w:tcPr>
          <w:p>
            <w:pPr>
              <w:spacing w:after="0"/>
              <w:rPr>
                <w:sz w:val="20"/>
                <w:szCs w:val="20"/>
                <w:color w:val="auto"/>
              </w:rPr>
            </w:pPr>
            <w:r>
              <w:rPr>
                <w:rFonts w:ascii="Arial Narrow" w:cs="Arial Narrow" w:eastAsia="Arial Narrow" w:hAnsi="Arial Narrow"/>
                <w:sz w:val="20"/>
                <w:szCs w:val="20"/>
                <w:b w:val="1"/>
                <w:bCs w:val="1"/>
                <w:color w:val="43A8B4"/>
              </w:rPr>
              <w:t>Kansas City Area</w:t>
            </w:r>
          </w:p>
        </w:tc>
        <w:tc>
          <w:tcPr>
            <w:tcW w:w="2000" w:type="dxa"/>
            <w:vAlign w:val="bottom"/>
          </w:tcPr>
          <w:p>
            <w:pPr>
              <w:jc w:val="right"/>
              <w:ind w:right="383"/>
              <w:spacing w:after="0"/>
              <w:rPr>
                <w:sz w:val="20"/>
                <w:szCs w:val="20"/>
                <w:color w:val="auto"/>
              </w:rPr>
            </w:pPr>
            <w:r>
              <w:rPr>
                <w:rFonts w:ascii="Arial Narrow" w:cs="Arial Narrow" w:eastAsia="Arial Narrow" w:hAnsi="Arial Narrow"/>
                <w:sz w:val="20"/>
                <w:szCs w:val="20"/>
                <w:color w:val="auto"/>
              </w:rPr>
              <w:t>100%</w:t>
            </w:r>
          </w:p>
        </w:tc>
        <w:tc>
          <w:tcPr>
            <w:tcW w:w="1400" w:type="dxa"/>
            <w:vAlign w:val="bottom"/>
          </w:tcPr>
          <w:p>
            <w:pPr>
              <w:jc w:val="right"/>
              <w:ind w:right="2"/>
              <w:spacing w:after="0"/>
              <w:rPr>
                <w:sz w:val="20"/>
                <w:szCs w:val="20"/>
                <w:color w:val="auto"/>
              </w:rPr>
            </w:pPr>
            <w:r>
              <w:rPr>
                <w:rFonts w:ascii="Arial Narrow" w:cs="Arial Narrow" w:eastAsia="Arial Narrow" w:hAnsi="Arial Narrow"/>
                <w:sz w:val="20"/>
                <w:szCs w:val="20"/>
                <w:color w:val="auto"/>
              </w:rPr>
              <w:t>—</w:t>
            </w:r>
          </w:p>
        </w:tc>
      </w:tr>
      <w:tr>
        <w:trPr>
          <w:trHeight w:val="65"/>
        </w:trPr>
        <w:tc>
          <w:tcPr>
            <w:tcW w:w="5960" w:type="dxa"/>
            <w:vAlign w:val="bottom"/>
            <w:tcBorders>
              <w:bottom w:val="single" w:sz="8" w:color="A6A6A6"/>
            </w:tcBorders>
          </w:tcPr>
          <w:p>
            <w:pPr>
              <w:spacing w:after="0"/>
              <w:rPr>
                <w:sz w:val="5"/>
                <w:szCs w:val="5"/>
                <w:color w:val="auto"/>
              </w:rPr>
            </w:pPr>
          </w:p>
        </w:tc>
        <w:tc>
          <w:tcPr>
            <w:tcW w:w="2000" w:type="dxa"/>
            <w:vAlign w:val="bottom"/>
            <w:tcBorders>
              <w:bottom w:val="single" w:sz="8" w:color="A6A6A6"/>
            </w:tcBorders>
          </w:tcPr>
          <w:p>
            <w:pPr>
              <w:spacing w:after="0"/>
              <w:rPr>
                <w:sz w:val="5"/>
                <w:szCs w:val="5"/>
                <w:color w:val="auto"/>
              </w:rPr>
            </w:pPr>
          </w:p>
        </w:tc>
        <w:tc>
          <w:tcPr>
            <w:tcW w:w="1400" w:type="dxa"/>
            <w:vAlign w:val="bottom"/>
            <w:tcBorders>
              <w:bottom w:val="single" w:sz="8" w:color="A6A6A6"/>
            </w:tcBorders>
          </w:tcPr>
          <w:p>
            <w:pPr>
              <w:spacing w:after="0"/>
              <w:rPr>
                <w:sz w:val="5"/>
                <w:szCs w:val="5"/>
                <w:color w:val="auto"/>
              </w:rPr>
            </w:pPr>
          </w:p>
        </w:tc>
      </w:tr>
      <w:tr>
        <w:trPr>
          <w:trHeight w:val="339"/>
        </w:trPr>
        <w:tc>
          <w:tcPr>
            <w:tcW w:w="5960" w:type="dxa"/>
            <w:vAlign w:val="bottom"/>
          </w:tcPr>
          <w:p>
            <w:pPr>
              <w:spacing w:after="0"/>
              <w:rPr>
                <w:sz w:val="20"/>
                <w:szCs w:val="20"/>
                <w:color w:val="auto"/>
              </w:rPr>
            </w:pPr>
            <w:r>
              <w:rPr>
                <w:rFonts w:ascii="Arial Narrow" w:cs="Arial Narrow" w:eastAsia="Arial Narrow" w:hAnsi="Arial Narrow"/>
                <w:sz w:val="20"/>
                <w:szCs w:val="20"/>
                <w:b w:val="1"/>
                <w:bCs w:val="1"/>
                <w:color w:val="43A8B4"/>
              </w:rPr>
              <w:t>Northern Colorado</w:t>
            </w:r>
          </w:p>
        </w:tc>
        <w:tc>
          <w:tcPr>
            <w:tcW w:w="2000" w:type="dxa"/>
            <w:vAlign w:val="bottom"/>
          </w:tcPr>
          <w:p>
            <w:pPr>
              <w:jc w:val="right"/>
              <w:ind w:right="383"/>
              <w:spacing w:after="0"/>
              <w:rPr>
                <w:sz w:val="20"/>
                <w:szCs w:val="20"/>
                <w:color w:val="auto"/>
              </w:rPr>
            </w:pPr>
            <w:r>
              <w:rPr>
                <w:rFonts w:ascii="Arial Narrow" w:cs="Arial Narrow" w:eastAsia="Arial Narrow" w:hAnsi="Arial Narrow"/>
                <w:sz w:val="20"/>
                <w:szCs w:val="20"/>
                <w:color w:val="auto"/>
              </w:rPr>
              <w:t>100%</w:t>
            </w:r>
          </w:p>
        </w:tc>
        <w:tc>
          <w:tcPr>
            <w:tcW w:w="1400" w:type="dxa"/>
            <w:vAlign w:val="bottom"/>
          </w:tcPr>
          <w:p>
            <w:pPr>
              <w:jc w:val="right"/>
              <w:ind w:right="2"/>
              <w:spacing w:after="0"/>
              <w:rPr>
                <w:sz w:val="20"/>
                <w:szCs w:val="20"/>
                <w:color w:val="auto"/>
              </w:rPr>
            </w:pPr>
            <w:r>
              <w:rPr>
                <w:rFonts w:ascii="Arial Narrow" w:cs="Arial Narrow" w:eastAsia="Arial Narrow" w:hAnsi="Arial Narrow"/>
                <w:sz w:val="20"/>
                <w:szCs w:val="20"/>
                <w:color w:val="auto"/>
              </w:rPr>
              <w:t>50%</w:t>
            </w:r>
          </w:p>
        </w:tc>
      </w:tr>
      <w:tr>
        <w:trPr>
          <w:trHeight w:val="65"/>
        </w:trPr>
        <w:tc>
          <w:tcPr>
            <w:tcW w:w="5960" w:type="dxa"/>
            <w:vAlign w:val="bottom"/>
            <w:tcBorders>
              <w:bottom w:val="single" w:sz="8" w:color="A6A6A6"/>
            </w:tcBorders>
          </w:tcPr>
          <w:p>
            <w:pPr>
              <w:spacing w:after="0"/>
              <w:rPr>
                <w:sz w:val="5"/>
                <w:szCs w:val="5"/>
                <w:color w:val="auto"/>
              </w:rPr>
            </w:pPr>
          </w:p>
        </w:tc>
        <w:tc>
          <w:tcPr>
            <w:tcW w:w="2000" w:type="dxa"/>
            <w:vAlign w:val="bottom"/>
            <w:tcBorders>
              <w:bottom w:val="single" w:sz="8" w:color="A6A6A6"/>
            </w:tcBorders>
          </w:tcPr>
          <w:p>
            <w:pPr>
              <w:spacing w:after="0"/>
              <w:rPr>
                <w:sz w:val="5"/>
                <w:szCs w:val="5"/>
                <w:color w:val="auto"/>
              </w:rPr>
            </w:pPr>
          </w:p>
        </w:tc>
        <w:tc>
          <w:tcPr>
            <w:tcW w:w="1400" w:type="dxa"/>
            <w:vAlign w:val="bottom"/>
            <w:tcBorders>
              <w:bottom w:val="single" w:sz="8" w:color="A6A6A6"/>
            </w:tcBorders>
          </w:tcPr>
          <w:p>
            <w:pPr>
              <w:spacing w:after="0"/>
              <w:rPr>
                <w:sz w:val="5"/>
                <w:szCs w:val="5"/>
                <w:color w:val="auto"/>
              </w:rPr>
            </w:pPr>
          </w:p>
        </w:tc>
      </w:tr>
      <w:tr>
        <w:trPr>
          <w:trHeight w:val="339"/>
        </w:trPr>
        <w:tc>
          <w:tcPr>
            <w:tcW w:w="5960" w:type="dxa"/>
            <w:vAlign w:val="bottom"/>
          </w:tcPr>
          <w:p>
            <w:pPr>
              <w:spacing w:after="0"/>
              <w:rPr>
                <w:sz w:val="20"/>
                <w:szCs w:val="20"/>
                <w:color w:val="auto"/>
              </w:rPr>
            </w:pPr>
            <w:r>
              <w:rPr>
                <w:rFonts w:ascii="Arial Narrow" w:cs="Arial Narrow" w:eastAsia="Arial Narrow" w:hAnsi="Arial Narrow"/>
                <w:sz w:val="20"/>
                <w:szCs w:val="20"/>
                <w:b w:val="1"/>
                <w:bCs w:val="1"/>
                <w:color w:val="43A8B4"/>
              </w:rPr>
              <w:t>Northern Nevada</w:t>
            </w:r>
          </w:p>
        </w:tc>
        <w:tc>
          <w:tcPr>
            <w:tcW w:w="2000" w:type="dxa"/>
            <w:vAlign w:val="bottom"/>
          </w:tcPr>
          <w:p>
            <w:pPr>
              <w:jc w:val="right"/>
              <w:ind w:right="383"/>
              <w:spacing w:after="0"/>
              <w:rPr>
                <w:sz w:val="20"/>
                <w:szCs w:val="20"/>
                <w:color w:val="auto"/>
              </w:rPr>
            </w:pPr>
            <w:r>
              <w:rPr>
                <w:rFonts w:ascii="Arial Narrow" w:cs="Arial Narrow" w:eastAsia="Arial Narrow" w:hAnsi="Arial Narrow"/>
                <w:sz w:val="20"/>
                <w:szCs w:val="20"/>
                <w:color w:val="auto"/>
              </w:rPr>
              <w:t>100%</w:t>
            </w:r>
          </w:p>
        </w:tc>
        <w:tc>
          <w:tcPr>
            <w:tcW w:w="1400" w:type="dxa"/>
            <w:vAlign w:val="bottom"/>
          </w:tcPr>
          <w:p>
            <w:pPr>
              <w:jc w:val="right"/>
              <w:ind w:right="2"/>
              <w:spacing w:after="0"/>
              <w:rPr>
                <w:sz w:val="20"/>
                <w:szCs w:val="20"/>
                <w:color w:val="auto"/>
              </w:rPr>
            </w:pPr>
            <w:r>
              <w:rPr>
                <w:rFonts w:ascii="Arial Narrow" w:cs="Arial Narrow" w:eastAsia="Arial Narrow" w:hAnsi="Arial Narrow"/>
                <w:sz w:val="20"/>
                <w:szCs w:val="20"/>
                <w:color w:val="auto"/>
              </w:rPr>
              <w:t>60%</w:t>
            </w:r>
          </w:p>
        </w:tc>
      </w:tr>
      <w:tr>
        <w:trPr>
          <w:trHeight w:val="65"/>
        </w:trPr>
        <w:tc>
          <w:tcPr>
            <w:tcW w:w="5960" w:type="dxa"/>
            <w:vAlign w:val="bottom"/>
            <w:tcBorders>
              <w:bottom w:val="single" w:sz="8" w:color="A6A6A6"/>
            </w:tcBorders>
          </w:tcPr>
          <w:p>
            <w:pPr>
              <w:spacing w:after="0"/>
              <w:rPr>
                <w:sz w:val="5"/>
                <w:szCs w:val="5"/>
                <w:color w:val="auto"/>
              </w:rPr>
            </w:pPr>
          </w:p>
        </w:tc>
        <w:tc>
          <w:tcPr>
            <w:tcW w:w="2000" w:type="dxa"/>
            <w:vAlign w:val="bottom"/>
            <w:tcBorders>
              <w:bottom w:val="single" w:sz="8" w:color="A6A6A6"/>
            </w:tcBorders>
          </w:tcPr>
          <w:p>
            <w:pPr>
              <w:spacing w:after="0"/>
              <w:rPr>
                <w:sz w:val="5"/>
                <w:szCs w:val="5"/>
                <w:color w:val="auto"/>
              </w:rPr>
            </w:pPr>
          </w:p>
        </w:tc>
        <w:tc>
          <w:tcPr>
            <w:tcW w:w="1400" w:type="dxa"/>
            <w:vAlign w:val="bottom"/>
            <w:tcBorders>
              <w:bottom w:val="single" w:sz="8" w:color="A6A6A6"/>
            </w:tcBorders>
          </w:tcPr>
          <w:p>
            <w:pPr>
              <w:spacing w:after="0"/>
              <w:rPr>
                <w:sz w:val="5"/>
                <w:szCs w:val="5"/>
                <w:color w:val="auto"/>
              </w:rPr>
            </w:pPr>
          </w:p>
        </w:tc>
      </w:tr>
    </w:tbl>
    <w:p>
      <w:pPr>
        <w:spacing w:after="0" w:line="128" w:lineRule="exact"/>
        <w:rPr>
          <w:sz w:val="20"/>
          <w:szCs w:val="20"/>
          <w:color w:val="auto"/>
        </w:rPr>
      </w:pPr>
    </w:p>
    <w:p>
      <w:pPr>
        <w:ind w:right="60"/>
        <w:spacing w:after="0" w:line="325" w:lineRule="auto"/>
        <w:rPr>
          <w:sz w:val="20"/>
          <w:szCs w:val="20"/>
          <w:color w:val="auto"/>
        </w:rPr>
      </w:pPr>
      <w:r>
        <w:rPr>
          <w:rFonts w:ascii="Arial" w:cs="Arial" w:eastAsia="Arial" w:hAnsi="Arial"/>
          <w:sz w:val="20"/>
          <w:szCs w:val="20"/>
          <w:color w:val="auto"/>
        </w:rPr>
        <w:t>We obtain the balance of our cement and aggregates requirements from multiple outside sources in each of these areas.</w:t>
      </w:r>
    </w:p>
    <w:p>
      <w:pPr>
        <w:sectPr>
          <w:pgSz w:w="11880" w:h="15480" w:orient="portrait"/>
          <w:cols w:equalWidth="0" w:num="1">
            <w:col w:w="9360"/>
          </w:cols>
          <w:pgMar w:left="1260" w:top="1264" w:right="1260" w:bottom="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880" w:h="15480" w:orient="portrait"/>
          <w:cols w:equalWidth="0" w:num="1">
            <w:col w:w="9360"/>
          </w:cols>
          <w:pgMar w:left="1260" w:top="1264" w:right="1260" w:bottom="0" w:gutter="0" w:footer="0" w:header="0"/>
          <w:type w:val="continuous"/>
        </w:sectPr>
      </w:pPr>
    </w:p>
    <w:bookmarkStart w:id="23" w:name="page24"/>
    <w:bookmarkEnd w:id="23"/>
    <w:p>
      <w:pPr>
        <w:spacing w:after="0" w:line="303" w:lineRule="auto"/>
        <w:rPr>
          <w:sz w:val="20"/>
          <w:szCs w:val="20"/>
          <w:color w:val="auto"/>
        </w:rPr>
      </w:pPr>
      <w:r>
        <w:rPr>
          <w:rFonts w:ascii="Arial" w:cs="Arial" w:eastAsia="Arial" w:hAnsi="Arial"/>
          <w:sz w:val="20"/>
          <w:szCs w:val="20"/>
          <w:color w:val="auto"/>
        </w:rPr>
        <w:t>We mine and extract limestone, sand, and gravel, the principal raw materials used in the production of aggregates, from quarries owned or leased by us and located near our plants. On average, our aggregate reserves and resources exceed 25 years based on normalized production levels.</w:t>
      </w:r>
    </w:p>
    <w:p>
      <w:pPr>
        <w:spacing w:after="0" w:line="59" w:lineRule="exact"/>
        <w:rPr>
          <w:sz w:val="20"/>
          <w:szCs w:val="20"/>
          <w:color w:val="auto"/>
        </w:rPr>
      </w:pPr>
    </w:p>
    <w:p>
      <w:pPr>
        <w:ind w:right="180"/>
        <w:spacing w:after="0" w:line="296" w:lineRule="auto"/>
        <w:rPr>
          <w:sz w:val="20"/>
          <w:szCs w:val="20"/>
          <w:color w:val="auto"/>
        </w:rPr>
      </w:pPr>
      <w:r>
        <w:rPr>
          <w:rFonts w:ascii="Arial" w:cs="Arial" w:eastAsia="Arial" w:hAnsi="Arial"/>
          <w:sz w:val="20"/>
          <w:szCs w:val="20"/>
          <w:color w:val="auto"/>
        </w:rPr>
        <w:t>Cost of materials and delivery expense are the two biggest expense items for readymix concrete, comprising approximately 62% and 15% of total costs, respectively. In fiscal 2026, cost of materials and delivery expenses decreased by 1% and 13%, respectively, compared with fiscal 2025. We anticipate these costs will increase in fiscal 2027.</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43A8B4"/>
        </w:rPr>
        <w:t>Environmental Matters</w:t>
      </w:r>
    </w:p>
    <w:p>
      <w:pPr>
        <w:spacing w:after="0" w:line="163" w:lineRule="exact"/>
        <w:rPr>
          <w:sz w:val="20"/>
          <w:szCs w:val="20"/>
          <w:color w:val="auto"/>
        </w:rPr>
      </w:pPr>
    </w:p>
    <w:p>
      <w:pPr>
        <w:jc w:val="both"/>
        <w:ind w:right="120"/>
        <w:spacing w:after="0" w:line="303" w:lineRule="auto"/>
        <w:rPr>
          <w:sz w:val="20"/>
          <w:szCs w:val="20"/>
          <w:color w:val="auto"/>
        </w:rPr>
      </w:pPr>
      <w:r>
        <w:rPr>
          <w:rFonts w:ascii="Arial" w:cs="Arial" w:eastAsia="Arial" w:hAnsi="Arial"/>
          <w:sz w:val="20"/>
          <w:szCs w:val="20"/>
          <w:color w:val="auto"/>
        </w:rPr>
        <w:t>The concrete and aggregates industry is subject to environmental regulations similar to those governing our Cement operations, which are included in the Environmental Matters section in the Cement segment discussion.</w:t>
      </w:r>
    </w:p>
    <w:p>
      <w:pPr>
        <w:spacing w:after="0" w:line="59" w:lineRule="exact"/>
        <w:rPr>
          <w:sz w:val="20"/>
          <w:szCs w:val="20"/>
          <w:color w:val="auto"/>
        </w:rPr>
      </w:pPr>
    </w:p>
    <w:p>
      <w:pPr>
        <w:jc w:val="both"/>
        <w:spacing w:after="0" w:line="303" w:lineRule="auto"/>
        <w:rPr>
          <w:sz w:val="20"/>
          <w:szCs w:val="20"/>
          <w:color w:val="auto"/>
        </w:rPr>
      </w:pPr>
      <w:r>
        <w:rPr>
          <w:rFonts w:ascii="Arial" w:cs="Arial" w:eastAsia="Arial" w:hAnsi="Arial"/>
          <w:sz w:val="20"/>
          <w:szCs w:val="20"/>
          <w:color w:val="auto"/>
        </w:rPr>
        <w:t>We did not have any capital expenditures related to compliance with environmental regulations applicable to our Concrete and Aggregates operations in fiscal 2026, and we do not anticipate any material spending related to compliance with environmental regulations during fiscal 2027.</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E2910"/>
        </w:rPr>
        <w:t>Light Materials</w:t>
      </w:r>
    </w:p>
    <w:p>
      <w:pPr>
        <w:spacing w:after="0" w:line="161" w:lineRule="exact"/>
        <w:rPr>
          <w:sz w:val="20"/>
          <w:szCs w:val="20"/>
          <w:color w:val="auto"/>
        </w:rPr>
      </w:pPr>
    </w:p>
    <w:p>
      <w:pPr>
        <w:spacing w:after="0" w:line="288" w:lineRule="auto"/>
        <w:rPr>
          <w:sz w:val="20"/>
          <w:szCs w:val="20"/>
          <w:color w:val="auto"/>
        </w:rPr>
      </w:pPr>
      <w:r>
        <w:rPr>
          <w:rFonts w:ascii="Arial" w:cs="Arial" w:eastAsia="Arial" w:hAnsi="Arial"/>
          <w:sz w:val="20"/>
          <w:szCs w:val="20"/>
          <w:color w:val="auto"/>
        </w:rPr>
        <w:t>Our Light Materials sector comprises the Gypsum Wallboard segment, which produces gypsum wallboard used in residential and private nonresidential construction and repair and remodel activities, and the Recycled Paperboard segment, which produces paper primarily used in the manufacture of gypsum wallboard. Our operations in this sector are concentrated in the Sun Belt of the United States, which we define as the lower half of the United States, but not California. Population in the Sun Belt is projected to grow approximately 19% between 2020 and 2050, according to the latest update in July 2024 by University of Virginia, Weldon Cooper Center for Public Service. Population growth is a key long-term driver of demand for gypsum wallboard and recycled paperboard.</w:t>
      </w:r>
    </w:p>
    <w:p>
      <w:pPr>
        <w:sectPr>
          <w:pgSz w:w="11880" w:h="15480" w:orient="portrait"/>
          <w:cols w:equalWidth="0" w:num="1">
            <w:col w:w="9340"/>
          </w:cols>
          <w:pgMar w:left="1260" w:top="1267"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16</w:t>
      </w:r>
    </w:p>
    <w:p>
      <w:pPr>
        <w:sectPr>
          <w:pgSz w:w="11880" w:h="15480" w:orient="portrait"/>
          <w:cols w:equalWidth="0" w:num="1">
            <w:col w:w="9340"/>
          </w:cols>
          <w:pgMar w:left="1260" w:top="1267" w:right="1280" w:bottom="0" w:gutter="0" w:footer="0" w:header="0"/>
          <w:type w:val="continuous"/>
        </w:sectPr>
      </w:pPr>
    </w:p>
    <w:bookmarkStart w:id="24" w:name="page25"/>
    <w:bookmarkEnd w:id="24"/>
    <w:p>
      <w:pPr>
        <w:spacing w:after="0"/>
        <w:rPr>
          <w:sz w:val="20"/>
          <w:szCs w:val="20"/>
          <w:color w:val="auto"/>
        </w:rPr>
      </w:pPr>
      <w:r>
        <w:rPr>
          <w:rFonts w:ascii="Arial" w:cs="Arial" w:eastAsia="Arial" w:hAnsi="Arial"/>
          <w:sz w:val="20"/>
          <w:szCs w:val="20"/>
          <w:b w:val="1"/>
          <w:bCs w:val="1"/>
          <w:color w:val="5F7D1D"/>
        </w:rPr>
        <w:t>GYPSUM WALLBOARD</w:t>
      </w:r>
    </w:p>
    <w:p>
      <w:pPr>
        <w:spacing w:after="0" w:line="181" w:lineRule="exact"/>
        <w:rPr>
          <w:sz w:val="20"/>
          <w:szCs w:val="20"/>
          <w:color w:val="auto"/>
        </w:rPr>
      </w:pPr>
    </w:p>
    <w:p>
      <w:pPr>
        <w:ind w:right="40"/>
        <w:spacing w:after="0" w:line="325" w:lineRule="auto"/>
        <w:rPr>
          <w:sz w:val="20"/>
          <w:szCs w:val="20"/>
          <w:color w:val="auto"/>
        </w:rPr>
      </w:pPr>
      <w:r>
        <w:rPr>
          <w:rFonts w:ascii="Arial" w:cs="Arial" w:eastAsia="Arial" w:hAnsi="Arial"/>
          <w:sz w:val="20"/>
          <w:szCs w:val="20"/>
          <w:color w:val="auto"/>
        </w:rPr>
        <w:t>Gypsum wallboard is used to finish the interior walls and ceilings in residential, commercial, and industrial structures. Our gypsum wallboard products are marketed under the name American Gypsum.</w:t>
      </w:r>
    </w:p>
    <w:p>
      <w:pPr>
        <w:spacing w:after="0" w:line="37" w:lineRule="exact"/>
        <w:rPr>
          <w:sz w:val="20"/>
          <w:szCs w:val="20"/>
          <w:color w:val="auto"/>
        </w:rPr>
      </w:pPr>
    </w:p>
    <w:p>
      <w:pPr>
        <w:spacing w:after="0"/>
        <w:rPr>
          <w:sz w:val="20"/>
          <w:szCs w:val="20"/>
          <w:color w:val="auto"/>
        </w:rPr>
      </w:pPr>
      <w:r>
        <w:rPr>
          <w:rFonts w:ascii="Arial" w:cs="Arial" w:eastAsia="Arial" w:hAnsi="Arial"/>
          <w:sz w:val="20"/>
          <w:szCs w:val="20"/>
          <w:color w:val="auto"/>
        </w:rPr>
        <w:t>The gypsum wallboard manufacturing process involves four main steps, as shown in the graphic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191770</wp:posOffset>
            </wp:positionV>
            <wp:extent cx="5943600" cy="17145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7">
                      <a:extLst>
                        <a:ext uri="{28A0092B-C50C-407E-A947-70E740481C1C}"/>
                      </a:extLst>
                    </a:blip>
                    <a:srcRect/>
                    <a:stretch>
                      <a:fillRect/>
                    </a:stretch>
                  </pic:blipFill>
                  <pic:spPr bwMode="auto">
                    <a:xfrm>
                      <a:off x="0" y="0"/>
                      <a:ext cx="594360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20"/>
          <w:szCs w:val="20"/>
          <w:b w:val="1"/>
          <w:bCs w:val="1"/>
          <w:color w:val="5F7D1D"/>
        </w:rPr>
        <w:t>Gypsum Wallboard Plants and Gypsum Mining Operations</w:t>
      </w:r>
    </w:p>
    <w:p>
      <w:pPr>
        <w:spacing w:after="0" w:line="163" w:lineRule="exact"/>
        <w:rPr>
          <w:sz w:val="20"/>
          <w:szCs w:val="20"/>
          <w:color w:val="auto"/>
        </w:rPr>
      </w:pPr>
    </w:p>
    <w:p>
      <w:pPr>
        <w:ind w:right="280"/>
        <w:spacing w:after="0" w:line="303" w:lineRule="auto"/>
        <w:rPr>
          <w:sz w:val="20"/>
          <w:szCs w:val="20"/>
          <w:color w:val="auto"/>
        </w:rPr>
      </w:pPr>
      <w:r>
        <w:rPr>
          <w:rFonts w:ascii="Arial" w:cs="Arial" w:eastAsia="Arial" w:hAnsi="Arial"/>
          <w:sz w:val="20"/>
          <w:szCs w:val="20"/>
          <w:color w:val="auto"/>
        </w:rPr>
        <w:t>We own and operate five gypsum wallboard plants, shown in the table below. We anticipate running all our facilities at the level required to meet customer demand, up to maximum capacity. Our gypsum wallboard is distributed in the geographic markets nearest to our production facilities.</w:t>
      </w:r>
    </w:p>
    <w:p>
      <w:pPr>
        <w:spacing w:after="0" w:line="59" w:lineRule="exact"/>
        <w:rPr>
          <w:sz w:val="20"/>
          <w:szCs w:val="20"/>
          <w:color w:val="auto"/>
        </w:rPr>
      </w:pPr>
    </w:p>
    <w:p>
      <w:pPr>
        <w:ind w:right="100"/>
        <w:spacing w:after="0" w:line="296" w:lineRule="auto"/>
        <w:rPr>
          <w:sz w:val="20"/>
          <w:szCs w:val="20"/>
          <w:color w:val="auto"/>
        </w:rPr>
      </w:pPr>
      <w:r>
        <w:rPr>
          <w:rFonts w:ascii="Arial" w:cs="Arial" w:eastAsia="Arial" w:hAnsi="Arial"/>
          <w:sz w:val="20"/>
          <w:szCs w:val="20"/>
          <w:color w:val="auto"/>
        </w:rPr>
        <w:t>Four of our five gypsum wallboard plants are supplied with natural gypsum from our nearby gypsum quarries, while our wallboard plant in South Carolina is supplied with gypsum under a long-term supply contract with a third party. For more information about our gypsum mining properties, including estimates of gypsum resources and reserves, see Item 2. Properties.</w:t>
      </w:r>
    </w:p>
    <w:p>
      <w:pPr>
        <w:spacing w:after="0" w:line="65" w:lineRule="exact"/>
        <w:rPr>
          <w:sz w:val="20"/>
          <w:szCs w:val="20"/>
          <w:color w:val="auto"/>
        </w:rPr>
      </w:pPr>
    </w:p>
    <w:p>
      <w:pPr>
        <w:ind w:right="560"/>
        <w:spacing w:after="0" w:line="325" w:lineRule="auto"/>
        <w:rPr>
          <w:sz w:val="20"/>
          <w:szCs w:val="20"/>
          <w:color w:val="auto"/>
        </w:rPr>
      </w:pPr>
      <w:r>
        <w:rPr>
          <w:rFonts w:ascii="Arial" w:cs="Arial" w:eastAsia="Arial" w:hAnsi="Arial"/>
          <w:sz w:val="20"/>
          <w:szCs w:val="20"/>
          <w:color w:val="auto"/>
        </w:rPr>
        <w:t>The table shows approximate annual production capacity at each of our gypsum wallboard plants at March 31, 2026.</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20" w:type="dxa"/>
            <w:vAlign w:val="bottom"/>
          </w:tcPr>
          <w:p>
            <w:pPr>
              <w:spacing w:after="0"/>
              <w:rPr>
                <w:sz w:val="17"/>
                <w:szCs w:val="17"/>
                <w:color w:val="auto"/>
              </w:rPr>
            </w:pPr>
          </w:p>
        </w:tc>
        <w:tc>
          <w:tcPr>
            <w:tcW w:w="2040" w:type="dxa"/>
            <w:vAlign w:val="bottom"/>
          </w:tcPr>
          <w:p>
            <w:pPr>
              <w:jc w:val="right"/>
              <w:ind w:right="3"/>
              <w:spacing w:after="0"/>
              <w:rPr>
                <w:sz w:val="20"/>
                <w:szCs w:val="20"/>
                <w:color w:val="auto"/>
              </w:rPr>
            </w:pPr>
            <w:r>
              <w:rPr>
                <w:rFonts w:ascii="Arial Narrow" w:cs="Arial Narrow" w:eastAsia="Arial Narrow" w:hAnsi="Arial Narrow"/>
                <w:sz w:val="18"/>
                <w:szCs w:val="18"/>
                <w:b w:val="1"/>
                <w:bCs w:val="1"/>
                <w:color w:val="auto"/>
              </w:rPr>
              <w:t>Approximate Annual</w:t>
            </w:r>
          </w:p>
        </w:tc>
      </w:tr>
      <w:tr>
        <w:trPr>
          <w:trHeight w:val="207"/>
        </w:trPr>
        <w:tc>
          <w:tcPr>
            <w:tcW w:w="7320" w:type="dxa"/>
            <w:vAlign w:val="bottom"/>
          </w:tcPr>
          <w:p>
            <w:pPr>
              <w:spacing w:after="0"/>
              <w:rPr>
                <w:sz w:val="17"/>
                <w:szCs w:val="17"/>
                <w:color w:val="auto"/>
              </w:rPr>
            </w:pPr>
          </w:p>
        </w:tc>
        <w:tc>
          <w:tcPr>
            <w:tcW w:w="2040" w:type="dxa"/>
            <w:vAlign w:val="bottom"/>
          </w:tcPr>
          <w:p>
            <w:pPr>
              <w:jc w:val="right"/>
              <w:ind w:right="3"/>
              <w:spacing w:after="0"/>
              <w:rPr>
                <w:sz w:val="20"/>
                <w:szCs w:val="20"/>
                <w:color w:val="auto"/>
              </w:rPr>
            </w:pPr>
            <w:r>
              <w:rPr>
                <w:rFonts w:ascii="Arial Narrow" w:cs="Arial Narrow" w:eastAsia="Arial Narrow" w:hAnsi="Arial Narrow"/>
                <w:sz w:val="18"/>
                <w:szCs w:val="18"/>
                <w:b w:val="1"/>
                <w:bCs w:val="1"/>
                <w:color w:val="auto"/>
              </w:rPr>
              <w:t>Gypsum Wallboard</w:t>
            </w:r>
          </w:p>
        </w:tc>
      </w:tr>
      <w:tr>
        <w:trPr>
          <w:trHeight w:val="299"/>
        </w:trPr>
        <w:tc>
          <w:tcPr>
            <w:tcW w:w="7320" w:type="dxa"/>
            <w:vAlign w:val="bottom"/>
            <w:tcBorders>
              <w:bottom w:val="single" w:sz="8" w:color="auto"/>
            </w:tcBorders>
          </w:tcPr>
          <w:p>
            <w:pPr>
              <w:spacing w:after="0"/>
              <w:rPr>
                <w:sz w:val="20"/>
                <w:szCs w:val="20"/>
                <w:color w:val="auto"/>
              </w:rPr>
            </w:pPr>
            <w:r>
              <w:rPr>
                <w:rFonts w:ascii="Arial Narrow" w:cs="Arial Narrow" w:eastAsia="Arial Narrow" w:hAnsi="Arial Narrow"/>
                <w:sz w:val="18"/>
                <w:szCs w:val="18"/>
                <w:b w:val="1"/>
                <w:bCs w:val="1"/>
                <w:color w:val="auto"/>
              </w:rPr>
              <w:t>Location</w:t>
            </w:r>
          </w:p>
        </w:tc>
        <w:tc>
          <w:tcPr>
            <w:tcW w:w="2040" w:type="dxa"/>
            <w:vAlign w:val="bottom"/>
            <w:tcBorders>
              <w:bottom w:val="single" w:sz="8" w:color="auto"/>
            </w:tcBorders>
          </w:tcPr>
          <w:p>
            <w:pPr>
              <w:jc w:val="right"/>
              <w:ind w:right="3"/>
              <w:spacing w:after="0"/>
              <w:rPr>
                <w:sz w:val="20"/>
                <w:szCs w:val="20"/>
                <w:color w:val="auto"/>
              </w:rPr>
            </w:pPr>
            <w:r>
              <w:rPr>
                <w:rFonts w:ascii="Arial Narrow" w:cs="Arial Narrow" w:eastAsia="Arial Narrow" w:hAnsi="Arial Narrow"/>
                <w:sz w:val="18"/>
                <w:szCs w:val="18"/>
                <w:b w:val="1"/>
                <w:bCs w:val="1"/>
                <w:color w:val="auto"/>
              </w:rPr>
              <w:t xml:space="preserve">Capacity </w:t>
            </w:r>
            <w:r>
              <w:rPr>
                <w:rFonts w:ascii="Arial Narrow" w:cs="Arial Narrow" w:eastAsia="Arial Narrow" w:hAnsi="Arial Narrow"/>
                <w:sz w:val="18"/>
                <w:szCs w:val="18"/>
                <w:color w:val="auto"/>
              </w:rPr>
              <w:t>(MMSF)</w:t>
            </w:r>
            <w:r>
              <w:rPr>
                <w:rFonts w:ascii="Arial Narrow" w:cs="Arial Narrow" w:eastAsia="Arial Narrow" w:hAnsi="Arial Narrow"/>
                <w:sz w:val="18"/>
                <w:szCs w:val="18"/>
                <w:b w:val="1"/>
                <w:bCs w:val="1"/>
                <w:color w:val="auto"/>
              </w:rPr>
              <w:t xml:space="preserve"> </w:t>
            </w:r>
            <w:r>
              <w:rPr>
                <w:rFonts w:ascii="Arial Narrow" w:cs="Arial Narrow" w:eastAsia="Arial Narrow" w:hAnsi="Arial Narrow"/>
                <w:sz w:val="24"/>
                <w:szCs w:val="24"/>
                <w:b w:val="1"/>
                <w:bCs w:val="1"/>
                <w:color w:val="auto"/>
                <w:vertAlign w:val="superscript"/>
              </w:rPr>
              <w:t>(1)</w:t>
            </w:r>
          </w:p>
        </w:tc>
      </w:tr>
      <w:tr>
        <w:trPr>
          <w:trHeight w:val="344"/>
        </w:trPr>
        <w:tc>
          <w:tcPr>
            <w:tcW w:w="7320" w:type="dxa"/>
            <w:vAlign w:val="bottom"/>
          </w:tcPr>
          <w:p>
            <w:pPr>
              <w:spacing w:after="0"/>
              <w:rPr>
                <w:sz w:val="20"/>
                <w:szCs w:val="20"/>
                <w:color w:val="auto"/>
              </w:rPr>
            </w:pPr>
            <w:r>
              <w:rPr>
                <w:rFonts w:ascii="Arial Narrow" w:cs="Arial Narrow" w:eastAsia="Arial Narrow" w:hAnsi="Arial Narrow"/>
                <w:sz w:val="20"/>
                <w:szCs w:val="20"/>
                <w:b w:val="1"/>
                <w:bCs w:val="1"/>
                <w:color w:val="5F7D1D"/>
              </w:rPr>
              <w:t>Albuquerque, New Mexico</w:t>
            </w:r>
          </w:p>
        </w:tc>
        <w:tc>
          <w:tcPr>
            <w:tcW w:w="2040" w:type="dxa"/>
            <w:vAlign w:val="bottom"/>
          </w:tcPr>
          <w:p>
            <w:pPr>
              <w:jc w:val="right"/>
              <w:ind w:right="3"/>
              <w:spacing w:after="0"/>
              <w:rPr>
                <w:sz w:val="20"/>
                <w:szCs w:val="20"/>
                <w:color w:val="auto"/>
              </w:rPr>
            </w:pPr>
            <w:r>
              <w:rPr>
                <w:rFonts w:ascii="Arial Narrow" w:cs="Arial Narrow" w:eastAsia="Arial Narrow" w:hAnsi="Arial Narrow"/>
                <w:sz w:val="20"/>
                <w:szCs w:val="20"/>
                <w:color w:val="auto"/>
              </w:rPr>
              <w:t>425</w:t>
            </w:r>
          </w:p>
        </w:tc>
      </w:tr>
      <w:tr>
        <w:trPr>
          <w:trHeight w:val="65"/>
        </w:trPr>
        <w:tc>
          <w:tcPr>
            <w:tcW w:w="7320" w:type="dxa"/>
            <w:vAlign w:val="bottom"/>
            <w:tcBorders>
              <w:bottom w:val="single" w:sz="8" w:color="A6A6A6"/>
            </w:tcBorders>
          </w:tcPr>
          <w:p>
            <w:pPr>
              <w:spacing w:after="0"/>
              <w:rPr>
                <w:sz w:val="5"/>
                <w:szCs w:val="5"/>
                <w:color w:val="auto"/>
              </w:rPr>
            </w:pPr>
          </w:p>
        </w:tc>
        <w:tc>
          <w:tcPr>
            <w:tcW w:w="2040" w:type="dxa"/>
            <w:vAlign w:val="bottom"/>
            <w:tcBorders>
              <w:bottom w:val="single" w:sz="8" w:color="A6A6A6"/>
            </w:tcBorders>
          </w:tcPr>
          <w:p>
            <w:pPr>
              <w:spacing w:after="0"/>
              <w:rPr>
                <w:sz w:val="5"/>
                <w:szCs w:val="5"/>
                <w:color w:val="auto"/>
              </w:rPr>
            </w:pPr>
          </w:p>
        </w:tc>
      </w:tr>
      <w:tr>
        <w:trPr>
          <w:trHeight w:val="339"/>
        </w:trPr>
        <w:tc>
          <w:tcPr>
            <w:tcW w:w="7320" w:type="dxa"/>
            <w:vAlign w:val="bottom"/>
          </w:tcPr>
          <w:p>
            <w:pPr>
              <w:spacing w:after="0"/>
              <w:rPr>
                <w:sz w:val="20"/>
                <w:szCs w:val="20"/>
                <w:color w:val="auto"/>
              </w:rPr>
            </w:pPr>
            <w:r>
              <w:rPr>
                <w:rFonts w:ascii="Arial Narrow" w:cs="Arial Narrow" w:eastAsia="Arial Narrow" w:hAnsi="Arial Narrow"/>
                <w:sz w:val="20"/>
                <w:szCs w:val="20"/>
                <w:b w:val="1"/>
                <w:bCs w:val="1"/>
                <w:color w:val="5F7D1D"/>
              </w:rPr>
              <w:t>Bernalillo, New Mexico</w:t>
            </w:r>
          </w:p>
        </w:tc>
        <w:tc>
          <w:tcPr>
            <w:tcW w:w="2040" w:type="dxa"/>
            <w:vAlign w:val="bottom"/>
          </w:tcPr>
          <w:p>
            <w:pPr>
              <w:jc w:val="right"/>
              <w:ind w:right="3"/>
              <w:spacing w:after="0"/>
              <w:rPr>
                <w:sz w:val="20"/>
                <w:szCs w:val="20"/>
                <w:color w:val="auto"/>
              </w:rPr>
            </w:pPr>
            <w:r>
              <w:rPr>
                <w:rFonts w:ascii="Arial Narrow" w:cs="Arial Narrow" w:eastAsia="Arial Narrow" w:hAnsi="Arial Narrow"/>
                <w:sz w:val="20"/>
                <w:szCs w:val="20"/>
                <w:color w:val="auto"/>
              </w:rPr>
              <w:t>550</w:t>
            </w:r>
          </w:p>
        </w:tc>
      </w:tr>
      <w:tr>
        <w:trPr>
          <w:trHeight w:val="65"/>
        </w:trPr>
        <w:tc>
          <w:tcPr>
            <w:tcW w:w="7320" w:type="dxa"/>
            <w:vAlign w:val="bottom"/>
            <w:tcBorders>
              <w:bottom w:val="single" w:sz="8" w:color="A6A6A6"/>
            </w:tcBorders>
          </w:tcPr>
          <w:p>
            <w:pPr>
              <w:spacing w:after="0"/>
              <w:rPr>
                <w:sz w:val="5"/>
                <w:szCs w:val="5"/>
                <w:color w:val="auto"/>
              </w:rPr>
            </w:pPr>
          </w:p>
        </w:tc>
        <w:tc>
          <w:tcPr>
            <w:tcW w:w="2040" w:type="dxa"/>
            <w:vAlign w:val="bottom"/>
            <w:tcBorders>
              <w:bottom w:val="single" w:sz="8" w:color="A6A6A6"/>
            </w:tcBorders>
          </w:tcPr>
          <w:p>
            <w:pPr>
              <w:spacing w:after="0"/>
              <w:rPr>
                <w:sz w:val="5"/>
                <w:szCs w:val="5"/>
                <w:color w:val="auto"/>
              </w:rPr>
            </w:pPr>
          </w:p>
        </w:tc>
      </w:tr>
      <w:tr>
        <w:trPr>
          <w:trHeight w:val="339"/>
        </w:trPr>
        <w:tc>
          <w:tcPr>
            <w:tcW w:w="7320" w:type="dxa"/>
            <w:vAlign w:val="bottom"/>
          </w:tcPr>
          <w:p>
            <w:pPr>
              <w:spacing w:after="0"/>
              <w:rPr>
                <w:sz w:val="20"/>
                <w:szCs w:val="20"/>
                <w:color w:val="auto"/>
              </w:rPr>
            </w:pPr>
            <w:r>
              <w:rPr>
                <w:rFonts w:ascii="Arial Narrow" w:cs="Arial Narrow" w:eastAsia="Arial Narrow" w:hAnsi="Arial Narrow"/>
                <w:sz w:val="20"/>
                <w:szCs w:val="20"/>
                <w:b w:val="1"/>
                <w:bCs w:val="1"/>
                <w:color w:val="5F7D1D"/>
              </w:rPr>
              <w:t>Gypsum, Colorado</w:t>
            </w:r>
          </w:p>
        </w:tc>
        <w:tc>
          <w:tcPr>
            <w:tcW w:w="2040" w:type="dxa"/>
            <w:vAlign w:val="bottom"/>
          </w:tcPr>
          <w:p>
            <w:pPr>
              <w:jc w:val="right"/>
              <w:ind w:right="3"/>
              <w:spacing w:after="0"/>
              <w:rPr>
                <w:sz w:val="20"/>
                <w:szCs w:val="20"/>
                <w:color w:val="auto"/>
              </w:rPr>
            </w:pPr>
            <w:r>
              <w:rPr>
                <w:rFonts w:ascii="Arial Narrow" w:cs="Arial Narrow" w:eastAsia="Arial Narrow" w:hAnsi="Arial Narrow"/>
                <w:sz w:val="20"/>
                <w:szCs w:val="20"/>
                <w:color w:val="auto"/>
              </w:rPr>
              <w:t>700</w:t>
            </w:r>
          </w:p>
        </w:tc>
      </w:tr>
      <w:tr>
        <w:trPr>
          <w:trHeight w:val="65"/>
        </w:trPr>
        <w:tc>
          <w:tcPr>
            <w:tcW w:w="7320" w:type="dxa"/>
            <w:vAlign w:val="bottom"/>
            <w:tcBorders>
              <w:bottom w:val="single" w:sz="8" w:color="A6A6A6"/>
            </w:tcBorders>
          </w:tcPr>
          <w:p>
            <w:pPr>
              <w:spacing w:after="0"/>
              <w:rPr>
                <w:sz w:val="5"/>
                <w:szCs w:val="5"/>
                <w:color w:val="auto"/>
              </w:rPr>
            </w:pPr>
          </w:p>
        </w:tc>
        <w:tc>
          <w:tcPr>
            <w:tcW w:w="2040" w:type="dxa"/>
            <w:vAlign w:val="bottom"/>
            <w:tcBorders>
              <w:bottom w:val="single" w:sz="8" w:color="A6A6A6"/>
            </w:tcBorders>
          </w:tcPr>
          <w:p>
            <w:pPr>
              <w:spacing w:after="0"/>
              <w:rPr>
                <w:sz w:val="5"/>
                <w:szCs w:val="5"/>
                <w:color w:val="auto"/>
              </w:rPr>
            </w:pPr>
          </w:p>
        </w:tc>
      </w:tr>
      <w:tr>
        <w:trPr>
          <w:trHeight w:val="339"/>
        </w:trPr>
        <w:tc>
          <w:tcPr>
            <w:tcW w:w="7320" w:type="dxa"/>
            <w:vAlign w:val="bottom"/>
          </w:tcPr>
          <w:p>
            <w:pPr>
              <w:spacing w:after="0"/>
              <w:rPr>
                <w:sz w:val="20"/>
                <w:szCs w:val="20"/>
                <w:color w:val="auto"/>
              </w:rPr>
            </w:pPr>
            <w:r>
              <w:rPr>
                <w:rFonts w:ascii="Arial Narrow" w:cs="Arial Narrow" w:eastAsia="Arial Narrow" w:hAnsi="Arial Narrow"/>
                <w:sz w:val="20"/>
                <w:szCs w:val="20"/>
                <w:b w:val="1"/>
                <w:bCs w:val="1"/>
                <w:color w:val="5F7D1D"/>
              </w:rPr>
              <w:t>Duke, Oklahoma</w:t>
            </w:r>
          </w:p>
        </w:tc>
        <w:tc>
          <w:tcPr>
            <w:tcW w:w="2040" w:type="dxa"/>
            <w:vAlign w:val="bottom"/>
          </w:tcPr>
          <w:p>
            <w:pPr>
              <w:jc w:val="right"/>
              <w:ind w:right="3"/>
              <w:spacing w:after="0"/>
              <w:rPr>
                <w:sz w:val="20"/>
                <w:szCs w:val="20"/>
                <w:color w:val="auto"/>
              </w:rPr>
            </w:pPr>
            <w:r>
              <w:rPr>
                <w:rFonts w:ascii="Arial Narrow" w:cs="Arial Narrow" w:eastAsia="Arial Narrow" w:hAnsi="Arial Narrow"/>
                <w:sz w:val="20"/>
                <w:szCs w:val="20"/>
                <w:color w:val="auto"/>
              </w:rPr>
              <w:t>1,200</w:t>
            </w:r>
          </w:p>
        </w:tc>
      </w:tr>
      <w:tr>
        <w:trPr>
          <w:trHeight w:val="65"/>
        </w:trPr>
        <w:tc>
          <w:tcPr>
            <w:tcW w:w="7320" w:type="dxa"/>
            <w:vAlign w:val="bottom"/>
            <w:tcBorders>
              <w:bottom w:val="single" w:sz="8" w:color="A6A6A6"/>
            </w:tcBorders>
          </w:tcPr>
          <w:p>
            <w:pPr>
              <w:spacing w:after="0"/>
              <w:rPr>
                <w:sz w:val="5"/>
                <w:szCs w:val="5"/>
                <w:color w:val="auto"/>
              </w:rPr>
            </w:pPr>
          </w:p>
        </w:tc>
        <w:tc>
          <w:tcPr>
            <w:tcW w:w="2040" w:type="dxa"/>
            <w:vAlign w:val="bottom"/>
            <w:tcBorders>
              <w:bottom w:val="single" w:sz="8" w:color="A6A6A6"/>
            </w:tcBorders>
          </w:tcPr>
          <w:p>
            <w:pPr>
              <w:spacing w:after="0"/>
              <w:rPr>
                <w:sz w:val="5"/>
                <w:szCs w:val="5"/>
                <w:color w:val="auto"/>
              </w:rPr>
            </w:pPr>
          </w:p>
        </w:tc>
      </w:tr>
      <w:tr>
        <w:trPr>
          <w:trHeight w:val="339"/>
        </w:trPr>
        <w:tc>
          <w:tcPr>
            <w:tcW w:w="7320" w:type="dxa"/>
            <w:vAlign w:val="bottom"/>
          </w:tcPr>
          <w:p>
            <w:pPr>
              <w:spacing w:after="0"/>
              <w:rPr>
                <w:sz w:val="20"/>
                <w:szCs w:val="20"/>
                <w:color w:val="auto"/>
              </w:rPr>
            </w:pPr>
            <w:r>
              <w:rPr>
                <w:rFonts w:ascii="Arial Narrow" w:cs="Arial Narrow" w:eastAsia="Arial Narrow" w:hAnsi="Arial Narrow"/>
                <w:sz w:val="20"/>
                <w:szCs w:val="20"/>
                <w:b w:val="1"/>
                <w:bCs w:val="1"/>
                <w:color w:val="5F7D1D"/>
              </w:rPr>
              <w:t>Georgetown, South Carolina</w:t>
            </w:r>
          </w:p>
        </w:tc>
        <w:tc>
          <w:tcPr>
            <w:tcW w:w="2040" w:type="dxa"/>
            <w:vAlign w:val="bottom"/>
          </w:tcPr>
          <w:p>
            <w:pPr>
              <w:jc w:val="right"/>
              <w:ind w:right="3"/>
              <w:spacing w:after="0"/>
              <w:rPr>
                <w:sz w:val="20"/>
                <w:szCs w:val="20"/>
                <w:color w:val="auto"/>
              </w:rPr>
            </w:pPr>
            <w:r>
              <w:rPr>
                <w:rFonts w:ascii="Arial Narrow" w:cs="Arial Narrow" w:eastAsia="Arial Narrow" w:hAnsi="Arial Narrow"/>
                <w:sz w:val="20"/>
                <w:szCs w:val="20"/>
                <w:color w:val="auto"/>
              </w:rPr>
              <w:t>900</w:t>
            </w:r>
          </w:p>
        </w:tc>
      </w:tr>
      <w:tr>
        <w:trPr>
          <w:trHeight w:val="90"/>
        </w:trPr>
        <w:tc>
          <w:tcPr>
            <w:tcW w:w="7320" w:type="dxa"/>
            <w:vAlign w:val="bottom"/>
            <w:tcBorders>
              <w:bottom w:val="single" w:sz="8" w:color="A6A6A6"/>
            </w:tcBorders>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r>
      <w:tr>
        <w:trPr>
          <w:trHeight w:val="344"/>
        </w:trPr>
        <w:tc>
          <w:tcPr>
            <w:tcW w:w="7320" w:type="dxa"/>
            <w:vAlign w:val="bottom"/>
          </w:tcPr>
          <w:p>
            <w:pPr>
              <w:ind w:left="200"/>
              <w:spacing w:after="0"/>
              <w:rPr>
                <w:sz w:val="20"/>
                <w:szCs w:val="20"/>
                <w:color w:val="auto"/>
              </w:rPr>
            </w:pPr>
            <w:r>
              <w:rPr>
                <w:rFonts w:ascii="Arial Narrow" w:cs="Arial Narrow" w:eastAsia="Arial Narrow" w:hAnsi="Arial Narrow"/>
                <w:sz w:val="20"/>
                <w:szCs w:val="20"/>
                <w:b w:val="1"/>
                <w:bCs w:val="1"/>
                <w:color w:val="auto"/>
              </w:rPr>
              <w:t>Total</w:t>
            </w:r>
          </w:p>
        </w:tc>
        <w:tc>
          <w:tcPr>
            <w:tcW w:w="2040" w:type="dxa"/>
            <w:vAlign w:val="bottom"/>
          </w:tcPr>
          <w:p>
            <w:pPr>
              <w:jc w:val="right"/>
              <w:ind w:right="3"/>
              <w:spacing w:after="0"/>
              <w:rPr>
                <w:sz w:val="20"/>
                <w:szCs w:val="20"/>
                <w:color w:val="auto"/>
              </w:rPr>
            </w:pPr>
            <w:r>
              <w:rPr>
                <w:rFonts w:ascii="Arial Narrow" w:cs="Arial Narrow" w:eastAsia="Arial Narrow" w:hAnsi="Arial Narrow"/>
                <w:sz w:val="20"/>
                <w:szCs w:val="20"/>
                <w:b w:val="1"/>
                <w:bCs w:val="1"/>
                <w:color w:val="auto"/>
              </w:rPr>
              <w:t>3,775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60325</wp:posOffset>
            </wp:positionV>
            <wp:extent cx="1299210" cy="9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8">
                      <a:extLst>
                        <a:ext uri="{28A0092B-C50C-407E-A947-70E740481C1C}"/>
                      </a:extLst>
                    </a:blip>
                    <a:srcRect/>
                    <a:stretch>
                      <a:fillRect/>
                    </a:stretch>
                  </pic:blipFill>
                  <pic:spPr bwMode="auto">
                    <a:xfrm>
                      <a:off x="0" y="0"/>
                      <a:ext cx="1299210" cy="9525"/>
                    </a:xfrm>
                    <a:prstGeom prst="rect">
                      <a:avLst/>
                    </a:prstGeom>
                    <a:noFill/>
                  </pic:spPr>
                </pic:pic>
              </a:graphicData>
            </a:graphic>
          </wp:anchor>
        </w:drawing>
        <w:drawing>
          <wp:anchor simplePos="0" relativeHeight="251657728" behindDoc="1" locked="0" layoutInCell="0" allowOverlap="1">
            <wp:simplePos x="0" y="0"/>
            <wp:positionH relativeFrom="column">
              <wp:posOffset>4644390</wp:posOffset>
            </wp:positionH>
            <wp:positionV relativeFrom="paragraph">
              <wp:posOffset>41275</wp:posOffset>
            </wp:positionV>
            <wp:extent cx="1299210" cy="95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9">
                      <a:extLst>
                        <a:ext uri="{28A0092B-C50C-407E-A947-70E740481C1C}"/>
                      </a:extLst>
                    </a:blip>
                    <a:srcRect/>
                    <a:stretch>
                      <a:fillRect/>
                    </a:stretch>
                  </pic:blipFill>
                  <pic:spPr bwMode="auto">
                    <a:xfrm>
                      <a:off x="0" y="0"/>
                      <a:ext cx="1299210" cy="9525"/>
                    </a:xfrm>
                    <a:prstGeom prst="rect">
                      <a:avLst/>
                    </a:prstGeom>
                    <a:noFill/>
                  </pic:spPr>
                </pic:pic>
              </a:graphicData>
            </a:graphic>
          </wp:anchor>
        </w:drawing>
      </w:r>
    </w:p>
    <w:p>
      <w:pPr>
        <w:spacing w:after="0" w:line="117" w:lineRule="exact"/>
        <w:rPr>
          <w:sz w:val="20"/>
          <w:szCs w:val="20"/>
          <w:color w:val="auto"/>
        </w:rPr>
      </w:pPr>
    </w:p>
    <w:p>
      <w:pPr>
        <w:ind w:left="220" w:hanging="220"/>
        <w:spacing w:after="0"/>
        <w:tabs>
          <w:tab w:leader="none" w:pos="220" w:val="left"/>
        </w:tabs>
        <w:numPr>
          <w:ilvl w:val="0"/>
          <w:numId w:val="9"/>
        </w:numPr>
        <w:rPr>
          <w:rFonts w:ascii="Arial" w:cs="Arial" w:eastAsia="Arial" w:hAnsi="Arial"/>
          <w:sz w:val="26"/>
          <w:szCs w:val="26"/>
          <w:color w:val="auto"/>
          <w:vertAlign w:val="superscript"/>
        </w:rPr>
      </w:pPr>
      <w:r>
        <w:rPr>
          <w:rFonts w:ascii="Arial" w:cs="Arial" w:eastAsia="Arial" w:hAnsi="Arial"/>
          <w:sz w:val="16"/>
          <w:szCs w:val="16"/>
          <w:color w:val="auto"/>
        </w:rPr>
        <w:t>Million Square Feet (MMSF) based on anticipated product mix.</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color w:val="auto"/>
        </w:rPr>
        <w:t>Our Gypsum Wallboard production totaled 2,792 MMSF in fiscal 2026, and 3,022 MMSF in fiscal 2025.</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Total Gypsum Wallboard sales were 2,759 MMSF in fiscal 2026, and 2,968 MMSF in fiscal 2025.</w:t>
      </w:r>
    </w:p>
    <w:p>
      <w:pPr>
        <w:sectPr>
          <w:pgSz w:w="11880" w:h="15480" w:orient="portrait"/>
          <w:cols w:equalWidth="0" w:num="1">
            <w:col w:w="9360"/>
          </w:cols>
          <w:pgMar w:left="1260" w:top="1264"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1880" w:h="15480" w:orient="portrait"/>
          <w:cols w:equalWidth="0" w:num="1">
            <w:col w:w="9360"/>
          </w:cols>
          <w:pgMar w:left="1260" w:top="1264" w:right="1260" w:bottom="0" w:gutter="0" w:footer="0" w:header="0"/>
          <w:type w:val="continuous"/>
        </w:sectPr>
      </w:pPr>
    </w:p>
    <w:bookmarkStart w:id="25" w:name="page26"/>
    <w:bookmarkEnd w:id="25"/>
    <w:p>
      <w:pPr>
        <w:spacing w:after="0"/>
        <w:rPr>
          <w:sz w:val="20"/>
          <w:szCs w:val="20"/>
          <w:color w:val="auto"/>
        </w:rPr>
      </w:pPr>
      <w:r>
        <w:rPr>
          <w:rFonts w:ascii="Arial" w:cs="Arial" w:eastAsia="Arial" w:hAnsi="Arial"/>
          <w:sz w:val="20"/>
          <w:szCs w:val="20"/>
          <w:b w:val="1"/>
          <w:bCs w:val="1"/>
          <w:color w:val="5F7D1D"/>
        </w:rPr>
        <w:t>Demand, Sales, and Distribution</w:t>
      </w:r>
    </w:p>
    <w:p>
      <w:pPr>
        <w:spacing w:after="0" w:line="163" w:lineRule="exact"/>
        <w:rPr>
          <w:sz w:val="20"/>
          <w:szCs w:val="20"/>
          <w:color w:val="auto"/>
        </w:rPr>
      </w:pPr>
    </w:p>
    <w:p>
      <w:pPr>
        <w:ind w:right="60"/>
        <w:spacing w:after="0" w:line="292" w:lineRule="auto"/>
        <w:rPr>
          <w:sz w:val="20"/>
          <w:szCs w:val="20"/>
          <w:color w:val="auto"/>
        </w:rPr>
      </w:pPr>
      <w:r>
        <w:rPr>
          <w:rFonts w:ascii="Arial" w:cs="Arial" w:eastAsia="Arial" w:hAnsi="Arial"/>
          <w:sz w:val="20"/>
          <w:szCs w:val="20"/>
          <w:color w:val="auto"/>
        </w:rPr>
        <w:t>The principal sources of demand for gypsum wallboard are residential construction, repair and remodel activities, private nonresidential construction, and other markets such as manufactured housing. According to the Gypsum Association, industry shipments of gypsum wallboard decreased approximately 7% to 25.4 billion square feet in calendar 2025. We estimate that residential construction and repair and remodel accounted for more than 80% of calendar 2025 industry sales.</w:t>
      </w:r>
    </w:p>
    <w:p>
      <w:pPr>
        <w:spacing w:after="0" w:line="71" w:lineRule="exact"/>
        <w:rPr>
          <w:sz w:val="20"/>
          <w:szCs w:val="20"/>
          <w:color w:val="auto"/>
        </w:rPr>
      </w:pPr>
    </w:p>
    <w:p>
      <w:pPr>
        <w:ind w:right="40"/>
        <w:spacing w:after="0" w:line="287" w:lineRule="auto"/>
        <w:rPr>
          <w:sz w:val="20"/>
          <w:szCs w:val="20"/>
          <w:color w:val="auto"/>
        </w:rPr>
      </w:pPr>
      <w:r>
        <w:rPr>
          <w:rFonts w:ascii="Arial" w:cs="Arial" w:eastAsia="Arial" w:hAnsi="Arial"/>
          <w:sz w:val="20"/>
          <w:szCs w:val="20"/>
          <w:color w:val="auto"/>
        </w:rPr>
        <w:t>Demand for gypsum wallboard closely follows construction industry cycles, particularly housing construction. Demand for wallboard can be seasonal and is generally highest from spring through the middle of autumn. Gypsum wallboard is sold on a delivered basis, and delivery is mostly by truck. We generally use third-party common carriers for deliveries. Although gypsum wallboard is distributed principally in local areas, certain industry producers (including the Company) have the ability to ship gypsum wallboard by rail outside their usual regional distribution areas to regions where demand is strong. Our rail distribution capabilities permit us to service customers in markets on both the east and west coasts, except for the Northeast. Less than 5% of our Wallboard volume sold during fiscal 2026 was delivered via rail.</w:t>
      </w:r>
    </w:p>
    <w:p>
      <w:pPr>
        <w:spacing w:after="0" w:line="75" w:lineRule="exact"/>
        <w:rPr>
          <w:sz w:val="20"/>
          <w:szCs w:val="20"/>
          <w:color w:val="auto"/>
        </w:rPr>
      </w:pPr>
    </w:p>
    <w:p>
      <w:pPr>
        <w:ind w:right="380"/>
        <w:spacing w:after="0" w:line="296" w:lineRule="auto"/>
        <w:rPr>
          <w:sz w:val="20"/>
          <w:szCs w:val="20"/>
          <w:color w:val="auto"/>
        </w:rPr>
      </w:pPr>
      <w:r>
        <w:rPr>
          <w:rFonts w:ascii="Arial" w:cs="Arial" w:eastAsia="Arial" w:hAnsi="Arial"/>
          <w:sz w:val="20"/>
          <w:szCs w:val="20"/>
          <w:color w:val="auto"/>
        </w:rPr>
        <w:t>We sell gypsum wallboard to numerous building-materials dealers, gypsum wallboard specialty distributors, lumber yards, home-center chains, and other customers located throughout the United States, with the exception of the Northeast. Three customers collectively accounted for approximately 64% of our Gypsum Wallboard segment sales during fiscal 2026.</w:t>
      </w:r>
    </w:p>
    <w:p>
      <w:pPr>
        <w:spacing w:after="0" w:line="65" w:lineRule="exact"/>
        <w:rPr>
          <w:sz w:val="20"/>
          <w:szCs w:val="20"/>
          <w:color w:val="auto"/>
        </w:rPr>
      </w:pPr>
    </w:p>
    <w:p>
      <w:pPr>
        <w:ind w:right="100"/>
        <w:spacing w:after="0" w:line="290" w:lineRule="auto"/>
        <w:rPr>
          <w:sz w:val="20"/>
          <w:szCs w:val="20"/>
          <w:color w:val="auto"/>
        </w:rPr>
      </w:pPr>
      <w:r>
        <w:rPr>
          <w:rFonts w:ascii="Arial" w:cs="Arial" w:eastAsia="Arial" w:hAnsi="Arial"/>
          <w:sz w:val="20"/>
          <w:szCs w:val="20"/>
          <w:color w:val="auto"/>
        </w:rPr>
        <w:t>There are currently six manufacturers of gypsum wallboard in the U.S., operating a total of 59 plants with a total of 69 lines, per the Gypsum Association. We estimate that the four largest producers ‒ Knauf, National Gypsum Company, CertainTeed, and Koch Industries ‒ account for approximately 85% of gypsum wallboard sales in the U.S. Total wallboard-rated production capacity in the United States is currently estimated by the Gypsum Association at approximately 32.7 billion square feet per year, on an annual product mix capacity basis.</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5F7D1D"/>
        </w:rPr>
        <w:t>Raw Materials and Fuel Supplies</w:t>
      </w:r>
    </w:p>
    <w:p>
      <w:pPr>
        <w:spacing w:after="0" w:line="163" w:lineRule="exact"/>
        <w:rPr>
          <w:sz w:val="20"/>
          <w:szCs w:val="20"/>
          <w:color w:val="auto"/>
        </w:rPr>
      </w:pPr>
    </w:p>
    <w:p>
      <w:pPr>
        <w:ind w:right="40"/>
        <w:spacing w:after="0" w:line="286" w:lineRule="auto"/>
        <w:rPr>
          <w:sz w:val="20"/>
          <w:szCs w:val="20"/>
          <w:color w:val="auto"/>
        </w:rPr>
      </w:pPr>
      <w:r>
        <w:rPr>
          <w:rFonts w:ascii="Arial" w:cs="Arial" w:eastAsia="Arial" w:hAnsi="Arial"/>
          <w:sz w:val="20"/>
          <w:szCs w:val="20"/>
          <w:color w:val="auto"/>
        </w:rPr>
        <w:t>We mine and extract natural gypsum, the principal raw material used in the manufacture of gypsum wallboard, from quarries owned, leased, or subject to mining claims owned by the Company and located near our plants. Our New Mexico reserves are under lease with the Pueblo of Zia. Gypsum ore reserves at the Gypsum, Colorado plant are contained within numerous placer claims encompassing 2,300 acres. Included in this are unpatented mining claims, where mineral rights can be developed upon completion of permitting requirements. We entered into a long-term agreement in 2005 with a public utility in South Carolina for synthetic gypsum, which we use at our Georgetown, South Carolina plant. This agreement has an initial term through December 2029, and we have two 20-year extension options that would extend the term through December 2069 should we elect to exercise both of our extension options. If the utility is unable to generate the agreed-upon amount of gypsum, it is responsible for providing gypsum from a third party to fulfill its obligations.</w:t>
      </w:r>
    </w:p>
    <w:p>
      <w:pPr>
        <w:spacing w:after="0" w:line="75" w:lineRule="exact"/>
        <w:rPr>
          <w:sz w:val="20"/>
          <w:szCs w:val="20"/>
          <w:color w:val="auto"/>
        </w:rPr>
      </w:pPr>
    </w:p>
    <w:p>
      <w:pPr>
        <w:spacing w:after="0" w:line="292" w:lineRule="auto"/>
        <w:rPr>
          <w:sz w:val="20"/>
          <w:szCs w:val="20"/>
          <w:color w:val="auto"/>
        </w:rPr>
      </w:pPr>
      <w:r>
        <w:rPr>
          <w:rFonts w:ascii="Arial" w:cs="Arial" w:eastAsia="Arial" w:hAnsi="Arial"/>
          <w:sz w:val="20"/>
          <w:szCs w:val="20"/>
          <w:color w:val="auto"/>
        </w:rPr>
        <w:t>Through our modern low-cost paperboard mill, we manufacture sufficient quantities of paper necessary for our gypsum wallboard production. Paper is a significant cost component in the manufacture of gypsum wallboard, currently representing approximately one-third of our total production cost. Paper costs are expected to be relatively consistent throughout fiscal 2027. See Raw Materials and Fuel Supplies in the Recycled Paperboard section for more information.</w:t>
      </w:r>
    </w:p>
    <w:p>
      <w:pPr>
        <w:sectPr>
          <w:pgSz w:w="11880" w:h="15480" w:orient="portrait"/>
          <w:cols w:equalWidth="0" w:num="1">
            <w:col w:w="9340"/>
          </w:cols>
          <w:pgMar w:left="1260" w:top="1264"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18</w:t>
      </w:r>
    </w:p>
    <w:p>
      <w:pPr>
        <w:sectPr>
          <w:pgSz w:w="11880" w:h="15480" w:orient="portrait"/>
          <w:cols w:equalWidth="0" w:num="1">
            <w:col w:w="9340"/>
          </w:cols>
          <w:pgMar w:left="1260" w:top="1264" w:right="1280" w:bottom="0" w:gutter="0" w:footer="0" w:header="0"/>
          <w:type w:val="continuous"/>
        </w:sectPr>
      </w:pPr>
    </w:p>
    <w:bookmarkStart w:id="26" w:name="page27"/>
    <w:bookmarkEnd w:id="26"/>
    <w:p>
      <w:pPr>
        <w:ind w:right="40"/>
        <w:spacing w:after="0" w:line="289" w:lineRule="auto"/>
        <w:rPr>
          <w:sz w:val="20"/>
          <w:szCs w:val="20"/>
          <w:color w:val="auto"/>
        </w:rPr>
      </w:pPr>
      <w:r>
        <w:rPr>
          <w:rFonts w:ascii="Arial" w:cs="Arial" w:eastAsia="Arial" w:hAnsi="Arial"/>
          <w:sz w:val="20"/>
          <w:szCs w:val="20"/>
          <w:color w:val="auto"/>
        </w:rPr>
        <w:t>Our gypsum wallboard manufacturing operations use natural gas and electrical power. A significant portion of the Company’s natural gas requirements for our gypsum wallboard plants are currently provided by three gas producers under gas-supply agreements. Power for our Gypsum, Colorado facility is generated at the facility by a cogeneration power plant that we own and operate. Currently, the cogeneration power facility supplies power and waste hot gases for drying to the gypsum wallboard plant. We do not sell any power to third parties. Natural gas costs represented approximately 8% of our production costs in fiscal 2026.</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5F7D1D"/>
        </w:rPr>
        <w:t>Environmental Matters</w:t>
      </w:r>
    </w:p>
    <w:p>
      <w:pPr>
        <w:spacing w:after="0" w:line="163" w:lineRule="exact"/>
        <w:rPr>
          <w:sz w:val="20"/>
          <w:szCs w:val="20"/>
          <w:color w:val="auto"/>
        </w:rPr>
      </w:pPr>
    </w:p>
    <w:p>
      <w:pPr>
        <w:ind w:right="120"/>
        <w:spacing w:after="0" w:line="288" w:lineRule="auto"/>
        <w:rPr>
          <w:sz w:val="20"/>
          <w:szCs w:val="20"/>
          <w:color w:val="auto"/>
        </w:rPr>
      </w:pPr>
      <w:r>
        <w:rPr>
          <w:rFonts w:ascii="Arial" w:cs="Arial" w:eastAsia="Arial" w:hAnsi="Arial"/>
          <w:sz w:val="20"/>
          <w:szCs w:val="20"/>
          <w:color w:val="auto"/>
        </w:rPr>
        <w:t>The gypsum wallboard industry is subject to numerous federal, state, and local laws and regulations pertaining to health, safety, and the environment. Some of these laws, such as the federal CAA and the federal CWA and analogous state laws, impose environmental permitting requirements and govern the nature and amount of emissions that may be generated when conducting particular operations. Some laws, such as CERCLA and analogous state laws, impose obligations to clean up or remediate spills of hazardous materials into the environment. Still other laws require us to reclaim certain land upon completion of extraction and mining operations in our quarries. We do not, and have not, used asbestos in any of our gypsum wallboard products.</w:t>
      </w:r>
    </w:p>
    <w:p>
      <w:pPr>
        <w:spacing w:after="0" w:line="72" w:lineRule="exact"/>
        <w:rPr>
          <w:sz w:val="20"/>
          <w:szCs w:val="20"/>
          <w:color w:val="auto"/>
        </w:rPr>
      </w:pPr>
    </w:p>
    <w:p>
      <w:pPr>
        <w:spacing w:after="0" w:line="285" w:lineRule="auto"/>
        <w:rPr>
          <w:sz w:val="20"/>
          <w:szCs w:val="20"/>
          <w:color w:val="auto"/>
        </w:rPr>
      </w:pPr>
      <w:r>
        <w:rPr>
          <w:rFonts w:ascii="Arial" w:cs="Arial" w:eastAsia="Arial" w:hAnsi="Arial"/>
          <w:sz w:val="20"/>
          <w:szCs w:val="20"/>
          <w:b w:val="1"/>
          <w:bCs w:val="1"/>
          <w:i w:val="1"/>
          <w:iCs w:val="1"/>
          <w:color w:val="auto"/>
        </w:rPr>
        <w:t xml:space="preserve">RCRA Regulation of CCRs – </w:t>
      </w:r>
      <w:r>
        <w:rPr>
          <w:rFonts w:ascii="Arial" w:cs="Arial" w:eastAsia="Arial" w:hAnsi="Arial"/>
          <w:sz w:val="20"/>
          <w:szCs w:val="20"/>
          <w:color w:val="auto"/>
        </w:rPr>
        <w:t>We use synthetic gypsum in wallboard manufactured at our Georgetown,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South Carolina plant. In 2015, the EPA published its final rule addressing the storage, reuse, and disposal of coal combustion products, which include fly ash and flue gas desulfurization gypsum (synthetic gypsum). The rule, which applies only to electric utilities and independent power producers, establishes standards for the management of coal combustion residuals (CCRs) under Subtitle D of the RCRA. In general, under the rule, the EPA has chosen to regulate CCRs under the non-hazardous waste sections of RCRA. The rule imposes requirements addressing CCR surface impoundments and landfills, including location restrictions, design, and operating specifications; groundwater monitoring requirements; corrective action requirements; record keeping and reporting obligations; and closure requirements. Beneficial encapsulated uses of CCRs, including synthetic gypsum, are exempt from regulation. We do not believe that the rule as currently in effect or the currently proposed revisions thereto are likely to have material effects on our business, financial condition, and results of operations.</w:t>
      </w:r>
    </w:p>
    <w:p>
      <w:pPr>
        <w:spacing w:after="0" w:line="83" w:lineRule="exact"/>
        <w:rPr>
          <w:sz w:val="20"/>
          <w:szCs w:val="20"/>
          <w:color w:val="auto"/>
        </w:rPr>
      </w:pPr>
    </w:p>
    <w:p>
      <w:pPr>
        <w:ind w:right="140"/>
        <w:spacing w:after="0" w:line="292" w:lineRule="auto"/>
        <w:rPr>
          <w:sz w:val="20"/>
          <w:szCs w:val="20"/>
          <w:color w:val="auto"/>
        </w:rPr>
      </w:pPr>
      <w:r>
        <w:rPr>
          <w:rFonts w:ascii="Arial" w:cs="Arial" w:eastAsia="Arial" w:hAnsi="Arial"/>
          <w:sz w:val="20"/>
          <w:szCs w:val="20"/>
          <w:b w:val="1"/>
          <w:bCs w:val="1"/>
          <w:i w:val="1"/>
          <w:iCs w:val="1"/>
          <w:color w:val="auto"/>
        </w:rPr>
        <w:t xml:space="preserve">NAAQS for Ozone and Fine Particulate Matter – </w:t>
      </w:r>
      <w:r>
        <w:rPr>
          <w:rFonts w:ascii="Arial" w:cs="Arial" w:eastAsia="Arial" w:hAnsi="Arial"/>
          <w:sz w:val="20"/>
          <w:szCs w:val="20"/>
          <w:color w:val="auto"/>
        </w:rPr>
        <w:t>As discussed in greater detail in the “Environmental</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Matters” section for Cement, our operations are impacted by the NAAQS for ozone and fine particulate matter (PM</w:t>
      </w:r>
      <w:r>
        <w:rPr>
          <w:rFonts w:ascii="Arial" w:cs="Arial" w:eastAsia="Arial" w:hAnsi="Arial"/>
          <w:sz w:val="13"/>
          <w:szCs w:val="13"/>
          <w:color w:val="auto"/>
        </w:rPr>
        <w:t>2.5</w:t>
      </w:r>
      <w:r>
        <w:rPr>
          <w:rFonts w:ascii="Arial" w:cs="Arial" w:eastAsia="Arial" w:hAnsi="Arial"/>
          <w:sz w:val="20"/>
          <w:szCs w:val="20"/>
          <w:color w:val="auto"/>
        </w:rPr>
        <w:t>) or soot. Either of these regulations could have a material impact on our gypsum wallboard business, if areas in or surrounding our operations receive nonattainment designations, or if the EPA chooses to revise and lower the current ozone NAAQS.</w:t>
      </w:r>
    </w:p>
    <w:p>
      <w:pPr>
        <w:spacing w:after="0" w:line="71" w:lineRule="exact"/>
        <w:rPr>
          <w:sz w:val="20"/>
          <w:szCs w:val="20"/>
          <w:color w:val="auto"/>
        </w:rPr>
      </w:pPr>
    </w:p>
    <w:p>
      <w:pPr>
        <w:ind w:right="20"/>
        <w:spacing w:after="0" w:line="290" w:lineRule="auto"/>
        <w:rPr>
          <w:sz w:val="20"/>
          <w:szCs w:val="20"/>
          <w:color w:val="auto"/>
        </w:rPr>
      </w:pPr>
      <w:r>
        <w:rPr>
          <w:rFonts w:ascii="Arial" w:cs="Arial" w:eastAsia="Arial" w:hAnsi="Arial"/>
          <w:sz w:val="20"/>
          <w:szCs w:val="20"/>
          <w:b w:val="1"/>
          <w:bCs w:val="1"/>
          <w:i w:val="1"/>
          <w:iCs w:val="1"/>
          <w:color w:val="auto"/>
        </w:rPr>
        <w:t xml:space="preserve">Potential Greenhouse Gas Regulation </w:t>
      </w:r>
      <w:r>
        <w:rPr>
          <w:rFonts w:ascii="Arial" w:cs="Arial" w:eastAsia="Arial" w:hAnsi="Arial"/>
          <w:sz w:val="20"/>
          <w:szCs w:val="20"/>
          <w:color w:val="auto"/>
        </w:rPr>
        <w:t>– Although our Gypsum Wallboard operations could be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adversely affected by federal, regional, or state climate change initiatives, at this time, it is not possible to accurately estimate how future laws or regulations addressing GHG emissions would impact our business. However, any imposition of raw materials or production limitations, fuel-use or carbon taxes, or emission limitations or reductions could have a significant impact on the gypsum wallboard manufacturing industry and a material adverse effect on the financial results of our operations.</w:t>
      </w:r>
    </w:p>
    <w:p>
      <w:pPr>
        <w:spacing w:after="0" w:line="73" w:lineRule="exact"/>
        <w:rPr>
          <w:sz w:val="20"/>
          <w:szCs w:val="20"/>
          <w:color w:val="auto"/>
        </w:rPr>
      </w:pPr>
    </w:p>
    <w:p>
      <w:pPr>
        <w:ind w:right="240"/>
        <w:spacing w:after="0" w:line="303" w:lineRule="auto"/>
        <w:rPr>
          <w:sz w:val="20"/>
          <w:szCs w:val="20"/>
          <w:color w:val="auto"/>
        </w:rPr>
      </w:pPr>
      <w:r>
        <w:rPr>
          <w:rFonts w:ascii="Arial" w:cs="Arial" w:eastAsia="Arial" w:hAnsi="Arial"/>
          <w:sz w:val="20"/>
          <w:szCs w:val="20"/>
          <w:color w:val="auto"/>
        </w:rPr>
        <w:t>There were $ 1.1 million of capital expenditures related to compliance with environmental regulations applicable to our Gypsum Wallboard operations during fiscal 2026. We anticipate spending $0.1 million during fiscal 2027.</w:t>
      </w:r>
    </w:p>
    <w:p>
      <w:pPr>
        <w:sectPr>
          <w:pgSz w:w="11880" w:h="15480" w:orient="portrait"/>
          <w:cols w:equalWidth="0" w:num="1">
            <w:col w:w="9340"/>
          </w:cols>
          <w:pgMar w:left="1260" w:top="1267"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19</w:t>
      </w:r>
    </w:p>
    <w:p>
      <w:pPr>
        <w:sectPr>
          <w:pgSz w:w="11880" w:h="15480" w:orient="portrait"/>
          <w:cols w:equalWidth="0" w:num="1">
            <w:col w:w="9340"/>
          </w:cols>
          <w:pgMar w:left="1260" w:top="1267" w:right="1280" w:bottom="0" w:gutter="0" w:footer="0" w:header="0"/>
          <w:type w:val="continuous"/>
        </w:sectPr>
      </w:pPr>
    </w:p>
    <w:bookmarkStart w:id="27" w:name="page28"/>
    <w:bookmarkEnd w:id="27"/>
    <w:p>
      <w:pPr>
        <w:spacing w:after="0"/>
        <w:rPr>
          <w:sz w:val="20"/>
          <w:szCs w:val="20"/>
          <w:color w:val="auto"/>
        </w:rPr>
      </w:pPr>
      <w:r>
        <w:rPr>
          <w:rFonts w:ascii="Arial" w:cs="Arial" w:eastAsia="Arial" w:hAnsi="Arial"/>
          <w:sz w:val="20"/>
          <w:szCs w:val="20"/>
          <w:b w:val="1"/>
          <w:bCs w:val="1"/>
          <w:color w:val="7AB05A"/>
        </w:rPr>
        <w:t>RECYCLED PAPERBOARD</w:t>
      </w:r>
    </w:p>
    <w:p>
      <w:pPr>
        <w:spacing w:after="0" w:line="163" w:lineRule="exact"/>
        <w:rPr>
          <w:sz w:val="20"/>
          <w:szCs w:val="20"/>
          <w:color w:val="auto"/>
        </w:rPr>
      </w:pPr>
    </w:p>
    <w:p>
      <w:pPr>
        <w:spacing w:after="0" w:line="288" w:lineRule="auto"/>
        <w:rPr>
          <w:sz w:val="20"/>
          <w:szCs w:val="20"/>
          <w:color w:val="auto"/>
        </w:rPr>
      </w:pPr>
      <w:r>
        <w:rPr>
          <w:rFonts w:ascii="Arial" w:cs="Arial" w:eastAsia="Arial" w:hAnsi="Arial"/>
          <w:sz w:val="20"/>
          <w:szCs w:val="20"/>
          <w:color w:val="auto"/>
        </w:rPr>
        <w:t>Our Recycled Paperboard manufacturing operation, which we refer to as Republic Paperboard Company, is located in Lawton, Oklahoma and has a technologically advanced paper machine designed primarily for gypsum liner production using 100% recycled paper. The paper’s uniform cross-directional strength and finish characteristics facilitate the efficiencies of new high-speed wallboard manufacturing lines and improve the efficiencies of the slower wallboard manufacturing lines. Although the machine was designed primarily to manufacture gypsum liner products, we are also able to manufacture several alternative products, including containerboard grades and lightweight packaging grades. We currently estimate the annual capacity of our paper mill to be approximately 380,000 tons.</w:t>
      </w:r>
    </w:p>
    <w:p>
      <w:pPr>
        <w:spacing w:after="0" w:line="72" w:lineRule="exact"/>
        <w:rPr>
          <w:sz w:val="20"/>
          <w:szCs w:val="20"/>
          <w:color w:val="auto"/>
        </w:rPr>
      </w:pPr>
    </w:p>
    <w:p>
      <w:pPr>
        <w:ind w:right="20"/>
        <w:spacing w:after="0" w:line="290" w:lineRule="auto"/>
        <w:rPr>
          <w:sz w:val="20"/>
          <w:szCs w:val="20"/>
          <w:color w:val="auto"/>
        </w:rPr>
      </w:pPr>
      <w:r>
        <w:rPr>
          <w:rFonts w:ascii="Arial" w:cs="Arial" w:eastAsia="Arial" w:hAnsi="Arial"/>
          <w:sz w:val="20"/>
          <w:szCs w:val="20"/>
          <w:color w:val="auto"/>
        </w:rPr>
        <w:t>Our paper machine allows the Recycled Paperboard operation to manufacture high-strength gypsum liner that we believe is lighter in basis weight than what is generally available in the U.S. The low-basis weight product uses less recycled fiber to produce paper that, in turn, requires less energy (natural gas) to evaporate moisture from the board during the gypsum wallboard manufacturing process. The low-basis weight paper also reduces the overall finished board weight, giving our Gypsum Wallboard operations more competitive transportation costs for both the inbound and outbound segments.</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7AB05A"/>
        </w:rPr>
        <w:t>Demand, Sales, and Distribution</w:t>
      </w:r>
    </w:p>
    <w:p>
      <w:pPr>
        <w:spacing w:after="0" w:line="163" w:lineRule="exact"/>
        <w:rPr>
          <w:sz w:val="20"/>
          <w:szCs w:val="20"/>
          <w:color w:val="auto"/>
        </w:rPr>
      </w:pPr>
    </w:p>
    <w:p>
      <w:pPr>
        <w:ind w:right="80"/>
        <w:spacing w:after="0" w:line="287" w:lineRule="auto"/>
        <w:rPr>
          <w:sz w:val="20"/>
          <w:szCs w:val="20"/>
          <w:color w:val="auto"/>
        </w:rPr>
      </w:pPr>
      <w:r>
        <w:rPr>
          <w:rFonts w:ascii="Arial" w:cs="Arial" w:eastAsia="Arial" w:hAnsi="Arial"/>
          <w:sz w:val="20"/>
          <w:szCs w:val="20"/>
          <w:color w:val="auto"/>
        </w:rPr>
        <w:t>Our manufactured recycled paperboard products are sold to gypsum wallboard manufacturers and other industrial users. During fiscal 2026, approximately 40% of the recycled paperboard sold by our paper mill was consumed by the Company’s Gypsum Wallboard manufacturing operations. We have contracts with two other gypsum wallboard manufacturers that continue until either party gives two to three years advance notice of termination. These two contracts represent approximately 50% of our total segment revenue, with most of the remaining 10% of volume shipped to other gypsum wallboard manufacturers. The loss of any of these contracts or the termination or reduction of their current production of gypsum wallboard, unless replaced by a commercially similar arrangement, could have a material adverse effect on the Company.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color w:val="7AB05A"/>
        </w:rPr>
        <w:t>Raw Materials and Fuel Supplies</w:t>
      </w:r>
    </w:p>
    <w:p>
      <w:pPr>
        <w:spacing w:after="0" w:line="163" w:lineRule="exact"/>
        <w:rPr>
          <w:sz w:val="20"/>
          <w:szCs w:val="20"/>
          <w:color w:val="auto"/>
        </w:rPr>
      </w:pPr>
    </w:p>
    <w:p>
      <w:pPr>
        <w:ind w:right="100"/>
        <w:spacing w:after="0" w:line="292" w:lineRule="auto"/>
        <w:rPr>
          <w:sz w:val="20"/>
          <w:szCs w:val="20"/>
          <w:color w:val="auto"/>
        </w:rPr>
      </w:pPr>
      <w:r>
        <w:rPr>
          <w:rFonts w:ascii="Arial" w:cs="Arial" w:eastAsia="Arial" w:hAnsi="Arial"/>
          <w:sz w:val="20"/>
          <w:szCs w:val="20"/>
          <w:color w:val="auto"/>
        </w:rPr>
        <w:t>The principal raw materials in recycled paperboard are recycled paper fiber (recovered wastepaper), water, and specialty paper chemicals. The largest wastepaper source used by the operation is old corrugated containers (known as OCC). A blend of high grades (white paper grades consisting of both printed and unprinted papers such as news blank, manifold white ledger, and other paper grades) is also used in the production of gypsum liner facing paper.</w:t>
      </w:r>
    </w:p>
    <w:p>
      <w:pPr>
        <w:spacing w:after="0" w:line="71" w:lineRule="exact"/>
        <w:rPr>
          <w:sz w:val="20"/>
          <w:szCs w:val="20"/>
          <w:color w:val="auto"/>
        </w:rPr>
      </w:pPr>
    </w:p>
    <w:p>
      <w:pPr>
        <w:spacing w:after="0" w:line="287" w:lineRule="auto"/>
        <w:rPr>
          <w:sz w:val="20"/>
          <w:szCs w:val="20"/>
          <w:color w:val="auto"/>
        </w:rPr>
      </w:pPr>
      <w:r>
        <w:rPr>
          <w:rFonts w:ascii="Arial" w:cs="Arial" w:eastAsia="Arial" w:hAnsi="Arial"/>
          <w:sz w:val="20"/>
          <w:szCs w:val="20"/>
          <w:color w:val="auto"/>
        </w:rPr>
        <w:t>We believe that an adequate supply of recycled paper fiber will continue to be available from sources located in reasonable proximity to the paper mill. Although we have the capability to receive rail shipments, the vast majority of the recycled fiber we purchase is delivered via truck. Prices are subject to market fluctuations based on generation of material (supply), demand, and the presence of the export market. Fiber pricing, on average, was lower in fiscal 2026 than in fiscal 2025. Fiber prices are subject to change upon short notice due to factors outside of our control. Current gypsum liner customer contracts include price escalators that partially offset and compensate for changes in raw material fiber prices. The chemicals used in the paper-making operation, including size, retention aids, biocides, and sheet-strength additives, are available from several manufacturers at competitive prices.</w:t>
      </w:r>
    </w:p>
    <w:p>
      <w:pPr>
        <w:spacing w:after="0" w:line="75" w:lineRule="exact"/>
        <w:rPr>
          <w:sz w:val="20"/>
          <w:szCs w:val="20"/>
          <w:color w:val="auto"/>
        </w:rPr>
      </w:pPr>
    </w:p>
    <w:p>
      <w:pPr>
        <w:ind w:right="100"/>
        <w:spacing w:after="0" w:line="303" w:lineRule="auto"/>
        <w:rPr>
          <w:sz w:val="20"/>
          <w:szCs w:val="20"/>
          <w:color w:val="auto"/>
        </w:rPr>
      </w:pPr>
      <w:r>
        <w:rPr>
          <w:rFonts w:ascii="Arial" w:cs="Arial" w:eastAsia="Arial" w:hAnsi="Arial"/>
          <w:sz w:val="20"/>
          <w:szCs w:val="20"/>
          <w:color w:val="auto"/>
        </w:rPr>
        <w:t>The production of recycled paperboard involves the use of large volumes of water. We have an agreement with the City of Lawton municipal services to supply water to our manufacturing facility for the next 15 years, and we are improving our ability to recirculate our used water, which should significantly</w:t>
      </w:r>
    </w:p>
    <w:p>
      <w:pPr>
        <w:sectPr>
          <w:pgSz w:w="11880" w:h="15480" w:orient="portrait"/>
          <w:cols w:equalWidth="0" w:num="1">
            <w:col w:w="9340"/>
          </w:cols>
          <w:pgMar w:left="1260" w:top="1264" w:right="1280" w:bottom="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20</w:t>
      </w:r>
    </w:p>
    <w:p>
      <w:pPr>
        <w:sectPr>
          <w:pgSz w:w="11880" w:h="15480" w:orient="portrait"/>
          <w:cols w:equalWidth="0" w:num="1">
            <w:col w:w="9340"/>
          </w:cols>
          <w:pgMar w:left="1260" w:top="1264" w:right="1280" w:bottom="0" w:gutter="0" w:footer="0" w:header="0"/>
          <w:type w:val="continuous"/>
        </w:sectPr>
      </w:pPr>
    </w:p>
    <w:bookmarkStart w:id="28" w:name="page29"/>
    <w:bookmarkEnd w:id="28"/>
    <w:p>
      <w:pPr>
        <w:ind w:right="340"/>
        <w:spacing w:after="0" w:line="303" w:lineRule="auto"/>
        <w:rPr>
          <w:sz w:val="20"/>
          <w:szCs w:val="20"/>
          <w:color w:val="auto"/>
        </w:rPr>
      </w:pPr>
      <w:r>
        <w:rPr>
          <w:rFonts w:ascii="Arial" w:cs="Arial" w:eastAsia="Arial" w:hAnsi="Arial"/>
          <w:sz w:val="20"/>
          <w:szCs w:val="20"/>
          <w:color w:val="auto"/>
        </w:rPr>
        <w:t>reduce our consumption of fresh water. Electricity, natural gas, and other utilities are available to us at either contracted rates or standard industrial rates in adequate supplies. These utilities are subject to standard industrial curtailment provisions.</w:t>
      </w:r>
    </w:p>
    <w:p>
      <w:pPr>
        <w:spacing w:after="0" w:line="59" w:lineRule="exact"/>
        <w:rPr>
          <w:sz w:val="20"/>
          <w:szCs w:val="20"/>
          <w:color w:val="auto"/>
        </w:rPr>
      </w:pPr>
    </w:p>
    <w:p>
      <w:pPr>
        <w:ind w:right="140"/>
        <w:spacing w:after="0" w:line="286" w:lineRule="auto"/>
        <w:rPr>
          <w:sz w:val="20"/>
          <w:szCs w:val="20"/>
          <w:color w:val="auto"/>
        </w:rPr>
      </w:pPr>
      <w:r>
        <w:rPr>
          <w:rFonts w:ascii="Arial" w:cs="Arial" w:eastAsia="Arial" w:hAnsi="Arial"/>
          <w:sz w:val="20"/>
          <w:szCs w:val="20"/>
          <w:color w:val="auto"/>
        </w:rPr>
        <w:t>Paperboard operations are generally large consumers of energy, mostly natural gas and electricity. Electricity is supplied to the paper mill by Public Service of Oklahoma (PSO), and they have requested a rate increase for fiscal 2027. Oklahoma is a regulated state for electricity services, and all rate change requests must be presented to the Oklahoma Corporation Commission for review and approval before implementation. At this time, we are unable to estimate how much of the increase will be granted by the Oklahoma Corporation Commission. PSO has been moving its fuel source dependency to natural gas and investing in wind energy, which could affect our electricity rates in future years. Natural gas costs in fiscal 2026 were similar to those in fiscal 2025, and they are subject to change upon short notice due to factors beyond our control. We use forward purchase contracts to manage our exposure to future price changes.</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b w:val="1"/>
          <w:bCs w:val="1"/>
          <w:color w:val="7AB05A"/>
        </w:rPr>
        <w:t>Environmental Matters</w:t>
      </w:r>
    </w:p>
    <w:p>
      <w:pPr>
        <w:spacing w:after="0" w:line="163" w:lineRule="exact"/>
        <w:rPr>
          <w:sz w:val="20"/>
          <w:szCs w:val="20"/>
          <w:color w:val="auto"/>
        </w:rPr>
      </w:pPr>
    </w:p>
    <w:p>
      <w:pPr>
        <w:ind w:right="20"/>
        <w:spacing w:after="0" w:line="303" w:lineRule="auto"/>
        <w:rPr>
          <w:sz w:val="20"/>
          <w:szCs w:val="20"/>
          <w:color w:val="auto"/>
        </w:rPr>
      </w:pPr>
      <w:r>
        <w:rPr>
          <w:rFonts w:ascii="Arial" w:cs="Arial" w:eastAsia="Arial" w:hAnsi="Arial"/>
          <w:sz w:val="20"/>
          <w:szCs w:val="20"/>
          <w:color w:val="auto"/>
        </w:rPr>
        <w:t>We did not have any capital expenditures related to compliance with environmental regulations applicable to our Recycled Paperboard operations during fiscal 2026, and we do not anticipate any capital expenditures related to compliance with environmental regulations during fiscal 2027.</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00085E"/>
        </w:rPr>
        <w:t>WHERE YOU CAN FIND MORE INFORMATION</w:t>
      </w:r>
    </w:p>
    <w:p>
      <w:pPr>
        <w:spacing w:after="0" w:line="163" w:lineRule="exact"/>
        <w:rPr>
          <w:sz w:val="20"/>
          <w:szCs w:val="20"/>
          <w:color w:val="auto"/>
        </w:rPr>
      </w:pPr>
    </w:p>
    <w:p>
      <w:pPr>
        <w:spacing w:after="0" w:line="292" w:lineRule="auto"/>
        <w:rPr>
          <w:sz w:val="20"/>
          <w:szCs w:val="20"/>
          <w:color w:val="auto"/>
        </w:rPr>
      </w:pPr>
      <w:r>
        <w:rPr>
          <w:rFonts w:ascii="Arial" w:cs="Arial" w:eastAsia="Arial" w:hAnsi="Arial"/>
          <w:sz w:val="20"/>
          <w:szCs w:val="20"/>
          <w:color w:val="auto"/>
        </w:rPr>
        <w:t xml:space="preserve">We publish our annual reports on Form 10-K and Form DEF 14A, Annual Proxy Statement; our quarterly reports on Form 10-Q; and current reports on Form 8-K. These reports, along with all amendments to them, are available free of charge through the Investor Relations page of our website, </w:t>
      </w:r>
      <w:r>
        <w:rPr>
          <w:rFonts w:ascii="Arial" w:cs="Arial" w:eastAsia="Arial" w:hAnsi="Arial"/>
          <w:sz w:val="20"/>
          <w:szCs w:val="20"/>
          <w:i w:val="1"/>
          <w:iCs w:val="1"/>
          <w:u w:val="single" w:color="auto"/>
          <w:color w:val="001987"/>
        </w:rPr>
        <w:t>eaglematerials.com</w:t>
      </w:r>
      <w:r>
        <w:rPr>
          <w:rFonts w:ascii="Arial" w:cs="Arial" w:eastAsia="Arial" w:hAnsi="Arial"/>
          <w:sz w:val="20"/>
          <w:szCs w:val="20"/>
          <w:color w:val="auto"/>
        </w:rPr>
        <w:t xml:space="preserve"> as soon as reasonably practicable after they are filed with or furnished to the Securities and Exchange Commission (SEC).</w:t>
      </w:r>
    </w:p>
    <w:p>
      <w:pPr>
        <w:spacing w:after="0" w:line="71" w:lineRule="exact"/>
        <w:rPr>
          <w:sz w:val="20"/>
          <w:szCs w:val="20"/>
          <w:color w:val="auto"/>
        </w:rPr>
      </w:pPr>
    </w:p>
    <w:p>
      <w:pPr>
        <w:ind w:right="160"/>
        <w:spacing w:after="0" w:line="289" w:lineRule="auto"/>
        <w:rPr>
          <w:sz w:val="20"/>
          <w:szCs w:val="20"/>
          <w:color w:val="auto"/>
        </w:rPr>
      </w:pPr>
      <w:r>
        <w:rPr>
          <w:rFonts w:ascii="Arial" w:cs="Arial" w:eastAsia="Arial" w:hAnsi="Arial"/>
          <w:sz w:val="20"/>
          <w:szCs w:val="20"/>
          <w:color w:val="auto"/>
        </w:rPr>
        <w:t xml:space="preserve">The Company also has a Code of Ethics, Human Rights Policy, Code of Vendor Conduct, and Occupational Health and Safety Policy, which can be accessed on our website, as well. Our Corporate Governance Guidelines and Stock Ownership Guidelines, as well as the charters for the Audit; Compensation; and Corporate Governance, Nominating and Sustainability Committees of the Board are also available on our website. All of these Corporate Governance and Board Committee Charter documents are available at </w:t>
      </w:r>
      <w:r>
        <w:rPr>
          <w:rFonts w:ascii="Arial" w:cs="Arial" w:eastAsia="Arial" w:hAnsi="Arial"/>
          <w:sz w:val="20"/>
          <w:szCs w:val="20"/>
          <w:i w:val="1"/>
          <w:iCs w:val="1"/>
          <w:u w:val="single" w:color="auto"/>
          <w:color w:val="001987"/>
        </w:rPr>
        <w:t>ir.eaglematerials.com/corporate-governance</w:t>
      </w:r>
      <w:r>
        <w:rPr>
          <w:rFonts w:ascii="Arial" w:cs="Arial" w:eastAsia="Arial" w:hAnsi="Arial"/>
          <w:sz w:val="20"/>
          <w:szCs w:val="20"/>
          <w:color w:val="auto"/>
        </w:rPr>
        <w:t xml:space="preserve">. Our Sustainability Report is available at </w:t>
      </w:r>
      <w:r>
        <w:rPr>
          <w:rFonts w:ascii="Arial" w:cs="Arial" w:eastAsia="Arial" w:hAnsi="Arial"/>
          <w:sz w:val="20"/>
          <w:szCs w:val="20"/>
          <w:i w:val="1"/>
          <w:iCs w:val="1"/>
          <w:u w:val="single" w:color="auto"/>
          <w:color w:val="001987"/>
        </w:rPr>
        <w:t>eaglematerials.com</w:t>
      </w:r>
      <w:r>
        <w:rPr>
          <w:rFonts w:ascii="Arial" w:cs="Arial" w:eastAsia="Arial" w:hAnsi="Arial"/>
          <w:sz w:val="20"/>
          <w:szCs w:val="20"/>
          <w:color w:val="auto"/>
        </w:rPr>
        <w:t>.</w:t>
      </w:r>
    </w:p>
    <w:p>
      <w:pPr>
        <w:spacing w:after="0" w:line="71" w:lineRule="exact"/>
        <w:rPr>
          <w:sz w:val="20"/>
          <w:szCs w:val="20"/>
          <w:color w:val="auto"/>
        </w:rPr>
      </w:pPr>
    </w:p>
    <w:p>
      <w:pPr>
        <w:ind w:right="80"/>
        <w:spacing w:after="0" w:line="292" w:lineRule="auto"/>
        <w:rPr>
          <w:sz w:val="20"/>
          <w:szCs w:val="20"/>
          <w:color w:val="auto"/>
        </w:rPr>
      </w:pPr>
      <w:r>
        <w:rPr>
          <w:rFonts w:ascii="Arial" w:cs="Arial" w:eastAsia="Arial" w:hAnsi="Arial"/>
          <w:sz w:val="20"/>
          <w:szCs w:val="20"/>
          <w:color w:val="auto"/>
        </w:rPr>
        <w:t>These references to our website are intended solely to inform investors where they may obtain additional information; the materials and other information presented on our website are not incorporated in and should not otherwise be considered part of this Report. Additionally, investors may obtain information by contacting our Investor Relations department directly at (214) 432-2000 or by writing to Eagle Materials Inc., Investor Relations, 5960 Berkshire Lane, Suite 900, Dallas, Texas 75225.</w:t>
      </w:r>
    </w:p>
    <w:p>
      <w:pPr>
        <w:sectPr>
          <w:pgSz w:w="11880" w:h="15480" w:orient="portrait"/>
          <w:cols w:equalWidth="0" w:num="1">
            <w:col w:w="9340"/>
          </w:cols>
          <w:pgMar w:left="1260" w:top="1267"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21</w:t>
      </w:r>
    </w:p>
    <w:p>
      <w:pPr>
        <w:sectPr>
          <w:pgSz w:w="11880" w:h="15480" w:orient="portrait"/>
          <w:cols w:equalWidth="0" w:num="1">
            <w:col w:w="9340"/>
          </w:cols>
          <w:pgMar w:left="1260" w:top="1267" w:right="1280" w:bottom="0" w:gutter="0" w:footer="0" w:header="0"/>
          <w:type w:val="continuous"/>
        </w:sectPr>
      </w:pPr>
    </w:p>
    <w:bookmarkStart w:id="29" w:name="page30"/>
    <w:bookmarkEnd w:id="29"/>
    <w:p>
      <w:pPr>
        <w:spacing w:after="0"/>
        <w:rPr>
          <w:sz w:val="20"/>
          <w:szCs w:val="20"/>
          <w:color w:val="auto"/>
        </w:rPr>
      </w:pPr>
      <w:r>
        <w:rPr>
          <w:rFonts w:ascii="Arial" w:cs="Arial" w:eastAsia="Arial" w:hAnsi="Arial"/>
          <w:sz w:val="26"/>
          <w:szCs w:val="26"/>
          <w:b w:val="1"/>
          <w:bCs w:val="1"/>
          <w:color w:val="auto"/>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5943600" cy="12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0">
                      <a:extLst>
                        <a:ext uri="{28A0092B-C50C-407E-A947-70E740481C1C}"/>
                      </a:extLst>
                    </a:blip>
                    <a:srcRect/>
                    <a:stretch>
                      <a:fillRect/>
                    </a:stretch>
                  </pic:blipFill>
                  <pic:spPr bwMode="auto">
                    <a:xfrm>
                      <a:off x="0" y="0"/>
                      <a:ext cx="5943600" cy="12700"/>
                    </a:xfrm>
                    <a:prstGeom prst="rect">
                      <a:avLst/>
                    </a:prstGeom>
                    <a:noFill/>
                  </pic:spPr>
                </pic:pic>
              </a:graphicData>
            </a:graphic>
          </wp:anchor>
        </w:drawing>
      </w:r>
    </w:p>
    <w:p>
      <w:pPr>
        <w:spacing w:after="0" w:line="178" w:lineRule="exact"/>
        <w:rPr>
          <w:sz w:val="20"/>
          <w:szCs w:val="20"/>
          <w:color w:val="auto"/>
        </w:rPr>
      </w:pPr>
    </w:p>
    <w:p>
      <w:pPr>
        <w:ind w:right="20"/>
        <w:spacing w:after="0" w:line="289" w:lineRule="auto"/>
        <w:rPr>
          <w:sz w:val="20"/>
          <w:szCs w:val="20"/>
          <w:color w:val="auto"/>
        </w:rPr>
      </w:pPr>
      <w:r>
        <w:rPr>
          <w:rFonts w:ascii="Arial" w:cs="Arial" w:eastAsia="Arial" w:hAnsi="Arial"/>
          <w:sz w:val="20"/>
          <w:szCs w:val="20"/>
          <w:color w:val="00085E"/>
        </w:rPr>
        <w:t>The foregoing discussion of our business and operations should be read together with the risk factors set forth below. They describe various risks and uncertainties to which we are or may become subject, many of which are outside of our control. These risks and uncertainties have affected, or may in the future affect, our business, operations, financial condition, and results of operations in a material and adverse manner. Some statements in the following risk factors constitute forward-looking statements. For more information, please see “Forward-Looking Statements” in Item 7. Management’s Discussion and Analysis of Financial Condition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00085E"/>
        </w:rPr>
        <w:t>INDUSTRY RISK FACTORS</w:t>
      </w:r>
    </w:p>
    <w:p>
      <w:pPr>
        <w:spacing w:after="0" w:line="131" w:lineRule="exact"/>
        <w:rPr>
          <w:sz w:val="20"/>
          <w:szCs w:val="20"/>
          <w:color w:val="auto"/>
        </w:rPr>
      </w:pPr>
    </w:p>
    <w:p>
      <w:pPr>
        <w:ind w:right="180"/>
        <w:spacing w:after="0" w:line="298" w:lineRule="auto"/>
        <w:rPr>
          <w:sz w:val="20"/>
          <w:szCs w:val="20"/>
          <w:color w:val="auto"/>
        </w:rPr>
      </w:pPr>
      <w:r>
        <w:rPr>
          <w:rFonts w:ascii="Arial Narrow" w:cs="Arial Narrow" w:eastAsia="Arial Narrow" w:hAnsi="Arial Narrow"/>
          <w:sz w:val="22"/>
          <w:szCs w:val="22"/>
          <w:i w:val="1"/>
          <w:iCs w:val="1"/>
          <w:color w:val="00085E"/>
        </w:rPr>
        <w:t>We are affected by the level of demand in the construction industry and are dependent on funding by federal, state and local governments.</w:t>
      </w:r>
    </w:p>
    <w:p>
      <w:pPr>
        <w:spacing w:after="0" w:line="56" w:lineRule="exact"/>
        <w:rPr>
          <w:sz w:val="20"/>
          <w:szCs w:val="20"/>
          <w:color w:val="auto"/>
        </w:rPr>
      </w:pPr>
    </w:p>
    <w:p>
      <w:pPr>
        <w:spacing w:after="0" w:line="292" w:lineRule="auto"/>
        <w:rPr>
          <w:sz w:val="20"/>
          <w:szCs w:val="20"/>
          <w:color w:val="auto"/>
        </w:rPr>
      </w:pPr>
      <w:r>
        <w:rPr>
          <w:rFonts w:ascii="Arial" w:cs="Arial" w:eastAsia="Arial" w:hAnsi="Arial"/>
          <w:sz w:val="20"/>
          <w:szCs w:val="20"/>
          <w:color w:val="auto"/>
        </w:rPr>
        <w:t>Demand for our construction products and building materials is directly related to the level of activity in the construction industry, which includes residential, commercial, and infrastructure construction. Our products are used in a variety of public infrastructure projects that are funded and financed by federal, state, and local governments, including public construction projects to build, expand and repair roads and highways. Our products are also essential to commercial and residential construction.</w:t>
      </w:r>
    </w:p>
    <w:p>
      <w:pPr>
        <w:spacing w:after="0" w:line="71" w:lineRule="exact"/>
        <w:rPr>
          <w:sz w:val="20"/>
          <w:szCs w:val="20"/>
          <w:color w:val="auto"/>
        </w:rPr>
      </w:pPr>
    </w:p>
    <w:p>
      <w:pPr>
        <w:ind w:right="20"/>
        <w:spacing w:after="0" w:line="270" w:lineRule="exact"/>
        <w:rPr>
          <w:sz w:val="20"/>
          <w:szCs w:val="20"/>
          <w:color w:val="auto"/>
        </w:rPr>
      </w:pPr>
      <w:r>
        <w:rPr>
          <w:rFonts w:ascii="Arial" w:cs="Arial" w:eastAsia="Arial" w:hAnsi="Arial"/>
          <w:sz w:val="20"/>
          <w:szCs w:val="20"/>
          <w:color w:val="auto"/>
        </w:rPr>
        <w:t>A significant portion of our revenue is generated from publicly</w:t>
      </w:r>
      <w:r>
        <w:rPr>
          <w:rFonts w:ascii="MS Gothic" w:cs="MS Gothic" w:eastAsia="MS Gothic" w:hAnsi="MS Gothic"/>
          <w:sz w:val="20"/>
          <w:szCs w:val="20"/>
          <w:color w:val="auto"/>
        </w:rPr>
        <w:t>-</w:t>
      </w:r>
      <w:r>
        <w:rPr>
          <w:rFonts w:ascii="Arial" w:cs="Arial" w:eastAsia="Arial" w:hAnsi="Arial"/>
          <w:sz w:val="20"/>
          <w:szCs w:val="20"/>
          <w:color w:val="auto"/>
        </w:rPr>
        <w:t>funded construction projects. Under U.S. law, annual funding levels for highways is subject to yearly appropriation reviews. The uncertainties associated with these reviews or other factors could result in states being reluctant to undertake large multi-year highway projects. In general, there can be no assurance as to the amount and timing of appropriations for spending on federal, state, or local projects. A government shutdown, and other similar budgetary impasses or reductions, may contribute to uncertainty regarding government spending and may have adverse effects on the economy. Any decrease in the amount of government funds available for such projects could have a material adverse effect on our business, financial condition, and results of operations.</w:t>
      </w:r>
    </w:p>
    <w:p>
      <w:pPr>
        <w:spacing w:after="0" w:line="127" w:lineRule="exact"/>
        <w:rPr>
          <w:sz w:val="20"/>
          <w:szCs w:val="20"/>
          <w:color w:val="auto"/>
        </w:rPr>
      </w:pPr>
    </w:p>
    <w:p>
      <w:pPr>
        <w:ind w:right="140"/>
        <w:spacing w:after="0" w:line="287" w:lineRule="auto"/>
        <w:rPr>
          <w:sz w:val="20"/>
          <w:szCs w:val="20"/>
          <w:color w:val="auto"/>
        </w:rPr>
      </w:pPr>
      <w:r>
        <w:rPr>
          <w:rFonts w:ascii="Arial" w:cs="Arial" w:eastAsia="Arial" w:hAnsi="Arial"/>
          <w:sz w:val="20"/>
          <w:szCs w:val="20"/>
          <w:color w:val="auto"/>
        </w:rPr>
        <w:t>The strength of the construction industry is also substantially affected by macroeconomic and other factors beyond our control. For example, previous rises in inflation and interest rates have negatively affected the construction industry by, among other things, increasing material costs and decreasing demand for some construction products. While we cannot predict the extent to which inflation or interest rates will fluctuate, any increases could result in a reduction in residential or commercial activity, which could have a material adverse effect on our business, financial condition, and results of operations. In addition, demand for our products sold to the residential and commercial construction industries could decline if our customers cannot obtain funding for construction projects or if the costs of obtaining such funding increase, or due to other market factors such as labor shortages and supply chain issues.</w:t>
      </w:r>
    </w:p>
    <w:p>
      <w:pPr>
        <w:spacing w:after="0" w:line="52" w:lineRule="exact"/>
        <w:rPr>
          <w:sz w:val="20"/>
          <w:szCs w:val="20"/>
          <w:color w:val="auto"/>
        </w:rPr>
      </w:pPr>
    </w:p>
    <w:p>
      <w:pPr>
        <w:ind w:right="400"/>
        <w:spacing w:after="0" w:line="298" w:lineRule="auto"/>
        <w:rPr>
          <w:sz w:val="20"/>
          <w:szCs w:val="20"/>
          <w:color w:val="auto"/>
        </w:rPr>
      </w:pPr>
      <w:r>
        <w:rPr>
          <w:rFonts w:ascii="Arial Narrow" w:cs="Arial Narrow" w:eastAsia="Arial Narrow" w:hAnsi="Arial Narrow"/>
          <w:sz w:val="22"/>
          <w:szCs w:val="22"/>
          <w:i w:val="1"/>
          <w:iCs w:val="1"/>
          <w:color w:val="00085E"/>
        </w:rPr>
        <w:t>Our business is seasonal and subject to the risk of unfavorable weather conditions, as well as other unexpected operational difficulties, which could have a material adverse effect on us.</w:t>
      </w:r>
    </w:p>
    <w:p>
      <w:pPr>
        <w:spacing w:after="0" w:line="56" w:lineRule="exact"/>
        <w:rPr>
          <w:sz w:val="20"/>
          <w:szCs w:val="20"/>
          <w:color w:val="auto"/>
        </w:rPr>
      </w:pPr>
    </w:p>
    <w:p>
      <w:pPr>
        <w:ind w:right="20"/>
        <w:spacing w:after="0" w:line="289" w:lineRule="auto"/>
        <w:rPr>
          <w:sz w:val="20"/>
          <w:szCs w:val="20"/>
          <w:color w:val="auto"/>
        </w:rPr>
      </w:pPr>
      <w:r>
        <w:rPr>
          <w:rFonts w:ascii="Arial" w:cs="Arial" w:eastAsia="Arial" w:hAnsi="Arial"/>
          <w:sz w:val="20"/>
          <w:szCs w:val="20"/>
          <w:color w:val="auto"/>
        </w:rPr>
        <w:t>Unfavorable weather conditions, such as snow, cold weather, tornadoes, hurricanes, tropical storms, and heavy or sustained rainfall or flooding, can reduce construction activity and adversely affect demand for construction products. In addition, severe weather conditions can impair our ability to continue our operations, and even require the closure of certain of our facilities on a temporary or extended basis. Weather conditions also have the potential to increase our costs (including the cost of natural gas and electric power), reduce our production, or impede our ability to transport our products in an efficient and cost-effective manner.</w:t>
      </w:r>
    </w:p>
    <w:p>
      <w:pPr>
        <w:sectPr>
          <w:pgSz w:w="11880" w:h="15480" w:orient="portrait"/>
          <w:cols w:equalWidth="0" w:num="1">
            <w:col w:w="9300"/>
          </w:cols>
          <w:pgMar w:left="1260" w:top="1201" w:right="1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22</w:t>
      </w:r>
    </w:p>
    <w:p>
      <w:pPr>
        <w:sectPr>
          <w:pgSz w:w="11880" w:h="15480" w:orient="portrait"/>
          <w:cols w:equalWidth="0" w:num="1">
            <w:col w:w="9300"/>
          </w:cols>
          <w:pgMar w:left="1260" w:top="1201" w:right="1320" w:bottom="0" w:gutter="0" w:footer="0" w:header="0"/>
          <w:type w:val="continuous"/>
        </w:sectPr>
      </w:pPr>
    </w:p>
    <w:bookmarkStart w:id="30" w:name="page31"/>
    <w:bookmarkEnd w:id="30"/>
    <w:p>
      <w:pPr>
        <w:ind w:right="40"/>
        <w:spacing w:after="0" w:line="303" w:lineRule="auto"/>
        <w:rPr>
          <w:sz w:val="20"/>
          <w:szCs w:val="20"/>
          <w:color w:val="auto"/>
        </w:rPr>
      </w:pPr>
      <w:r>
        <w:rPr>
          <w:rFonts w:ascii="Arial" w:cs="Arial" w:eastAsia="Arial" w:hAnsi="Arial"/>
          <w:sz w:val="20"/>
          <w:szCs w:val="20"/>
          <w:color w:val="auto"/>
        </w:rPr>
        <w:t>Similarly, operational difficulties, such as those resulting from required maintenance, capital improvement projects, loss of power, or pandemics, epidemics, or other public health emergencies can interrupt our business activities, increase our costs and reduce our production.</w:t>
      </w:r>
    </w:p>
    <w:p>
      <w:pPr>
        <w:spacing w:after="0" w:line="59" w:lineRule="exact"/>
        <w:rPr>
          <w:sz w:val="20"/>
          <w:szCs w:val="20"/>
          <w:color w:val="auto"/>
        </w:rPr>
      </w:pPr>
    </w:p>
    <w:p>
      <w:pPr>
        <w:ind w:right="140"/>
        <w:spacing w:after="0" w:line="289" w:lineRule="auto"/>
        <w:rPr>
          <w:sz w:val="20"/>
          <w:szCs w:val="20"/>
          <w:color w:val="auto"/>
        </w:rPr>
      </w:pPr>
      <w:r>
        <w:rPr>
          <w:rFonts w:ascii="Arial" w:cs="Arial" w:eastAsia="Arial" w:hAnsi="Arial"/>
          <w:sz w:val="20"/>
          <w:szCs w:val="20"/>
          <w:color w:val="auto"/>
        </w:rPr>
        <w:t>A majority of our business is seasonal with peak revenue and profits occurring primarily in the months of April through November when the weather in our markets tends to be more favorable for construction activity. Therefore, the effect of these risks can be more pronounced during these months, during which any reduction in demand or production could have a disproportionately large effect on our sales and operating profits. Quarterly results have varied significantly in the past and are likely to vary significantly in the future. Such variations could have a negative impact on our results of operations and the price of our common stock.</w:t>
      </w:r>
    </w:p>
    <w:p>
      <w:pPr>
        <w:spacing w:after="0" w:line="49" w:lineRule="exact"/>
        <w:rPr>
          <w:sz w:val="20"/>
          <w:szCs w:val="20"/>
          <w:color w:val="auto"/>
        </w:rPr>
      </w:pPr>
    </w:p>
    <w:p>
      <w:pPr>
        <w:ind w:right="880"/>
        <w:spacing w:after="0" w:line="298" w:lineRule="auto"/>
        <w:rPr>
          <w:sz w:val="20"/>
          <w:szCs w:val="20"/>
          <w:color w:val="auto"/>
        </w:rPr>
      </w:pPr>
      <w:r>
        <w:rPr>
          <w:rFonts w:ascii="Arial Narrow" w:cs="Arial Narrow" w:eastAsia="Arial Narrow" w:hAnsi="Arial Narrow"/>
          <w:sz w:val="22"/>
          <w:szCs w:val="22"/>
          <w:i w:val="1"/>
          <w:iCs w:val="1"/>
          <w:color w:val="00085E"/>
        </w:rPr>
        <w:t>We and our customers participate in cyclical industries and regional markets, which are subject to industry downturns.</w:t>
      </w:r>
    </w:p>
    <w:p>
      <w:pPr>
        <w:spacing w:after="0" w:line="56" w:lineRule="exact"/>
        <w:rPr>
          <w:sz w:val="20"/>
          <w:szCs w:val="20"/>
          <w:color w:val="auto"/>
        </w:rPr>
      </w:pPr>
    </w:p>
    <w:p>
      <w:pPr>
        <w:ind w:right="20"/>
        <w:spacing w:after="0" w:line="286" w:lineRule="auto"/>
        <w:rPr>
          <w:sz w:val="20"/>
          <w:szCs w:val="20"/>
          <w:color w:val="auto"/>
        </w:rPr>
      </w:pPr>
      <w:r>
        <w:rPr>
          <w:rFonts w:ascii="Arial" w:cs="Arial" w:eastAsia="Arial" w:hAnsi="Arial"/>
          <w:sz w:val="20"/>
          <w:szCs w:val="20"/>
          <w:color w:val="auto"/>
        </w:rPr>
        <w:t>A majority of our revenue is from customers who are in industries and businesses that are cyclical in nature and subject to changes in general economic conditions. For example, many of our customers operate in the construction industry, which is affected by a variety of factors, such as general economic conditions, the availability of credit, changes in interest rates, demographic and population shifts, levels of infrastructure spending, consumer confidence, demands, and preferences, and other factors beyond our control. In addition, since our operations are in a variety of geographic markets, our businesses are subject to differing economic conditions in each such geographic market. Economic downturns in the industries to which we sell our products or localized downturns in the regions where we have operations generally have an adverse effect on demand for our products and negatively affect the collectability of our receivables. In general, any downturns in these industries or regions could have a material adverse effect on our business, financial condition, and results of operations.</w:t>
      </w:r>
    </w:p>
    <w:p>
      <w:pPr>
        <w:spacing w:after="0" w:line="53" w:lineRule="exact"/>
        <w:rPr>
          <w:sz w:val="20"/>
          <w:szCs w:val="20"/>
          <w:color w:val="auto"/>
        </w:rPr>
      </w:pPr>
    </w:p>
    <w:p>
      <w:pPr>
        <w:ind w:right="380"/>
        <w:spacing w:after="0" w:line="298" w:lineRule="auto"/>
        <w:rPr>
          <w:sz w:val="20"/>
          <w:szCs w:val="20"/>
          <w:color w:val="auto"/>
        </w:rPr>
      </w:pPr>
      <w:r>
        <w:rPr>
          <w:rFonts w:ascii="Arial Narrow" w:cs="Arial Narrow" w:eastAsia="Arial Narrow" w:hAnsi="Arial Narrow"/>
          <w:sz w:val="22"/>
          <w:szCs w:val="22"/>
          <w:i w:val="1"/>
          <w:iCs w:val="1"/>
          <w:color w:val="00085E"/>
        </w:rPr>
        <w:t>Many of our products are commodities, which are subject to significant changes in supply and demand and price fluctuations.</w:t>
      </w:r>
    </w:p>
    <w:p>
      <w:pPr>
        <w:spacing w:after="0" w:line="56" w:lineRule="exact"/>
        <w:rPr>
          <w:sz w:val="20"/>
          <w:szCs w:val="20"/>
          <w:color w:val="auto"/>
        </w:rPr>
      </w:pPr>
    </w:p>
    <w:p>
      <w:pPr>
        <w:spacing w:after="0" w:line="286" w:lineRule="auto"/>
        <w:rPr>
          <w:sz w:val="20"/>
          <w:szCs w:val="20"/>
          <w:color w:val="auto"/>
        </w:rPr>
      </w:pPr>
      <w:r>
        <w:rPr>
          <w:rFonts w:ascii="Arial" w:cs="Arial" w:eastAsia="Arial" w:hAnsi="Arial"/>
          <w:sz w:val="20"/>
          <w:szCs w:val="20"/>
          <w:color w:val="auto"/>
        </w:rPr>
        <w:t>Many of the products sold by us are commodities, and competition among manufacturers is based largely on price. Prices are often subject to material changes in response to relatively minor fluctuations in supply and demand, general economic conditions, and other market conditions beyond our control. Increases in the production capacity of industry participants for products such as gypsum wallboard or cement (including in connection with the increased use of Limestone Cement) or increases in cement imports tend to create an oversupply of such products leading to an imbalance between supply and demand, which can have a negative impact on product prices. Currently, there continues to be significant excess nameplate capacity in the gypsum wallboard industry in the United States. There can be no assurance that prices for products sold by us will not decline in the future or that such declines will not have a material adverse effect on our business, financial condition, and results of operations.</w:t>
      </w:r>
    </w:p>
    <w:p>
      <w:pPr>
        <w:spacing w:after="0" w:line="57" w:lineRule="exact"/>
        <w:rPr>
          <w:sz w:val="20"/>
          <w:szCs w:val="20"/>
          <w:color w:val="auto"/>
        </w:rPr>
      </w:pPr>
    </w:p>
    <w:p>
      <w:pPr>
        <w:ind w:right="520"/>
        <w:spacing w:after="0" w:line="298" w:lineRule="auto"/>
        <w:rPr>
          <w:sz w:val="20"/>
          <w:szCs w:val="20"/>
          <w:color w:val="auto"/>
        </w:rPr>
      </w:pPr>
      <w:r>
        <w:rPr>
          <w:rFonts w:ascii="Arial Narrow" w:cs="Arial Narrow" w:eastAsia="Arial Narrow" w:hAnsi="Arial Narrow"/>
          <w:sz w:val="22"/>
          <w:szCs w:val="22"/>
          <w:i w:val="1"/>
          <w:iCs w:val="1"/>
          <w:color w:val="00085E"/>
        </w:rPr>
        <w:t>Our businesses operate in highly competitive industries, which contain many competitors and competition from alternative products.</w:t>
      </w:r>
    </w:p>
    <w:p>
      <w:pPr>
        <w:spacing w:after="0" w:line="56" w:lineRule="exact"/>
        <w:rPr>
          <w:sz w:val="20"/>
          <w:szCs w:val="20"/>
          <w:color w:val="auto"/>
        </w:rPr>
      </w:pPr>
    </w:p>
    <w:p>
      <w:pPr>
        <w:ind w:right="20"/>
        <w:spacing w:after="0" w:line="289" w:lineRule="auto"/>
        <w:rPr>
          <w:sz w:val="20"/>
          <w:szCs w:val="20"/>
          <w:color w:val="auto"/>
        </w:rPr>
      </w:pPr>
      <w:r>
        <w:rPr>
          <w:rFonts w:ascii="Arial" w:cs="Arial" w:eastAsia="Arial" w:hAnsi="Arial"/>
          <w:sz w:val="20"/>
          <w:szCs w:val="20"/>
          <w:color w:val="auto"/>
        </w:rPr>
        <w:t>Our businesses have many domestic and international competitors, some of which are bigger and have more resources than we do. Our results of operations in a particular market are affected by the number of competitors in a market, the production capacity that such market can accommodate, the pricing practices of other competitors, and the entry of new competitors in a market. We also face competition for some of our products from alternative products, new product technologies, modified production and distribution processes, and alternative business models. For example, in the case of alternative products and new product technologies, efforts are underway by our existing competitors and new entrants to,</w:t>
      </w:r>
    </w:p>
    <w:p>
      <w:pPr>
        <w:sectPr>
          <w:pgSz w:w="11880" w:h="15480" w:orient="portrait"/>
          <w:cols w:equalWidth="0" w:num="1">
            <w:col w:w="9340"/>
          </w:cols>
          <w:pgMar w:left="1260" w:top="1267"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23</w:t>
      </w:r>
    </w:p>
    <w:p>
      <w:pPr>
        <w:sectPr>
          <w:pgSz w:w="11880" w:h="15480" w:orient="portrait"/>
          <w:cols w:equalWidth="0" w:num="1">
            <w:col w:w="9340"/>
          </w:cols>
          <w:pgMar w:left="1260" w:top="1267" w:right="1280" w:bottom="0" w:gutter="0" w:footer="0" w:header="0"/>
          <w:type w:val="continuous"/>
        </w:sectPr>
      </w:pPr>
    </w:p>
    <w:bookmarkStart w:id="31" w:name="page32"/>
    <w:bookmarkEnd w:id="31"/>
    <w:p>
      <w:pPr>
        <w:ind w:right="100"/>
        <w:spacing w:after="0" w:line="288" w:lineRule="auto"/>
        <w:rPr>
          <w:sz w:val="20"/>
          <w:szCs w:val="20"/>
          <w:color w:val="auto"/>
        </w:rPr>
      </w:pPr>
      <w:r>
        <w:rPr>
          <w:rFonts w:ascii="Arial" w:cs="Arial" w:eastAsia="Arial" w:hAnsi="Arial"/>
          <w:sz w:val="20"/>
          <w:szCs w:val="20"/>
          <w:color w:val="auto"/>
        </w:rPr>
        <w:t>among other things, increase the usage of cement substitutes (including silicate minerals and calcinated clay) in the production of cement. Our Concrete and Aggregates segment competes with recycled concrete products that can be used in certain applications instead of new products, and our cement operations compete with competitors who import products into the United States from jurisdictions with lower production and regulatory costs. In general, we operate in a competitive market and any significant increase in competition or unfavorable change in competitive circumstances could lead to lower prices or lower sales volumes, which could adversely affect our business, financial condition, or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00085E"/>
        </w:rPr>
        <w:t>ECONOMIC, POLITICAL, AND LEGAL RISK FACTORS</w:t>
      </w:r>
    </w:p>
    <w:p>
      <w:pPr>
        <w:spacing w:after="0" w:line="131" w:lineRule="exact"/>
        <w:rPr>
          <w:sz w:val="20"/>
          <w:szCs w:val="20"/>
          <w:color w:val="auto"/>
        </w:rPr>
      </w:pPr>
    </w:p>
    <w:p>
      <w:pPr>
        <w:spacing w:after="0" w:line="298" w:lineRule="auto"/>
        <w:rPr>
          <w:sz w:val="20"/>
          <w:szCs w:val="20"/>
          <w:color w:val="auto"/>
        </w:rPr>
      </w:pPr>
      <w:r>
        <w:rPr>
          <w:rFonts w:ascii="Arial Narrow" w:cs="Arial Narrow" w:eastAsia="Arial Narrow" w:hAnsi="Arial Narrow"/>
          <w:sz w:val="22"/>
          <w:szCs w:val="22"/>
          <w:i w:val="1"/>
          <w:iCs w:val="1"/>
          <w:color w:val="00085E"/>
        </w:rPr>
        <w:t>Our and our customers’ operations are subject to extensive governmental regulation, including environmental, health, and safety laws, which can be costly and burdensome.</w:t>
      </w:r>
    </w:p>
    <w:p>
      <w:pPr>
        <w:spacing w:after="0" w:line="56" w:lineRule="exact"/>
        <w:rPr>
          <w:sz w:val="20"/>
          <w:szCs w:val="20"/>
          <w:color w:val="auto"/>
        </w:rPr>
      </w:pPr>
    </w:p>
    <w:p>
      <w:pPr>
        <w:ind w:right="100"/>
        <w:spacing w:after="0" w:line="288" w:lineRule="auto"/>
        <w:rPr>
          <w:sz w:val="20"/>
          <w:szCs w:val="20"/>
          <w:color w:val="auto"/>
        </w:rPr>
      </w:pPr>
      <w:r>
        <w:rPr>
          <w:rFonts w:ascii="Arial" w:cs="Arial" w:eastAsia="Arial" w:hAnsi="Arial"/>
          <w:sz w:val="20"/>
          <w:szCs w:val="20"/>
          <w:color w:val="auto"/>
        </w:rPr>
        <w:t>Our operations and those of our customers are subject to and affected by federal, state, and local laws and regulations with respect to a wide range of matters, including land usage, street and highway usage, noise level, as well as environmental, health and safety matters. In many instances, various certificates, permits, or licenses are required for us or our customers to conduct business or carry out construction and related operations. Although we believe we are in compliance in all material respects with applicable regulatory requirements, there can be no assurance that we will not incur material costs or liabilities in seeking to comply with existing or new laws or regulations, or that demand for our products will not be adversely affected by regulatory issues affecting our customers.</w:t>
      </w:r>
    </w:p>
    <w:p>
      <w:pPr>
        <w:spacing w:after="0" w:line="72" w:lineRule="exact"/>
        <w:rPr>
          <w:sz w:val="20"/>
          <w:szCs w:val="20"/>
          <w:color w:val="auto"/>
        </w:rPr>
      </w:pPr>
    </w:p>
    <w:p>
      <w:pPr>
        <w:spacing w:after="0" w:line="284" w:lineRule="auto"/>
        <w:rPr>
          <w:sz w:val="20"/>
          <w:szCs w:val="20"/>
          <w:color w:val="auto"/>
        </w:rPr>
      </w:pPr>
      <w:r>
        <w:rPr>
          <w:rFonts w:ascii="Arial" w:cs="Arial" w:eastAsia="Arial" w:hAnsi="Arial"/>
          <w:sz w:val="20"/>
          <w:szCs w:val="20"/>
          <w:color w:val="auto"/>
        </w:rPr>
        <w:t>Our operations are subject to certain federal environmental regulations, including those discussed above in “Environmental Matters” in the Cement and Gypsum Wallboard sections. These regulations include the CISWI Rule which applies to one of our facilities' kilns; certain permitting and control requirements for operations in states that contain at least one “area” that was designated as being in nonattainment for the 2015 ozone NAAQS; interstate transport requirements for the 2015 ozone NAAQS under the Good Neighbor Plan; and potential additional permitting and control requirements to address more stringent standards under the revised PM</w:t>
      </w:r>
      <w:r>
        <w:rPr>
          <w:rFonts w:ascii="Arial" w:cs="Arial" w:eastAsia="Arial" w:hAnsi="Arial"/>
          <w:sz w:val="13"/>
          <w:szCs w:val="13"/>
          <w:color w:val="auto"/>
        </w:rPr>
        <w:t>2.5</w:t>
      </w:r>
      <w:r>
        <w:rPr>
          <w:rFonts w:ascii="Arial" w:cs="Arial" w:eastAsia="Arial" w:hAnsi="Arial"/>
          <w:sz w:val="20"/>
          <w:szCs w:val="20"/>
          <w:color w:val="auto"/>
        </w:rPr>
        <w:t xml:space="preserve"> NAAQS. Requirements under the Good Neighbor Plan are currently stayed, and the EPA has indicated its intent to reconsider requirements in both the Good Neighbor plan and underlying SIP disapprovals for certain states in which we operate. Nevertheless, we may ultimately be required to meet new control requirements in our facilities in these states, which may require significant capital expenditures for compliance and may cause us to incur additional operating costs or to modify or curtail the nature and scope of our operations at such facilities to meet our regulatory obligations. The EPA has also indicated its intent to reconsider requirements in the revised PM</w:t>
      </w:r>
      <w:r>
        <w:rPr>
          <w:rFonts w:ascii="Arial" w:cs="Arial" w:eastAsia="Arial" w:hAnsi="Arial"/>
          <w:sz w:val="13"/>
          <w:szCs w:val="13"/>
          <w:color w:val="auto"/>
        </w:rPr>
        <w:t>2.5</w:t>
      </w:r>
      <w:r>
        <w:rPr>
          <w:rFonts w:ascii="Arial" w:cs="Arial" w:eastAsia="Arial" w:hAnsi="Arial"/>
          <w:sz w:val="20"/>
          <w:szCs w:val="20"/>
          <w:color w:val="auto"/>
        </w:rPr>
        <w:t xml:space="preserve"> NAAQS; however, the timing for any reconsideration action is uncertain, and we may ultimately be similarly impacted by these requirements. For further information regarding these matters, please refer to Item 1. Business - Industry Segment Information. We have incurred, and in the future expect to incur, significant capital and operating expenditures to comply with such laws and regulations. The cost of complying with such laws and regulations could significantly affect our businesses.</w:t>
      </w:r>
    </w:p>
    <w:p>
      <w:pPr>
        <w:spacing w:after="0" w:line="81" w:lineRule="exact"/>
        <w:rPr>
          <w:sz w:val="20"/>
          <w:szCs w:val="20"/>
          <w:color w:val="auto"/>
        </w:rPr>
      </w:pPr>
    </w:p>
    <w:p>
      <w:pPr>
        <w:ind w:right="20"/>
        <w:spacing w:after="0" w:line="288" w:lineRule="auto"/>
        <w:rPr>
          <w:sz w:val="20"/>
          <w:szCs w:val="20"/>
          <w:color w:val="auto"/>
        </w:rPr>
      </w:pPr>
      <w:r>
        <w:rPr>
          <w:rFonts w:ascii="Arial" w:cs="Arial" w:eastAsia="Arial" w:hAnsi="Arial"/>
          <w:sz w:val="20"/>
          <w:szCs w:val="20"/>
          <w:color w:val="auto"/>
        </w:rPr>
        <w:t>Manufacturing and construction sites are inherently dangerous workplaces. Our manufacturing sites often put our employees and others in proximity to kilns and other large pieces of mechanized equipment, moving vehicles, chemical, and manufacturing processes and expose them to other potential safety hazards. We endeavor to maintain a safe work environment at all our facilities and take steps to preserve the health and safety of our workforce. There can be no assurance, however, that these measures will be successful in preventing injuries or violations of health and safety laws and regulations. Any failure to maintain safe work sites or violations of applicable health and safety standards and laws could have a material adverse effect on our business.</w:t>
      </w:r>
    </w:p>
    <w:p>
      <w:pPr>
        <w:sectPr>
          <w:pgSz w:w="11880" w:h="15480" w:orient="portrait"/>
          <w:cols w:equalWidth="0" w:num="1">
            <w:col w:w="9340"/>
          </w:cols>
          <w:pgMar w:left="1260" w:top="1267" w:right="1280" w:bottom="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24</w:t>
      </w:r>
    </w:p>
    <w:p>
      <w:pPr>
        <w:sectPr>
          <w:pgSz w:w="11880" w:h="15480" w:orient="portrait"/>
          <w:cols w:equalWidth="0" w:num="1">
            <w:col w:w="9340"/>
          </w:cols>
          <w:pgMar w:left="1260" w:top="1267" w:right="1280" w:bottom="0" w:gutter="0" w:footer="0" w:header="0"/>
          <w:type w:val="continuous"/>
        </w:sectPr>
      </w:pPr>
    </w:p>
    <w:bookmarkStart w:id="32" w:name="page33"/>
    <w:bookmarkEnd w:id="32"/>
    <w:p>
      <w:pPr>
        <w:ind w:right="280"/>
        <w:spacing w:after="0" w:line="267" w:lineRule="auto"/>
        <w:rPr>
          <w:sz w:val="20"/>
          <w:szCs w:val="20"/>
          <w:color w:val="auto"/>
        </w:rPr>
      </w:pPr>
      <w:r>
        <w:rPr>
          <w:rFonts w:ascii="Arial" w:cs="Arial" w:eastAsia="Arial" w:hAnsi="Arial"/>
          <w:sz w:val="19"/>
          <w:szCs w:val="19"/>
          <w:color w:val="auto"/>
        </w:rPr>
        <w:t>In addition to the existing regulatory risks we face, future developments, such as the discovery of new facts or conditions, the enactment or adoption of new or stricter laws or regulations, or stricter interpretations of existing laws or regulations, may impose new liabilities on us, require additional investment by us, or prevent us from opening, expanding, or modifying plants or facilities, any of which could have a material adverse effect on our business, financial condition or results of operations.</w:t>
      </w:r>
    </w:p>
    <w:p>
      <w:pPr>
        <w:spacing w:after="0" w:line="61" w:lineRule="exact"/>
        <w:rPr>
          <w:sz w:val="20"/>
          <w:szCs w:val="20"/>
          <w:color w:val="auto"/>
        </w:rPr>
      </w:pPr>
    </w:p>
    <w:p>
      <w:pPr>
        <w:ind w:right="140"/>
        <w:spacing w:after="0" w:line="298" w:lineRule="auto"/>
        <w:rPr>
          <w:sz w:val="20"/>
          <w:szCs w:val="20"/>
          <w:color w:val="auto"/>
        </w:rPr>
      </w:pPr>
      <w:r>
        <w:rPr>
          <w:rFonts w:ascii="Arial Narrow" w:cs="Arial Narrow" w:eastAsia="Arial Narrow" w:hAnsi="Arial Narrow"/>
          <w:sz w:val="22"/>
          <w:szCs w:val="22"/>
          <w:i w:val="1"/>
          <w:iCs w:val="1"/>
          <w:color w:val="00085E"/>
        </w:rPr>
        <w:t>Climate change and climate change legislation or regulations may adversely affect our business, including potential physical and financial impacts.</w:t>
      </w:r>
    </w:p>
    <w:p>
      <w:pPr>
        <w:spacing w:after="0" w:line="56" w:lineRule="exact"/>
        <w:rPr>
          <w:sz w:val="20"/>
          <w:szCs w:val="20"/>
          <w:color w:val="auto"/>
        </w:rPr>
      </w:pPr>
    </w:p>
    <w:p>
      <w:pPr>
        <w:ind w:right="440"/>
        <w:spacing w:after="0" w:line="325" w:lineRule="auto"/>
        <w:rPr>
          <w:sz w:val="20"/>
          <w:szCs w:val="20"/>
          <w:color w:val="auto"/>
        </w:rPr>
      </w:pPr>
      <w:r>
        <w:rPr>
          <w:rFonts w:ascii="Arial" w:cs="Arial" w:eastAsia="Arial" w:hAnsi="Arial"/>
          <w:sz w:val="20"/>
          <w:szCs w:val="20"/>
          <w:color w:val="auto"/>
        </w:rPr>
        <w:t>The effects of climate change and legislation and regulation concerning GHGs could have a material adverse effect on our financial condition, results of operations, and liquidity.</w:t>
      </w:r>
    </w:p>
    <w:p>
      <w:pPr>
        <w:spacing w:after="0" w:line="37" w:lineRule="exact"/>
        <w:rPr>
          <w:sz w:val="20"/>
          <w:szCs w:val="20"/>
          <w:color w:val="auto"/>
        </w:rPr>
      </w:pPr>
    </w:p>
    <w:p>
      <w:pPr>
        <w:spacing w:after="0" w:line="286" w:lineRule="auto"/>
        <w:rPr>
          <w:sz w:val="20"/>
          <w:szCs w:val="20"/>
          <w:color w:val="auto"/>
        </w:rPr>
      </w:pPr>
      <w:r>
        <w:rPr>
          <w:rFonts w:ascii="Arial" w:cs="Arial" w:eastAsia="Arial" w:hAnsi="Arial"/>
          <w:sz w:val="20"/>
          <w:szCs w:val="20"/>
          <w:color w:val="auto"/>
        </w:rPr>
        <w:t>A number of governmental bodies have finalized, proposed, or are contemplating legislative and regulatory changes in response to the potential effects of climate change. Such legislation or regulation has and potentially could include provisions for a “cap and trade” system of allowances and credits or a carbon tax, among other provisions. Any future laws or regulations restricting GHG emissions would likely affect our cement plants and wallboard plants and negatively impact on our business and results of operations, whether through the imposition of raw material or production limitations, fuel-use, or carbon taxes, emission limitations or reductions, or otherwise. In addition, we may not be able to recover any increased operating costs, taxes or capital investments relating to GHG emission limitations at those plants from our customers while still maintaining pricing that is competitive in the relevant markets. There is also a potential for climate change legislation and regulation to adversely affect the cost of purchased energy and electricity.</w:t>
      </w:r>
    </w:p>
    <w:p>
      <w:pPr>
        <w:spacing w:after="0" w:line="75" w:lineRule="exact"/>
        <w:rPr>
          <w:sz w:val="20"/>
          <w:szCs w:val="20"/>
          <w:color w:val="auto"/>
        </w:rPr>
      </w:pPr>
    </w:p>
    <w:p>
      <w:pPr>
        <w:ind w:right="40"/>
        <w:spacing w:after="0" w:line="292" w:lineRule="auto"/>
        <w:rPr>
          <w:sz w:val="20"/>
          <w:szCs w:val="20"/>
          <w:color w:val="auto"/>
        </w:rPr>
      </w:pPr>
      <w:r>
        <w:rPr>
          <w:rFonts w:ascii="Arial" w:cs="Arial" w:eastAsia="Arial" w:hAnsi="Arial"/>
          <w:sz w:val="20"/>
          <w:szCs w:val="20"/>
          <w:color w:val="auto"/>
        </w:rPr>
        <w:t>The effects of future climate change legislation and regulation concerning GHGs are highly uncertain and difficult to estimate. However, because a chemical reaction inherent to the manufacture of cement releases carbon dioxide, a GHG, cement kiln operations may be disproportionately affected by future regulation of GHGs. Accordingly, we continue to closely monitor GHG regulations and legislation for potential impact on our Cement business.</w:t>
      </w:r>
    </w:p>
    <w:p>
      <w:pPr>
        <w:spacing w:after="0" w:line="71" w:lineRule="exact"/>
        <w:rPr>
          <w:sz w:val="20"/>
          <w:szCs w:val="20"/>
          <w:color w:val="auto"/>
        </w:rPr>
      </w:pPr>
    </w:p>
    <w:p>
      <w:pPr>
        <w:ind w:right="440"/>
        <w:spacing w:after="0" w:line="290" w:lineRule="auto"/>
        <w:rPr>
          <w:sz w:val="20"/>
          <w:szCs w:val="20"/>
          <w:color w:val="auto"/>
        </w:rPr>
      </w:pPr>
      <w:r>
        <w:rPr>
          <w:rFonts w:ascii="Arial" w:cs="Arial" w:eastAsia="Arial" w:hAnsi="Arial"/>
          <w:sz w:val="20"/>
          <w:szCs w:val="20"/>
          <w:color w:val="auto"/>
        </w:rPr>
        <w:t>Climate change may impact our operations, including through physical effects such as disruption in production and product distribution as a result of major storm events and shifts in regional weather patterns and intensities. Production and shipment levels for our businesses correlate with general construction activity, most of which occurs outdoors and, as a result, is affected by erratic weather patterns, seasonal changes, and other unusual or unexpected weather-related conditions, which can significantly affect our business, financial condition and results of operations.</w:t>
      </w:r>
    </w:p>
    <w:p>
      <w:pPr>
        <w:spacing w:after="0" w:line="73" w:lineRule="exact"/>
        <w:rPr>
          <w:sz w:val="20"/>
          <w:szCs w:val="20"/>
          <w:color w:val="auto"/>
        </w:rPr>
      </w:pPr>
    </w:p>
    <w:p>
      <w:pPr>
        <w:spacing w:after="0" w:line="286" w:lineRule="auto"/>
        <w:rPr>
          <w:sz w:val="20"/>
          <w:szCs w:val="20"/>
          <w:color w:val="auto"/>
        </w:rPr>
      </w:pPr>
      <w:r>
        <w:rPr>
          <w:rFonts w:ascii="Arial" w:cs="Arial" w:eastAsia="Arial" w:hAnsi="Arial"/>
          <w:sz w:val="20"/>
          <w:szCs w:val="20"/>
          <w:color w:val="auto"/>
        </w:rPr>
        <w:t>We may communicate certain initiatives and goals regarding GHGs and related matters in our SEC filings or in other public disclosures. Our initiatives and goals regarding GHGs and potential related disclosure requirements, together with the associated controls and procedures that we will need to implement, may be difficult and expensive and a source of future claims against us. Further, to the extent we elect to make statements about our GHG-related initiatives and goals, and progress towards these goals, these statements may be based on standards for measuring progress that are still developing, internal controls and processes that continue to evolve, and assumptions that are subject to change in the future. If our GHG-related data, processes and reporting are inaccurate or incomplete, or if we fail to achieve progress with respect to these goals or initiatives on a timely basis or at all, we could be subject to liability for inaccurate, incomplete, or misleading statements, and our operations and financial performance could be adversely affected.</w:t>
      </w:r>
    </w:p>
    <w:p>
      <w:pPr>
        <w:sectPr>
          <w:pgSz w:w="11880" w:h="15480" w:orient="portrait"/>
          <w:cols w:equalWidth="0" w:num="1">
            <w:col w:w="9320"/>
          </w:cols>
          <w:pgMar w:left="1260" w:top="1239"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25</w:t>
      </w:r>
    </w:p>
    <w:p>
      <w:pPr>
        <w:sectPr>
          <w:pgSz w:w="11880" w:h="15480" w:orient="portrait"/>
          <w:cols w:equalWidth="0" w:num="1">
            <w:col w:w="9320"/>
          </w:cols>
          <w:pgMar w:left="1260" w:top="1239" w:right="1300" w:bottom="0" w:gutter="0" w:footer="0" w:header="0"/>
          <w:type w:val="continuous"/>
        </w:sectPr>
      </w:pPr>
    </w:p>
    <w:bookmarkStart w:id="33" w:name="page34"/>
    <w:bookmarkEnd w:id="33"/>
    <w:p>
      <w:pPr>
        <w:ind w:right="360"/>
        <w:spacing w:after="0" w:line="298" w:lineRule="auto"/>
        <w:rPr>
          <w:sz w:val="20"/>
          <w:szCs w:val="20"/>
          <w:color w:val="auto"/>
        </w:rPr>
      </w:pPr>
      <w:r>
        <w:rPr>
          <w:rFonts w:ascii="Arial Narrow" w:cs="Arial Narrow" w:eastAsia="Arial Narrow" w:hAnsi="Arial Narrow"/>
          <w:sz w:val="22"/>
          <w:szCs w:val="22"/>
          <w:i w:val="1"/>
          <w:iCs w:val="1"/>
          <w:color w:val="00085E"/>
        </w:rPr>
        <w:t>Regulatory, stakeholder, and sustainability matters and our response to these matters could negatively affect our business.</w:t>
      </w:r>
    </w:p>
    <w:p>
      <w:pPr>
        <w:spacing w:after="0" w:line="56" w:lineRule="exact"/>
        <w:rPr>
          <w:sz w:val="20"/>
          <w:szCs w:val="20"/>
          <w:color w:val="auto"/>
        </w:rPr>
      </w:pPr>
    </w:p>
    <w:p>
      <w:pPr>
        <w:spacing w:after="0" w:line="284" w:lineRule="auto"/>
        <w:rPr>
          <w:sz w:val="20"/>
          <w:szCs w:val="20"/>
          <w:color w:val="auto"/>
        </w:rPr>
      </w:pPr>
      <w:r>
        <w:rPr>
          <w:rFonts w:ascii="Arial" w:cs="Arial" w:eastAsia="Arial" w:hAnsi="Arial"/>
          <w:sz w:val="20"/>
          <w:szCs w:val="20"/>
          <w:color w:val="auto"/>
        </w:rPr>
        <w:t>We are subject to governmental, stakeholder, and societal attention regarding climate change, air emissions, waste management, water management, community engagement, human rights, labor conditions, sustainability and efficiency, health and safety, and information disclosure. Such attention may result in our business facing adverse reputational risks, may alter the environment in which we do business, may increase our ongoing costs of operations, compliance, assessment, and reporting and may adversely affect our business, financial condition, results of operations, and liquidity. We communicate certain initiatives and goals regarding sustainability matters in our SEC filings and in other public disclosures. Statements about these initiatives and goals, and progress against these goals, may be based on standards for measuring progress that are still developing, internal controls and processes that continue to evolve, and assumptions that are subject to change, and we may revise such initiatives and goals in the future. Non-compliance with, or a failure to address, the regulatory, stakeholder, and societal expectations regarding these matters (and accompanying emerging regulation and policy requirements (and related interpretations)) may result in potential cost increases, fines, penalties, production restrictions, brand or reputational damage, loss of customers, failure to retain and attract talent, and investor activism.</w:t>
      </w:r>
    </w:p>
    <w:p>
      <w:pPr>
        <w:spacing w:after="0" w:line="65" w:lineRule="exact"/>
        <w:rPr>
          <w:sz w:val="20"/>
          <w:szCs w:val="20"/>
          <w:color w:val="auto"/>
        </w:rPr>
      </w:pPr>
    </w:p>
    <w:p>
      <w:pPr>
        <w:ind w:right="220"/>
        <w:spacing w:after="0" w:line="298" w:lineRule="auto"/>
        <w:rPr>
          <w:sz w:val="20"/>
          <w:szCs w:val="20"/>
          <w:color w:val="auto"/>
        </w:rPr>
      </w:pPr>
      <w:r>
        <w:rPr>
          <w:rFonts w:ascii="Arial Narrow" w:cs="Arial Narrow" w:eastAsia="Arial Narrow" w:hAnsi="Arial Narrow"/>
          <w:sz w:val="22"/>
          <w:szCs w:val="22"/>
          <w:i w:val="1"/>
          <w:iCs w:val="1"/>
          <w:color w:val="00085E"/>
        </w:rPr>
        <w:t>Changes in U.S. Trade Policy, including tariffs and other trade restrictions, could have a material adverse effect on our business, financial position, or results of operations.</w:t>
      </w:r>
    </w:p>
    <w:p>
      <w:pPr>
        <w:spacing w:after="0" w:line="56" w:lineRule="exact"/>
        <w:rPr>
          <w:sz w:val="20"/>
          <w:szCs w:val="20"/>
          <w:color w:val="auto"/>
        </w:rPr>
      </w:pPr>
    </w:p>
    <w:p>
      <w:pPr>
        <w:ind w:right="100"/>
        <w:spacing w:after="0" w:line="289" w:lineRule="auto"/>
        <w:rPr>
          <w:sz w:val="20"/>
          <w:szCs w:val="20"/>
          <w:color w:val="auto"/>
        </w:rPr>
      </w:pPr>
      <w:r>
        <w:rPr>
          <w:rFonts w:ascii="Arial" w:cs="Arial" w:eastAsia="Arial" w:hAnsi="Arial"/>
          <w:sz w:val="20"/>
          <w:szCs w:val="20"/>
          <w:color w:val="auto"/>
        </w:rPr>
        <w:t>The United States government has made and may continue to make changes in trade policy. These changes include renegotiating and terminating certain existing bilateral or multi-lateral trade agreements, and initiating substantial new or increased tariffs on foreign imports into the United States from a variety of countries and regions. These changes in trade policy (and any countermeasures adopted in response by foreign governments) could impact demand for our products, our costs, our customers, our suppliers, our ability to source materials and equipment economically and the U.S. economy, which in turn could have a material adverse effect on our business, financial condition, liquidity, and results of operations.</w:t>
      </w:r>
    </w:p>
    <w:p>
      <w:pPr>
        <w:spacing w:after="0" w:line="49" w:lineRule="exact"/>
        <w:rPr>
          <w:sz w:val="20"/>
          <w:szCs w:val="20"/>
          <w:color w:val="auto"/>
        </w:rPr>
      </w:pPr>
    </w:p>
    <w:p>
      <w:pPr>
        <w:ind w:right="580"/>
        <w:spacing w:after="0" w:line="298" w:lineRule="auto"/>
        <w:rPr>
          <w:sz w:val="20"/>
          <w:szCs w:val="20"/>
          <w:color w:val="auto"/>
        </w:rPr>
      </w:pPr>
      <w:r>
        <w:rPr>
          <w:rFonts w:ascii="Arial Narrow" w:cs="Arial Narrow" w:eastAsia="Arial Narrow" w:hAnsi="Arial Narrow"/>
          <w:sz w:val="22"/>
          <w:szCs w:val="22"/>
          <w:i w:val="1"/>
          <w:iCs w:val="1"/>
          <w:color w:val="00085E"/>
        </w:rPr>
        <w:t>We may become subject to significant cleanup, remediation, reclamation, and other liabilities under applicable environmental laws.</w:t>
      </w:r>
    </w:p>
    <w:p>
      <w:pPr>
        <w:spacing w:after="0" w:line="56" w:lineRule="exact"/>
        <w:rPr>
          <w:sz w:val="20"/>
          <w:szCs w:val="20"/>
          <w:color w:val="auto"/>
        </w:rPr>
      </w:pPr>
    </w:p>
    <w:p>
      <w:pPr>
        <w:ind w:right="20"/>
        <w:spacing w:after="0" w:line="296" w:lineRule="auto"/>
        <w:rPr>
          <w:sz w:val="20"/>
          <w:szCs w:val="20"/>
          <w:color w:val="auto"/>
        </w:rPr>
      </w:pPr>
      <w:r>
        <w:rPr>
          <w:rFonts w:ascii="Arial" w:cs="Arial" w:eastAsia="Arial" w:hAnsi="Arial"/>
          <w:sz w:val="19"/>
          <w:szCs w:val="19"/>
          <w:color w:val="auto"/>
        </w:rPr>
        <w:t>Our operations are subject to state, federal, and local environmental laws and regulations, which, in some cases, impose strict liability for cleanup or remediation of environmental pollution and hazardous waste regardless of negligence or fault and expose us to liability for the conduct of others or for our actions, even if such actions complied with all applicable laws at the time these actions were taken. These laws and regulations also require pollution control and prevention, site restoration, reclamation, and operating permits, and/or approvals to conduct certain of our operations or expand or modify our facilities. These laws and regulations may also expose us to liability for claims of personal injury or property or natural resources damage related to alleged exposure to, or releases of, regulated or hazardous</w:t>
      </w:r>
    </w:p>
    <w:p>
      <w:pPr>
        <w:spacing w:after="0" w:line="4" w:lineRule="exact"/>
        <w:rPr>
          <w:sz w:val="20"/>
          <w:szCs w:val="20"/>
          <w:color w:val="auto"/>
        </w:rPr>
      </w:pPr>
    </w:p>
    <w:p>
      <w:pPr>
        <w:ind w:right="20"/>
        <w:spacing w:after="0" w:line="289" w:lineRule="auto"/>
        <w:rPr>
          <w:sz w:val="20"/>
          <w:szCs w:val="20"/>
          <w:color w:val="auto"/>
        </w:rPr>
      </w:pPr>
      <w:r>
        <w:rPr>
          <w:rFonts w:ascii="Arial" w:cs="Arial" w:eastAsia="Arial" w:hAnsi="Arial"/>
          <w:sz w:val="20"/>
          <w:szCs w:val="20"/>
          <w:color w:val="auto"/>
        </w:rPr>
        <w:t>materials. Certain of our operations may from time to time involve the use of substances that are classified as toxic or hazardous substances within the meaning of these laws and regulations. We are unable to estimate accurately the impact on our business or results of operations of any such law or regulation at this time. Risk of environmental liability (including the incurrence of fines, penalties, other sanctions, or litigation liability) is inherent in the operation of our businesses. As a result, it is possible that environmental liabilities and compliance with environmental regulations could have a material adverse effect on our operations in the future.</w:t>
      </w:r>
    </w:p>
    <w:p>
      <w:pPr>
        <w:sectPr>
          <w:pgSz w:w="11880" w:h="15480" w:orient="portrait"/>
          <w:cols w:equalWidth="0" w:num="1">
            <w:col w:w="9340"/>
          </w:cols>
          <w:pgMar w:left="1260" w:top="1245"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26</w:t>
      </w:r>
    </w:p>
    <w:p>
      <w:pPr>
        <w:sectPr>
          <w:pgSz w:w="11880" w:h="15480" w:orient="portrait"/>
          <w:cols w:equalWidth="0" w:num="1">
            <w:col w:w="9340"/>
          </w:cols>
          <w:pgMar w:left="1260" w:top="1245" w:right="1280" w:bottom="0" w:gutter="0" w:footer="0" w:header="0"/>
          <w:type w:val="continuous"/>
        </w:sectPr>
      </w:pPr>
    </w:p>
    <w:bookmarkStart w:id="34" w:name="page35"/>
    <w:bookmarkEnd w:id="34"/>
    <w:p>
      <w:pPr>
        <w:ind w:right="40"/>
        <w:spacing w:after="0" w:line="298" w:lineRule="auto"/>
        <w:rPr>
          <w:sz w:val="20"/>
          <w:szCs w:val="20"/>
          <w:color w:val="auto"/>
        </w:rPr>
      </w:pPr>
      <w:r>
        <w:rPr>
          <w:rFonts w:ascii="Arial Narrow" w:cs="Arial Narrow" w:eastAsia="Arial Narrow" w:hAnsi="Arial Narrow"/>
          <w:sz w:val="22"/>
          <w:szCs w:val="22"/>
          <w:i w:val="1"/>
          <w:iCs w:val="1"/>
          <w:color w:val="00085E"/>
        </w:rPr>
        <w:t>Our operations are dependent on our rights and ability to mine our properties and on our having renewed or received the required permits and approvals from governmental authorities and other third parties.</w:t>
      </w:r>
    </w:p>
    <w:p>
      <w:pPr>
        <w:spacing w:after="0" w:line="56" w:lineRule="exact"/>
        <w:rPr>
          <w:sz w:val="20"/>
          <w:szCs w:val="20"/>
          <w:color w:val="auto"/>
        </w:rPr>
      </w:pPr>
    </w:p>
    <w:p>
      <w:pPr>
        <w:spacing w:after="0" w:line="289" w:lineRule="auto"/>
        <w:rPr>
          <w:sz w:val="20"/>
          <w:szCs w:val="20"/>
          <w:color w:val="auto"/>
        </w:rPr>
      </w:pPr>
      <w:r>
        <w:rPr>
          <w:rFonts w:ascii="Arial" w:cs="Arial" w:eastAsia="Arial" w:hAnsi="Arial"/>
          <w:sz w:val="20"/>
          <w:szCs w:val="20"/>
          <w:color w:val="auto"/>
        </w:rPr>
        <w:t>We hold numerous governmental, environmental, mining, and other permits, water rights, and approvals authorizing operations at many of our facilities. A decision by a governmental agency or other third parties to deny or delay issuing a new or renewed permit or approval, or to revoke or substantially modify an existing permit or approval, could have a material adverse effect on our ability to continue operations at the affected facility. Expansion of our existing operations is also predicated on securing the necessary environmental or other permits, water rights, or approvals, which we may not receive in a timely manner or at all.</w:t>
      </w:r>
    </w:p>
    <w:p>
      <w:pPr>
        <w:spacing w:after="0" w:line="71" w:lineRule="exact"/>
        <w:rPr>
          <w:sz w:val="20"/>
          <w:szCs w:val="20"/>
          <w:color w:val="auto"/>
        </w:rPr>
      </w:pPr>
    </w:p>
    <w:p>
      <w:pPr>
        <w:spacing w:after="0" w:line="290" w:lineRule="auto"/>
        <w:rPr>
          <w:sz w:val="20"/>
          <w:szCs w:val="20"/>
          <w:color w:val="auto"/>
        </w:rPr>
      </w:pPr>
      <w:r>
        <w:rPr>
          <w:rFonts w:ascii="Arial" w:cs="Arial" w:eastAsia="Arial" w:hAnsi="Arial"/>
          <w:sz w:val="20"/>
          <w:szCs w:val="20"/>
          <w:color w:val="auto"/>
        </w:rPr>
        <w:t>Title to, and the area of, mineral properties and water rights may also be disputed. Mineral properties sometimes contain claims or transfer histories that examiners cannot verify. A successful claim that we do not have title to one or more of our properties or lack appropriate water rights could cause us to lose any rights to explore, develop, and extract any minerals or utilize water on that property, without compensation for our prior expenditures relating to such property. Our business may suffer a material adverse effect in the event one or more of our properties are determined to have title deficiencies.</w:t>
      </w:r>
    </w:p>
    <w:p>
      <w:pPr>
        <w:spacing w:after="0" w:line="73" w:lineRule="exact"/>
        <w:rPr>
          <w:sz w:val="20"/>
          <w:szCs w:val="20"/>
          <w:color w:val="auto"/>
        </w:rPr>
      </w:pPr>
    </w:p>
    <w:p>
      <w:pPr>
        <w:ind w:right="140"/>
        <w:spacing w:after="0" w:line="296" w:lineRule="auto"/>
        <w:rPr>
          <w:sz w:val="20"/>
          <w:szCs w:val="20"/>
          <w:color w:val="auto"/>
        </w:rPr>
      </w:pPr>
      <w:r>
        <w:rPr>
          <w:rFonts w:ascii="Arial" w:cs="Arial" w:eastAsia="Arial" w:hAnsi="Arial"/>
          <w:sz w:val="20"/>
          <w:szCs w:val="20"/>
          <w:color w:val="auto"/>
        </w:rPr>
        <w:t>In some instances, we have received access rights or easements from third parties, which allow for a more efficient operation than would exist without the access or easement. A third party could take action to suspend such access or easement, and any such action could be materially adverse to our results of operations or financial conditions.</w:t>
      </w:r>
    </w:p>
    <w:p>
      <w:pPr>
        <w:spacing w:after="0" w:line="43" w:lineRule="exact"/>
        <w:rPr>
          <w:sz w:val="20"/>
          <w:szCs w:val="20"/>
          <w:color w:val="auto"/>
        </w:rPr>
      </w:pPr>
    </w:p>
    <w:p>
      <w:pPr>
        <w:spacing w:after="0"/>
        <w:rPr>
          <w:sz w:val="20"/>
          <w:szCs w:val="20"/>
          <w:color w:val="auto"/>
        </w:rPr>
      </w:pPr>
      <w:r>
        <w:rPr>
          <w:rFonts w:ascii="Arial Narrow" w:cs="Arial Narrow" w:eastAsia="Arial Narrow" w:hAnsi="Arial Narrow"/>
          <w:sz w:val="22"/>
          <w:szCs w:val="22"/>
          <w:i w:val="1"/>
          <w:iCs w:val="1"/>
          <w:color w:val="00085E"/>
        </w:rPr>
        <w:t>We may incur significant costs in connection with pending and future litigation.</w:t>
      </w:r>
    </w:p>
    <w:p>
      <w:pPr>
        <w:spacing w:after="0" w:line="160" w:lineRule="exact"/>
        <w:rPr>
          <w:sz w:val="20"/>
          <w:szCs w:val="20"/>
          <w:color w:val="auto"/>
        </w:rPr>
      </w:pPr>
    </w:p>
    <w:p>
      <w:pPr>
        <w:spacing w:after="0" w:line="285" w:lineRule="auto"/>
        <w:rPr>
          <w:sz w:val="20"/>
          <w:szCs w:val="20"/>
          <w:color w:val="auto"/>
        </w:rPr>
      </w:pPr>
      <w:r>
        <w:rPr>
          <w:rFonts w:ascii="Arial" w:cs="Arial" w:eastAsia="Arial" w:hAnsi="Arial"/>
          <w:sz w:val="20"/>
          <w:szCs w:val="20"/>
          <w:color w:val="auto"/>
        </w:rPr>
        <w:t>We are, or may become, party to various lawsuits, claims, investigations, and proceedings, including but not limited to personal injury, environmental, antitrust, tax, asbestos, property entitlements and land use, intellectual property, commercial, contract, product liability, health and safety, and employment matters. The outcome of pending or future lawsuits, claims, investigations, or proceedings is often difficult to predict and could be adverse and require the payment of damages that are material in amount or require changes to the nature and scope of our operations. Developments in these proceedings can lead to changes in management’s estimates of liabilities associated with these proceedings, including as a result of rulings or judgments by a judge, agency, or arbitrator, settlements, or changes in applicable law. A future adverse ruling, settlement, or unfavorable development could have a material adverse effect on our results of operations and cash flows in a particular period. In addition, the defense of these lawsuits, claims, investigations, and proceedings may divert our management’s attention from operating and managing our businesses, and we may incur significant costs in defending these matters.</w:t>
      </w:r>
    </w:p>
    <w:p>
      <w:pPr>
        <w:spacing w:after="0" w:line="50" w:lineRule="exact"/>
        <w:rPr>
          <w:sz w:val="20"/>
          <w:szCs w:val="20"/>
          <w:color w:val="auto"/>
        </w:rPr>
      </w:pPr>
    </w:p>
    <w:p>
      <w:pPr>
        <w:ind w:right="420"/>
        <w:spacing w:after="0" w:line="281" w:lineRule="auto"/>
        <w:rPr>
          <w:sz w:val="20"/>
          <w:szCs w:val="20"/>
          <w:color w:val="auto"/>
        </w:rPr>
      </w:pPr>
      <w:r>
        <w:rPr>
          <w:rFonts w:ascii="Arial Narrow" w:cs="Arial Narrow" w:eastAsia="Arial Narrow" w:hAnsi="Arial Narrow"/>
          <w:sz w:val="22"/>
          <w:szCs w:val="22"/>
          <w:i w:val="1"/>
          <w:iCs w:val="1"/>
          <w:color w:val="00085E"/>
        </w:rPr>
        <w:t>Although we maintain insurance coverage against various risk, this coverage may not be adequate or protect us against the relevant risks.</w:t>
      </w:r>
    </w:p>
    <w:p>
      <w:pPr>
        <w:spacing w:after="0" w:line="66" w:lineRule="exact"/>
        <w:rPr>
          <w:sz w:val="20"/>
          <w:szCs w:val="20"/>
          <w:color w:val="auto"/>
        </w:rPr>
      </w:pPr>
    </w:p>
    <w:p>
      <w:pPr>
        <w:ind w:right="20"/>
        <w:spacing w:after="0" w:line="288" w:lineRule="auto"/>
        <w:rPr>
          <w:sz w:val="20"/>
          <w:szCs w:val="20"/>
          <w:color w:val="auto"/>
        </w:rPr>
      </w:pPr>
      <w:r>
        <w:rPr>
          <w:rFonts w:ascii="Arial" w:cs="Arial" w:eastAsia="Arial" w:hAnsi="Arial"/>
          <w:sz w:val="20"/>
          <w:szCs w:val="20"/>
          <w:color w:val="auto"/>
        </w:rPr>
        <w:t>We maintain insurance coverage in amounts and against insurable risks that we believe are consistent with industry practice, but this insurance may not be adequate to cover all losses or liabilities we may incur in our operations. Our insurance policies are subject to a number of exclusions and varying levels of deductibles and coverage limits. In general, liabilities subject to insurance are difficult to estimate due to unknown factors, including the severity of an injury, the determination of our liability in proportion to other parties, the number of incidents not reported, and the effectiveness of our safety programs. If we were to experience insurance claims or costs above our estimates, our financial condition, results of operations and liquidity could be materially and adversely affected.</w:t>
      </w:r>
    </w:p>
    <w:p>
      <w:pPr>
        <w:sectPr>
          <w:pgSz w:w="11880" w:h="15480" w:orient="portrait"/>
          <w:cols w:equalWidth="0" w:num="1">
            <w:col w:w="9340"/>
          </w:cols>
          <w:pgMar w:left="1260" w:top="1245"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27</w:t>
      </w:r>
    </w:p>
    <w:p>
      <w:pPr>
        <w:sectPr>
          <w:pgSz w:w="11880" w:h="15480" w:orient="portrait"/>
          <w:cols w:equalWidth="0" w:num="1">
            <w:col w:w="9340"/>
          </w:cols>
          <w:pgMar w:left="1260" w:top="1245" w:right="1280" w:bottom="0" w:gutter="0" w:footer="0" w:header="0"/>
          <w:type w:val="continuous"/>
        </w:sectPr>
      </w:pPr>
    </w:p>
    <w:bookmarkStart w:id="35" w:name="page36"/>
    <w:bookmarkEnd w:id="35"/>
    <w:p>
      <w:pPr>
        <w:spacing w:after="0"/>
        <w:rPr>
          <w:sz w:val="20"/>
          <w:szCs w:val="20"/>
          <w:color w:val="auto"/>
        </w:rPr>
      </w:pPr>
      <w:r>
        <w:rPr>
          <w:rFonts w:ascii="Arial" w:cs="Arial" w:eastAsia="Arial" w:hAnsi="Arial"/>
          <w:sz w:val="22"/>
          <w:szCs w:val="22"/>
          <w:b w:val="1"/>
          <w:bCs w:val="1"/>
          <w:color w:val="00085E"/>
        </w:rPr>
        <w:t>CYBER RISK FACTORS</w:t>
      </w:r>
    </w:p>
    <w:p>
      <w:pPr>
        <w:spacing w:after="0" w:line="131" w:lineRule="exact"/>
        <w:rPr>
          <w:sz w:val="20"/>
          <w:szCs w:val="20"/>
          <w:color w:val="auto"/>
        </w:rPr>
      </w:pPr>
    </w:p>
    <w:p>
      <w:pPr>
        <w:ind w:right="420"/>
        <w:spacing w:after="0" w:line="324" w:lineRule="auto"/>
        <w:rPr>
          <w:sz w:val="20"/>
          <w:szCs w:val="20"/>
          <w:color w:val="auto"/>
        </w:rPr>
      </w:pPr>
      <w:r>
        <w:rPr>
          <w:rFonts w:ascii="Arial Narrow" w:cs="Arial Narrow" w:eastAsia="Arial Narrow" w:hAnsi="Arial Narrow"/>
          <w:sz w:val="21"/>
          <w:szCs w:val="21"/>
          <w:i w:val="1"/>
          <w:iCs w:val="1"/>
          <w:color w:val="00085E"/>
        </w:rPr>
        <w:t>We are dependent on information technology. A disruption, cyber attack or data security breach affecting our information technology systems may negatively affect our businesses, financial condition, and operating results.</w:t>
      </w:r>
    </w:p>
    <w:p>
      <w:pPr>
        <w:spacing w:after="0" w:line="32" w:lineRule="exact"/>
        <w:rPr>
          <w:sz w:val="20"/>
          <w:szCs w:val="20"/>
          <w:color w:val="auto"/>
        </w:rPr>
      </w:pPr>
    </w:p>
    <w:p>
      <w:pPr>
        <w:spacing w:after="0" w:line="285" w:lineRule="auto"/>
        <w:rPr>
          <w:sz w:val="20"/>
          <w:szCs w:val="20"/>
          <w:color w:val="auto"/>
        </w:rPr>
      </w:pPr>
      <w:r>
        <w:rPr>
          <w:rFonts w:ascii="Arial" w:cs="Arial" w:eastAsia="Arial" w:hAnsi="Arial"/>
          <w:sz w:val="20"/>
          <w:szCs w:val="20"/>
          <w:color w:val="auto"/>
        </w:rPr>
        <w:t>Our operations rely on information technology systems and the secure processing, storage, and transmission of confidential, sensitive, proprietary, and other types of information relating to our business operations. We also rely on confidential and sensitive information about our customers and employees, which is maintained both in our computer systems and networks, and in the computer systems and networks of our third-party vendors. Any significant breakdown, invasion, destruction, outage, disruption or interruption of our systems could negatively affect operations. Cyber threats are rapidly evolving as data thieves and hackers have become increasingly sophisticated, including an increasing use of artificial intelligence, and carry out direct large-scale, complex automated attacks against a company or through vendor software supply chain compromises. We are not able to anticipate or prevent all such breakdowns, invasions, destructions, outages, disruptions, interruptions, and attacks and could be held liable for any resulting material security breach or data loss. Additionally, it is not always possible to foresee or prevent internal issues, such as human error, or malicious acts or misconduct by employees or third-party vendors. There are also significant risks related to the use of remote networking services and technologies that enable remote work.</w:t>
      </w:r>
    </w:p>
    <w:p>
      <w:pPr>
        <w:spacing w:after="0" w:line="77" w:lineRule="exact"/>
        <w:rPr>
          <w:sz w:val="20"/>
          <w:szCs w:val="20"/>
          <w:color w:val="auto"/>
        </w:rPr>
      </w:pPr>
    </w:p>
    <w:p>
      <w:pPr>
        <w:ind w:right="40"/>
        <w:spacing w:after="0" w:line="286" w:lineRule="auto"/>
        <w:rPr>
          <w:sz w:val="20"/>
          <w:szCs w:val="20"/>
          <w:color w:val="auto"/>
        </w:rPr>
      </w:pPr>
      <w:r>
        <w:rPr>
          <w:rFonts w:ascii="Arial" w:cs="Arial" w:eastAsia="Arial" w:hAnsi="Arial"/>
          <w:sz w:val="20"/>
          <w:szCs w:val="20"/>
          <w:color w:val="auto"/>
        </w:rPr>
        <w:t>Any breaches of our technology systems, or those of our vendors and customers, whether from circumvention of security systems, denial-of-service attacks or other cyber-attacks, hacking, “phishing” attacks, computer viruses, ransomware or malware, employee or insider error, malfeasance, social engineering, vendor software supply chain compromises, physical breaches or other actions, may result in manipulation or corruption of sensitive data, material interruptions, or malfunctions in our or such vendors’ and customers’ websites, applications, data processing and certain products and services, or disruption of other business operations. Furthermore, any such breaches could compromise the confidentiality and integrity of material information held by us (including information about our business, employees, or customers), as well as sensitive personally identifiable information, the disclosure of which could lead to identity theft. Any measures that we take to avoid, detect, mitigate, or recover from material incidents, may be insufficient, circumvented, or may become ineffective.</w:t>
      </w:r>
    </w:p>
    <w:p>
      <w:pPr>
        <w:spacing w:after="0" w:line="75" w:lineRule="exact"/>
        <w:rPr>
          <w:sz w:val="20"/>
          <w:szCs w:val="20"/>
          <w:color w:val="auto"/>
        </w:rPr>
      </w:pPr>
    </w:p>
    <w:p>
      <w:pPr>
        <w:ind w:right="80"/>
        <w:spacing w:after="0" w:line="284" w:lineRule="auto"/>
        <w:rPr>
          <w:sz w:val="20"/>
          <w:szCs w:val="20"/>
          <w:color w:val="auto"/>
        </w:rPr>
      </w:pPr>
      <w:r>
        <w:rPr>
          <w:rFonts w:ascii="Arial" w:cs="Arial" w:eastAsia="Arial" w:hAnsi="Arial"/>
          <w:sz w:val="20"/>
          <w:szCs w:val="20"/>
          <w:color w:val="auto"/>
        </w:rPr>
        <w:t>We have invested and continue to invest in risk management and information security and data privacy measures in order to protect our systems and data, including employee training, organizational investments, incident response plans, tabletop exercises, and technical defenses. The cost and operational consequences of implementing, maintaining, and enhancing further data or system safeguards could increase significantly to keep pace with increasingly frequent, complex, and sophisticated global cyber threats. Although we have disaster recovery plans in case of incidents that could cause major disruptions to our business and believe we have taken adequate measures to protect against data breaches and system disruptions, these measures may not be sufficient, and we are not able to anticipate or prevent all such risks. Any material breaches of cybersecurity, including the accidental loss, inadvertent disclosure, or unapproved dissemination of proprietary information or sensitive or confidential data, or media reports of perceived security vulnerabilities to our systems, products, and services or those of our third parties could cause us to experience reputational harm, loss of customers and revenue, fines, regulatory actions and scrutiny, sanctions or other statutory penalties, litigation, liability for failure to safeguard our customers’ information, or financial losses that are either not insured against or not fully covered through any insurance maintained by us. The report, rumor, or assumption regarding a potential breach may have similar results, even if no breach has been attempted or occurred. Any of the foregoing may have a material adverse effect on our business, operating results, and financial condition. In addition, laws and regulations governing cybersecurity, data privacy and</w:t>
      </w:r>
    </w:p>
    <w:p>
      <w:pPr>
        <w:sectPr>
          <w:pgSz w:w="11880" w:h="15480" w:orient="portrait"/>
          <w:cols w:equalWidth="0" w:num="1">
            <w:col w:w="9320"/>
          </w:cols>
          <w:pgMar w:left="1260" w:top="1234" w:right="1300" w:bottom="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28</w:t>
      </w:r>
    </w:p>
    <w:p>
      <w:pPr>
        <w:sectPr>
          <w:pgSz w:w="11880" w:h="15480" w:orient="portrait"/>
          <w:cols w:equalWidth="0" w:num="1">
            <w:col w:w="9320"/>
          </w:cols>
          <w:pgMar w:left="1260" w:top="1234" w:right="1300" w:bottom="0" w:gutter="0" w:footer="0" w:header="0"/>
          <w:type w:val="continuous"/>
        </w:sectPr>
      </w:pPr>
    </w:p>
    <w:bookmarkStart w:id="36" w:name="page37"/>
    <w:bookmarkEnd w:id="36"/>
    <w:p>
      <w:pPr>
        <w:ind w:right="160"/>
        <w:spacing w:after="0" w:line="303" w:lineRule="auto"/>
        <w:rPr>
          <w:sz w:val="20"/>
          <w:szCs w:val="20"/>
          <w:color w:val="auto"/>
        </w:rPr>
      </w:pPr>
      <w:r>
        <w:rPr>
          <w:rFonts w:ascii="Arial" w:cs="Arial" w:eastAsia="Arial" w:hAnsi="Arial"/>
          <w:sz w:val="20"/>
          <w:szCs w:val="20"/>
          <w:color w:val="auto"/>
        </w:rPr>
        <w:t>protection, and the unauthorized disclosure of confidential or protected information pose increasingly complex compliance challenges and potentially elevate costs, and any failure to comply with these laws and regulations could result in significant penalties and legal liability.</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00085E"/>
        </w:rPr>
        <w:t>FINANCIAL AND OPERATIONAL RISK FACTORS</w:t>
      </w:r>
    </w:p>
    <w:p>
      <w:pPr>
        <w:spacing w:after="0" w:line="131" w:lineRule="exact"/>
        <w:rPr>
          <w:sz w:val="20"/>
          <w:szCs w:val="20"/>
          <w:color w:val="auto"/>
        </w:rPr>
      </w:pPr>
    </w:p>
    <w:p>
      <w:pPr>
        <w:ind w:right="100"/>
        <w:spacing w:after="0" w:line="298" w:lineRule="auto"/>
        <w:rPr>
          <w:sz w:val="20"/>
          <w:szCs w:val="20"/>
          <w:color w:val="auto"/>
        </w:rPr>
      </w:pPr>
      <w:r>
        <w:rPr>
          <w:rFonts w:ascii="Arial Narrow" w:cs="Arial Narrow" w:eastAsia="Arial Narrow" w:hAnsi="Arial Narrow"/>
          <w:sz w:val="22"/>
          <w:szCs w:val="22"/>
          <w:i w:val="1"/>
          <w:iCs w:val="1"/>
          <w:color w:val="00085E"/>
        </w:rPr>
        <w:t>Our Cement business is capital-intensive, resulting in significant fixed and semi-fixed costs. Therefore, our earnings are sensitive to changes in volume.</w:t>
      </w:r>
    </w:p>
    <w:p>
      <w:pPr>
        <w:spacing w:after="0" w:line="56" w:lineRule="exact"/>
        <w:rPr>
          <w:sz w:val="20"/>
          <w:szCs w:val="20"/>
          <w:color w:val="auto"/>
        </w:rPr>
      </w:pPr>
    </w:p>
    <w:p>
      <w:pPr>
        <w:ind w:right="60"/>
        <w:spacing w:after="0" w:line="287" w:lineRule="auto"/>
        <w:rPr>
          <w:sz w:val="20"/>
          <w:szCs w:val="20"/>
          <w:color w:val="auto"/>
        </w:rPr>
      </w:pPr>
      <w:r>
        <w:rPr>
          <w:rFonts w:ascii="Arial" w:cs="Arial" w:eastAsia="Arial" w:hAnsi="Arial"/>
          <w:sz w:val="20"/>
          <w:szCs w:val="20"/>
          <w:color w:val="auto"/>
        </w:rPr>
        <w:t>Due to the high levels of fixed capital required to produce cement, the ability of our Cement segment to remain profitable is dependent on achieving and maintaining strong volumes of cement production and sales. Any decreases in volume could have an adverse effect on our financial condition and results of operations. In addition, our cement plants require significant capital expenditures to support the maintenance, growth, and expansion of our business. We believe that our current cash balance, along with our projected internal cash flows and our available financing resources will provide sufficient cash to support our currently anticipated operating and capital needs. However, if we are unable to generate sufficient cash to purchase and maintain the property and machinery necessary to operate our Cement business, we may be required to reduce or delay planned capital expenditures or incur additional debt.</w:t>
      </w:r>
    </w:p>
    <w:p>
      <w:pPr>
        <w:spacing w:after="0" w:line="52" w:lineRule="exact"/>
        <w:rPr>
          <w:sz w:val="20"/>
          <w:szCs w:val="20"/>
          <w:color w:val="auto"/>
        </w:rPr>
      </w:pPr>
    </w:p>
    <w:p>
      <w:pPr>
        <w:ind w:right="180"/>
        <w:spacing w:after="0" w:line="298" w:lineRule="auto"/>
        <w:rPr>
          <w:sz w:val="20"/>
          <w:szCs w:val="20"/>
          <w:color w:val="auto"/>
        </w:rPr>
      </w:pPr>
      <w:r>
        <w:rPr>
          <w:rFonts w:ascii="Arial Narrow" w:cs="Arial Narrow" w:eastAsia="Arial Narrow" w:hAnsi="Arial Narrow"/>
          <w:sz w:val="22"/>
          <w:szCs w:val="22"/>
          <w:i w:val="1"/>
          <w:iCs w:val="1"/>
          <w:color w:val="00085E"/>
        </w:rPr>
        <w:t>Any material nonpayment or nonperformance by any of our key customers could have a material adverse effect on our business and results of operations.</w:t>
      </w:r>
    </w:p>
    <w:p>
      <w:pPr>
        <w:spacing w:after="0" w:line="56" w:lineRule="exact"/>
        <w:rPr>
          <w:sz w:val="20"/>
          <w:szCs w:val="20"/>
          <w:color w:val="auto"/>
        </w:rPr>
      </w:pPr>
    </w:p>
    <w:p>
      <w:pPr>
        <w:spacing w:after="0" w:line="286" w:lineRule="auto"/>
        <w:rPr>
          <w:sz w:val="20"/>
          <w:szCs w:val="20"/>
          <w:color w:val="auto"/>
        </w:rPr>
      </w:pPr>
      <w:r>
        <w:rPr>
          <w:rFonts w:ascii="Arial" w:cs="Arial" w:eastAsia="Arial" w:hAnsi="Arial"/>
          <w:sz w:val="20"/>
          <w:szCs w:val="20"/>
          <w:color w:val="auto"/>
        </w:rPr>
        <w:t>Any material nonpayment or nonperformance by any of our key customers could have a material adverse effect on our revenue and cash flows. Although our contracts with our customers provide for certain remedies in the event a customer fails to purchase the minimum contracted amount of product in a given period, we may be unable to enforce payment or performance obligations in a timely manner or at all or recover the entire amount we anticipated receiving under such contract. If we were to pursue legal remedies against a customer that failed to purchase the minimum contracted amount of product under a fixed-volume contract or failed to satisfy the take-or-pay commitment under a take-or-pay contract, we may receive significantly less in a judgment or settlement of any claimed breach than we would have received had the customer fully performed under the contract. In the event of any customer’s breach, we may also choose to renegotiate any disputed contract on less favorable terms (including with respect to price and volume) to allow us to preserve the relationship with that customer.</w:t>
      </w:r>
    </w:p>
    <w:p>
      <w:pPr>
        <w:spacing w:after="0" w:line="53" w:lineRule="exact"/>
        <w:rPr>
          <w:sz w:val="20"/>
          <w:szCs w:val="20"/>
          <w:color w:val="auto"/>
        </w:rPr>
      </w:pPr>
    </w:p>
    <w:p>
      <w:pPr>
        <w:spacing w:after="0"/>
        <w:rPr>
          <w:sz w:val="20"/>
          <w:szCs w:val="20"/>
          <w:color w:val="auto"/>
        </w:rPr>
      </w:pPr>
      <w:r>
        <w:rPr>
          <w:rFonts w:ascii="Arial Narrow" w:cs="Arial Narrow" w:eastAsia="Arial Narrow" w:hAnsi="Arial Narrow"/>
          <w:sz w:val="22"/>
          <w:szCs w:val="22"/>
          <w:i w:val="1"/>
          <w:iCs w:val="1"/>
          <w:color w:val="00085E"/>
        </w:rPr>
        <w:t>Consolidation of our customers could adversely affect our results of operations.</w:t>
      </w:r>
    </w:p>
    <w:p>
      <w:pPr>
        <w:spacing w:after="0" w:line="160" w:lineRule="exact"/>
        <w:rPr>
          <w:sz w:val="20"/>
          <w:szCs w:val="20"/>
          <w:color w:val="auto"/>
        </w:rPr>
      </w:pPr>
    </w:p>
    <w:p>
      <w:pPr>
        <w:ind w:right="20"/>
        <w:spacing w:after="0" w:line="289" w:lineRule="auto"/>
        <w:rPr>
          <w:sz w:val="20"/>
          <w:szCs w:val="20"/>
          <w:color w:val="auto"/>
        </w:rPr>
      </w:pPr>
      <w:r>
        <w:rPr>
          <w:rFonts w:ascii="Arial" w:cs="Arial" w:eastAsia="Arial" w:hAnsi="Arial"/>
          <w:sz w:val="20"/>
          <w:szCs w:val="20"/>
          <w:color w:val="auto"/>
        </w:rPr>
        <w:t>Over the past few years, many of our customers have undergone consolidation due to being acquired by, or acquiring, another company with similar operations. Consolidation of our customers could result in the loss of a customer or a portion of their business, in addition to an increased reliance on certain key customers. Future consolidation of our customers and their increased purchasing power could result in our customers seeking more favorable terms, including pricing, which may limit our ability to maintain pricing or raise pricing in the future. Any future consolidation of our customers could negatively affect our operating margin, results of operations, and cash flow.</w:t>
      </w:r>
    </w:p>
    <w:p>
      <w:pPr>
        <w:spacing w:after="0" w:line="49" w:lineRule="exact"/>
        <w:rPr>
          <w:sz w:val="20"/>
          <w:szCs w:val="20"/>
          <w:color w:val="auto"/>
        </w:rPr>
      </w:pPr>
    </w:p>
    <w:p>
      <w:pPr>
        <w:ind w:right="660"/>
        <w:spacing w:after="0" w:line="298" w:lineRule="auto"/>
        <w:rPr>
          <w:sz w:val="20"/>
          <w:szCs w:val="20"/>
          <w:color w:val="auto"/>
        </w:rPr>
      </w:pPr>
      <w:r>
        <w:rPr>
          <w:rFonts w:ascii="Arial Narrow" w:cs="Arial Narrow" w:eastAsia="Arial Narrow" w:hAnsi="Arial Narrow"/>
          <w:sz w:val="22"/>
          <w:szCs w:val="22"/>
          <w:i w:val="1"/>
          <w:iCs w:val="1"/>
          <w:color w:val="00085E"/>
        </w:rPr>
        <w:t>Our production facilities may experience unexpected equipment failures, catastrophic events, and scheduled maintenance.</w:t>
      </w:r>
    </w:p>
    <w:p>
      <w:pPr>
        <w:spacing w:after="0" w:line="56" w:lineRule="exact"/>
        <w:rPr>
          <w:sz w:val="20"/>
          <w:szCs w:val="20"/>
          <w:color w:val="auto"/>
        </w:rPr>
      </w:pPr>
    </w:p>
    <w:p>
      <w:pPr>
        <w:ind w:right="80"/>
        <w:spacing w:after="0" w:line="311" w:lineRule="auto"/>
        <w:rPr>
          <w:sz w:val="20"/>
          <w:szCs w:val="20"/>
          <w:color w:val="auto"/>
        </w:rPr>
      </w:pPr>
      <w:r>
        <w:rPr>
          <w:rFonts w:ascii="Arial" w:cs="Arial" w:eastAsia="Arial" w:hAnsi="Arial"/>
          <w:sz w:val="19"/>
          <w:szCs w:val="19"/>
          <w:color w:val="auto"/>
        </w:rPr>
        <w:t>We own and operate facilities of various ages and levels of automated controls and rely on a number of third parties as part of our supply chain. Our manufacturing processes are complex and dependent upon critical pieces of equipment and effective maintenance programs. Such equipment may, on occasion, be out of service as a result of unanticipated events such as fires, explosions, violent weather conditions, unexpected operational difficulties, or disruptions within our supply chain. While we maintain backups for</w:t>
      </w:r>
    </w:p>
    <w:p>
      <w:pPr>
        <w:sectPr>
          <w:pgSz w:w="11880" w:h="15480" w:orient="portrait"/>
          <w:cols w:equalWidth="0" w:num="1">
            <w:col w:w="9300"/>
          </w:cols>
          <w:pgMar w:left="1260" w:top="1267" w:right="1320" w:bottom="0"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29</w:t>
      </w:r>
    </w:p>
    <w:p>
      <w:pPr>
        <w:sectPr>
          <w:pgSz w:w="11880" w:h="15480" w:orient="portrait"/>
          <w:cols w:equalWidth="0" w:num="1">
            <w:col w:w="9300"/>
          </w:cols>
          <w:pgMar w:left="1260" w:top="1267" w:right="1320" w:bottom="0" w:gutter="0" w:footer="0" w:header="0"/>
          <w:type w:val="continuous"/>
        </w:sectPr>
      </w:pPr>
    </w:p>
    <w:bookmarkStart w:id="37" w:name="page38"/>
    <w:bookmarkEnd w:id="37"/>
    <w:p>
      <w:pPr>
        <w:ind w:right="540"/>
        <w:spacing w:after="0" w:line="303" w:lineRule="auto"/>
        <w:rPr>
          <w:sz w:val="20"/>
          <w:szCs w:val="20"/>
          <w:color w:val="auto"/>
        </w:rPr>
      </w:pPr>
      <w:r>
        <w:rPr>
          <w:rFonts w:ascii="Arial" w:cs="Arial" w:eastAsia="Arial" w:hAnsi="Arial"/>
          <w:sz w:val="20"/>
          <w:szCs w:val="20"/>
          <w:color w:val="auto"/>
        </w:rPr>
        <w:t>certain critical pieces of equipment to use during the time it may take to repair or replace inoperable equipment, any unplanned downtime at our facilities could negatively affect our business, financial condition, and results of operations.</w:t>
      </w:r>
    </w:p>
    <w:p>
      <w:pPr>
        <w:spacing w:after="0" w:line="59" w:lineRule="exact"/>
        <w:rPr>
          <w:sz w:val="20"/>
          <w:szCs w:val="20"/>
          <w:color w:val="auto"/>
        </w:rPr>
      </w:pPr>
    </w:p>
    <w:p>
      <w:pPr>
        <w:ind w:right="20"/>
        <w:spacing w:after="0" w:line="288" w:lineRule="auto"/>
        <w:rPr>
          <w:sz w:val="20"/>
          <w:szCs w:val="20"/>
          <w:color w:val="auto"/>
        </w:rPr>
      </w:pPr>
      <w:r>
        <w:rPr>
          <w:rFonts w:ascii="Arial" w:cs="Arial" w:eastAsia="Arial" w:hAnsi="Arial"/>
          <w:sz w:val="20"/>
          <w:szCs w:val="20"/>
          <w:color w:val="auto"/>
        </w:rPr>
        <w:t>We also have periodically scheduled shut-downs to perform maintenance on our facilities. We consume significant amounts of energy in our production process, and the availability and pricing of these resources are subject to market forces. Any significant interruption in production capability may require us to make significant capital expenditures to remedy problems or damage as well as cause us to lose revenue and profits due to lost production time, which could have a material adverse effect on our results of operations and financial condition. In general, any interruptions in our production processes or limitation in our production capabilities may cause our productivity and results of operations to decline significantly during the affected period.</w:t>
      </w:r>
    </w:p>
    <w:p>
      <w:pPr>
        <w:spacing w:after="0" w:line="72" w:lineRule="exact"/>
        <w:rPr>
          <w:sz w:val="20"/>
          <w:szCs w:val="20"/>
          <w:color w:val="auto"/>
        </w:rPr>
      </w:pPr>
    </w:p>
    <w:p>
      <w:pPr>
        <w:ind w:right="320"/>
        <w:spacing w:after="0" w:line="292" w:lineRule="auto"/>
        <w:rPr>
          <w:sz w:val="20"/>
          <w:szCs w:val="20"/>
          <w:color w:val="auto"/>
        </w:rPr>
      </w:pPr>
      <w:r>
        <w:rPr>
          <w:rFonts w:ascii="Arial" w:cs="Arial" w:eastAsia="Arial" w:hAnsi="Arial"/>
          <w:sz w:val="20"/>
          <w:szCs w:val="20"/>
          <w:color w:val="auto"/>
        </w:rPr>
        <w:t>Mining for raw materials involves risks such as pit wall failures, pillar or ceiling collapse, flooding and seismic events related to geologic conditions and our mining activities. Any ground control event could lead to serious injuries, loss of life, equipment damage, production delays or cessation, and increased operating costs which could have a material adverse effect on our results of operations and financial condition.</w:t>
      </w:r>
    </w:p>
    <w:p>
      <w:pPr>
        <w:spacing w:after="0" w:line="48" w:lineRule="exact"/>
        <w:rPr>
          <w:sz w:val="20"/>
          <w:szCs w:val="20"/>
          <w:color w:val="auto"/>
        </w:rPr>
      </w:pPr>
    </w:p>
    <w:p>
      <w:pPr>
        <w:ind w:right="140"/>
        <w:spacing w:after="0" w:line="298" w:lineRule="auto"/>
        <w:rPr>
          <w:sz w:val="20"/>
          <w:szCs w:val="20"/>
          <w:color w:val="auto"/>
        </w:rPr>
      </w:pPr>
      <w:r>
        <w:rPr>
          <w:rFonts w:ascii="Arial Narrow" w:cs="Arial Narrow" w:eastAsia="Arial Narrow" w:hAnsi="Arial Narrow"/>
          <w:sz w:val="22"/>
          <w:szCs w:val="22"/>
          <w:i w:val="1"/>
          <w:iCs w:val="1"/>
          <w:color w:val="00085E"/>
        </w:rPr>
        <w:t>Our results of operations are subject to significant changes in the cost and availability of fuel, energy, and other raw materials, including raw materials supplied by third parties.</w:t>
      </w:r>
    </w:p>
    <w:p>
      <w:pPr>
        <w:spacing w:after="0" w:line="56" w:lineRule="exact"/>
        <w:rPr>
          <w:sz w:val="20"/>
          <w:szCs w:val="20"/>
          <w:color w:val="auto"/>
        </w:rPr>
      </w:pPr>
    </w:p>
    <w:p>
      <w:pPr>
        <w:ind w:right="20"/>
        <w:spacing w:after="0" w:line="285" w:lineRule="auto"/>
        <w:rPr>
          <w:sz w:val="20"/>
          <w:szCs w:val="20"/>
          <w:color w:val="auto"/>
        </w:rPr>
      </w:pPr>
      <w:r>
        <w:rPr>
          <w:rFonts w:ascii="Arial" w:cs="Arial" w:eastAsia="Arial" w:hAnsi="Arial"/>
          <w:sz w:val="20"/>
          <w:szCs w:val="20"/>
          <w:color w:val="auto"/>
        </w:rPr>
        <w:t>Major cost components in each of our businesses are the costs of fuel, energy, and raw materials. Significant increases in the costs of fuel, energy, or raw materials, or substantial decreases in their availability, could materially and adversely affect our sales and operating profits. Prices for fuel, energy, or raw materials used in connection with our businesses have in some cases been subject to significant changes in a short period of time for reasons outside our control. For example, prices for fuel and electrical power, which are significant components of the costs associated with our Gypsum Wallboard and Cement businesses, have fluctuated significantly in recent years and may increase further in the future. The prices we pay for fuel and electric power are often determined in whole or in part by market-based pricing mechanisms (including spot market pricing mechanisms). In the past, we have experienced significant and unanticipated price increases due to, among other things, unfavorable weather conditions and governmental responses from the resulting shortages in fuel and power. Significant price fluctuations also have the potential to give rise to disputes with contractual counterparties, which can be complex and difficult to resolve. In the event of large or rapid increases in prices, we may not be able to pass the increases through to our customers in full, which would reduce our operating margin.</w:t>
      </w:r>
    </w:p>
    <w:p>
      <w:pPr>
        <w:spacing w:after="0" w:line="77" w:lineRule="exact"/>
        <w:rPr>
          <w:sz w:val="20"/>
          <w:szCs w:val="20"/>
          <w:color w:val="auto"/>
        </w:rPr>
      </w:pPr>
    </w:p>
    <w:p>
      <w:pPr>
        <w:spacing w:after="0" w:line="285" w:lineRule="auto"/>
        <w:rPr>
          <w:sz w:val="20"/>
          <w:szCs w:val="20"/>
          <w:color w:val="auto"/>
        </w:rPr>
      </w:pPr>
      <w:r>
        <w:rPr>
          <w:rFonts w:ascii="Arial" w:cs="Arial" w:eastAsia="Arial" w:hAnsi="Arial"/>
          <w:sz w:val="20"/>
          <w:szCs w:val="20"/>
          <w:color w:val="auto"/>
        </w:rPr>
        <w:t>We generally maintain our own reserves of limestone, gypsum, aggregates, and other materials that we use to manufacture our products. Our ability to find and develop quality reserves and accurately calculate and report our reserve estimates depend upon geological interpretation and statistical inferences or assumptions drawn from drilling and sampling analysis, which are subject to inherent uncertainties. If any of these estimates proved to be inaccurate, our operations and financial condition could be adversely affected. In certain circumstances we also obtain certain raw materials used to manufacture our products from a single supplier and some of those materials, such as synthetic gypsum and slag granules, are produced as by-products of industrial processes. While we try to secure our needed supply of such materials through long-term contracts, those contracts may not be sufficient to meet our needs, or we may be unable to renew or replace existing contracts when they expire or are terminated in the future. Should our existing suppliers have disruptions in their operations, cease operations, or otherwise reduce or eliminate production of these materials, our costs to procure these materials may increase significantly, or we may be obliged to procure alternatives to replace these materials, which may not be available on</w:t>
      </w:r>
    </w:p>
    <w:p>
      <w:pPr>
        <w:sectPr>
          <w:pgSz w:w="11880" w:h="15480" w:orient="portrait"/>
          <w:cols w:equalWidth="0" w:num="1">
            <w:col w:w="9340"/>
          </w:cols>
          <w:pgMar w:left="1260" w:top="1267"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30</w:t>
      </w:r>
    </w:p>
    <w:p>
      <w:pPr>
        <w:sectPr>
          <w:pgSz w:w="11880" w:h="15480" w:orient="portrait"/>
          <w:cols w:equalWidth="0" w:num="1">
            <w:col w:w="9340"/>
          </w:cols>
          <w:pgMar w:left="1260" w:top="1267" w:right="1280" w:bottom="0" w:gutter="0" w:footer="0" w:header="0"/>
          <w:type w:val="continuous"/>
        </w:sectPr>
      </w:pPr>
    </w:p>
    <w:bookmarkStart w:id="38" w:name="page39"/>
    <w:bookmarkEnd w:id="38"/>
    <w:p>
      <w:pPr>
        <w:ind w:right="20"/>
        <w:spacing w:after="0" w:line="325" w:lineRule="auto"/>
        <w:rPr>
          <w:sz w:val="20"/>
          <w:szCs w:val="20"/>
          <w:color w:val="auto"/>
        </w:rPr>
      </w:pPr>
      <w:r>
        <w:rPr>
          <w:rFonts w:ascii="Arial" w:cs="Arial" w:eastAsia="Arial" w:hAnsi="Arial"/>
          <w:sz w:val="20"/>
          <w:szCs w:val="20"/>
          <w:color w:val="auto"/>
        </w:rPr>
        <w:t>commercially reasonable terms or at all. Any such developments may adversely affect our operations and financial condition.</w:t>
      </w:r>
    </w:p>
    <w:p>
      <w:pPr>
        <w:spacing w:after="0" w:line="15" w:lineRule="exact"/>
        <w:rPr>
          <w:sz w:val="20"/>
          <w:szCs w:val="20"/>
          <w:color w:val="auto"/>
        </w:rPr>
      </w:pPr>
    </w:p>
    <w:p>
      <w:pPr>
        <w:ind w:right="680"/>
        <w:spacing w:after="0" w:line="298" w:lineRule="auto"/>
        <w:rPr>
          <w:sz w:val="20"/>
          <w:szCs w:val="20"/>
          <w:color w:val="auto"/>
        </w:rPr>
      </w:pPr>
      <w:r>
        <w:rPr>
          <w:rFonts w:ascii="Arial Narrow" w:cs="Arial Narrow" w:eastAsia="Arial Narrow" w:hAnsi="Arial Narrow"/>
          <w:sz w:val="22"/>
          <w:szCs w:val="22"/>
          <w:i w:val="1"/>
          <w:iCs w:val="1"/>
          <w:color w:val="00085E"/>
        </w:rPr>
        <w:t>Significant changes in the cost and availability of transportation could adversely affect our business, financial condition, and results of operations.</w:t>
      </w:r>
    </w:p>
    <w:p>
      <w:pPr>
        <w:spacing w:after="0" w:line="56" w:lineRule="exact"/>
        <w:rPr>
          <w:sz w:val="20"/>
          <w:szCs w:val="20"/>
          <w:color w:val="auto"/>
        </w:rPr>
      </w:pPr>
    </w:p>
    <w:p>
      <w:pPr>
        <w:ind w:right="40"/>
        <w:spacing w:after="0" w:line="286" w:lineRule="auto"/>
        <w:rPr>
          <w:sz w:val="20"/>
          <w:szCs w:val="20"/>
          <w:color w:val="auto"/>
        </w:rPr>
      </w:pPr>
      <w:r>
        <w:rPr>
          <w:rFonts w:ascii="Arial" w:cs="Arial" w:eastAsia="Arial" w:hAnsi="Arial"/>
          <w:sz w:val="20"/>
          <w:szCs w:val="20"/>
          <w:color w:val="auto"/>
        </w:rPr>
        <w:t>Some of the raw materials used in our manufacturing processes, such as coal or coke, are transported to our facilities by truck or rail. In addition, transportation logistics play an important part in allowing us to supply products to our customers, whether by truck, rail, or barge. For example, we deliver gypsum wallboard to many areas of the United States, and the transportation costs associated with the delivery of our wallboard products represent a significant portion of the variable cost of our Gypsum Wallboard segment. On the other hand, cement is more difficult and costly to transport over long distances, which limits the areas typically served by our cement plants. Significant increases in the cost of fuel or energy can result in material increases in the cost of transportation, which could materially and adversely affect our operating profits. In addition, reductions in the availability of certain modes of transportation, such as rail or trucking, could limit our ability to deliver product and therefore materially and adversely affect our operating profits.</w:t>
      </w:r>
    </w:p>
    <w:p>
      <w:pPr>
        <w:spacing w:after="0" w:line="53" w:lineRule="exact"/>
        <w:rPr>
          <w:sz w:val="20"/>
          <w:szCs w:val="20"/>
          <w:color w:val="auto"/>
        </w:rPr>
      </w:pPr>
    </w:p>
    <w:p>
      <w:pPr>
        <w:ind w:right="320"/>
        <w:spacing w:after="0" w:line="298" w:lineRule="auto"/>
        <w:rPr>
          <w:sz w:val="20"/>
          <w:szCs w:val="20"/>
          <w:color w:val="auto"/>
        </w:rPr>
      </w:pPr>
      <w:r>
        <w:rPr>
          <w:rFonts w:ascii="Arial Narrow" w:cs="Arial Narrow" w:eastAsia="Arial Narrow" w:hAnsi="Arial Narrow"/>
          <w:sz w:val="22"/>
          <w:szCs w:val="22"/>
          <w:i w:val="1"/>
          <w:iCs w:val="1"/>
          <w:color w:val="00085E"/>
        </w:rPr>
        <w:t>Our debt agreements contain restrictive covenants and require us to meet certain financial ratios and tests, which limit our flexibility and could give rise to a default if we are unable to remain in compliance.</w:t>
      </w:r>
    </w:p>
    <w:p>
      <w:pPr>
        <w:spacing w:after="0" w:line="56" w:lineRule="exact"/>
        <w:rPr>
          <w:sz w:val="20"/>
          <w:szCs w:val="20"/>
          <w:color w:val="auto"/>
        </w:rPr>
      </w:pPr>
    </w:p>
    <w:p>
      <w:pPr>
        <w:ind w:right="40"/>
        <w:spacing w:after="0" w:line="303" w:lineRule="auto"/>
        <w:rPr>
          <w:sz w:val="20"/>
          <w:szCs w:val="20"/>
          <w:color w:val="auto"/>
        </w:rPr>
      </w:pPr>
      <w:r>
        <w:rPr>
          <w:rFonts w:ascii="Arial" w:cs="Arial" w:eastAsia="Arial" w:hAnsi="Arial"/>
          <w:sz w:val="20"/>
          <w:szCs w:val="20"/>
          <w:color w:val="auto"/>
        </w:rPr>
        <w:t>Our outstanding debt agreements contain, among other things, covenants that limit our ability to finance future operations or capital needs or to engage in other business activities, including but not limited to our ability to:</w:t>
      </w:r>
    </w:p>
    <w:p>
      <w:pPr>
        <w:spacing w:after="0" w:line="44" w:lineRule="exact"/>
        <w:rPr>
          <w:sz w:val="20"/>
          <w:szCs w:val="20"/>
          <w:color w:val="auto"/>
        </w:rPr>
      </w:pPr>
    </w:p>
    <w:p>
      <w:pPr>
        <w:ind w:left="480" w:hanging="480"/>
        <w:spacing w:after="0"/>
        <w:tabs>
          <w:tab w:leader="none" w:pos="4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permit our consolidated subsidiaries to incur indebtedness;</w:t>
      </w:r>
    </w:p>
    <w:p>
      <w:pPr>
        <w:spacing w:after="0" w:line="73" w:lineRule="exact"/>
        <w:rPr>
          <w:rFonts w:ascii="Arial" w:cs="Arial" w:eastAsia="Arial" w:hAnsi="Arial"/>
          <w:sz w:val="20"/>
          <w:szCs w:val="20"/>
          <w:color w:val="auto"/>
        </w:rPr>
      </w:pPr>
    </w:p>
    <w:p>
      <w:pPr>
        <w:ind w:left="480" w:right="60" w:hanging="480"/>
        <w:spacing w:after="0" w:line="278" w:lineRule="auto"/>
        <w:tabs>
          <w:tab w:leader="none" w:pos="4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sell, transfer, lease, or otherwise dispose of all or substantially all of the assets of the Company and its consolidated subsidiaries;</w:t>
      </w:r>
    </w:p>
    <w:p>
      <w:pPr>
        <w:ind w:left="480" w:hanging="480"/>
        <w:spacing w:after="0"/>
        <w:tabs>
          <w:tab w:leader="none" w:pos="4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create liens;</w:t>
      </w:r>
    </w:p>
    <w:p>
      <w:pPr>
        <w:spacing w:after="0" w:line="73" w:lineRule="exact"/>
        <w:rPr>
          <w:rFonts w:ascii="Arial" w:cs="Arial" w:eastAsia="Arial" w:hAnsi="Arial"/>
          <w:sz w:val="20"/>
          <w:szCs w:val="20"/>
          <w:color w:val="auto"/>
        </w:rPr>
      </w:pPr>
    </w:p>
    <w:p>
      <w:pPr>
        <w:ind w:left="480" w:hanging="480"/>
        <w:spacing w:after="0"/>
        <w:tabs>
          <w:tab w:leader="none" w:pos="4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consolidate or merge with or into another person;</w:t>
      </w:r>
    </w:p>
    <w:p>
      <w:pPr>
        <w:spacing w:after="0" w:line="73" w:lineRule="exact"/>
        <w:rPr>
          <w:rFonts w:ascii="Arial" w:cs="Arial" w:eastAsia="Arial" w:hAnsi="Arial"/>
          <w:sz w:val="20"/>
          <w:szCs w:val="20"/>
          <w:color w:val="auto"/>
        </w:rPr>
      </w:pPr>
    </w:p>
    <w:p>
      <w:pPr>
        <w:ind w:left="480" w:hanging="480"/>
        <w:spacing w:after="0"/>
        <w:tabs>
          <w:tab w:leader="none" w:pos="4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enter into transactions with our affiliates; and</w:t>
      </w:r>
    </w:p>
    <w:p>
      <w:pPr>
        <w:spacing w:after="0" w:line="73" w:lineRule="exact"/>
        <w:rPr>
          <w:rFonts w:ascii="Arial" w:cs="Arial" w:eastAsia="Arial" w:hAnsi="Arial"/>
          <w:sz w:val="20"/>
          <w:szCs w:val="20"/>
          <w:color w:val="auto"/>
        </w:rPr>
      </w:pPr>
    </w:p>
    <w:p>
      <w:pPr>
        <w:ind w:left="480" w:hanging="480"/>
        <w:spacing w:after="0"/>
        <w:tabs>
          <w:tab w:leader="none" w:pos="4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enter into sale/leaseback transactions.</w:t>
      </w:r>
    </w:p>
    <w:p>
      <w:pPr>
        <w:spacing w:after="0" w:line="140" w:lineRule="exact"/>
        <w:rPr>
          <w:sz w:val="20"/>
          <w:szCs w:val="20"/>
          <w:color w:val="auto"/>
        </w:rPr>
      </w:pPr>
    </w:p>
    <w:p>
      <w:pPr>
        <w:spacing w:after="0" w:line="275" w:lineRule="auto"/>
        <w:rPr>
          <w:sz w:val="20"/>
          <w:szCs w:val="20"/>
          <w:color w:val="auto"/>
        </w:rPr>
      </w:pPr>
      <w:r>
        <w:rPr>
          <w:rFonts w:ascii="Arial" w:cs="Arial" w:eastAsia="Arial" w:hAnsi="Arial"/>
          <w:sz w:val="20"/>
          <w:szCs w:val="20"/>
          <w:color w:val="auto"/>
        </w:rPr>
        <w:t>In addition, these agreements require us to meet and maintain certain financial ratios and tests, which may require that we take action to reduce our debt or to act in a manner contrary to our business objectives. Events beyond our control, including changes in general business and economic conditions, may impair our ability to comply with these covenants or meet those financial ratios and tests. A breach of any of these covenants or failure to maintain the required ratios and meet the required tests may result in an event of default under these agreements. This may allow the lenders under these agreements to declare all amounts outstanding to be immediately due and payable, terminate any commitments to extend further credit to us, and pursue other remedies available to them under the applicable agreements. If this occurs, our indebtedness may be accelerated, and we may not be able to refinance the accelerated indebtedness on favorable terms, or at all, or repay the accelerated indebtedness. In general, the occurrence of any event of default under these agreements could have a material adverse effect on our financial condition or results of operations.</w:t>
      </w:r>
    </w:p>
    <w:p>
      <w:pPr>
        <w:sectPr>
          <w:pgSz w:w="11880" w:h="15480" w:orient="portrait"/>
          <w:cols w:equalWidth="0" w:num="1">
            <w:col w:w="9340"/>
          </w:cols>
          <w:pgMar w:left="1260" w:top="1267"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31</w:t>
      </w:r>
    </w:p>
    <w:p>
      <w:pPr>
        <w:sectPr>
          <w:pgSz w:w="11880" w:h="15480" w:orient="portrait"/>
          <w:cols w:equalWidth="0" w:num="1">
            <w:col w:w="9340"/>
          </w:cols>
          <w:pgMar w:left="1260" w:top="1267" w:right="1280" w:bottom="0" w:gutter="0" w:footer="0" w:header="0"/>
          <w:type w:val="continuous"/>
        </w:sectPr>
      </w:pPr>
    </w:p>
    <w:bookmarkStart w:id="39" w:name="page40"/>
    <w:bookmarkEnd w:id="39"/>
    <w:p>
      <w:pPr>
        <w:ind w:right="180"/>
        <w:spacing w:after="0" w:line="298" w:lineRule="auto"/>
        <w:rPr>
          <w:sz w:val="20"/>
          <w:szCs w:val="20"/>
          <w:color w:val="auto"/>
        </w:rPr>
      </w:pPr>
      <w:r>
        <w:rPr>
          <w:rFonts w:ascii="Arial Narrow" w:cs="Arial Narrow" w:eastAsia="Arial Narrow" w:hAnsi="Arial Narrow"/>
          <w:sz w:val="22"/>
          <w:szCs w:val="22"/>
          <w:i w:val="1"/>
          <w:iCs w:val="1"/>
          <w:color w:val="00085E"/>
        </w:rPr>
        <w:t>We have incurred or may incur substantial indebtedness, which could adversely affect our business, limit our ability to plan for or respond to changes in our business, and reduce our profitability.</w:t>
      </w:r>
    </w:p>
    <w:p>
      <w:pPr>
        <w:spacing w:after="0" w:line="56" w:lineRule="exact"/>
        <w:rPr>
          <w:sz w:val="20"/>
          <w:szCs w:val="20"/>
          <w:color w:val="auto"/>
        </w:rPr>
      </w:pPr>
    </w:p>
    <w:p>
      <w:pPr>
        <w:ind w:right="20"/>
        <w:spacing w:after="0" w:line="288" w:lineRule="auto"/>
        <w:rPr>
          <w:sz w:val="20"/>
          <w:szCs w:val="20"/>
          <w:color w:val="auto"/>
        </w:rPr>
      </w:pPr>
      <w:r>
        <w:rPr>
          <w:rFonts w:ascii="Arial" w:cs="Arial" w:eastAsia="Arial" w:hAnsi="Arial"/>
          <w:sz w:val="20"/>
          <w:szCs w:val="20"/>
          <w:color w:val="auto"/>
        </w:rPr>
        <w:t>In the past, we have incurred significant indebtedness in connection with acquisition transactions or otherwise to fund the growth and development of our business. As of March 31, 2026, we had $1.8 billion of debt outstanding. We may also incur significant indebtedness from time to time in the future for these or other reasons. Our future ability to satisfy our debt obligations is subject, to some extent, to financial, market, competitive, legislative, regulatory, and other factors that are beyond our control. Substantial debt obligations could have negative consequences to our business, and, in particular, could impede, restrict, or delay the implementation of our business strategy or prevent us from entering into transactions that would otherwise benefit our business. For example:</w:t>
      </w:r>
    </w:p>
    <w:p>
      <w:pPr>
        <w:spacing w:after="0" w:line="12" w:lineRule="exact"/>
        <w:rPr>
          <w:sz w:val="20"/>
          <w:szCs w:val="20"/>
          <w:color w:val="auto"/>
        </w:rPr>
      </w:pPr>
    </w:p>
    <w:p>
      <w:pPr>
        <w:jc w:val="both"/>
        <w:ind w:left="480" w:right="20" w:hanging="480"/>
        <w:spacing w:after="0" w:line="302" w:lineRule="auto"/>
        <w:tabs>
          <w:tab w:leader="none" w:pos="4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We may be required to dedicate a substantial portion of our cash flows from operations to payments on our indebtedness, thereby reducing the availability of our cash flow for other purposes, including business development efforts, capital expenditures, or strategic acquisitions;</w:t>
      </w:r>
    </w:p>
    <w:p>
      <w:pPr>
        <w:spacing w:after="0" w:line="1" w:lineRule="exact"/>
        <w:rPr>
          <w:rFonts w:ascii="Arial" w:cs="Arial" w:eastAsia="Arial" w:hAnsi="Arial"/>
          <w:sz w:val="20"/>
          <w:szCs w:val="20"/>
          <w:color w:val="auto"/>
        </w:rPr>
      </w:pPr>
    </w:p>
    <w:p>
      <w:pPr>
        <w:ind w:left="480" w:right="40" w:hanging="480"/>
        <w:spacing w:after="0" w:line="296" w:lineRule="auto"/>
        <w:tabs>
          <w:tab w:leader="none" w:pos="4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We may not be able to generate sufficient cash flow to meet our substantial debt service obligations or to fund our other liquidity needs. If this occurs, we may have to take actions such as selling assets, selling equity, or reducing or delaying capital expenditures, strategic acquisitions, investments and joint ventures, or restructuring our debt;</w:t>
      </w:r>
    </w:p>
    <w:p>
      <w:pPr>
        <w:spacing w:after="0" w:line="5" w:lineRule="exact"/>
        <w:rPr>
          <w:rFonts w:ascii="Arial" w:cs="Arial" w:eastAsia="Arial" w:hAnsi="Arial"/>
          <w:sz w:val="20"/>
          <w:szCs w:val="20"/>
          <w:color w:val="auto"/>
        </w:rPr>
      </w:pPr>
    </w:p>
    <w:p>
      <w:pPr>
        <w:ind w:left="480" w:right="20" w:hanging="480"/>
        <w:spacing w:after="0" w:line="296" w:lineRule="auto"/>
        <w:tabs>
          <w:tab w:leader="none" w:pos="4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As a result of the amount of our outstanding indebtedness and the restrictive covenants to which we are or may become subject, if we determine that we require additional financing to fund future working capital, capital investments, or other business activities, we may not be able to obtain such financing on commercially reasonable terms, or at all; and</w:t>
      </w:r>
    </w:p>
    <w:p>
      <w:pPr>
        <w:spacing w:after="0" w:line="5" w:lineRule="exact"/>
        <w:rPr>
          <w:rFonts w:ascii="Arial" w:cs="Arial" w:eastAsia="Arial" w:hAnsi="Arial"/>
          <w:sz w:val="20"/>
          <w:szCs w:val="20"/>
          <w:color w:val="auto"/>
        </w:rPr>
      </w:pPr>
    </w:p>
    <w:p>
      <w:pPr>
        <w:ind w:left="480" w:right="300" w:hanging="480"/>
        <w:spacing w:after="0" w:line="303" w:lineRule="auto"/>
        <w:tabs>
          <w:tab w:leader="none" w:pos="4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Our flexibility in planning for, or reacting to, changes in our business and industry may be limited, thereby placing us at a competitive disadvantage compared with our competitors that have less indebtedness.</w:t>
      </w:r>
    </w:p>
    <w:p>
      <w:pPr>
        <w:spacing w:after="0" w:line="59" w:lineRule="exact"/>
        <w:rPr>
          <w:sz w:val="20"/>
          <w:szCs w:val="20"/>
          <w:color w:val="auto"/>
        </w:rPr>
      </w:pPr>
    </w:p>
    <w:p>
      <w:pPr>
        <w:ind w:right="180"/>
        <w:spacing w:after="0" w:line="303" w:lineRule="auto"/>
        <w:rPr>
          <w:sz w:val="20"/>
          <w:szCs w:val="20"/>
          <w:color w:val="auto"/>
        </w:rPr>
      </w:pPr>
      <w:r>
        <w:rPr>
          <w:rFonts w:ascii="Arial" w:cs="Arial" w:eastAsia="Arial" w:hAnsi="Arial"/>
          <w:sz w:val="20"/>
          <w:szCs w:val="20"/>
          <w:color w:val="auto"/>
        </w:rPr>
        <w:t>The base rate of our debt is determined by our credit rating. If our credit rating were to decline, interest charges on this debt would increase, which would raise the cost of borrowing and lower cash flows from operations.</w:t>
      </w:r>
    </w:p>
    <w:p>
      <w:pPr>
        <w:spacing w:after="0" w:line="36" w:lineRule="exact"/>
        <w:rPr>
          <w:sz w:val="20"/>
          <w:szCs w:val="20"/>
          <w:color w:val="auto"/>
        </w:rPr>
      </w:pPr>
    </w:p>
    <w:p>
      <w:pPr>
        <w:spacing w:after="0"/>
        <w:rPr>
          <w:sz w:val="20"/>
          <w:szCs w:val="20"/>
          <w:color w:val="auto"/>
        </w:rPr>
      </w:pPr>
      <w:r>
        <w:rPr>
          <w:rFonts w:ascii="Arial Narrow" w:cs="Arial Narrow" w:eastAsia="Arial Narrow" w:hAnsi="Arial Narrow"/>
          <w:sz w:val="22"/>
          <w:szCs w:val="22"/>
          <w:i w:val="1"/>
          <w:iCs w:val="1"/>
          <w:color w:val="00085E"/>
        </w:rPr>
        <w:t>Volatility and disruption of financial markets could affect access to credit.</w:t>
      </w:r>
    </w:p>
    <w:p>
      <w:pPr>
        <w:spacing w:after="0" w:line="160" w:lineRule="exact"/>
        <w:rPr>
          <w:sz w:val="20"/>
          <w:szCs w:val="20"/>
          <w:color w:val="auto"/>
        </w:rPr>
      </w:pPr>
    </w:p>
    <w:p>
      <w:pPr>
        <w:spacing w:after="0" w:line="289" w:lineRule="auto"/>
        <w:rPr>
          <w:sz w:val="20"/>
          <w:szCs w:val="20"/>
          <w:color w:val="auto"/>
        </w:rPr>
      </w:pPr>
      <w:r>
        <w:rPr>
          <w:rFonts w:ascii="Arial" w:cs="Arial" w:eastAsia="Arial" w:hAnsi="Arial"/>
          <w:sz w:val="20"/>
          <w:szCs w:val="20"/>
          <w:color w:val="auto"/>
        </w:rPr>
        <w:t>Instability in the global economy or negative conditions in the credit markets that limit or impair our access to credit may adversely affect our business. In general, we often rely upon banks and, in some cases, the capital markets to fund our growth strategy. Any downgrades in our credit ratings may make raising capital more difficult, increase the cost and affect the terms of future borrowings and limit our ability to take advantage of potential business opportunities. If we are unable to secure financing on acceptable terms, our other sources of funds, including available cash and cash flow from operations, may not be adequate to fund our operations and contractual commitments and refinance existing debt.</w:t>
      </w:r>
    </w:p>
    <w:p>
      <w:pPr>
        <w:spacing w:after="0" w:line="71" w:lineRule="exact"/>
        <w:rPr>
          <w:sz w:val="20"/>
          <w:szCs w:val="20"/>
          <w:color w:val="auto"/>
        </w:rPr>
      </w:pPr>
    </w:p>
    <w:p>
      <w:pPr>
        <w:ind w:right="100"/>
        <w:spacing w:after="0" w:line="290" w:lineRule="auto"/>
        <w:rPr>
          <w:sz w:val="20"/>
          <w:szCs w:val="20"/>
          <w:color w:val="auto"/>
        </w:rPr>
      </w:pPr>
      <w:r>
        <w:rPr>
          <w:rFonts w:ascii="Arial" w:cs="Arial" w:eastAsia="Arial" w:hAnsi="Arial"/>
          <w:sz w:val="20"/>
          <w:szCs w:val="20"/>
          <w:color w:val="auto"/>
        </w:rPr>
        <w:t>We are also exposed to risks associated with the creditworthiness of our customers and suppliers. A number of our customers or suppliers have been and may continue to be adversely affected by unsettled conditions in capital and credit markets, which in some cases have made it more difficult or costly for them to finance their business operations. These unsettled conditions have the potential to reduce the sources of liquidity for the Company, and our customers and our suppliers, which could negatively affect our business.</w:t>
      </w:r>
    </w:p>
    <w:p>
      <w:pPr>
        <w:sectPr>
          <w:pgSz w:w="11880" w:h="15480" w:orient="portrait"/>
          <w:cols w:equalWidth="0" w:num="1">
            <w:col w:w="9340"/>
          </w:cols>
          <w:pgMar w:left="1260" w:top="1245"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32</w:t>
      </w:r>
    </w:p>
    <w:p>
      <w:pPr>
        <w:sectPr>
          <w:pgSz w:w="11880" w:h="15480" w:orient="portrait"/>
          <w:cols w:equalWidth="0" w:num="1">
            <w:col w:w="9340"/>
          </w:cols>
          <w:pgMar w:left="1260" w:top="1245" w:right="1280" w:bottom="0" w:gutter="0" w:footer="0" w:header="0"/>
          <w:type w:val="continuous"/>
        </w:sectPr>
      </w:pPr>
    </w:p>
    <w:bookmarkStart w:id="40" w:name="page41"/>
    <w:bookmarkEnd w:id="40"/>
    <w:p>
      <w:pPr>
        <w:ind w:right="460"/>
        <w:spacing w:after="0" w:line="298" w:lineRule="auto"/>
        <w:rPr>
          <w:sz w:val="20"/>
          <w:szCs w:val="20"/>
          <w:color w:val="auto"/>
        </w:rPr>
      </w:pPr>
      <w:r>
        <w:rPr>
          <w:rFonts w:ascii="Arial Narrow" w:cs="Arial Narrow" w:eastAsia="Arial Narrow" w:hAnsi="Arial Narrow"/>
          <w:sz w:val="22"/>
          <w:szCs w:val="22"/>
          <w:i w:val="1"/>
          <w:iCs w:val="1"/>
          <w:color w:val="00085E"/>
        </w:rPr>
        <w:t>Increases in interest rates and inflation could adversely affect our business and demand for our products, which would have a negative effect on our results of operations.</w:t>
      </w:r>
    </w:p>
    <w:p>
      <w:pPr>
        <w:spacing w:after="0" w:line="56" w:lineRule="exact"/>
        <w:rPr>
          <w:sz w:val="20"/>
          <w:szCs w:val="20"/>
          <w:color w:val="auto"/>
        </w:rPr>
      </w:pPr>
    </w:p>
    <w:p>
      <w:pPr>
        <w:ind w:right="20"/>
        <w:spacing w:after="0" w:line="287" w:lineRule="auto"/>
        <w:rPr>
          <w:sz w:val="20"/>
          <w:szCs w:val="20"/>
          <w:color w:val="auto"/>
        </w:rPr>
      </w:pPr>
      <w:r>
        <w:rPr>
          <w:rFonts w:ascii="Arial" w:cs="Arial" w:eastAsia="Arial" w:hAnsi="Arial"/>
          <w:sz w:val="20"/>
          <w:szCs w:val="20"/>
          <w:color w:val="auto"/>
        </w:rPr>
        <w:t>Our business is significantly affected by the movement of interest rates. As a result, in recent periods we have experienced higher interest expense related to borrowings under our borrowing facilities. Inflation has caused our cost of capital to increase, and the purchasing power of our cash resources to decline. Current or future efforts by the government to stimulate the economy may increase the risk of significant inflation, which could have a direct and indirect adverse impact on our business and results of operations. Interest rates also have a direct impact on the level of residential, commercial, and infrastructure construction activity by affecting the cost of borrowed funds to builders. Rising interest rates or the continuation of high levels of interest rates could result in decreased demand for our products, which could have a material adverse effect on our business and results of operations.</w:t>
      </w:r>
    </w:p>
    <w:p>
      <w:pPr>
        <w:spacing w:after="0" w:line="52" w:lineRule="exact"/>
        <w:rPr>
          <w:sz w:val="20"/>
          <w:szCs w:val="20"/>
          <w:color w:val="auto"/>
        </w:rPr>
      </w:pPr>
    </w:p>
    <w:p>
      <w:pPr>
        <w:spacing w:after="0"/>
        <w:rPr>
          <w:sz w:val="20"/>
          <w:szCs w:val="20"/>
          <w:color w:val="auto"/>
        </w:rPr>
      </w:pPr>
      <w:r>
        <w:rPr>
          <w:rFonts w:ascii="Arial Narrow" w:cs="Arial Narrow" w:eastAsia="Arial Narrow" w:hAnsi="Arial Narrow"/>
          <w:sz w:val="22"/>
          <w:szCs w:val="22"/>
          <w:i w:val="1"/>
          <w:iCs w:val="1"/>
          <w:color w:val="00085E"/>
        </w:rPr>
        <w:t>Increases in our effective income tax rate may harm our results of operations.</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color w:val="auto"/>
        </w:rPr>
        <w:t>A number of factors may increase our future effective income tax rate, including:</w:t>
      </w:r>
    </w:p>
    <w:p>
      <w:pPr>
        <w:spacing w:after="0" w:line="100" w:lineRule="exact"/>
        <w:rPr>
          <w:sz w:val="20"/>
          <w:szCs w:val="20"/>
          <w:color w:val="auto"/>
        </w:rPr>
      </w:pPr>
    </w:p>
    <w:p>
      <w:pPr>
        <w:ind w:left="480" w:right="620" w:hanging="480"/>
        <w:spacing w:after="0" w:line="313" w:lineRule="auto"/>
        <w:tabs>
          <w:tab w:leader="none" w:pos="4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governmental authorities increasing taxes or eliminating deductions, particularly the depletion deduction;</w:t>
      </w:r>
    </w:p>
    <w:p>
      <w:pPr>
        <w:ind w:left="480" w:hanging="480"/>
        <w:spacing w:after="0"/>
        <w:tabs>
          <w:tab w:leader="none" w:pos="4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 mix of earnings from depletable versus non-depletable businesses;</w:t>
      </w:r>
    </w:p>
    <w:p>
      <w:pPr>
        <w:spacing w:after="0" w:line="100" w:lineRule="exact"/>
        <w:rPr>
          <w:rFonts w:ascii="Arial" w:cs="Arial" w:eastAsia="Arial" w:hAnsi="Arial"/>
          <w:sz w:val="20"/>
          <w:szCs w:val="20"/>
          <w:color w:val="auto"/>
        </w:rPr>
      </w:pPr>
    </w:p>
    <w:p>
      <w:pPr>
        <w:ind w:left="480" w:hanging="480"/>
        <w:spacing w:after="0"/>
        <w:tabs>
          <w:tab w:leader="none" w:pos="4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 jurisdictions in which earnings are taxed;</w:t>
      </w:r>
    </w:p>
    <w:p>
      <w:pPr>
        <w:spacing w:after="0" w:line="100" w:lineRule="exact"/>
        <w:rPr>
          <w:rFonts w:ascii="Arial" w:cs="Arial" w:eastAsia="Arial" w:hAnsi="Arial"/>
          <w:sz w:val="20"/>
          <w:szCs w:val="20"/>
          <w:color w:val="auto"/>
        </w:rPr>
      </w:pPr>
    </w:p>
    <w:p>
      <w:pPr>
        <w:ind w:left="480" w:hanging="480"/>
        <w:spacing w:after="0"/>
        <w:tabs>
          <w:tab w:leader="none" w:pos="4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 resolution of issues arising from tax audits with various tax authorities;</w:t>
      </w:r>
    </w:p>
    <w:p>
      <w:pPr>
        <w:spacing w:after="0" w:line="100" w:lineRule="exact"/>
        <w:rPr>
          <w:rFonts w:ascii="Arial" w:cs="Arial" w:eastAsia="Arial" w:hAnsi="Arial"/>
          <w:sz w:val="20"/>
          <w:szCs w:val="20"/>
          <w:color w:val="auto"/>
        </w:rPr>
      </w:pPr>
    </w:p>
    <w:p>
      <w:pPr>
        <w:ind w:left="480" w:hanging="480"/>
        <w:spacing w:after="0"/>
        <w:tabs>
          <w:tab w:leader="none" w:pos="4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changes in the valuation of our deferred tax assets and liabilities;</w:t>
      </w:r>
    </w:p>
    <w:p>
      <w:pPr>
        <w:spacing w:after="0" w:line="100" w:lineRule="exact"/>
        <w:rPr>
          <w:rFonts w:ascii="Arial" w:cs="Arial" w:eastAsia="Arial" w:hAnsi="Arial"/>
          <w:sz w:val="20"/>
          <w:szCs w:val="20"/>
          <w:color w:val="auto"/>
        </w:rPr>
      </w:pPr>
    </w:p>
    <w:p>
      <w:pPr>
        <w:ind w:left="480" w:hanging="480"/>
        <w:spacing w:after="0"/>
        <w:tabs>
          <w:tab w:leader="none" w:pos="4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adjustments to estimated taxes upon finalization of various tax returns;</w:t>
      </w:r>
    </w:p>
    <w:p>
      <w:pPr>
        <w:spacing w:after="0" w:line="100" w:lineRule="exact"/>
        <w:rPr>
          <w:rFonts w:ascii="Arial" w:cs="Arial" w:eastAsia="Arial" w:hAnsi="Arial"/>
          <w:sz w:val="20"/>
          <w:szCs w:val="20"/>
          <w:color w:val="auto"/>
        </w:rPr>
      </w:pPr>
    </w:p>
    <w:p>
      <w:pPr>
        <w:ind w:left="480" w:hanging="480"/>
        <w:spacing w:after="0"/>
        <w:tabs>
          <w:tab w:leader="none" w:pos="4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changes in available tax credits;</w:t>
      </w:r>
    </w:p>
    <w:p>
      <w:pPr>
        <w:spacing w:after="0" w:line="100" w:lineRule="exact"/>
        <w:rPr>
          <w:rFonts w:ascii="Arial" w:cs="Arial" w:eastAsia="Arial" w:hAnsi="Arial"/>
          <w:sz w:val="20"/>
          <w:szCs w:val="20"/>
          <w:color w:val="auto"/>
        </w:rPr>
      </w:pPr>
    </w:p>
    <w:p>
      <w:pPr>
        <w:ind w:left="480" w:hanging="480"/>
        <w:spacing w:after="0"/>
        <w:tabs>
          <w:tab w:leader="none" w:pos="4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changes in stock-based compensation;</w:t>
      </w:r>
    </w:p>
    <w:p>
      <w:pPr>
        <w:spacing w:after="0" w:line="100" w:lineRule="exact"/>
        <w:rPr>
          <w:rFonts w:ascii="Arial" w:cs="Arial" w:eastAsia="Arial" w:hAnsi="Arial"/>
          <w:sz w:val="20"/>
          <w:szCs w:val="20"/>
          <w:color w:val="auto"/>
        </w:rPr>
      </w:pPr>
    </w:p>
    <w:p>
      <w:pPr>
        <w:ind w:left="480" w:hanging="480"/>
        <w:spacing w:after="0"/>
        <w:tabs>
          <w:tab w:leader="none" w:pos="4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other changes in tax laws; and</w:t>
      </w:r>
    </w:p>
    <w:p>
      <w:pPr>
        <w:spacing w:after="0" w:line="100" w:lineRule="exact"/>
        <w:rPr>
          <w:rFonts w:ascii="Arial" w:cs="Arial" w:eastAsia="Arial" w:hAnsi="Arial"/>
          <w:sz w:val="20"/>
          <w:szCs w:val="20"/>
          <w:color w:val="auto"/>
        </w:rPr>
      </w:pPr>
    </w:p>
    <w:p>
      <w:pPr>
        <w:ind w:left="480" w:hanging="480"/>
        <w:spacing w:after="0"/>
        <w:tabs>
          <w:tab w:leader="none" w:pos="4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 interpretation of tax laws and/or administrative practices.</w:t>
      </w:r>
    </w:p>
    <w:p>
      <w:pPr>
        <w:spacing w:after="0" w:line="160" w:lineRule="exact"/>
        <w:rPr>
          <w:sz w:val="20"/>
          <w:szCs w:val="20"/>
          <w:color w:val="auto"/>
        </w:rPr>
      </w:pPr>
    </w:p>
    <w:p>
      <w:pPr>
        <w:ind w:right="260"/>
        <w:spacing w:after="0" w:line="325" w:lineRule="auto"/>
        <w:rPr>
          <w:sz w:val="20"/>
          <w:szCs w:val="20"/>
          <w:color w:val="auto"/>
        </w:rPr>
      </w:pPr>
      <w:r>
        <w:rPr>
          <w:rFonts w:ascii="Arial" w:cs="Arial" w:eastAsia="Arial" w:hAnsi="Arial"/>
          <w:sz w:val="20"/>
          <w:szCs w:val="20"/>
          <w:color w:val="auto"/>
        </w:rPr>
        <w:t>Any significant increase in our future effective income tax rate could reduce net earnings and free cash flow for future periods.</w:t>
      </w:r>
    </w:p>
    <w:p>
      <w:pPr>
        <w:spacing w:after="0" w:line="5" w:lineRule="exact"/>
        <w:rPr>
          <w:sz w:val="20"/>
          <w:szCs w:val="20"/>
          <w:color w:val="auto"/>
        </w:rPr>
      </w:pPr>
    </w:p>
    <w:p>
      <w:pPr>
        <w:ind w:right="760"/>
        <w:spacing w:after="0" w:line="298" w:lineRule="auto"/>
        <w:rPr>
          <w:sz w:val="20"/>
          <w:szCs w:val="20"/>
          <w:color w:val="auto"/>
        </w:rPr>
      </w:pPr>
      <w:r>
        <w:rPr>
          <w:rFonts w:ascii="Arial Narrow" w:cs="Arial Narrow" w:eastAsia="Arial Narrow" w:hAnsi="Arial Narrow"/>
          <w:sz w:val="22"/>
          <w:szCs w:val="22"/>
          <w:i w:val="1"/>
          <w:iCs w:val="1"/>
          <w:color w:val="00085E"/>
        </w:rPr>
        <w:t>We depend on the recruitment and retention of qualified personnel, and our failure to attract and retain such personnel could adversely affect our businesses.</w:t>
      </w:r>
    </w:p>
    <w:p>
      <w:pPr>
        <w:spacing w:after="0" w:line="66" w:lineRule="exact"/>
        <w:rPr>
          <w:sz w:val="20"/>
          <w:szCs w:val="20"/>
          <w:color w:val="auto"/>
        </w:rPr>
      </w:pPr>
    </w:p>
    <w:p>
      <w:pPr>
        <w:spacing w:after="0" w:line="285" w:lineRule="auto"/>
        <w:rPr>
          <w:sz w:val="20"/>
          <w:szCs w:val="20"/>
          <w:color w:val="auto"/>
        </w:rPr>
      </w:pPr>
      <w:r>
        <w:rPr>
          <w:rFonts w:ascii="Arial" w:cs="Arial" w:eastAsia="Arial" w:hAnsi="Arial"/>
          <w:sz w:val="20"/>
          <w:szCs w:val="20"/>
          <w:color w:val="auto"/>
        </w:rPr>
        <w:t>Our success depends to a significant degree upon the continued services of, and on our ability to attract and retain, our key personnel and executive officers, including qualified management, operations, technical, marketing and sales, and support personnel. Competition for such personnel is intense, and we may not be successful in attracting or retaining such qualified personnel, which could negatively affect our businesses. In addition, because we rely on our senior management team to set and implement business strategy, the unanticipated departure of any key member could have an adverse effect on our business. Our future success depends, in part, on our ability to identify and develop or recruit talent to succeed our senior management and other key positions throughout the organization. If we fail to identify and develop or recruit successors, we are at risk of being harmed by the departures of these key employees. Effective succession planning is also important to our long-term success. Failure to manage effective transfer of knowledge and smooth transitions involving key employees could hinder our strategic planning and execution.</w:t>
      </w:r>
    </w:p>
    <w:p>
      <w:pPr>
        <w:sectPr>
          <w:pgSz w:w="11880" w:h="15480" w:orient="portrait"/>
          <w:cols w:equalWidth="0" w:num="1">
            <w:col w:w="9340"/>
          </w:cols>
          <w:pgMar w:left="1260" w:top="1245"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33</w:t>
      </w:r>
    </w:p>
    <w:p>
      <w:pPr>
        <w:sectPr>
          <w:pgSz w:w="11880" w:h="15480" w:orient="portrait"/>
          <w:cols w:equalWidth="0" w:num="1">
            <w:col w:w="9340"/>
          </w:cols>
          <w:pgMar w:left="1260" w:top="1245" w:right="1280" w:bottom="0" w:gutter="0" w:footer="0" w:header="0"/>
          <w:type w:val="continuous"/>
        </w:sectPr>
      </w:pPr>
    </w:p>
    <w:bookmarkStart w:id="41" w:name="page42"/>
    <w:bookmarkEnd w:id="41"/>
    <w:p>
      <w:pPr>
        <w:spacing w:after="0"/>
        <w:rPr>
          <w:sz w:val="20"/>
          <w:szCs w:val="20"/>
          <w:color w:val="auto"/>
        </w:rPr>
      </w:pPr>
      <w:r>
        <w:rPr>
          <w:rFonts w:ascii="Arial Narrow" w:cs="Arial Narrow" w:eastAsia="Arial Narrow" w:hAnsi="Arial Narrow"/>
          <w:sz w:val="22"/>
          <w:szCs w:val="22"/>
          <w:i w:val="1"/>
          <w:iCs w:val="1"/>
          <w:color w:val="00085E"/>
        </w:rPr>
        <w:t>We could experience disruption to our business operations due to disputes with organized labor.</w:t>
      </w:r>
    </w:p>
    <w:p>
      <w:pPr>
        <w:spacing w:after="0" w:line="170" w:lineRule="exact"/>
        <w:rPr>
          <w:sz w:val="20"/>
          <w:szCs w:val="20"/>
          <w:color w:val="auto"/>
        </w:rPr>
      </w:pPr>
    </w:p>
    <w:p>
      <w:pPr>
        <w:spacing w:after="0" w:line="288" w:lineRule="auto"/>
        <w:rPr>
          <w:sz w:val="20"/>
          <w:szCs w:val="20"/>
          <w:color w:val="auto"/>
        </w:rPr>
      </w:pPr>
      <w:r>
        <w:rPr>
          <w:rFonts w:ascii="Arial" w:cs="Arial" w:eastAsia="Arial" w:hAnsi="Arial"/>
          <w:sz w:val="20"/>
          <w:szCs w:val="20"/>
          <w:color w:val="auto"/>
        </w:rPr>
        <w:t>Approximately half of our hourly employees are covered by collective bargaining agreements. Labor is a meaningful component in our ability to operate our business and can have a significant impact on the cost of operating our business. Labor shortages could restrict our ability to operate our business and increase costs to operate our business. Additionally, disputes with trade unions or the inability to renew our labor agreements may lead to work stoppages or strikes that could disrupt our business operations and lead to higher costs and/or reduced revenue and operating earnings. Labor issues affecting our suppliers, service providers, customers and other third parties may similarly have a material adverse effect on our business operations.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00085E"/>
        </w:rPr>
        <w:t>GROWTH RISK FACTORS</w:t>
      </w:r>
    </w:p>
    <w:p>
      <w:pPr>
        <w:spacing w:after="0" w:line="131" w:lineRule="exact"/>
        <w:rPr>
          <w:sz w:val="20"/>
          <w:szCs w:val="20"/>
          <w:color w:val="auto"/>
        </w:rPr>
      </w:pPr>
    </w:p>
    <w:p>
      <w:pPr>
        <w:ind w:right="180"/>
        <w:spacing w:after="0" w:line="270" w:lineRule="auto"/>
        <w:rPr>
          <w:sz w:val="20"/>
          <w:szCs w:val="20"/>
          <w:color w:val="auto"/>
        </w:rPr>
      </w:pPr>
      <w:r>
        <w:rPr>
          <w:rFonts w:ascii="Arial Narrow" w:cs="Arial Narrow" w:eastAsia="Arial Narrow" w:hAnsi="Arial Narrow"/>
          <w:sz w:val="22"/>
          <w:szCs w:val="22"/>
          <w:i w:val="1"/>
          <w:iCs w:val="1"/>
          <w:color w:val="00085E"/>
        </w:rPr>
        <w:t>We may pursue acquisitions, joint ventures, and other transactions that are intended to complement or expand our businesses. We may not be able to complete proposed transactions, and even if completed, the transactions may involve a number of risks that may result in a material adverse effect on our business, financial condition, operating results, and cash flows.</w:t>
      </w:r>
    </w:p>
    <w:p>
      <w:pPr>
        <w:spacing w:after="0" w:line="87" w:lineRule="exact"/>
        <w:rPr>
          <w:sz w:val="20"/>
          <w:szCs w:val="20"/>
          <w:color w:val="auto"/>
        </w:rPr>
      </w:pPr>
    </w:p>
    <w:p>
      <w:pPr>
        <w:ind w:right="500"/>
        <w:spacing w:after="0" w:line="289" w:lineRule="auto"/>
        <w:rPr>
          <w:sz w:val="20"/>
          <w:szCs w:val="20"/>
          <w:color w:val="auto"/>
        </w:rPr>
      </w:pPr>
      <w:r>
        <w:rPr>
          <w:rFonts w:ascii="Arial" w:cs="Arial" w:eastAsia="Arial" w:hAnsi="Arial"/>
          <w:sz w:val="20"/>
          <w:szCs w:val="20"/>
          <w:color w:val="auto"/>
        </w:rPr>
        <w:t>As business conditions warrant and our financial resources permit, we may pursue opportunities to acquire businesses or technologies and to form joint ventures that we believe could complement, enhance, or expand our current businesses or product lines or that might otherwise offer us growth opportunities. We may have difficulty identifying appropriate opportunities, or if we do identify opportunities, we may not be successful in completing transactions for a number of reasons. Any transactions that we are able to identify and complete may involve one or more of a number of risks, including:</w:t>
      </w:r>
    </w:p>
    <w:p>
      <w:pPr>
        <w:spacing w:after="0" w:line="11" w:lineRule="exact"/>
        <w:rPr>
          <w:sz w:val="20"/>
          <w:szCs w:val="20"/>
          <w:color w:val="auto"/>
        </w:rPr>
      </w:pPr>
    </w:p>
    <w:p>
      <w:pPr>
        <w:ind w:left="480" w:right="620" w:hanging="480"/>
        <w:spacing w:after="0" w:line="313" w:lineRule="auto"/>
        <w:tabs>
          <w:tab w:leader="none" w:pos="480"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 diversion of management’s attention from our existing businesses to the integration of the operations and personnel of the acquired business or joint venture;</w:t>
      </w:r>
    </w:p>
    <w:p>
      <w:pPr>
        <w:ind w:left="480" w:hanging="480"/>
        <w:spacing w:after="0"/>
        <w:tabs>
          <w:tab w:leader="none" w:pos="480" w:val="left"/>
        </w:tabs>
        <w:numPr>
          <w:ilvl w:val="0"/>
          <w:numId w:val="13"/>
        </w:numPr>
        <w:rPr>
          <w:rFonts w:ascii="Arial" w:cs="Arial" w:eastAsia="Arial" w:hAnsi="Arial"/>
          <w:sz w:val="20"/>
          <w:szCs w:val="20"/>
          <w:color w:val="auto"/>
        </w:rPr>
      </w:pPr>
      <w:r>
        <w:rPr>
          <w:rFonts w:ascii="Arial" w:cs="Arial" w:eastAsia="Arial" w:hAnsi="Arial"/>
          <w:sz w:val="20"/>
          <w:szCs w:val="20"/>
          <w:color w:val="auto"/>
        </w:rPr>
        <w:t>possible adverse effects on our operating results during the integration process;</w:t>
      </w:r>
    </w:p>
    <w:p>
      <w:pPr>
        <w:spacing w:after="0" w:line="100" w:lineRule="exact"/>
        <w:rPr>
          <w:rFonts w:ascii="Arial" w:cs="Arial" w:eastAsia="Arial" w:hAnsi="Arial"/>
          <w:sz w:val="20"/>
          <w:szCs w:val="20"/>
          <w:color w:val="auto"/>
        </w:rPr>
      </w:pPr>
    </w:p>
    <w:p>
      <w:pPr>
        <w:ind w:left="480" w:right="320" w:hanging="480"/>
        <w:spacing w:after="0" w:line="313" w:lineRule="auto"/>
        <w:tabs>
          <w:tab w:leader="none" w:pos="480" w:val="left"/>
        </w:tabs>
        <w:numPr>
          <w:ilvl w:val="0"/>
          <w:numId w:val="13"/>
        </w:numPr>
        <w:rPr>
          <w:rFonts w:ascii="Arial" w:cs="Arial" w:eastAsia="Arial" w:hAnsi="Arial"/>
          <w:sz w:val="20"/>
          <w:szCs w:val="20"/>
          <w:color w:val="auto"/>
        </w:rPr>
      </w:pPr>
      <w:r>
        <w:rPr>
          <w:rFonts w:ascii="Arial" w:cs="Arial" w:eastAsia="Arial" w:hAnsi="Arial"/>
          <w:sz w:val="20"/>
          <w:szCs w:val="20"/>
          <w:color w:val="auto"/>
        </w:rPr>
        <w:t>failure of the acquired business or joint venture to achieve expected operational, profitability, and investment return objectives;</w:t>
      </w:r>
    </w:p>
    <w:p>
      <w:pPr>
        <w:ind w:left="480" w:right="440" w:hanging="480"/>
        <w:spacing w:after="0" w:line="313" w:lineRule="auto"/>
        <w:tabs>
          <w:tab w:leader="none" w:pos="480"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 incurrence of significant charges, such as impairment of goodwill or intangible assets, asset devaluation, or restructuring charges;</w:t>
      </w:r>
    </w:p>
    <w:p>
      <w:pPr>
        <w:ind w:left="480" w:right="560" w:hanging="480"/>
        <w:spacing w:after="0" w:line="313" w:lineRule="auto"/>
        <w:tabs>
          <w:tab w:leader="none" w:pos="480"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 assumption of unanticipated liabilities and costs for which indemnification is unavailable or inadequate;</w:t>
      </w:r>
    </w:p>
    <w:p>
      <w:pPr>
        <w:ind w:left="480" w:hanging="480"/>
        <w:spacing w:after="0"/>
        <w:tabs>
          <w:tab w:leader="none" w:pos="480" w:val="left"/>
        </w:tabs>
        <w:numPr>
          <w:ilvl w:val="0"/>
          <w:numId w:val="13"/>
        </w:numPr>
        <w:rPr>
          <w:rFonts w:ascii="Arial" w:cs="Arial" w:eastAsia="Arial" w:hAnsi="Arial"/>
          <w:sz w:val="20"/>
          <w:szCs w:val="20"/>
          <w:color w:val="auto"/>
        </w:rPr>
      </w:pPr>
      <w:r>
        <w:rPr>
          <w:rFonts w:ascii="Arial" w:cs="Arial" w:eastAsia="Arial" w:hAnsi="Arial"/>
          <w:sz w:val="20"/>
          <w:szCs w:val="20"/>
          <w:color w:val="auto"/>
        </w:rPr>
        <w:t>unforeseen difficulties encountered in operating in new geographic areas; and</w:t>
      </w:r>
    </w:p>
    <w:p>
      <w:pPr>
        <w:spacing w:after="0" w:line="100" w:lineRule="exact"/>
        <w:rPr>
          <w:rFonts w:ascii="Arial" w:cs="Arial" w:eastAsia="Arial" w:hAnsi="Arial"/>
          <w:sz w:val="20"/>
          <w:szCs w:val="20"/>
          <w:color w:val="auto"/>
        </w:rPr>
      </w:pPr>
    </w:p>
    <w:p>
      <w:pPr>
        <w:ind w:left="480" w:hanging="480"/>
        <w:spacing w:after="0"/>
        <w:tabs>
          <w:tab w:leader="none" w:pos="480"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 inability to achieve other intended objectives of the transaction.</w:t>
      </w:r>
    </w:p>
    <w:p>
      <w:pPr>
        <w:spacing w:after="0" w:line="160" w:lineRule="exact"/>
        <w:rPr>
          <w:sz w:val="20"/>
          <w:szCs w:val="20"/>
          <w:color w:val="auto"/>
        </w:rPr>
      </w:pPr>
    </w:p>
    <w:p>
      <w:pPr>
        <w:ind w:right="60"/>
        <w:spacing w:after="0" w:line="292" w:lineRule="auto"/>
        <w:rPr>
          <w:sz w:val="20"/>
          <w:szCs w:val="20"/>
          <w:color w:val="auto"/>
        </w:rPr>
      </w:pPr>
      <w:r>
        <w:rPr>
          <w:rFonts w:ascii="Arial" w:cs="Arial" w:eastAsia="Arial" w:hAnsi="Arial"/>
          <w:sz w:val="20"/>
          <w:szCs w:val="20"/>
          <w:color w:val="auto"/>
        </w:rPr>
        <w:t>In addition, we may not be able to successfully or profitably integrate, operate, maintain, and manage our newly acquired operations or their employees. We may not be able to maintain uniform standards, controls, procedures, and policies, which may lead to operational inefficiencies. In addition, future acquisitions may result in dilutive issuances of equity securities or the incurrence of additional indebtedness.</w:t>
      </w:r>
    </w:p>
    <w:p>
      <w:pPr>
        <w:spacing w:after="0" w:line="48" w:lineRule="exact"/>
        <w:rPr>
          <w:sz w:val="20"/>
          <w:szCs w:val="20"/>
          <w:color w:val="auto"/>
        </w:rPr>
      </w:pPr>
    </w:p>
    <w:p>
      <w:pPr>
        <w:ind w:right="520"/>
        <w:spacing w:after="0" w:line="298" w:lineRule="auto"/>
        <w:rPr>
          <w:sz w:val="20"/>
          <w:szCs w:val="20"/>
          <w:color w:val="auto"/>
        </w:rPr>
      </w:pPr>
      <w:r>
        <w:rPr>
          <w:rFonts w:ascii="Arial Narrow" w:cs="Arial Narrow" w:eastAsia="Arial Narrow" w:hAnsi="Arial Narrow"/>
          <w:sz w:val="22"/>
          <w:szCs w:val="22"/>
          <w:i w:val="1"/>
          <w:iCs w:val="1"/>
          <w:color w:val="00085E"/>
        </w:rPr>
        <w:t>Our Cement business has grown largely through acquisitions, and there is no assurance that we will be able to continue to acquire cement plans to support future growth.</w:t>
      </w:r>
    </w:p>
    <w:p>
      <w:pPr>
        <w:spacing w:after="0" w:line="56" w:lineRule="exact"/>
        <w:rPr>
          <w:sz w:val="20"/>
          <w:szCs w:val="20"/>
          <w:color w:val="auto"/>
        </w:rPr>
      </w:pPr>
    </w:p>
    <w:p>
      <w:pPr>
        <w:ind w:right="340"/>
        <w:spacing w:after="0" w:line="303" w:lineRule="auto"/>
        <w:rPr>
          <w:sz w:val="20"/>
          <w:szCs w:val="20"/>
          <w:color w:val="auto"/>
        </w:rPr>
      </w:pPr>
      <w:r>
        <w:rPr>
          <w:rFonts w:ascii="Arial" w:cs="Arial" w:eastAsia="Arial" w:hAnsi="Arial"/>
          <w:sz w:val="20"/>
          <w:szCs w:val="20"/>
          <w:color w:val="auto"/>
        </w:rPr>
        <w:t>In prior years, we have been able to increase the size and scope of our Cement business in large part through acquisitions of cement plants from third parties. There are a limited number of companies operating cement plants in the United States, and plants typically become available for purchase only</w:t>
      </w:r>
    </w:p>
    <w:p>
      <w:pPr>
        <w:sectPr>
          <w:pgSz w:w="11880" w:h="15480" w:orient="portrait"/>
          <w:cols w:equalWidth="0" w:num="1">
            <w:col w:w="9340"/>
          </w:cols>
          <w:pgMar w:left="1260" w:top="1235"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34</w:t>
      </w:r>
    </w:p>
    <w:p>
      <w:pPr>
        <w:sectPr>
          <w:pgSz w:w="11880" w:h="15480" w:orient="portrait"/>
          <w:cols w:equalWidth="0" w:num="1">
            <w:col w:w="9340"/>
          </w:cols>
          <w:pgMar w:left="1260" w:top="1235" w:right="1280" w:bottom="0" w:gutter="0" w:footer="0" w:header="0"/>
          <w:type w:val="continuous"/>
        </w:sectPr>
      </w:pPr>
    </w:p>
    <w:bookmarkStart w:id="42" w:name="page43"/>
    <w:bookmarkEnd w:id="42"/>
    <w:p>
      <w:pPr>
        <w:ind w:right="80"/>
        <w:spacing w:after="0" w:line="292" w:lineRule="auto"/>
        <w:rPr>
          <w:sz w:val="20"/>
          <w:szCs w:val="20"/>
          <w:color w:val="auto"/>
        </w:rPr>
      </w:pPr>
      <w:r>
        <w:rPr>
          <w:rFonts w:ascii="Arial" w:cs="Arial" w:eastAsia="Arial" w:hAnsi="Arial"/>
          <w:sz w:val="20"/>
          <w:szCs w:val="20"/>
          <w:color w:val="auto"/>
        </w:rPr>
        <w:t>infrequently, such as in connection with a merger, acquisition, or corporate reorganization, or refinancing. When cement plants become available for purchase, the purchase process is often highly competitive, which tends to result in relatively high valuations for the plants offered for sale. There can be no assurance that we will be able to continue to identify appropriate acquisition candidates or acquire cement plants at values that we regard as reasonable.</w:t>
      </w:r>
    </w:p>
    <w:p>
      <w:pPr>
        <w:spacing w:after="0" w:line="48" w:lineRule="exact"/>
        <w:rPr>
          <w:sz w:val="20"/>
          <w:szCs w:val="20"/>
          <w:color w:val="auto"/>
        </w:rPr>
      </w:pPr>
    </w:p>
    <w:p>
      <w:pPr>
        <w:ind w:right="620"/>
        <w:spacing w:after="0" w:line="298" w:lineRule="auto"/>
        <w:rPr>
          <w:sz w:val="20"/>
          <w:szCs w:val="20"/>
          <w:color w:val="auto"/>
        </w:rPr>
      </w:pPr>
      <w:r>
        <w:rPr>
          <w:rFonts w:ascii="Arial Narrow" w:cs="Arial Narrow" w:eastAsia="Arial Narrow" w:hAnsi="Arial Narrow"/>
          <w:sz w:val="22"/>
          <w:szCs w:val="22"/>
          <w:i w:val="1"/>
          <w:iCs w:val="1"/>
          <w:color w:val="00085E"/>
        </w:rPr>
        <w:t>We may experience delays in completing capital improvement projects, and there is no assurance that we will achieve the anticipated benefits of such projects</w:t>
      </w:r>
      <w:r>
        <w:rPr>
          <w:rFonts w:ascii="Arial" w:cs="Arial" w:eastAsia="Arial" w:hAnsi="Arial"/>
          <w:sz w:val="20"/>
          <w:szCs w:val="20"/>
          <w:color w:val="000000"/>
        </w:rPr>
        <w:t>.</w:t>
      </w:r>
    </w:p>
    <w:p>
      <w:pPr>
        <w:spacing w:after="0" w:line="56" w:lineRule="exact"/>
        <w:rPr>
          <w:sz w:val="20"/>
          <w:szCs w:val="20"/>
          <w:color w:val="auto"/>
        </w:rPr>
      </w:pPr>
    </w:p>
    <w:p>
      <w:pPr>
        <w:ind w:right="40"/>
        <w:spacing w:after="0" w:line="286" w:lineRule="auto"/>
        <w:rPr>
          <w:sz w:val="20"/>
          <w:szCs w:val="20"/>
          <w:color w:val="auto"/>
        </w:rPr>
      </w:pPr>
      <w:r>
        <w:rPr>
          <w:rFonts w:ascii="Arial" w:cs="Arial" w:eastAsia="Arial" w:hAnsi="Arial"/>
          <w:sz w:val="20"/>
          <w:szCs w:val="20"/>
          <w:color w:val="auto"/>
        </w:rPr>
        <w:t>From time to time, we may make significant investments to increase the capacity and efficiency of certain of our facilities. However, there is no assurance that such investments will result in increased capacity and efficiency at our facilities at the expected levels, within the expected budget and timeline, or at all. In addition, newly commissioned facilities and equipment are also subject to unforeseen breakdowns or failures related to mistakes in engineering and equipment selection, poor workmanship during fabrication and/or installation, accidents during the construction and/or commissioning phases, mistakes during initial operation, and other related issues that can cause significant delays in project implementation and facility start up. If our investments do not achieve the expected increased capacity or efficiency at the levels or timeline that is expected, or at all, or are otherwise impacted by budget overruns, or mistakes or defects in materials or workmanship, we could incur additional costs or expenses, which may harm our business, prospects, financial condition, results of operations, and cash flows.</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color w:val="00085E"/>
        </w:rPr>
        <w:t>RISK FACTORS RELATED TO OWNERSHIP OF OUR COMMON STOCK</w:t>
      </w:r>
    </w:p>
    <w:p>
      <w:pPr>
        <w:spacing w:after="0" w:line="131" w:lineRule="exact"/>
        <w:rPr>
          <w:sz w:val="20"/>
          <w:szCs w:val="20"/>
          <w:color w:val="auto"/>
        </w:rPr>
      </w:pPr>
    </w:p>
    <w:p>
      <w:pPr>
        <w:ind w:right="240"/>
        <w:spacing w:after="0" w:line="281" w:lineRule="auto"/>
        <w:rPr>
          <w:sz w:val="20"/>
          <w:szCs w:val="20"/>
          <w:color w:val="auto"/>
        </w:rPr>
      </w:pPr>
      <w:r>
        <w:rPr>
          <w:rFonts w:ascii="Arial Narrow" w:cs="Arial Narrow" w:eastAsia="Arial Narrow" w:hAnsi="Arial Narrow"/>
          <w:sz w:val="22"/>
          <w:szCs w:val="22"/>
          <w:i w:val="1"/>
          <w:iCs w:val="1"/>
          <w:color w:val="00085E"/>
        </w:rPr>
        <w:t>Certain provisions in our restated certificate of incorporation and bylaws may prevent or delay an acquisition of our company, which could decrease the trading price of the common stock.</w:t>
      </w:r>
    </w:p>
    <w:p>
      <w:pPr>
        <w:spacing w:after="0" w:line="66" w:lineRule="exact"/>
        <w:rPr>
          <w:sz w:val="20"/>
          <w:szCs w:val="20"/>
          <w:color w:val="auto"/>
        </w:rPr>
      </w:pPr>
    </w:p>
    <w:p>
      <w:pPr>
        <w:spacing w:after="0" w:line="284" w:lineRule="auto"/>
        <w:rPr>
          <w:sz w:val="20"/>
          <w:szCs w:val="20"/>
          <w:color w:val="auto"/>
        </w:rPr>
      </w:pPr>
      <w:r>
        <w:rPr>
          <w:rFonts w:ascii="Arial" w:cs="Arial" w:eastAsia="Arial" w:hAnsi="Arial"/>
          <w:sz w:val="20"/>
          <w:szCs w:val="20"/>
          <w:color w:val="auto"/>
        </w:rPr>
        <w:t>Our certificate of incorporation and bylaws contain provisions that are intended to deter coercive takeover practices and inadequate takeover bids by making such practices or bids unacceptably expensive to the bidder and to encourage prospective acquirers to negotiate with our Board rather than to attempt a hostile takeover. For example, under our certificate of incorporation, our Board are divided into three classes based on their term of office, with directors in each class holding office for staggered three-year terms. In addition, our certificate of incorporation or bylaws prohibit stockholder action by written consent, limit the ability of our stockholders to call special meetings, establish advance notice procedures for stockholder proposals and nominations for election of directors, and allow our Board to issue blank-check preferred stock with voting or conversion rights without stockholder approval. In general, we believe that these provisions will help protect our stockholders from coercive or otherwise unfair takeover tactics by requiring potential acquirers to negotiate with our Board and by providing our Board with more time to assess any acquisition proposal. These provisions are not intended to make us immune from takeovers. However, these provisions will apply even if the offer may be considered beneficial by some stockholders and could delay or prevent an acquisition that our Board determines is not in the best interests of our company and its stockholders.</w:t>
      </w:r>
    </w:p>
    <w:p>
      <w:pPr>
        <w:spacing w:after="0" w:line="55" w:lineRule="exact"/>
        <w:rPr>
          <w:sz w:val="20"/>
          <w:szCs w:val="20"/>
          <w:color w:val="auto"/>
        </w:rPr>
      </w:pPr>
    </w:p>
    <w:p>
      <w:pPr>
        <w:ind w:right="220"/>
        <w:spacing w:after="0" w:line="281" w:lineRule="auto"/>
        <w:rPr>
          <w:sz w:val="20"/>
          <w:szCs w:val="20"/>
          <w:color w:val="auto"/>
        </w:rPr>
      </w:pPr>
      <w:r>
        <w:rPr>
          <w:rFonts w:ascii="Arial Narrow" w:cs="Arial Narrow" w:eastAsia="Arial Narrow" w:hAnsi="Arial Narrow"/>
          <w:sz w:val="22"/>
          <w:szCs w:val="22"/>
          <w:i w:val="1"/>
          <w:iCs w:val="1"/>
          <w:color w:val="00085E"/>
        </w:rPr>
        <w:t>Our bylaws include a forum selection clause, which could limit our stockholders’ ability to obtain a favorable judicial forum for disputes with us.</w:t>
      </w:r>
    </w:p>
    <w:p>
      <w:pPr>
        <w:spacing w:after="0" w:line="66" w:lineRule="exact"/>
        <w:rPr>
          <w:sz w:val="20"/>
          <w:szCs w:val="20"/>
          <w:color w:val="auto"/>
        </w:rPr>
      </w:pPr>
    </w:p>
    <w:p>
      <w:pPr>
        <w:ind w:right="20"/>
        <w:spacing w:after="0" w:line="281" w:lineRule="auto"/>
        <w:rPr>
          <w:sz w:val="20"/>
          <w:szCs w:val="20"/>
          <w:color w:val="auto"/>
        </w:rPr>
      </w:pPr>
      <w:r>
        <w:rPr>
          <w:rFonts w:ascii="Arial" w:cs="Arial" w:eastAsia="Arial" w:hAnsi="Arial"/>
          <w:sz w:val="20"/>
          <w:szCs w:val="20"/>
          <w:color w:val="auto"/>
        </w:rPr>
        <w:t>Our bylaws provide that, unless we consent in writing to the selection of an alternative forum, the sole and exclusive forum for (i) any internal corporate claims within the meaning of the Delaware General Corporation Law (DGCL), (ii) any derivative action or proceeding brought on our behalf, (iii) any action asserting a claim of breach of a fiduciary duty owed by any of our directors, officers, or employees to us or to our stockholders, (iv) any action asserting a claim arising pursuant to any provision of the DGCL, or</w:t>
      </w:r>
    </w:p>
    <w:p>
      <w:pPr>
        <w:spacing w:after="0" w:line="4" w:lineRule="exact"/>
        <w:rPr>
          <w:sz w:val="20"/>
          <w:szCs w:val="20"/>
          <w:color w:val="auto"/>
        </w:rPr>
      </w:pPr>
    </w:p>
    <w:p>
      <w:pPr>
        <w:jc w:val="both"/>
        <w:ind w:right="320"/>
        <w:spacing w:after="0" w:line="355" w:lineRule="auto"/>
        <w:tabs>
          <w:tab w:leader="none" w:pos="289" w:val="left"/>
        </w:tabs>
        <w:numPr>
          <w:ilvl w:val="0"/>
          <w:numId w:val="14"/>
        </w:numPr>
        <w:rPr>
          <w:rFonts w:ascii="Arial" w:cs="Arial" w:eastAsia="Arial" w:hAnsi="Arial"/>
          <w:sz w:val="19"/>
          <w:szCs w:val="19"/>
          <w:color w:val="auto"/>
        </w:rPr>
      </w:pPr>
      <w:r>
        <w:rPr>
          <w:rFonts w:ascii="Arial" w:cs="Arial" w:eastAsia="Arial" w:hAnsi="Arial"/>
          <w:sz w:val="19"/>
          <w:szCs w:val="19"/>
          <w:color w:val="auto"/>
        </w:rPr>
        <w:t>any action asserting a claim governed by the internal affairs doctrine, will be a state or federal court located within the State of Delaware in all cases subject to the court’s having personal jurisdiction over</w:t>
      </w:r>
    </w:p>
    <w:p>
      <w:pPr>
        <w:sectPr>
          <w:pgSz w:w="11880" w:h="15480" w:orient="portrait"/>
          <w:cols w:equalWidth="0" w:num="1">
            <w:col w:w="9360"/>
          </w:cols>
          <w:pgMar w:left="1260" w:top="1267" w:right="1260" w:bottom="0" w:gutter="0" w:footer="0" w:header="0"/>
        </w:sect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ectPr>
          <w:pgSz w:w="11880" w:h="15480" w:orient="portrait"/>
          <w:cols w:equalWidth="0" w:num="1">
            <w:col w:w="9360"/>
          </w:cols>
          <w:pgMar w:left="1260" w:top="1267" w:right="1260" w:bottom="0" w:gutter="0" w:footer="0" w:header="0"/>
          <w:type w:val="continuous"/>
        </w:sectPr>
      </w:pPr>
    </w:p>
    <w:bookmarkStart w:id="43" w:name="page44"/>
    <w:bookmarkEnd w:id="43"/>
    <w:p>
      <w:pPr>
        <w:spacing w:after="0" w:line="288" w:lineRule="auto"/>
        <w:rPr>
          <w:sz w:val="20"/>
          <w:szCs w:val="20"/>
          <w:color w:val="auto"/>
        </w:rPr>
      </w:pPr>
      <w:r>
        <w:rPr>
          <w:rFonts w:ascii="Arial" w:cs="Arial" w:eastAsia="Arial" w:hAnsi="Arial"/>
          <w:sz w:val="20"/>
          <w:szCs w:val="20"/>
          <w:color w:val="auto"/>
        </w:rPr>
        <w:t>the indispensable parties named as defendants. In addition, our bylaws provide that, unless we consent in writing to selection of an alternative forum, the sole and exclusive forum for any action asserting a claim arising under the Securities Act of 1933, as amended (the Securities Act), will be a federal district court. This forum selection provision in our bylaws may limit our stockholders’ ability to pursue claims in a judicial forum of their choosing for disputes with us or our directors, officers, or employees. It is also possible that, notwithstanding the forum selection clause included in our bylaws, a court could rule in specific circumstances that such a provision is inapplicable or unenforceable, which could require that we defend claims in other forums.</w:t>
      </w:r>
    </w:p>
    <w:p>
      <w:pPr>
        <w:sectPr>
          <w:pgSz w:w="11880" w:h="15480" w:orient="portrait"/>
          <w:cols w:equalWidth="0" w:num="1">
            <w:col w:w="9300"/>
          </w:cols>
          <w:pgMar w:left="1260" w:top="1267" w:right="1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36</w:t>
      </w:r>
    </w:p>
    <w:p>
      <w:pPr>
        <w:sectPr>
          <w:pgSz w:w="11880" w:h="15480" w:orient="portrait"/>
          <w:cols w:equalWidth="0" w:num="1">
            <w:col w:w="9300"/>
          </w:cols>
          <w:pgMar w:left="1260" w:top="1267" w:right="1320" w:bottom="0" w:gutter="0" w:footer="0" w:header="0"/>
          <w:type w:val="continuous"/>
        </w:sectPr>
      </w:pPr>
    </w:p>
    <w:bookmarkStart w:id="44" w:name="page45"/>
    <w:bookmarkEnd w:id="44"/>
    <w:p>
      <w:pPr>
        <w:spacing w:after="0"/>
        <w:rPr>
          <w:sz w:val="20"/>
          <w:szCs w:val="20"/>
          <w:color w:val="auto"/>
        </w:rPr>
      </w:pPr>
      <w:r>
        <w:rPr>
          <w:rFonts w:ascii="Arial" w:cs="Arial" w:eastAsia="Arial" w:hAnsi="Arial"/>
          <w:sz w:val="26"/>
          <w:szCs w:val="26"/>
          <w:b w:val="1"/>
          <w:bCs w:val="1"/>
          <w:color w:val="auto"/>
        </w:rPr>
        <w:t>ITEM 1B. Unresolved Staff 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5943600" cy="127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1">
                      <a:extLst>
                        <a:ext uri="{28A0092B-C50C-407E-A947-70E740481C1C}"/>
                      </a:extLst>
                    </a:blip>
                    <a:srcRect/>
                    <a:stretch>
                      <a:fillRect/>
                    </a:stretch>
                  </pic:blipFill>
                  <pic:spPr bwMode="auto">
                    <a:xfrm>
                      <a:off x="0" y="0"/>
                      <a:ext cx="5943600" cy="1270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color w:val="auto"/>
        </w:rPr>
        <w:t>There are no unresolved Staff comments.</w:t>
      </w:r>
    </w:p>
    <w:p>
      <w:pPr>
        <w:spacing w:after="0" w:line="333"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ITEM 1C. Cybersecurity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5943600" cy="12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2">
                      <a:extLst>
                        <a:ext uri="{28A0092B-C50C-407E-A947-70E740481C1C}"/>
                      </a:extLst>
                    </a:blip>
                    <a:srcRect/>
                    <a:stretch>
                      <a:fillRect/>
                    </a:stretch>
                  </pic:blipFill>
                  <pic:spPr bwMode="auto">
                    <a:xfrm>
                      <a:off x="0" y="0"/>
                      <a:ext cx="5943600" cy="12700"/>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b w:val="1"/>
          <w:bCs w:val="1"/>
          <w:color w:val="00085E"/>
        </w:rPr>
        <w:t>RISK MANAGEMENT AND STRATEGY</w:t>
      </w:r>
    </w:p>
    <w:p>
      <w:pPr>
        <w:spacing w:after="0" w:line="163" w:lineRule="exact"/>
        <w:rPr>
          <w:sz w:val="20"/>
          <w:szCs w:val="20"/>
          <w:color w:val="auto"/>
        </w:rPr>
      </w:pPr>
    </w:p>
    <w:p>
      <w:pPr>
        <w:ind w:right="940"/>
        <w:spacing w:after="0" w:line="325" w:lineRule="auto"/>
        <w:rPr>
          <w:sz w:val="20"/>
          <w:szCs w:val="20"/>
          <w:color w:val="auto"/>
        </w:rPr>
      </w:pPr>
      <w:r>
        <w:rPr>
          <w:rFonts w:ascii="Arial" w:cs="Arial" w:eastAsia="Arial" w:hAnsi="Arial"/>
          <w:sz w:val="20"/>
          <w:szCs w:val="20"/>
          <w:color w:val="auto"/>
        </w:rPr>
        <w:t>Eagle continues to make cybersecurity a priority as the threat landscape evolves and becomes increasingly complex and sophisticated.</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i w:val="1"/>
          <w:iCs w:val="1"/>
          <w:color w:val="00085E"/>
        </w:rPr>
        <w:t>Managing Material Risks and Integrated Overall Risk Management</w:t>
      </w:r>
    </w:p>
    <w:p>
      <w:pPr>
        <w:spacing w:after="0" w:line="152" w:lineRule="exact"/>
        <w:rPr>
          <w:sz w:val="20"/>
          <w:szCs w:val="20"/>
          <w:color w:val="auto"/>
        </w:rPr>
      </w:pPr>
    </w:p>
    <w:p>
      <w:pPr>
        <w:ind w:right="280"/>
        <w:spacing w:after="0" w:line="292" w:lineRule="auto"/>
        <w:rPr>
          <w:sz w:val="20"/>
          <w:szCs w:val="20"/>
          <w:color w:val="auto"/>
        </w:rPr>
      </w:pPr>
      <w:r>
        <w:rPr>
          <w:rFonts w:ascii="Arial" w:cs="Arial" w:eastAsia="Arial" w:hAnsi="Arial"/>
          <w:sz w:val="20"/>
          <w:szCs w:val="20"/>
          <w:color w:val="auto"/>
        </w:rPr>
        <w:t>We have strategically integrated cybersecurity risk management into our broader risk management framework to promote a company-wide culture of cyber risk awareness. Our Director of Information Security (DIS), under the direction of our Chief Financial Officer (CFO), continuously evaluates and addresses cyber risks in alignment with business objectives, operational needs, and industry-accepted standards, such as National Institute of Standards and Technology frameworks.</w:t>
      </w:r>
    </w:p>
    <w:p>
      <w:pPr>
        <w:spacing w:after="0" w:line="71" w:lineRule="exact"/>
        <w:rPr>
          <w:sz w:val="20"/>
          <w:szCs w:val="20"/>
          <w:color w:val="auto"/>
        </w:rPr>
      </w:pPr>
    </w:p>
    <w:p>
      <w:pPr>
        <w:ind w:right="840"/>
        <w:spacing w:after="0" w:line="281" w:lineRule="auto"/>
        <w:rPr>
          <w:sz w:val="20"/>
          <w:szCs w:val="20"/>
          <w:color w:val="auto"/>
        </w:rPr>
      </w:pPr>
      <w:r>
        <w:rPr>
          <w:rFonts w:ascii="Arial" w:cs="Arial" w:eastAsia="Arial" w:hAnsi="Arial"/>
          <w:sz w:val="20"/>
          <w:szCs w:val="20"/>
          <w:color w:val="auto"/>
        </w:rPr>
        <w:t>The Company has processes and procedures in place intended to prevent, detect, mitigate, and remediate cybersecurity risks. These include but are not limited to:</w:t>
      </w:r>
    </w:p>
    <w:p>
      <w:pPr>
        <w:spacing w:after="0" w:line="1" w:lineRule="exact"/>
        <w:rPr>
          <w:sz w:val="20"/>
          <w:szCs w:val="20"/>
          <w:color w:val="auto"/>
        </w:rPr>
      </w:pPr>
    </w:p>
    <w:p>
      <w:pPr>
        <w:ind w:left="240" w:hanging="240"/>
        <w:spacing w:after="0"/>
        <w:tabs>
          <w:tab w:leader="none" w:pos="2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maintaining a defined and practiced incident response plan</w:t>
      </w:r>
    </w:p>
    <w:p>
      <w:pPr>
        <w:spacing w:after="0" w:line="40" w:lineRule="exact"/>
        <w:rPr>
          <w:rFonts w:ascii="Arial" w:cs="Arial" w:eastAsia="Arial" w:hAnsi="Arial"/>
          <w:sz w:val="20"/>
          <w:szCs w:val="20"/>
          <w:color w:val="auto"/>
        </w:rPr>
      </w:pPr>
    </w:p>
    <w:p>
      <w:pPr>
        <w:ind w:left="240" w:hanging="240"/>
        <w:spacing w:after="0"/>
        <w:tabs>
          <w:tab w:leader="none" w:pos="2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maintaining cyber insurance coverage</w:t>
      </w:r>
    </w:p>
    <w:p>
      <w:pPr>
        <w:spacing w:after="0" w:line="40" w:lineRule="exact"/>
        <w:rPr>
          <w:rFonts w:ascii="Arial" w:cs="Arial" w:eastAsia="Arial" w:hAnsi="Arial"/>
          <w:sz w:val="20"/>
          <w:szCs w:val="20"/>
          <w:color w:val="auto"/>
        </w:rPr>
      </w:pPr>
    </w:p>
    <w:p>
      <w:pPr>
        <w:ind w:left="240" w:hanging="240"/>
        <w:spacing w:after="0"/>
        <w:tabs>
          <w:tab w:leader="none" w:pos="2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employing appropriate incident prevention and detection safeguards</w:t>
      </w:r>
    </w:p>
    <w:p>
      <w:pPr>
        <w:spacing w:after="0" w:line="40" w:lineRule="exact"/>
        <w:rPr>
          <w:rFonts w:ascii="Arial" w:cs="Arial" w:eastAsia="Arial" w:hAnsi="Arial"/>
          <w:sz w:val="20"/>
          <w:szCs w:val="20"/>
          <w:color w:val="auto"/>
        </w:rPr>
      </w:pPr>
    </w:p>
    <w:p>
      <w:pPr>
        <w:ind w:left="240" w:right="420" w:hanging="240"/>
        <w:spacing w:after="0" w:line="281" w:lineRule="auto"/>
        <w:tabs>
          <w:tab w:leader="none" w:pos="2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maintaining defined disaster recovery procedure and employing disaster recovery software, where appropriate</w:t>
      </w:r>
    </w:p>
    <w:p>
      <w:pPr>
        <w:spacing w:after="0" w:line="1" w:lineRule="exact"/>
        <w:rPr>
          <w:rFonts w:ascii="Arial" w:cs="Arial" w:eastAsia="Arial" w:hAnsi="Arial"/>
          <w:sz w:val="20"/>
          <w:szCs w:val="20"/>
          <w:color w:val="auto"/>
        </w:rPr>
      </w:pPr>
    </w:p>
    <w:p>
      <w:pPr>
        <w:ind w:left="240" w:right="140" w:hanging="240"/>
        <w:spacing w:after="0" w:line="281" w:lineRule="auto"/>
        <w:tabs>
          <w:tab w:leader="none" w:pos="2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educating, training and testing our user community on information security practices and identification of potential cybersecurity risks and threats</w:t>
      </w:r>
    </w:p>
    <w:p>
      <w:pPr>
        <w:spacing w:after="0" w:line="1" w:lineRule="exact"/>
        <w:rPr>
          <w:rFonts w:ascii="Arial" w:cs="Arial" w:eastAsia="Arial" w:hAnsi="Arial"/>
          <w:sz w:val="20"/>
          <w:szCs w:val="20"/>
          <w:color w:val="auto"/>
        </w:rPr>
      </w:pPr>
    </w:p>
    <w:p>
      <w:pPr>
        <w:ind w:left="240" w:hanging="240"/>
        <w:spacing w:after="0"/>
        <w:tabs>
          <w:tab w:leader="none" w:pos="2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reviewing and evaluating new developments in the cyber threat landscape.</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i w:val="1"/>
          <w:iCs w:val="1"/>
          <w:color w:val="00085E"/>
        </w:rPr>
        <w:t>Engaging Third Parties on Risk Management</w:t>
      </w:r>
    </w:p>
    <w:p>
      <w:pPr>
        <w:spacing w:after="0" w:line="152" w:lineRule="exact"/>
        <w:rPr>
          <w:sz w:val="20"/>
          <w:szCs w:val="20"/>
          <w:color w:val="auto"/>
        </w:rPr>
      </w:pPr>
    </w:p>
    <w:p>
      <w:pPr>
        <w:spacing w:after="0" w:line="292" w:lineRule="auto"/>
        <w:rPr>
          <w:sz w:val="20"/>
          <w:szCs w:val="20"/>
          <w:color w:val="auto"/>
        </w:rPr>
      </w:pPr>
      <w:r>
        <w:rPr>
          <w:rFonts w:ascii="Arial" w:cs="Arial" w:eastAsia="Arial" w:hAnsi="Arial"/>
          <w:sz w:val="20"/>
          <w:szCs w:val="20"/>
          <w:color w:val="auto"/>
        </w:rPr>
        <w:t>Recognizing the complexity and evolving nature of cybersecurity risk, we engage with a range of external security support providers, including cybersecurity consultants, in evaluating, monitoring, and testing our cyber management systems and related cyber risks. The Company’s collaboration with these third parties includes threat and vulnerability assessments, incident response plan testing, company-wide monitoring of cybersecurity risks, and consultation on security enhancements.</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i w:val="1"/>
          <w:iCs w:val="1"/>
          <w:color w:val="00085E"/>
        </w:rPr>
        <w:t>Managing Third-Party Risk</w:t>
      </w:r>
    </w:p>
    <w:p>
      <w:pPr>
        <w:spacing w:after="0" w:line="152" w:lineRule="exact"/>
        <w:rPr>
          <w:sz w:val="20"/>
          <w:szCs w:val="20"/>
          <w:color w:val="auto"/>
        </w:rPr>
      </w:pPr>
    </w:p>
    <w:p>
      <w:pPr>
        <w:ind w:right="100"/>
        <w:spacing w:after="0" w:line="290" w:lineRule="auto"/>
        <w:rPr>
          <w:sz w:val="20"/>
          <w:szCs w:val="20"/>
          <w:color w:val="auto"/>
        </w:rPr>
      </w:pPr>
      <w:r>
        <w:rPr>
          <w:rFonts w:ascii="Arial" w:cs="Arial" w:eastAsia="Arial" w:hAnsi="Arial"/>
          <w:sz w:val="20"/>
          <w:szCs w:val="20"/>
          <w:color w:val="auto"/>
        </w:rPr>
        <w:t>We recognize the risks associated with the use of vendors, service providers, and other third parties that provide information system services to us, process information on our behalf, or have access to our information systems, and the Company has processes in place to oversee and manage these risks. We conduct thorough security assessments of these third-party engagements and maintain ongoing monitoring to ensure compliance with our cybersecurity standards. This monitoring includes both annual and ongoing assessments.</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i w:val="1"/>
          <w:iCs w:val="1"/>
          <w:color w:val="00085E"/>
        </w:rPr>
        <w:t>Risks from Cybersecurity Incidents</w:t>
      </w:r>
    </w:p>
    <w:p>
      <w:pPr>
        <w:spacing w:after="0" w:line="152" w:lineRule="exact"/>
        <w:rPr>
          <w:sz w:val="20"/>
          <w:szCs w:val="20"/>
          <w:color w:val="auto"/>
        </w:rPr>
      </w:pPr>
    </w:p>
    <w:p>
      <w:pPr>
        <w:ind w:right="220"/>
        <w:spacing w:after="0" w:line="355" w:lineRule="auto"/>
        <w:rPr>
          <w:sz w:val="20"/>
          <w:szCs w:val="20"/>
          <w:color w:val="auto"/>
        </w:rPr>
      </w:pPr>
      <w:r>
        <w:rPr>
          <w:rFonts w:ascii="Arial" w:cs="Arial" w:eastAsia="Arial" w:hAnsi="Arial"/>
          <w:sz w:val="19"/>
          <w:szCs w:val="19"/>
          <w:color w:val="auto"/>
        </w:rPr>
        <w:t>To our knowledge, the Company has not been subject to cybersecurity incidents that have materially affected, or are reasonably likely to materially affect, the Company, its operations, or financial standing.</w:t>
      </w:r>
    </w:p>
    <w:p>
      <w:pPr>
        <w:sectPr>
          <w:pgSz w:w="11880" w:h="15480" w:orient="portrait"/>
          <w:cols w:equalWidth="0" w:num="1">
            <w:col w:w="9320"/>
          </w:cols>
          <w:pgMar w:left="1260" w:top="1201"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37</w:t>
      </w:r>
    </w:p>
    <w:p>
      <w:pPr>
        <w:sectPr>
          <w:pgSz w:w="11880" w:h="15480" w:orient="portrait"/>
          <w:cols w:equalWidth="0" w:num="1">
            <w:col w:w="9320"/>
          </w:cols>
          <w:pgMar w:left="1260" w:top="1201" w:right="1300" w:bottom="0" w:gutter="0" w:footer="0" w:header="0"/>
          <w:type w:val="continuous"/>
        </w:sectPr>
      </w:pPr>
    </w:p>
    <w:bookmarkStart w:id="45" w:name="page46"/>
    <w:bookmarkEnd w:id="45"/>
    <w:p>
      <w:pPr>
        <w:spacing w:after="0"/>
        <w:rPr>
          <w:sz w:val="20"/>
          <w:szCs w:val="20"/>
          <w:color w:val="auto"/>
        </w:rPr>
      </w:pPr>
      <w:r>
        <w:rPr>
          <w:rFonts w:ascii="Arial" w:cs="Arial" w:eastAsia="Arial" w:hAnsi="Arial"/>
          <w:sz w:val="20"/>
          <w:szCs w:val="20"/>
          <w:b w:val="1"/>
          <w:bCs w:val="1"/>
          <w:color w:val="00085E"/>
        </w:rPr>
        <w:t>GOVERNANCE</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i w:val="1"/>
          <w:iCs w:val="1"/>
          <w:color w:val="00085E"/>
        </w:rPr>
        <w:t>Risk Management Personnel</w:t>
      </w:r>
    </w:p>
    <w:p>
      <w:pPr>
        <w:spacing w:after="0" w:line="152" w:lineRule="exact"/>
        <w:rPr>
          <w:sz w:val="20"/>
          <w:szCs w:val="20"/>
          <w:color w:val="auto"/>
        </w:rPr>
      </w:pPr>
    </w:p>
    <w:p>
      <w:pPr>
        <w:ind w:right="140"/>
        <w:spacing w:after="0" w:line="277" w:lineRule="auto"/>
        <w:rPr>
          <w:sz w:val="20"/>
          <w:szCs w:val="20"/>
          <w:color w:val="auto"/>
        </w:rPr>
      </w:pPr>
      <w:r>
        <w:rPr>
          <w:rFonts w:ascii="Arial" w:cs="Arial" w:eastAsia="Arial" w:hAnsi="Arial"/>
          <w:sz w:val="20"/>
          <w:szCs w:val="20"/>
          <w:color w:val="auto"/>
        </w:rPr>
        <w:t>The Company’s cybersecurity risk management program is overseen by management at multiple levels. Under the direction of our CFO, the DIS plays a key role in assessing, monitoring, and managing the Company’s cybersecurity risks with support from Company management, external cybersecurity consultants, and dedicated information technology and security personnel. Our DIS has over 35 years of IT experience, including 30 years of specializing in cybersecurity practices. Our DIS holds numerous certifications including as an ISC</w:t>
      </w:r>
      <w:r>
        <w:rPr>
          <w:rFonts w:ascii="Arial" w:cs="Arial" w:eastAsia="Arial" w:hAnsi="Arial"/>
          <w:sz w:val="26"/>
          <w:szCs w:val="26"/>
          <w:color w:val="auto"/>
          <w:vertAlign w:val="superscript"/>
        </w:rPr>
        <w:t>2</w:t>
      </w:r>
      <w:r>
        <w:rPr>
          <w:rFonts w:ascii="Arial" w:cs="Arial" w:eastAsia="Arial" w:hAnsi="Arial"/>
          <w:sz w:val="20"/>
          <w:szCs w:val="20"/>
          <w:color w:val="auto"/>
        </w:rPr>
        <w:t>, Certified Information Systems Security Professional (CISSP), and ISACA Certified Information Security Manager (CISM). Our DIS also has extensive experience in architecting, implementing, and managing cyber security control systems including vulnerability management, endpoint detection and response (EDR), security information and event management (SIEM), email fraud defense, and identity access management (IAM) solutions.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i w:val="1"/>
          <w:iCs w:val="1"/>
          <w:color w:val="00085E"/>
        </w:rPr>
        <w:t>Monitor Cybersecurity Incidents</w:t>
      </w:r>
    </w:p>
    <w:p>
      <w:pPr>
        <w:spacing w:after="0" w:line="152" w:lineRule="exact"/>
        <w:rPr>
          <w:sz w:val="20"/>
          <w:szCs w:val="20"/>
          <w:color w:val="auto"/>
        </w:rPr>
      </w:pPr>
    </w:p>
    <w:p>
      <w:pPr>
        <w:ind w:right="120"/>
        <w:spacing w:after="0" w:line="289" w:lineRule="auto"/>
        <w:rPr>
          <w:sz w:val="20"/>
          <w:szCs w:val="20"/>
          <w:color w:val="auto"/>
        </w:rPr>
      </w:pPr>
      <w:r>
        <w:rPr>
          <w:rFonts w:ascii="Arial" w:cs="Arial" w:eastAsia="Arial" w:hAnsi="Arial"/>
          <w:sz w:val="20"/>
          <w:szCs w:val="20"/>
          <w:color w:val="auto"/>
        </w:rPr>
        <w:t>Our DIS is continually informed and updated on the latest developments in cybersecurity, including emerging threats and innovative risk management techniques. Our Director of Technology (DIT), supported by our DIS, implements and oversees processes for the regular monitoring of our information systems. This includes the deployment of advanced security measures and regular system audits to identify potential vulnerabilities. In the event of a cybersecurity incident, the Company is equipped with a defined and practiced incident response plan, which details immediate actions to mitigate the impact and long-term strategies for remediation and prevention of future incidents.</w:t>
      </w:r>
    </w:p>
    <w:p>
      <w:pPr>
        <w:spacing w:after="0" w:line="80" w:lineRule="exact"/>
        <w:rPr>
          <w:sz w:val="20"/>
          <w:szCs w:val="20"/>
          <w:color w:val="auto"/>
        </w:rPr>
      </w:pPr>
    </w:p>
    <w:p>
      <w:pPr>
        <w:spacing w:after="0"/>
        <w:rPr>
          <w:sz w:val="20"/>
          <w:szCs w:val="20"/>
          <w:color w:val="auto"/>
        </w:rPr>
      </w:pPr>
      <w:r>
        <w:rPr>
          <w:rFonts w:ascii="Arial" w:cs="Arial" w:eastAsia="Arial" w:hAnsi="Arial"/>
          <w:sz w:val="20"/>
          <w:szCs w:val="20"/>
          <w:i w:val="1"/>
          <w:iCs w:val="1"/>
          <w:color w:val="00085E"/>
        </w:rPr>
        <w:t>Board of Directors Oversight</w:t>
      </w:r>
    </w:p>
    <w:p>
      <w:pPr>
        <w:spacing w:after="0" w:line="152" w:lineRule="exact"/>
        <w:rPr>
          <w:sz w:val="20"/>
          <w:szCs w:val="20"/>
          <w:color w:val="auto"/>
        </w:rPr>
      </w:pPr>
    </w:p>
    <w:p>
      <w:pPr>
        <w:spacing w:after="0" w:line="281" w:lineRule="auto"/>
        <w:rPr>
          <w:sz w:val="20"/>
          <w:szCs w:val="20"/>
          <w:color w:val="auto"/>
        </w:rPr>
      </w:pPr>
      <w:r>
        <w:rPr>
          <w:rFonts w:ascii="Arial" w:cs="Arial" w:eastAsia="Arial" w:hAnsi="Arial"/>
          <w:sz w:val="20"/>
          <w:szCs w:val="20"/>
          <w:color w:val="auto"/>
        </w:rPr>
        <w:t>The Audit Committee of Eagle's Board is responsible for overseeing the Company’s policies and practices related to cyber risk. Based on details provided by the DIS, the Chief Financial Officer (CFO), together with the Company's third-party experts, provides the Audit Committee quarterly updates that encompass a broad range of topics, including:</w:t>
      </w:r>
    </w:p>
    <w:p>
      <w:pPr>
        <w:spacing w:after="0" w:line="3" w:lineRule="exact"/>
        <w:rPr>
          <w:sz w:val="20"/>
          <w:szCs w:val="20"/>
          <w:color w:val="auto"/>
        </w:rPr>
      </w:pPr>
    </w:p>
    <w:p>
      <w:pPr>
        <w:ind w:left="240" w:hanging="240"/>
        <w:spacing w:after="0"/>
        <w:tabs>
          <w:tab w:leader="none" w:pos="2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current cybersecurity threat landscape and emerging threats</w:t>
      </w:r>
    </w:p>
    <w:p>
      <w:pPr>
        <w:spacing w:after="0" w:line="40" w:lineRule="exact"/>
        <w:rPr>
          <w:rFonts w:ascii="Arial" w:cs="Arial" w:eastAsia="Arial" w:hAnsi="Arial"/>
          <w:sz w:val="20"/>
          <w:szCs w:val="20"/>
          <w:color w:val="auto"/>
        </w:rPr>
      </w:pPr>
    </w:p>
    <w:p>
      <w:pPr>
        <w:ind w:left="240" w:hanging="240"/>
        <w:spacing w:after="0"/>
        <w:tabs>
          <w:tab w:leader="none" w:pos="2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status of ongoing cybersecurity initiatives and strategies</w:t>
      </w:r>
    </w:p>
    <w:p>
      <w:pPr>
        <w:spacing w:after="0" w:line="40" w:lineRule="exact"/>
        <w:rPr>
          <w:rFonts w:ascii="Arial" w:cs="Arial" w:eastAsia="Arial" w:hAnsi="Arial"/>
          <w:sz w:val="20"/>
          <w:szCs w:val="20"/>
          <w:color w:val="auto"/>
        </w:rPr>
      </w:pPr>
    </w:p>
    <w:p>
      <w:pPr>
        <w:ind w:left="240" w:hanging="240"/>
        <w:spacing w:after="0"/>
        <w:tabs>
          <w:tab w:leader="none" w:pos="2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incident reports and learnings from unique cybersecurity events, including those of other companies</w:t>
      </w:r>
    </w:p>
    <w:p>
      <w:pPr>
        <w:spacing w:after="0" w:line="40" w:lineRule="exact"/>
        <w:rPr>
          <w:rFonts w:ascii="Arial" w:cs="Arial" w:eastAsia="Arial" w:hAnsi="Arial"/>
          <w:sz w:val="20"/>
          <w:szCs w:val="20"/>
          <w:color w:val="auto"/>
        </w:rPr>
      </w:pPr>
    </w:p>
    <w:p>
      <w:pPr>
        <w:ind w:left="240" w:hanging="240"/>
        <w:spacing w:after="0"/>
        <w:tabs>
          <w:tab w:leader="none" w:pos="2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compliance status and initiatives related to regulatory requirements and industry standards.</w:t>
      </w:r>
    </w:p>
    <w:p>
      <w:pPr>
        <w:spacing w:after="0" w:line="160" w:lineRule="exact"/>
        <w:rPr>
          <w:sz w:val="20"/>
          <w:szCs w:val="20"/>
          <w:color w:val="auto"/>
        </w:rPr>
      </w:pPr>
    </w:p>
    <w:p>
      <w:pPr>
        <w:ind w:right="620"/>
        <w:spacing w:after="0" w:line="303" w:lineRule="auto"/>
        <w:rPr>
          <w:sz w:val="20"/>
          <w:szCs w:val="20"/>
          <w:color w:val="auto"/>
        </w:rPr>
      </w:pPr>
      <w:r>
        <w:rPr>
          <w:rFonts w:ascii="Arial" w:cs="Arial" w:eastAsia="Arial" w:hAnsi="Arial"/>
          <w:sz w:val="20"/>
          <w:szCs w:val="20"/>
          <w:color w:val="auto"/>
        </w:rPr>
        <w:t>In addition, the CFO provides updates to the full Board upon request, and timely updates regarding unique developments such as regulatory updates or vulnerability developments, based on details provided by the DIS.</w:t>
      </w:r>
    </w:p>
    <w:p>
      <w:pPr>
        <w:sectPr>
          <w:pgSz w:w="11880" w:h="15480" w:orient="portrait"/>
          <w:cols w:equalWidth="0" w:num="1">
            <w:col w:w="9360"/>
          </w:cols>
          <w:pgMar w:left="1260" w:top="1264"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ectPr>
          <w:pgSz w:w="11880" w:h="15480" w:orient="portrait"/>
          <w:cols w:equalWidth="0" w:num="1">
            <w:col w:w="9360"/>
          </w:cols>
          <w:pgMar w:left="1260" w:top="1264" w:right="1260" w:bottom="0" w:gutter="0" w:footer="0" w:header="0"/>
          <w:type w:val="continuous"/>
        </w:sectPr>
      </w:pPr>
    </w:p>
    <w:bookmarkStart w:id="46" w:name="page47"/>
    <w:bookmarkEnd w:id="46"/>
    <w:p>
      <w:pPr>
        <w:spacing w:after="0"/>
        <w:rPr>
          <w:sz w:val="20"/>
          <w:szCs w:val="20"/>
          <w:color w:val="auto"/>
        </w:rPr>
      </w:pPr>
      <w:r>
        <w:rPr>
          <w:rFonts w:ascii="Arial" w:cs="Arial" w:eastAsia="Arial" w:hAnsi="Arial"/>
          <w:sz w:val="26"/>
          <w:szCs w:val="26"/>
          <w:b w:val="1"/>
          <w:bCs w:val="1"/>
          <w:color w:val="auto"/>
        </w:rPr>
        <w:t>ITEM 2.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5943600" cy="127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3">
                      <a:extLst>
                        <a:ext uri="{28A0092B-C50C-407E-A947-70E740481C1C}"/>
                      </a:extLst>
                    </a:blip>
                    <a:srcRect/>
                    <a:stretch>
                      <a:fillRect/>
                    </a:stretch>
                  </pic:blipFill>
                  <pic:spPr bwMode="auto">
                    <a:xfrm>
                      <a:off x="0" y="0"/>
                      <a:ext cx="5943600" cy="12700"/>
                    </a:xfrm>
                    <a:prstGeom prst="rect">
                      <a:avLst/>
                    </a:prstGeom>
                    <a:noFill/>
                  </pic:spPr>
                </pic:pic>
              </a:graphicData>
            </a:graphic>
          </wp:anchor>
        </w:drawing>
      </w:r>
    </w:p>
    <w:p>
      <w:pPr>
        <w:spacing w:after="0" w:line="178" w:lineRule="exact"/>
        <w:rPr>
          <w:sz w:val="20"/>
          <w:szCs w:val="20"/>
          <w:color w:val="auto"/>
        </w:rPr>
      </w:pPr>
    </w:p>
    <w:p>
      <w:pPr>
        <w:ind w:right="100"/>
        <w:spacing w:after="0" w:line="289" w:lineRule="auto"/>
        <w:rPr>
          <w:sz w:val="20"/>
          <w:szCs w:val="20"/>
          <w:color w:val="auto"/>
        </w:rPr>
      </w:pPr>
      <w:r>
        <w:rPr>
          <w:rFonts w:ascii="Arial" w:cs="Arial" w:eastAsia="Arial" w:hAnsi="Arial"/>
          <w:sz w:val="20"/>
          <w:szCs w:val="20"/>
          <w:color w:val="auto"/>
        </w:rPr>
        <w:t>Our operating facilities span the U.S. They include cement and slag cement plants, quarries, and related facilities; concrete and aggregates plants and quarries; gypsum wallboard plants; a recycled paperboard mill; cement distribution terminals; and our headquarters in Dallas, Texas. All our facilities are owned, with the exception of our headquarters in Dallas, which is leased through January 2036, and certain terminals, as discussed on page 10. None of our facilities are pledged as security for any debts. Please see the Industry Segment Information section on pages 6-21 for more information about the location of our facilities, and a summary of mineral reserves for each of our applicable businesses.</w:t>
      </w:r>
    </w:p>
    <w:p>
      <w:pPr>
        <w:spacing w:after="0" w:line="71" w:lineRule="exact"/>
        <w:rPr>
          <w:sz w:val="20"/>
          <w:szCs w:val="20"/>
          <w:color w:val="auto"/>
        </w:rPr>
      </w:pPr>
    </w:p>
    <w:p>
      <w:pPr>
        <w:ind w:right="140"/>
        <w:spacing w:after="0" w:line="303" w:lineRule="auto"/>
        <w:rPr>
          <w:sz w:val="20"/>
          <w:szCs w:val="20"/>
          <w:color w:val="auto"/>
        </w:rPr>
      </w:pPr>
      <w:r>
        <w:rPr>
          <w:rFonts w:ascii="Arial" w:cs="Arial" w:eastAsia="Arial" w:hAnsi="Arial"/>
          <w:sz w:val="20"/>
          <w:szCs w:val="20"/>
          <w:color w:val="auto"/>
        </w:rPr>
        <w:t>The following map shows the locations of our operating facilities at March 31, 2026, by type of facility. Quarries supporting our Cement, Aggregates, and Gypsum Wallboard businesses are in close proximity to the respective plants.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wp:posOffset>
            </wp:positionH>
            <wp:positionV relativeFrom="paragraph">
              <wp:posOffset>208280</wp:posOffset>
            </wp:positionV>
            <wp:extent cx="5715000" cy="381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4">
                      <a:extLst>
                        <a:ext uri="{28A0092B-C50C-407E-A947-70E740481C1C}"/>
                      </a:extLst>
                    </a:blip>
                    <a:srcRect/>
                    <a:stretch>
                      <a:fillRect/>
                    </a:stretch>
                  </pic:blipFill>
                  <pic:spPr bwMode="auto">
                    <a:xfrm>
                      <a:off x="0" y="0"/>
                      <a:ext cx="5715000" cy="381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b w:val="1"/>
          <w:bCs w:val="1"/>
          <w:color w:val="2A64A7"/>
        </w:rPr>
        <w:t>Mining Properties</w:t>
      </w:r>
    </w:p>
    <w:p>
      <w:pPr>
        <w:spacing w:after="0" w:line="163" w:lineRule="exact"/>
        <w:rPr>
          <w:sz w:val="20"/>
          <w:szCs w:val="20"/>
          <w:color w:val="auto"/>
        </w:rPr>
      </w:pPr>
    </w:p>
    <w:p>
      <w:pPr>
        <w:spacing w:after="0" w:line="303" w:lineRule="auto"/>
        <w:rPr>
          <w:sz w:val="20"/>
          <w:szCs w:val="20"/>
          <w:color w:val="auto"/>
        </w:rPr>
      </w:pPr>
      <w:r>
        <w:rPr>
          <w:rFonts w:ascii="Arial" w:cs="Arial" w:eastAsia="Arial" w:hAnsi="Arial"/>
          <w:sz w:val="19"/>
          <w:szCs w:val="19"/>
          <w:color w:val="auto"/>
        </w:rPr>
        <w:t>In this Form 10-K, the terms “mineral resource,” “measured mineral resource,” “indicated mineral resource,” “inferred mineral resource,” “mineral reserve,” “proven mineral reserve,” and “probable mineral reserve” are defined and used in accordance with subpart 1300 of Regulation S-K. Under subpart 1300 of Regulation S-K, mineral resources may not be classified as “mineral reserves” unless a qualified person (QP) (as defined under subpart 1300 of Regulation S-K) has determined that the mineral resources can be the basis of an economically viable project. Part or all of the mineral deposits (including any mineral resources) in these categories may never be converted into mineral reserves. Further, except for the portion of mineral resources classified as mineral reserves, mineral resources do not have demonstrated economic value. Estimates of inferred mineral resources have too high of a degree of uncertainty as to</w:t>
      </w:r>
    </w:p>
    <w:p>
      <w:pPr>
        <w:sectPr>
          <w:pgSz w:w="11880" w:h="15480" w:orient="portrait"/>
          <w:cols w:equalWidth="0" w:num="1">
            <w:col w:w="9320"/>
          </w:cols>
          <w:pgMar w:left="1260" w:top="1201" w:right="1300" w:bottom="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39</w:t>
      </w:r>
    </w:p>
    <w:p>
      <w:pPr>
        <w:sectPr>
          <w:pgSz w:w="11880" w:h="15480" w:orient="portrait"/>
          <w:cols w:equalWidth="0" w:num="1">
            <w:col w:w="9320"/>
          </w:cols>
          <w:pgMar w:left="1260" w:top="1201" w:right="1300" w:bottom="0" w:gutter="0" w:footer="0" w:header="0"/>
          <w:type w:val="continuous"/>
        </w:sectPr>
      </w:pPr>
    </w:p>
    <w:bookmarkStart w:id="47" w:name="page48"/>
    <w:bookmarkEnd w:id="47"/>
    <w:p>
      <w:pPr>
        <w:spacing w:after="0" w:line="289" w:lineRule="auto"/>
        <w:rPr>
          <w:sz w:val="20"/>
          <w:szCs w:val="20"/>
          <w:color w:val="auto"/>
        </w:rPr>
      </w:pPr>
      <w:r>
        <w:rPr>
          <w:rFonts w:ascii="Arial" w:cs="Arial" w:eastAsia="Arial" w:hAnsi="Arial"/>
          <w:sz w:val="20"/>
          <w:szCs w:val="20"/>
          <w:color w:val="auto"/>
        </w:rPr>
        <w:t>their existence and may not be converted to a mineral reserve. Therefore, it should not be assumed that all or any part of an inferred mineral resource exists, that it can be the basis of an economically viable project, or that it will ever be upgraded to a higher category. Likewise, it should not be assumed that all or any part of measured or indicated mineral resources will ever be converted to mineral reserves. Management relies on estimates of our recoverable mineral reserves, which estimation is complex due to geological characteristics of the properties and the number of assumptions made and variable factors, some of which are beyond our control.</w:t>
      </w:r>
    </w:p>
    <w:p>
      <w:pPr>
        <w:spacing w:after="0" w:line="71" w:lineRule="exact"/>
        <w:rPr>
          <w:sz w:val="20"/>
          <w:szCs w:val="20"/>
          <w:color w:val="auto"/>
        </w:rPr>
      </w:pPr>
    </w:p>
    <w:p>
      <w:pPr>
        <w:ind w:right="200"/>
        <w:spacing w:after="0" w:line="325" w:lineRule="auto"/>
        <w:rPr>
          <w:sz w:val="20"/>
          <w:szCs w:val="20"/>
          <w:color w:val="auto"/>
        </w:rPr>
      </w:pPr>
      <w:r>
        <w:rPr>
          <w:rFonts w:ascii="Arial" w:cs="Arial" w:eastAsia="Arial" w:hAnsi="Arial"/>
          <w:sz w:val="19"/>
          <w:szCs w:val="19"/>
          <w:color w:val="auto"/>
        </w:rPr>
        <w:t>The estimates of mineral resources and reserves in this Form 10-K are based on information and supporting documentation prepared in accordance with the requirements of subpart 1300 of Regulation S-K by third-party QPs who have no affiliation with or interest in the Company or our mining properties.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2A64A7"/>
        </w:rPr>
        <w:t>Cement Mining Properties</w:t>
      </w:r>
    </w:p>
    <w:p>
      <w:pPr>
        <w:spacing w:after="0" w:line="163" w:lineRule="exact"/>
        <w:rPr>
          <w:sz w:val="20"/>
          <w:szCs w:val="20"/>
          <w:color w:val="auto"/>
        </w:rPr>
      </w:pPr>
    </w:p>
    <w:p>
      <w:pPr>
        <w:ind w:right="20"/>
        <w:spacing w:after="0" w:line="288" w:lineRule="auto"/>
        <w:rPr>
          <w:sz w:val="20"/>
          <w:szCs w:val="20"/>
          <w:color w:val="auto"/>
        </w:rPr>
      </w:pPr>
      <w:r>
        <w:rPr>
          <w:rFonts w:ascii="Arial" w:cs="Arial" w:eastAsia="Arial" w:hAnsi="Arial"/>
          <w:sz w:val="20"/>
          <w:szCs w:val="20"/>
          <w:color w:val="auto"/>
        </w:rPr>
        <w:t>We mine primarily limestone at our quarry operations serving each of our cement plants. Eagle operates all its quarries, and mining at our quarries is done by Company personnel. The limestone mined at our quarries is converted to cement, as outlined in Item 1. Business. Each cement plant has its own dedicated limestone quarries, all of which have adequate access to highways and/or waterways. Limestone is delivered to our Louisville plant by barge, and to all other plants by truck. All our mines, with the exception of one, are surface mines, which are mined using open pit techniques. We have one underground mine serving our plant in Sugar Creek, Missouri. All our limestone reserves are located on properties that are in the production stage. All our quarries are close to our operating facilities.</w:t>
      </w:r>
    </w:p>
    <w:p>
      <w:pPr>
        <w:spacing w:after="0" w:line="95" w:lineRule="exact"/>
        <w:rPr>
          <w:sz w:val="20"/>
          <w:szCs w:val="20"/>
          <w:color w:val="auto"/>
        </w:rPr>
      </w:pPr>
    </w:p>
    <w:p>
      <w:pPr>
        <w:ind w:right="180"/>
        <w:spacing w:after="0" w:line="292" w:lineRule="auto"/>
        <w:rPr>
          <w:sz w:val="20"/>
          <w:szCs w:val="20"/>
          <w:color w:val="auto"/>
        </w:rPr>
      </w:pPr>
      <w:r>
        <w:rPr>
          <w:rFonts w:ascii="Arial" w:cs="Arial" w:eastAsia="Arial" w:hAnsi="Arial"/>
          <w:sz w:val="20"/>
          <w:szCs w:val="20"/>
          <w:color w:val="auto"/>
        </w:rPr>
        <w:t>As of March 31, 2026, we had 313.3 million tons of proven and probable limestone reserves, and 752.3 million tons of measured and indicated limestone resources, exclusive of limestone reserves. Approximately 80% of our total reserves are owned, and the remainder are leased. We do not consider any of our individual quarries to be material for disclosure purposes. All our individual locations have at least 25 years of reserves and resources, with most of our locations having in excess of 50 years.</w:t>
      </w:r>
    </w:p>
    <w:p>
      <w:pPr>
        <w:sectPr>
          <w:pgSz w:w="11880" w:h="15480" w:orient="portrait"/>
          <w:cols w:equalWidth="0" w:num="1">
            <w:col w:w="9300"/>
          </w:cols>
          <w:pgMar w:left="1260" w:top="1267" w:right="1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40</w:t>
      </w:r>
    </w:p>
    <w:p>
      <w:pPr>
        <w:sectPr>
          <w:pgSz w:w="11880" w:h="15480" w:orient="portrait"/>
          <w:cols w:equalWidth="0" w:num="1">
            <w:col w:w="9300"/>
          </w:cols>
          <w:pgMar w:left="1260" w:top="1267" w:right="1320" w:bottom="0" w:gutter="0" w:footer="0" w:header="0"/>
          <w:type w:val="continuous"/>
        </w:sectPr>
      </w:pPr>
    </w:p>
    <w:bookmarkStart w:id="48" w:name="page49"/>
    <w:bookmarkEnd w:id="48"/>
    <w:p>
      <w:pPr>
        <w:ind w:right="460"/>
        <w:spacing w:after="0" w:line="325" w:lineRule="auto"/>
        <w:rPr>
          <w:sz w:val="20"/>
          <w:szCs w:val="20"/>
          <w:color w:val="auto"/>
        </w:rPr>
      </w:pPr>
      <w:r>
        <w:rPr>
          <w:rFonts w:ascii="Arial" w:cs="Arial" w:eastAsia="Arial" w:hAnsi="Arial"/>
          <w:sz w:val="20"/>
          <w:szCs w:val="20"/>
          <w:color w:val="auto"/>
        </w:rPr>
        <w:t>Below is a summary of our limestone resources, exclusive of limestone reserves, serving each of our cement plants at March 31, 2026.</w:t>
      </w:r>
    </w:p>
    <w:p>
      <w:pPr>
        <w:spacing w:after="0" w:line="136" w:lineRule="exact"/>
        <w:rPr>
          <w:sz w:val="20"/>
          <w:szCs w:val="20"/>
          <w:color w:val="auto"/>
        </w:rPr>
      </w:pPr>
    </w:p>
    <w:p>
      <w:pPr>
        <w:ind w:left="5180"/>
        <w:spacing w:after="0"/>
        <w:rPr>
          <w:sz w:val="20"/>
          <w:szCs w:val="20"/>
          <w:color w:val="auto"/>
        </w:rPr>
      </w:pPr>
      <w:r>
        <w:rPr>
          <w:rFonts w:ascii="Arial Narrow" w:cs="Arial Narrow" w:eastAsia="Arial Narrow" w:hAnsi="Arial Narrow"/>
          <w:sz w:val="18"/>
          <w:szCs w:val="18"/>
          <w:b w:val="1"/>
          <w:bCs w:val="1"/>
          <w:color w:val="auto"/>
        </w:rPr>
        <w:t xml:space="preserve">Limestone Resources </w:t>
      </w:r>
      <w:r>
        <w:rPr>
          <w:rFonts w:ascii="Arial Narrow" w:cs="Arial Narrow" w:eastAsia="Arial Narrow" w:hAnsi="Arial Narrow"/>
          <w:sz w:val="24"/>
          <w:szCs w:val="24"/>
          <w:b w:val="1"/>
          <w:bCs w:val="1"/>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1838325</wp:posOffset>
            </wp:positionH>
            <wp:positionV relativeFrom="paragraph">
              <wp:posOffset>0</wp:posOffset>
            </wp:positionV>
            <wp:extent cx="4105275" cy="95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5">
                      <a:extLst>
                        <a:ext uri="{28A0092B-C50C-407E-A947-70E740481C1C}"/>
                      </a:extLst>
                    </a:blip>
                    <a:srcRect/>
                    <a:stretch>
                      <a:fillRect/>
                    </a:stretch>
                  </pic:blipFill>
                  <pic:spPr bwMode="auto">
                    <a:xfrm>
                      <a:off x="0" y="0"/>
                      <a:ext cx="4105275" cy="9525"/>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9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20" w:type="dxa"/>
            <w:vAlign w:val="bottom"/>
            <w:gridSpan w:val="3"/>
          </w:tcPr>
          <w:p>
            <w:pPr>
              <w:ind w:left="940"/>
              <w:spacing w:after="0"/>
              <w:rPr>
                <w:sz w:val="20"/>
                <w:szCs w:val="20"/>
                <w:color w:val="auto"/>
              </w:rPr>
            </w:pPr>
            <w:r>
              <w:rPr>
                <w:rFonts w:ascii="Arial Narrow" w:cs="Arial Narrow" w:eastAsia="Arial Narrow" w:hAnsi="Arial Narrow"/>
                <w:sz w:val="16"/>
                <w:szCs w:val="16"/>
                <w:color w:val="auto"/>
              </w:rPr>
              <w:t>(tons in thousands)</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12"/>
        </w:trPr>
        <w:tc>
          <w:tcPr>
            <w:tcW w:w="29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ind w:right="23"/>
              <w:spacing w:after="0"/>
              <w:rPr>
                <w:sz w:val="20"/>
                <w:szCs w:val="20"/>
                <w:color w:val="auto"/>
              </w:rPr>
            </w:pPr>
            <w:r>
              <w:rPr>
                <w:rFonts w:ascii="Arial Narrow" w:cs="Arial Narrow" w:eastAsia="Arial Narrow" w:hAnsi="Arial Narrow"/>
                <w:sz w:val="18"/>
                <w:szCs w:val="18"/>
                <w:b w:val="1"/>
                <w:bCs w:val="1"/>
                <w:color w:val="auto"/>
              </w:rPr>
              <w:t>Total</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07"/>
        </w:trPr>
        <w:tc>
          <w:tcPr>
            <w:tcW w:w="29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ind w:right="23"/>
              <w:spacing w:after="0"/>
              <w:rPr>
                <w:sz w:val="20"/>
                <w:szCs w:val="20"/>
                <w:color w:val="auto"/>
              </w:rPr>
            </w:pPr>
            <w:r>
              <w:rPr>
                <w:rFonts w:ascii="Arial Narrow" w:cs="Arial Narrow" w:eastAsia="Arial Narrow" w:hAnsi="Arial Narrow"/>
                <w:sz w:val="18"/>
                <w:szCs w:val="18"/>
                <w:b w:val="1"/>
                <w:bCs w:val="1"/>
                <w:color w:val="auto"/>
              </w:rPr>
              <w:t>Measured &amp;</w:t>
            </w: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54"/>
        </w:trPr>
        <w:tc>
          <w:tcPr>
            <w:tcW w:w="2900" w:type="dxa"/>
            <w:vAlign w:val="bottom"/>
          </w:tcPr>
          <w:p>
            <w:pPr>
              <w:spacing w:after="0"/>
              <w:rPr>
                <w:sz w:val="20"/>
                <w:szCs w:val="20"/>
                <w:color w:val="auto"/>
              </w:rPr>
            </w:pPr>
            <w:r>
              <w:rPr>
                <w:rFonts w:ascii="Arial Narrow" w:cs="Arial Narrow" w:eastAsia="Arial Narrow" w:hAnsi="Arial Narrow"/>
                <w:sz w:val="18"/>
                <w:szCs w:val="18"/>
                <w:b w:val="1"/>
                <w:bCs w:val="1"/>
                <w:color w:val="auto"/>
              </w:rPr>
              <w:t>Location</w:t>
            </w:r>
          </w:p>
        </w:tc>
        <w:tc>
          <w:tcPr>
            <w:tcW w:w="1440" w:type="dxa"/>
            <w:vAlign w:val="bottom"/>
          </w:tcPr>
          <w:p>
            <w:pPr>
              <w:jc w:val="right"/>
              <w:ind w:right="1"/>
              <w:spacing w:after="0"/>
              <w:rPr>
                <w:sz w:val="20"/>
                <w:szCs w:val="20"/>
                <w:color w:val="auto"/>
              </w:rPr>
            </w:pPr>
            <w:r>
              <w:rPr>
                <w:rFonts w:ascii="Arial Narrow" w:cs="Arial Narrow" w:eastAsia="Arial Narrow" w:hAnsi="Arial Narrow"/>
                <w:sz w:val="18"/>
                <w:szCs w:val="18"/>
                <w:b w:val="1"/>
                <w:bCs w:val="1"/>
                <w:color w:val="auto"/>
              </w:rPr>
              <w:t>Measured</w:t>
            </w:r>
          </w:p>
        </w:tc>
        <w:tc>
          <w:tcPr>
            <w:tcW w:w="240" w:type="dxa"/>
            <w:vAlign w:val="bottom"/>
          </w:tcPr>
          <w:p>
            <w:pPr>
              <w:spacing w:after="0"/>
              <w:rPr>
                <w:sz w:val="22"/>
                <w:szCs w:val="22"/>
                <w:color w:val="auto"/>
              </w:rPr>
            </w:pPr>
          </w:p>
        </w:tc>
        <w:tc>
          <w:tcPr>
            <w:tcW w:w="2120" w:type="dxa"/>
            <w:vAlign w:val="bottom"/>
            <w:gridSpan w:val="3"/>
          </w:tcPr>
          <w:p>
            <w:pPr>
              <w:ind w:left="680"/>
              <w:spacing w:after="0"/>
              <w:rPr>
                <w:sz w:val="20"/>
                <w:szCs w:val="20"/>
                <w:color w:val="auto"/>
              </w:rPr>
            </w:pPr>
            <w:r>
              <w:rPr>
                <w:rFonts w:ascii="Arial Narrow" w:cs="Arial Narrow" w:eastAsia="Arial Narrow" w:hAnsi="Arial Narrow"/>
                <w:sz w:val="18"/>
                <w:szCs w:val="18"/>
                <w:b w:val="1"/>
                <w:bCs w:val="1"/>
                <w:color w:val="auto"/>
              </w:rPr>
              <w:t>Indicated</w:t>
            </w:r>
          </w:p>
        </w:tc>
        <w:tc>
          <w:tcPr>
            <w:tcW w:w="1000" w:type="dxa"/>
            <w:vAlign w:val="bottom"/>
          </w:tcPr>
          <w:p>
            <w:pPr>
              <w:jc w:val="right"/>
              <w:ind w:right="23"/>
              <w:spacing w:after="0"/>
              <w:rPr>
                <w:sz w:val="20"/>
                <w:szCs w:val="20"/>
                <w:color w:val="auto"/>
              </w:rPr>
            </w:pPr>
            <w:r>
              <w:rPr>
                <w:rFonts w:ascii="Arial Narrow" w:cs="Arial Narrow" w:eastAsia="Arial Narrow" w:hAnsi="Arial Narrow"/>
                <w:sz w:val="18"/>
                <w:szCs w:val="18"/>
                <w:b w:val="1"/>
                <w:bCs w:val="1"/>
                <w:color w:val="auto"/>
              </w:rPr>
              <w:t>Indicated</w:t>
            </w:r>
          </w:p>
        </w:tc>
        <w:tc>
          <w:tcPr>
            <w:tcW w:w="220" w:type="dxa"/>
            <w:vAlign w:val="bottom"/>
          </w:tcPr>
          <w:p>
            <w:pPr>
              <w:spacing w:after="0"/>
              <w:rPr>
                <w:sz w:val="22"/>
                <w:szCs w:val="22"/>
                <w:color w:val="auto"/>
              </w:rPr>
            </w:pPr>
          </w:p>
        </w:tc>
        <w:tc>
          <w:tcPr>
            <w:tcW w:w="1440" w:type="dxa"/>
            <w:vAlign w:val="bottom"/>
          </w:tcPr>
          <w:p>
            <w:pPr>
              <w:jc w:val="right"/>
              <w:ind w:right="10"/>
              <w:spacing w:after="0"/>
              <w:rPr>
                <w:sz w:val="20"/>
                <w:szCs w:val="20"/>
                <w:color w:val="auto"/>
              </w:rPr>
            </w:pPr>
            <w:r>
              <w:rPr>
                <w:rFonts w:ascii="Arial Narrow" w:cs="Arial Narrow" w:eastAsia="Arial Narrow" w:hAnsi="Arial Narrow"/>
                <w:sz w:val="18"/>
                <w:szCs w:val="18"/>
                <w:b w:val="1"/>
                <w:bCs w:val="1"/>
                <w:color w:val="auto"/>
              </w:rPr>
              <w:t>Inferred</w:t>
            </w:r>
          </w:p>
        </w:tc>
      </w:tr>
      <w:tr>
        <w:trPr>
          <w:trHeight w:val="46"/>
        </w:trPr>
        <w:tc>
          <w:tcPr>
            <w:tcW w:w="29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gridSpan w:val="2"/>
          </w:tcPr>
          <w:p>
            <w:pPr>
              <w:spacing w:after="0"/>
              <w:rPr>
                <w:sz w:val="3"/>
                <w:szCs w:val="3"/>
                <w:color w:val="auto"/>
              </w:rPr>
            </w:pPr>
          </w:p>
        </w:tc>
      </w:tr>
      <w:tr>
        <w:trPr>
          <w:trHeight w:val="344"/>
        </w:trPr>
        <w:tc>
          <w:tcPr>
            <w:tcW w:w="2900" w:type="dxa"/>
            <w:vAlign w:val="bottom"/>
          </w:tcPr>
          <w:p>
            <w:pPr>
              <w:spacing w:after="0"/>
              <w:rPr>
                <w:sz w:val="20"/>
                <w:szCs w:val="20"/>
                <w:color w:val="auto"/>
              </w:rPr>
            </w:pPr>
            <w:r>
              <w:rPr>
                <w:rFonts w:ascii="Arial Narrow" w:cs="Arial Narrow" w:eastAsia="Arial Narrow" w:hAnsi="Arial Narrow"/>
                <w:sz w:val="20"/>
                <w:szCs w:val="20"/>
                <w:b w:val="1"/>
                <w:bCs w:val="1"/>
                <w:color w:val="386CAD"/>
              </w:rPr>
              <w:t xml:space="preserve">Buda, Texas </w:t>
            </w:r>
            <w:r>
              <w:rPr>
                <w:rFonts w:ascii="Arial Narrow" w:cs="Arial Narrow" w:eastAsia="Arial Narrow" w:hAnsi="Arial Narrow"/>
                <w:sz w:val="13"/>
                <w:szCs w:val="13"/>
                <w:b w:val="1"/>
                <w:bCs w:val="1"/>
                <w:color w:val="386CAD"/>
              </w:rPr>
              <w:t>(3)</w:t>
            </w:r>
          </w:p>
        </w:tc>
        <w:tc>
          <w:tcPr>
            <w:tcW w:w="1440" w:type="dxa"/>
            <w:vAlign w:val="bottom"/>
          </w:tcPr>
          <w:p>
            <w:pPr>
              <w:jc w:val="right"/>
              <w:ind w:right="1"/>
              <w:spacing w:after="0"/>
              <w:rPr>
                <w:sz w:val="20"/>
                <w:szCs w:val="20"/>
                <w:color w:val="auto"/>
              </w:rPr>
            </w:pPr>
            <w:r>
              <w:rPr>
                <w:rFonts w:ascii="Arial Narrow" w:cs="Arial Narrow" w:eastAsia="Arial Narrow" w:hAnsi="Arial Narrow"/>
                <w:sz w:val="20"/>
                <w:szCs w:val="20"/>
                <w:color w:val="auto"/>
              </w:rPr>
              <w:t>77,100</w:t>
            </w:r>
          </w:p>
        </w:tc>
        <w:tc>
          <w:tcPr>
            <w:tcW w:w="1680" w:type="dxa"/>
            <w:vAlign w:val="bottom"/>
            <w:gridSpan w:val="2"/>
          </w:tcPr>
          <w:p>
            <w:pPr>
              <w:jc w:val="right"/>
              <w:ind w:right="15"/>
              <w:spacing w:after="0"/>
              <w:rPr>
                <w:sz w:val="20"/>
                <w:szCs w:val="20"/>
                <w:color w:val="auto"/>
              </w:rPr>
            </w:pPr>
            <w:r>
              <w:rPr>
                <w:rFonts w:ascii="Arial Narrow" w:cs="Arial Narrow" w:eastAsia="Arial Narrow" w:hAnsi="Arial Narrow"/>
                <w:sz w:val="20"/>
                <w:szCs w:val="20"/>
                <w:color w:val="auto"/>
              </w:rPr>
              <w:t>14,300</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jc w:val="right"/>
              <w:ind w:right="23"/>
              <w:spacing w:after="0"/>
              <w:rPr>
                <w:sz w:val="20"/>
                <w:szCs w:val="20"/>
                <w:color w:val="auto"/>
              </w:rPr>
            </w:pPr>
            <w:r>
              <w:rPr>
                <w:rFonts w:ascii="Arial Narrow" w:cs="Arial Narrow" w:eastAsia="Arial Narrow" w:hAnsi="Arial Narrow"/>
                <w:sz w:val="20"/>
                <w:szCs w:val="20"/>
                <w:color w:val="auto"/>
              </w:rPr>
              <w:t>91,400</w:t>
            </w:r>
          </w:p>
        </w:tc>
        <w:tc>
          <w:tcPr>
            <w:tcW w:w="1660" w:type="dxa"/>
            <w:vAlign w:val="bottom"/>
            <w:gridSpan w:val="2"/>
          </w:tcPr>
          <w:p>
            <w:pPr>
              <w:jc w:val="right"/>
              <w:ind w:right="10"/>
              <w:spacing w:after="0"/>
              <w:rPr>
                <w:sz w:val="20"/>
                <w:szCs w:val="20"/>
                <w:color w:val="auto"/>
              </w:rPr>
            </w:pPr>
            <w:r>
              <w:rPr>
                <w:rFonts w:ascii="Arial Narrow" w:cs="Arial Narrow" w:eastAsia="Arial Narrow" w:hAnsi="Arial Narrow"/>
                <w:sz w:val="20"/>
                <w:szCs w:val="20"/>
                <w:color w:val="auto"/>
              </w:rPr>
              <w:t>1,000</w:t>
            </w:r>
          </w:p>
        </w:tc>
      </w:tr>
      <w:tr>
        <w:trPr>
          <w:trHeight w:val="65"/>
        </w:trPr>
        <w:tc>
          <w:tcPr>
            <w:tcW w:w="2900" w:type="dxa"/>
            <w:vAlign w:val="bottom"/>
            <w:tcBorders>
              <w:bottom w:val="single" w:sz="8" w:color="A6A6A6"/>
            </w:tcBorders>
          </w:tcPr>
          <w:p>
            <w:pPr>
              <w:spacing w:after="0"/>
              <w:rPr>
                <w:sz w:val="5"/>
                <w:szCs w:val="5"/>
                <w:color w:val="auto"/>
              </w:rPr>
            </w:pPr>
          </w:p>
        </w:tc>
        <w:tc>
          <w:tcPr>
            <w:tcW w:w="1440" w:type="dxa"/>
            <w:vAlign w:val="bottom"/>
            <w:tcBorders>
              <w:bottom w:val="single" w:sz="8" w:color="A6A6A6"/>
            </w:tcBorders>
          </w:tcPr>
          <w:p>
            <w:pPr>
              <w:spacing w:after="0"/>
              <w:rPr>
                <w:sz w:val="5"/>
                <w:szCs w:val="5"/>
                <w:color w:val="auto"/>
              </w:rPr>
            </w:pPr>
          </w:p>
        </w:tc>
        <w:tc>
          <w:tcPr>
            <w:tcW w:w="240" w:type="dxa"/>
            <w:vAlign w:val="bottom"/>
            <w:tcBorders>
              <w:bottom w:val="single" w:sz="8" w:color="A6A6A6"/>
            </w:tcBorders>
          </w:tcPr>
          <w:p>
            <w:pPr>
              <w:spacing w:after="0"/>
              <w:rPr>
                <w:sz w:val="5"/>
                <w:szCs w:val="5"/>
                <w:color w:val="auto"/>
              </w:rPr>
            </w:pPr>
          </w:p>
        </w:tc>
        <w:tc>
          <w:tcPr>
            <w:tcW w:w="1440" w:type="dxa"/>
            <w:vAlign w:val="bottom"/>
            <w:tcBorders>
              <w:bottom w:val="single" w:sz="8" w:color="A6A6A6"/>
            </w:tcBorders>
          </w:tcPr>
          <w:p>
            <w:pPr>
              <w:spacing w:after="0"/>
              <w:rPr>
                <w:sz w:val="5"/>
                <w:szCs w:val="5"/>
                <w:color w:val="auto"/>
              </w:rPr>
            </w:pPr>
          </w:p>
        </w:tc>
        <w:tc>
          <w:tcPr>
            <w:tcW w:w="220" w:type="dxa"/>
            <w:vAlign w:val="bottom"/>
            <w:tcBorders>
              <w:bottom w:val="single" w:sz="8" w:color="A6A6A6"/>
            </w:tcBorders>
          </w:tcPr>
          <w:p>
            <w:pPr>
              <w:spacing w:after="0"/>
              <w:rPr>
                <w:sz w:val="5"/>
                <w:szCs w:val="5"/>
                <w:color w:val="auto"/>
              </w:rPr>
            </w:pPr>
          </w:p>
        </w:tc>
        <w:tc>
          <w:tcPr>
            <w:tcW w:w="460" w:type="dxa"/>
            <w:vAlign w:val="bottom"/>
            <w:tcBorders>
              <w:bottom w:val="single" w:sz="8" w:color="A6A6A6"/>
            </w:tcBorders>
          </w:tcPr>
          <w:p>
            <w:pPr>
              <w:spacing w:after="0"/>
              <w:rPr>
                <w:sz w:val="5"/>
                <w:szCs w:val="5"/>
                <w:color w:val="auto"/>
              </w:rPr>
            </w:pPr>
          </w:p>
        </w:tc>
        <w:tc>
          <w:tcPr>
            <w:tcW w:w="1000" w:type="dxa"/>
            <w:vAlign w:val="bottom"/>
            <w:tcBorders>
              <w:bottom w:val="single" w:sz="8" w:color="A6A6A6"/>
            </w:tcBorders>
          </w:tcPr>
          <w:p>
            <w:pPr>
              <w:spacing w:after="0"/>
              <w:rPr>
                <w:sz w:val="5"/>
                <w:szCs w:val="5"/>
                <w:color w:val="auto"/>
              </w:rPr>
            </w:pPr>
          </w:p>
        </w:tc>
        <w:tc>
          <w:tcPr>
            <w:tcW w:w="220" w:type="dxa"/>
            <w:vAlign w:val="bottom"/>
            <w:tcBorders>
              <w:bottom w:val="single" w:sz="8" w:color="A6A6A6"/>
            </w:tcBorders>
          </w:tcPr>
          <w:p>
            <w:pPr>
              <w:spacing w:after="0"/>
              <w:rPr>
                <w:sz w:val="5"/>
                <w:szCs w:val="5"/>
                <w:color w:val="auto"/>
              </w:rPr>
            </w:pPr>
          </w:p>
        </w:tc>
        <w:tc>
          <w:tcPr>
            <w:tcW w:w="1440" w:type="dxa"/>
            <w:vAlign w:val="bottom"/>
            <w:tcBorders>
              <w:bottom w:val="single" w:sz="8" w:color="A6A6A6"/>
            </w:tcBorders>
          </w:tcPr>
          <w:p>
            <w:pPr>
              <w:spacing w:after="0"/>
              <w:rPr>
                <w:sz w:val="5"/>
                <w:szCs w:val="5"/>
                <w:color w:val="auto"/>
              </w:rPr>
            </w:pPr>
          </w:p>
        </w:tc>
      </w:tr>
      <w:tr>
        <w:trPr>
          <w:trHeight w:val="339"/>
        </w:trPr>
        <w:tc>
          <w:tcPr>
            <w:tcW w:w="2900" w:type="dxa"/>
            <w:vAlign w:val="bottom"/>
          </w:tcPr>
          <w:p>
            <w:pPr>
              <w:spacing w:after="0"/>
              <w:rPr>
                <w:sz w:val="20"/>
                <w:szCs w:val="20"/>
                <w:color w:val="auto"/>
              </w:rPr>
            </w:pPr>
            <w:r>
              <w:rPr>
                <w:rFonts w:ascii="Arial Narrow" w:cs="Arial Narrow" w:eastAsia="Arial Narrow" w:hAnsi="Arial Narrow"/>
                <w:sz w:val="20"/>
                <w:szCs w:val="20"/>
                <w:b w:val="1"/>
                <w:bCs w:val="1"/>
                <w:color w:val="386CAD"/>
              </w:rPr>
              <w:t>LaSalle, Illinois</w:t>
            </w:r>
          </w:p>
        </w:tc>
        <w:tc>
          <w:tcPr>
            <w:tcW w:w="1440" w:type="dxa"/>
            <w:vAlign w:val="bottom"/>
          </w:tcPr>
          <w:p>
            <w:pPr>
              <w:jc w:val="right"/>
              <w:ind w:right="1"/>
              <w:spacing w:after="0"/>
              <w:rPr>
                <w:sz w:val="20"/>
                <w:szCs w:val="20"/>
                <w:color w:val="auto"/>
              </w:rPr>
            </w:pPr>
            <w:r>
              <w:rPr>
                <w:rFonts w:ascii="Arial Narrow" w:cs="Arial Narrow" w:eastAsia="Arial Narrow" w:hAnsi="Arial Narrow"/>
                <w:sz w:val="20"/>
                <w:szCs w:val="20"/>
                <w:color w:val="auto"/>
              </w:rPr>
              <w:t>20,900</w:t>
            </w:r>
          </w:p>
        </w:tc>
        <w:tc>
          <w:tcPr>
            <w:tcW w:w="1680" w:type="dxa"/>
            <w:vAlign w:val="bottom"/>
            <w:gridSpan w:val="2"/>
          </w:tcPr>
          <w:p>
            <w:pPr>
              <w:jc w:val="right"/>
              <w:ind w:right="15"/>
              <w:spacing w:after="0"/>
              <w:rPr>
                <w:sz w:val="20"/>
                <w:szCs w:val="20"/>
                <w:color w:val="auto"/>
              </w:rPr>
            </w:pPr>
            <w:r>
              <w:rPr>
                <w:rFonts w:ascii="Arial Narrow" w:cs="Arial Narrow" w:eastAsia="Arial Narrow" w:hAnsi="Arial Narrow"/>
                <w:sz w:val="20"/>
                <w:szCs w:val="20"/>
                <w:color w:val="auto"/>
              </w:rPr>
              <w:t>6,500</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jc w:val="right"/>
              <w:ind w:right="23"/>
              <w:spacing w:after="0"/>
              <w:rPr>
                <w:sz w:val="20"/>
                <w:szCs w:val="20"/>
                <w:color w:val="auto"/>
              </w:rPr>
            </w:pPr>
            <w:r>
              <w:rPr>
                <w:rFonts w:ascii="Arial Narrow" w:cs="Arial Narrow" w:eastAsia="Arial Narrow" w:hAnsi="Arial Narrow"/>
                <w:sz w:val="20"/>
                <w:szCs w:val="20"/>
                <w:color w:val="auto"/>
              </w:rPr>
              <w:t>27,400</w:t>
            </w:r>
          </w:p>
        </w:tc>
        <w:tc>
          <w:tcPr>
            <w:tcW w:w="1660" w:type="dxa"/>
            <w:vAlign w:val="bottom"/>
            <w:gridSpan w:val="2"/>
          </w:tcPr>
          <w:p>
            <w:pPr>
              <w:jc w:val="right"/>
              <w:ind w:right="10"/>
              <w:spacing w:after="0"/>
              <w:rPr>
                <w:sz w:val="20"/>
                <w:szCs w:val="20"/>
                <w:color w:val="auto"/>
              </w:rPr>
            </w:pPr>
            <w:r>
              <w:rPr>
                <w:rFonts w:ascii="Arial Narrow" w:cs="Arial Narrow" w:eastAsia="Arial Narrow" w:hAnsi="Arial Narrow"/>
                <w:sz w:val="20"/>
                <w:szCs w:val="20"/>
                <w:color w:val="auto"/>
              </w:rPr>
              <w:t>50</w:t>
            </w:r>
          </w:p>
        </w:tc>
      </w:tr>
      <w:tr>
        <w:trPr>
          <w:trHeight w:val="65"/>
        </w:trPr>
        <w:tc>
          <w:tcPr>
            <w:tcW w:w="2900" w:type="dxa"/>
            <w:vAlign w:val="bottom"/>
            <w:tcBorders>
              <w:bottom w:val="single" w:sz="8" w:color="A6A6A6"/>
            </w:tcBorders>
          </w:tcPr>
          <w:p>
            <w:pPr>
              <w:spacing w:after="0"/>
              <w:rPr>
                <w:sz w:val="5"/>
                <w:szCs w:val="5"/>
                <w:color w:val="auto"/>
              </w:rPr>
            </w:pPr>
          </w:p>
        </w:tc>
        <w:tc>
          <w:tcPr>
            <w:tcW w:w="1440" w:type="dxa"/>
            <w:vAlign w:val="bottom"/>
            <w:tcBorders>
              <w:bottom w:val="single" w:sz="8" w:color="A6A6A6"/>
            </w:tcBorders>
          </w:tcPr>
          <w:p>
            <w:pPr>
              <w:spacing w:after="0"/>
              <w:rPr>
                <w:sz w:val="5"/>
                <w:szCs w:val="5"/>
                <w:color w:val="auto"/>
              </w:rPr>
            </w:pPr>
          </w:p>
        </w:tc>
        <w:tc>
          <w:tcPr>
            <w:tcW w:w="240" w:type="dxa"/>
            <w:vAlign w:val="bottom"/>
            <w:tcBorders>
              <w:bottom w:val="single" w:sz="8" w:color="A6A6A6"/>
            </w:tcBorders>
          </w:tcPr>
          <w:p>
            <w:pPr>
              <w:spacing w:after="0"/>
              <w:rPr>
                <w:sz w:val="5"/>
                <w:szCs w:val="5"/>
                <w:color w:val="auto"/>
              </w:rPr>
            </w:pPr>
          </w:p>
        </w:tc>
        <w:tc>
          <w:tcPr>
            <w:tcW w:w="1440" w:type="dxa"/>
            <w:vAlign w:val="bottom"/>
            <w:tcBorders>
              <w:bottom w:val="single" w:sz="8" w:color="A6A6A6"/>
            </w:tcBorders>
          </w:tcPr>
          <w:p>
            <w:pPr>
              <w:spacing w:after="0"/>
              <w:rPr>
                <w:sz w:val="5"/>
                <w:szCs w:val="5"/>
                <w:color w:val="auto"/>
              </w:rPr>
            </w:pPr>
          </w:p>
        </w:tc>
        <w:tc>
          <w:tcPr>
            <w:tcW w:w="220" w:type="dxa"/>
            <w:vAlign w:val="bottom"/>
            <w:tcBorders>
              <w:bottom w:val="single" w:sz="8" w:color="A6A6A6"/>
            </w:tcBorders>
          </w:tcPr>
          <w:p>
            <w:pPr>
              <w:spacing w:after="0"/>
              <w:rPr>
                <w:sz w:val="5"/>
                <w:szCs w:val="5"/>
                <w:color w:val="auto"/>
              </w:rPr>
            </w:pPr>
          </w:p>
        </w:tc>
        <w:tc>
          <w:tcPr>
            <w:tcW w:w="460" w:type="dxa"/>
            <w:vAlign w:val="bottom"/>
            <w:tcBorders>
              <w:bottom w:val="single" w:sz="8" w:color="A6A6A6"/>
            </w:tcBorders>
          </w:tcPr>
          <w:p>
            <w:pPr>
              <w:spacing w:after="0"/>
              <w:rPr>
                <w:sz w:val="5"/>
                <w:szCs w:val="5"/>
                <w:color w:val="auto"/>
              </w:rPr>
            </w:pPr>
          </w:p>
        </w:tc>
        <w:tc>
          <w:tcPr>
            <w:tcW w:w="1000" w:type="dxa"/>
            <w:vAlign w:val="bottom"/>
            <w:tcBorders>
              <w:bottom w:val="single" w:sz="8" w:color="A6A6A6"/>
            </w:tcBorders>
          </w:tcPr>
          <w:p>
            <w:pPr>
              <w:spacing w:after="0"/>
              <w:rPr>
                <w:sz w:val="5"/>
                <w:szCs w:val="5"/>
                <w:color w:val="auto"/>
              </w:rPr>
            </w:pPr>
          </w:p>
        </w:tc>
        <w:tc>
          <w:tcPr>
            <w:tcW w:w="220" w:type="dxa"/>
            <w:vAlign w:val="bottom"/>
            <w:tcBorders>
              <w:bottom w:val="single" w:sz="8" w:color="A6A6A6"/>
            </w:tcBorders>
          </w:tcPr>
          <w:p>
            <w:pPr>
              <w:spacing w:after="0"/>
              <w:rPr>
                <w:sz w:val="5"/>
                <w:szCs w:val="5"/>
                <w:color w:val="auto"/>
              </w:rPr>
            </w:pPr>
          </w:p>
        </w:tc>
        <w:tc>
          <w:tcPr>
            <w:tcW w:w="1440" w:type="dxa"/>
            <w:vAlign w:val="bottom"/>
            <w:tcBorders>
              <w:bottom w:val="single" w:sz="8" w:color="A6A6A6"/>
            </w:tcBorders>
          </w:tcPr>
          <w:p>
            <w:pPr>
              <w:spacing w:after="0"/>
              <w:rPr>
                <w:sz w:val="5"/>
                <w:szCs w:val="5"/>
                <w:color w:val="auto"/>
              </w:rPr>
            </w:pPr>
          </w:p>
        </w:tc>
      </w:tr>
      <w:tr>
        <w:trPr>
          <w:trHeight w:val="339"/>
        </w:trPr>
        <w:tc>
          <w:tcPr>
            <w:tcW w:w="2900" w:type="dxa"/>
            <w:vAlign w:val="bottom"/>
          </w:tcPr>
          <w:p>
            <w:pPr>
              <w:spacing w:after="0"/>
              <w:rPr>
                <w:sz w:val="20"/>
                <w:szCs w:val="20"/>
                <w:color w:val="auto"/>
              </w:rPr>
            </w:pPr>
            <w:r>
              <w:rPr>
                <w:rFonts w:ascii="Arial Narrow" w:cs="Arial Narrow" w:eastAsia="Arial Narrow" w:hAnsi="Arial Narrow"/>
                <w:sz w:val="20"/>
                <w:szCs w:val="20"/>
                <w:b w:val="1"/>
                <w:bCs w:val="1"/>
                <w:color w:val="386CAD"/>
              </w:rPr>
              <w:t>Sugar Creek, Missouri</w:t>
            </w:r>
          </w:p>
        </w:tc>
        <w:tc>
          <w:tcPr>
            <w:tcW w:w="1440" w:type="dxa"/>
            <w:vAlign w:val="bottom"/>
          </w:tcPr>
          <w:p>
            <w:pPr>
              <w:jc w:val="right"/>
              <w:ind w:right="1"/>
              <w:spacing w:after="0"/>
              <w:rPr>
                <w:sz w:val="20"/>
                <w:szCs w:val="20"/>
                <w:color w:val="auto"/>
              </w:rPr>
            </w:pPr>
            <w:r>
              <w:rPr>
                <w:rFonts w:ascii="Arial Narrow" w:cs="Arial Narrow" w:eastAsia="Arial Narrow" w:hAnsi="Arial Narrow"/>
                <w:sz w:val="20"/>
                <w:szCs w:val="20"/>
                <w:color w:val="auto"/>
              </w:rPr>
              <w:t>92,000</w:t>
            </w:r>
          </w:p>
        </w:tc>
        <w:tc>
          <w:tcPr>
            <w:tcW w:w="1680" w:type="dxa"/>
            <w:vAlign w:val="bottom"/>
            <w:gridSpan w:val="2"/>
          </w:tcPr>
          <w:p>
            <w:pPr>
              <w:jc w:val="right"/>
              <w:ind w:right="15"/>
              <w:spacing w:after="0"/>
              <w:rPr>
                <w:sz w:val="20"/>
                <w:szCs w:val="20"/>
                <w:color w:val="auto"/>
              </w:rPr>
            </w:pPr>
            <w:r>
              <w:rPr>
                <w:rFonts w:ascii="Arial Narrow" w:cs="Arial Narrow" w:eastAsia="Arial Narrow" w:hAnsi="Arial Narrow"/>
                <w:sz w:val="20"/>
                <w:szCs w:val="20"/>
                <w:color w:val="auto"/>
              </w:rPr>
              <w:t>98,500</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jc w:val="right"/>
              <w:ind w:right="23"/>
              <w:spacing w:after="0"/>
              <w:rPr>
                <w:sz w:val="20"/>
                <w:szCs w:val="20"/>
                <w:color w:val="auto"/>
              </w:rPr>
            </w:pPr>
            <w:r>
              <w:rPr>
                <w:rFonts w:ascii="Arial Narrow" w:cs="Arial Narrow" w:eastAsia="Arial Narrow" w:hAnsi="Arial Narrow"/>
                <w:sz w:val="20"/>
                <w:szCs w:val="20"/>
                <w:color w:val="auto"/>
              </w:rPr>
              <w:t>190,500</w:t>
            </w:r>
          </w:p>
        </w:tc>
        <w:tc>
          <w:tcPr>
            <w:tcW w:w="1660" w:type="dxa"/>
            <w:vAlign w:val="bottom"/>
            <w:gridSpan w:val="2"/>
          </w:tcPr>
          <w:p>
            <w:pPr>
              <w:jc w:val="right"/>
              <w:ind w:right="10"/>
              <w:spacing w:after="0"/>
              <w:rPr>
                <w:sz w:val="20"/>
                <w:szCs w:val="20"/>
                <w:color w:val="auto"/>
              </w:rPr>
            </w:pPr>
            <w:r>
              <w:rPr>
                <w:rFonts w:ascii="Arial Narrow" w:cs="Arial Narrow" w:eastAsia="Arial Narrow" w:hAnsi="Arial Narrow"/>
                <w:sz w:val="20"/>
                <w:szCs w:val="20"/>
                <w:color w:val="auto"/>
              </w:rPr>
              <w:t>36,000</w:t>
            </w:r>
          </w:p>
        </w:tc>
      </w:tr>
      <w:tr>
        <w:trPr>
          <w:trHeight w:val="65"/>
        </w:trPr>
        <w:tc>
          <w:tcPr>
            <w:tcW w:w="2900" w:type="dxa"/>
            <w:vAlign w:val="bottom"/>
            <w:tcBorders>
              <w:bottom w:val="single" w:sz="8" w:color="A6A6A6"/>
            </w:tcBorders>
          </w:tcPr>
          <w:p>
            <w:pPr>
              <w:spacing w:after="0"/>
              <w:rPr>
                <w:sz w:val="5"/>
                <w:szCs w:val="5"/>
                <w:color w:val="auto"/>
              </w:rPr>
            </w:pPr>
          </w:p>
        </w:tc>
        <w:tc>
          <w:tcPr>
            <w:tcW w:w="1440" w:type="dxa"/>
            <w:vAlign w:val="bottom"/>
            <w:tcBorders>
              <w:bottom w:val="single" w:sz="8" w:color="A6A6A6"/>
            </w:tcBorders>
          </w:tcPr>
          <w:p>
            <w:pPr>
              <w:spacing w:after="0"/>
              <w:rPr>
                <w:sz w:val="5"/>
                <w:szCs w:val="5"/>
                <w:color w:val="auto"/>
              </w:rPr>
            </w:pPr>
          </w:p>
        </w:tc>
        <w:tc>
          <w:tcPr>
            <w:tcW w:w="240" w:type="dxa"/>
            <w:vAlign w:val="bottom"/>
            <w:tcBorders>
              <w:bottom w:val="single" w:sz="8" w:color="A6A6A6"/>
            </w:tcBorders>
          </w:tcPr>
          <w:p>
            <w:pPr>
              <w:spacing w:after="0"/>
              <w:rPr>
                <w:sz w:val="5"/>
                <w:szCs w:val="5"/>
                <w:color w:val="auto"/>
              </w:rPr>
            </w:pPr>
          </w:p>
        </w:tc>
        <w:tc>
          <w:tcPr>
            <w:tcW w:w="1440" w:type="dxa"/>
            <w:vAlign w:val="bottom"/>
            <w:tcBorders>
              <w:bottom w:val="single" w:sz="8" w:color="A6A6A6"/>
            </w:tcBorders>
          </w:tcPr>
          <w:p>
            <w:pPr>
              <w:spacing w:after="0"/>
              <w:rPr>
                <w:sz w:val="5"/>
                <w:szCs w:val="5"/>
                <w:color w:val="auto"/>
              </w:rPr>
            </w:pPr>
          </w:p>
        </w:tc>
        <w:tc>
          <w:tcPr>
            <w:tcW w:w="220" w:type="dxa"/>
            <w:vAlign w:val="bottom"/>
            <w:tcBorders>
              <w:bottom w:val="single" w:sz="8" w:color="A6A6A6"/>
            </w:tcBorders>
          </w:tcPr>
          <w:p>
            <w:pPr>
              <w:spacing w:after="0"/>
              <w:rPr>
                <w:sz w:val="5"/>
                <w:szCs w:val="5"/>
                <w:color w:val="auto"/>
              </w:rPr>
            </w:pPr>
          </w:p>
        </w:tc>
        <w:tc>
          <w:tcPr>
            <w:tcW w:w="460" w:type="dxa"/>
            <w:vAlign w:val="bottom"/>
            <w:tcBorders>
              <w:bottom w:val="single" w:sz="8" w:color="A6A6A6"/>
            </w:tcBorders>
          </w:tcPr>
          <w:p>
            <w:pPr>
              <w:spacing w:after="0"/>
              <w:rPr>
                <w:sz w:val="5"/>
                <w:szCs w:val="5"/>
                <w:color w:val="auto"/>
              </w:rPr>
            </w:pPr>
          </w:p>
        </w:tc>
        <w:tc>
          <w:tcPr>
            <w:tcW w:w="1000" w:type="dxa"/>
            <w:vAlign w:val="bottom"/>
            <w:tcBorders>
              <w:bottom w:val="single" w:sz="8" w:color="A6A6A6"/>
            </w:tcBorders>
          </w:tcPr>
          <w:p>
            <w:pPr>
              <w:spacing w:after="0"/>
              <w:rPr>
                <w:sz w:val="5"/>
                <w:szCs w:val="5"/>
                <w:color w:val="auto"/>
              </w:rPr>
            </w:pPr>
          </w:p>
        </w:tc>
        <w:tc>
          <w:tcPr>
            <w:tcW w:w="220" w:type="dxa"/>
            <w:vAlign w:val="bottom"/>
            <w:tcBorders>
              <w:bottom w:val="single" w:sz="8" w:color="A6A6A6"/>
            </w:tcBorders>
          </w:tcPr>
          <w:p>
            <w:pPr>
              <w:spacing w:after="0"/>
              <w:rPr>
                <w:sz w:val="5"/>
                <w:szCs w:val="5"/>
                <w:color w:val="auto"/>
              </w:rPr>
            </w:pPr>
          </w:p>
        </w:tc>
        <w:tc>
          <w:tcPr>
            <w:tcW w:w="1440" w:type="dxa"/>
            <w:vAlign w:val="bottom"/>
            <w:tcBorders>
              <w:bottom w:val="single" w:sz="8" w:color="A6A6A6"/>
            </w:tcBorders>
          </w:tcPr>
          <w:p>
            <w:pPr>
              <w:spacing w:after="0"/>
              <w:rPr>
                <w:sz w:val="5"/>
                <w:szCs w:val="5"/>
                <w:color w:val="auto"/>
              </w:rPr>
            </w:pPr>
          </w:p>
        </w:tc>
      </w:tr>
      <w:tr>
        <w:trPr>
          <w:trHeight w:val="339"/>
        </w:trPr>
        <w:tc>
          <w:tcPr>
            <w:tcW w:w="2900" w:type="dxa"/>
            <w:vAlign w:val="bottom"/>
          </w:tcPr>
          <w:p>
            <w:pPr>
              <w:spacing w:after="0"/>
              <w:rPr>
                <w:sz w:val="20"/>
                <w:szCs w:val="20"/>
                <w:color w:val="auto"/>
              </w:rPr>
            </w:pPr>
            <w:r>
              <w:rPr>
                <w:rFonts w:ascii="Arial Narrow" w:cs="Arial Narrow" w:eastAsia="Arial Narrow" w:hAnsi="Arial Narrow"/>
                <w:sz w:val="20"/>
                <w:szCs w:val="20"/>
                <w:b w:val="1"/>
                <w:bCs w:val="1"/>
                <w:color w:val="386CAD"/>
              </w:rPr>
              <w:t>Laramie, Wyoming</w:t>
            </w:r>
          </w:p>
        </w:tc>
        <w:tc>
          <w:tcPr>
            <w:tcW w:w="1440" w:type="dxa"/>
            <w:vAlign w:val="bottom"/>
          </w:tcPr>
          <w:p>
            <w:pPr>
              <w:jc w:val="right"/>
              <w:ind w:right="1"/>
              <w:spacing w:after="0"/>
              <w:rPr>
                <w:sz w:val="20"/>
                <w:szCs w:val="20"/>
                <w:color w:val="auto"/>
              </w:rPr>
            </w:pPr>
            <w:r>
              <w:rPr>
                <w:rFonts w:ascii="Arial Narrow" w:cs="Arial Narrow" w:eastAsia="Arial Narrow" w:hAnsi="Arial Narrow"/>
                <w:sz w:val="20"/>
                <w:szCs w:val="20"/>
                <w:color w:val="auto"/>
              </w:rPr>
              <w:t>58,400</w:t>
            </w:r>
          </w:p>
        </w:tc>
        <w:tc>
          <w:tcPr>
            <w:tcW w:w="1680" w:type="dxa"/>
            <w:vAlign w:val="bottom"/>
            <w:gridSpan w:val="2"/>
          </w:tcPr>
          <w:p>
            <w:pPr>
              <w:jc w:val="right"/>
              <w:ind w:right="15"/>
              <w:spacing w:after="0"/>
              <w:rPr>
                <w:sz w:val="20"/>
                <w:szCs w:val="20"/>
                <w:color w:val="auto"/>
              </w:rPr>
            </w:pPr>
            <w:r>
              <w:rPr>
                <w:rFonts w:ascii="Arial Narrow" w:cs="Arial Narrow" w:eastAsia="Arial Narrow" w:hAnsi="Arial Narrow"/>
                <w:sz w:val="20"/>
                <w:szCs w:val="20"/>
                <w:color w:val="auto"/>
              </w:rPr>
              <w:t>47,100</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jc w:val="right"/>
              <w:ind w:right="23"/>
              <w:spacing w:after="0"/>
              <w:rPr>
                <w:sz w:val="20"/>
                <w:szCs w:val="20"/>
                <w:color w:val="auto"/>
              </w:rPr>
            </w:pPr>
            <w:r>
              <w:rPr>
                <w:rFonts w:ascii="Arial Narrow" w:cs="Arial Narrow" w:eastAsia="Arial Narrow" w:hAnsi="Arial Narrow"/>
                <w:sz w:val="20"/>
                <w:szCs w:val="20"/>
                <w:color w:val="auto"/>
              </w:rPr>
              <w:t>105,500</w:t>
            </w:r>
          </w:p>
        </w:tc>
        <w:tc>
          <w:tcPr>
            <w:tcW w:w="1660" w:type="dxa"/>
            <w:vAlign w:val="bottom"/>
            <w:gridSpan w:val="2"/>
          </w:tcPr>
          <w:p>
            <w:pPr>
              <w:jc w:val="right"/>
              <w:ind w:right="10"/>
              <w:spacing w:after="0"/>
              <w:rPr>
                <w:sz w:val="20"/>
                <w:szCs w:val="20"/>
                <w:color w:val="auto"/>
              </w:rPr>
            </w:pPr>
            <w:r>
              <w:rPr>
                <w:rFonts w:ascii="Arial Narrow" w:cs="Arial Narrow" w:eastAsia="Arial Narrow" w:hAnsi="Arial Narrow"/>
                <w:sz w:val="20"/>
                <w:szCs w:val="20"/>
                <w:color w:val="auto"/>
              </w:rPr>
              <w:t>353,600</w:t>
            </w:r>
          </w:p>
        </w:tc>
      </w:tr>
      <w:tr>
        <w:trPr>
          <w:trHeight w:val="65"/>
        </w:trPr>
        <w:tc>
          <w:tcPr>
            <w:tcW w:w="2900" w:type="dxa"/>
            <w:vAlign w:val="bottom"/>
            <w:tcBorders>
              <w:bottom w:val="single" w:sz="8" w:color="A6A6A6"/>
            </w:tcBorders>
          </w:tcPr>
          <w:p>
            <w:pPr>
              <w:spacing w:after="0"/>
              <w:rPr>
                <w:sz w:val="5"/>
                <w:szCs w:val="5"/>
                <w:color w:val="auto"/>
              </w:rPr>
            </w:pPr>
          </w:p>
        </w:tc>
        <w:tc>
          <w:tcPr>
            <w:tcW w:w="1440" w:type="dxa"/>
            <w:vAlign w:val="bottom"/>
            <w:tcBorders>
              <w:bottom w:val="single" w:sz="8" w:color="A6A6A6"/>
            </w:tcBorders>
          </w:tcPr>
          <w:p>
            <w:pPr>
              <w:spacing w:after="0"/>
              <w:rPr>
                <w:sz w:val="5"/>
                <w:szCs w:val="5"/>
                <w:color w:val="auto"/>
              </w:rPr>
            </w:pPr>
          </w:p>
        </w:tc>
        <w:tc>
          <w:tcPr>
            <w:tcW w:w="240" w:type="dxa"/>
            <w:vAlign w:val="bottom"/>
            <w:tcBorders>
              <w:bottom w:val="single" w:sz="8" w:color="A6A6A6"/>
            </w:tcBorders>
          </w:tcPr>
          <w:p>
            <w:pPr>
              <w:spacing w:after="0"/>
              <w:rPr>
                <w:sz w:val="5"/>
                <w:szCs w:val="5"/>
                <w:color w:val="auto"/>
              </w:rPr>
            </w:pPr>
          </w:p>
        </w:tc>
        <w:tc>
          <w:tcPr>
            <w:tcW w:w="1440" w:type="dxa"/>
            <w:vAlign w:val="bottom"/>
            <w:tcBorders>
              <w:bottom w:val="single" w:sz="8" w:color="A6A6A6"/>
            </w:tcBorders>
          </w:tcPr>
          <w:p>
            <w:pPr>
              <w:spacing w:after="0"/>
              <w:rPr>
                <w:sz w:val="5"/>
                <w:szCs w:val="5"/>
                <w:color w:val="auto"/>
              </w:rPr>
            </w:pPr>
          </w:p>
        </w:tc>
        <w:tc>
          <w:tcPr>
            <w:tcW w:w="220" w:type="dxa"/>
            <w:vAlign w:val="bottom"/>
            <w:tcBorders>
              <w:bottom w:val="single" w:sz="8" w:color="A6A6A6"/>
            </w:tcBorders>
          </w:tcPr>
          <w:p>
            <w:pPr>
              <w:spacing w:after="0"/>
              <w:rPr>
                <w:sz w:val="5"/>
                <w:szCs w:val="5"/>
                <w:color w:val="auto"/>
              </w:rPr>
            </w:pPr>
          </w:p>
        </w:tc>
        <w:tc>
          <w:tcPr>
            <w:tcW w:w="460" w:type="dxa"/>
            <w:vAlign w:val="bottom"/>
            <w:tcBorders>
              <w:bottom w:val="single" w:sz="8" w:color="A6A6A6"/>
            </w:tcBorders>
          </w:tcPr>
          <w:p>
            <w:pPr>
              <w:spacing w:after="0"/>
              <w:rPr>
                <w:sz w:val="5"/>
                <w:szCs w:val="5"/>
                <w:color w:val="auto"/>
              </w:rPr>
            </w:pPr>
          </w:p>
        </w:tc>
        <w:tc>
          <w:tcPr>
            <w:tcW w:w="1000" w:type="dxa"/>
            <w:vAlign w:val="bottom"/>
            <w:tcBorders>
              <w:bottom w:val="single" w:sz="8" w:color="A6A6A6"/>
            </w:tcBorders>
          </w:tcPr>
          <w:p>
            <w:pPr>
              <w:spacing w:after="0"/>
              <w:rPr>
                <w:sz w:val="5"/>
                <w:szCs w:val="5"/>
                <w:color w:val="auto"/>
              </w:rPr>
            </w:pPr>
          </w:p>
        </w:tc>
        <w:tc>
          <w:tcPr>
            <w:tcW w:w="220" w:type="dxa"/>
            <w:vAlign w:val="bottom"/>
            <w:tcBorders>
              <w:bottom w:val="single" w:sz="8" w:color="A6A6A6"/>
            </w:tcBorders>
          </w:tcPr>
          <w:p>
            <w:pPr>
              <w:spacing w:after="0"/>
              <w:rPr>
                <w:sz w:val="5"/>
                <w:szCs w:val="5"/>
                <w:color w:val="auto"/>
              </w:rPr>
            </w:pPr>
          </w:p>
        </w:tc>
        <w:tc>
          <w:tcPr>
            <w:tcW w:w="1440" w:type="dxa"/>
            <w:vAlign w:val="bottom"/>
            <w:tcBorders>
              <w:bottom w:val="single" w:sz="8" w:color="A6A6A6"/>
            </w:tcBorders>
          </w:tcPr>
          <w:p>
            <w:pPr>
              <w:spacing w:after="0"/>
              <w:rPr>
                <w:sz w:val="5"/>
                <w:szCs w:val="5"/>
                <w:color w:val="auto"/>
              </w:rPr>
            </w:pPr>
          </w:p>
        </w:tc>
      </w:tr>
      <w:tr>
        <w:trPr>
          <w:trHeight w:val="339"/>
        </w:trPr>
        <w:tc>
          <w:tcPr>
            <w:tcW w:w="2900" w:type="dxa"/>
            <w:vAlign w:val="bottom"/>
          </w:tcPr>
          <w:p>
            <w:pPr>
              <w:spacing w:after="0"/>
              <w:rPr>
                <w:sz w:val="20"/>
                <w:szCs w:val="20"/>
                <w:color w:val="auto"/>
              </w:rPr>
            </w:pPr>
            <w:r>
              <w:rPr>
                <w:rFonts w:ascii="Arial Narrow" w:cs="Arial Narrow" w:eastAsia="Arial Narrow" w:hAnsi="Arial Narrow"/>
                <w:sz w:val="20"/>
                <w:szCs w:val="20"/>
                <w:b w:val="1"/>
                <w:bCs w:val="1"/>
                <w:color w:val="386CAD"/>
              </w:rPr>
              <w:t>Tulsa, Oklahoma</w:t>
            </w:r>
          </w:p>
        </w:tc>
        <w:tc>
          <w:tcPr>
            <w:tcW w:w="1440" w:type="dxa"/>
            <w:vAlign w:val="bottom"/>
          </w:tcPr>
          <w:p>
            <w:pPr>
              <w:jc w:val="right"/>
              <w:ind w:right="1"/>
              <w:spacing w:after="0"/>
              <w:rPr>
                <w:sz w:val="20"/>
                <w:szCs w:val="20"/>
                <w:color w:val="auto"/>
              </w:rPr>
            </w:pPr>
            <w:r>
              <w:rPr>
                <w:rFonts w:ascii="Arial Narrow" w:cs="Arial Narrow" w:eastAsia="Arial Narrow" w:hAnsi="Arial Narrow"/>
                <w:sz w:val="20"/>
                <w:szCs w:val="20"/>
                <w:color w:val="auto"/>
              </w:rPr>
              <w:t>30,900</w:t>
            </w:r>
          </w:p>
        </w:tc>
        <w:tc>
          <w:tcPr>
            <w:tcW w:w="1680" w:type="dxa"/>
            <w:vAlign w:val="bottom"/>
            <w:gridSpan w:val="2"/>
          </w:tcPr>
          <w:p>
            <w:pPr>
              <w:jc w:val="right"/>
              <w:ind w:right="15"/>
              <w:spacing w:after="0"/>
              <w:rPr>
                <w:sz w:val="20"/>
                <w:szCs w:val="20"/>
                <w:color w:val="auto"/>
              </w:rPr>
            </w:pPr>
            <w:r>
              <w:rPr>
                <w:rFonts w:ascii="Arial Narrow" w:cs="Arial Narrow" w:eastAsia="Arial Narrow" w:hAnsi="Arial Narrow"/>
                <w:sz w:val="20"/>
                <w:szCs w:val="20"/>
                <w:color w:val="auto"/>
              </w:rPr>
              <w:t>3,300</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jc w:val="right"/>
              <w:ind w:right="23"/>
              <w:spacing w:after="0"/>
              <w:rPr>
                <w:sz w:val="20"/>
                <w:szCs w:val="20"/>
                <w:color w:val="auto"/>
              </w:rPr>
            </w:pPr>
            <w:r>
              <w:rPr>
                <w:rFonts w:ascii="Arial Narrow" w:cs="Arial Narrow" w:eastAsia="Arial Narrow" w:hAnsi="Arial Narrow"/>
                <w:sz w:val="20"/>
                <w:szCs w:val="20"/>
                <w:color w:val="auto"/>
              </w:rPr>
              <w:t>34,200</w:t>
            </w:r>
          </w:p>
        </w:tc>
        <w:tc>
          <w:tcPr>
            <w:tcW w:w="1660" w:type="dxa"/>
            <w:vAlign w:val="bottom"/>
            <w:gridSpan w:val="2"/>
          </w:tcPr>
          <w:p>
            <w:pPr>
              <w:jc w:val="right"/>
              <w:ind w:right="10"/>
              <w:spacing w:after="0"/>
              <w:rPr>
                <w:sz w:val="20"/>
                <w:szCs w:val="20"/>
                <w:color w:val="auto"/>
              </w:rPr>
            </w:pPr>
            <w:r>
              <w:rPr>
                <w:rFonts w:ascii="Arial Narrow" w:cs="Arial Narrow" w:eastAsia="Arial Narrow" w:hAnsi="Arial Narrow"/>
                <w:sz w:val="20"/>
                <w:szCs w:val="20"/>
                <w:color w:val="auto"/>
              </w:rPr>
              <w:t>4,550</w:t>
            </w:r>
          </w:p>
        </w:tc>
      </w:tr>
      <w:tr>
        <w:trPr>
          <w:trHeight w:val="65"/>
        </w:trPr>
        <w:tc>
          <w:tcPr>
            <w:tcW w:w="2900" w:type="dxa"/>
            <w:vAlign w:val="bottom"/>
            <w:tcBorders>
              <w:bottom w:val="single" w:sz="8" w:color="A6A6A6"/>
            </w:tcBorders>
          </w:tcPr>
          <w:p>
            <w:pPr>
              <w:spacing w:after="0"/>
              <w:rPr>
                <w:sz w:val="5"/>
                <w:szCs w:val="5"/>
                <w:color w:val="auto"/>
              </w:rPr>
            </w:pPr>
          </w:p>
        </w:tc>
        <w:tc>
          <w:tcPr>
            <w:tcW w:w="1440" w:type="dxa"/>
            <w:vAlign w:val="bottom"/>
            <w:tcBorders>
              <w:bottom w:val="single" w:sz="8" w:color="A6A6A6"/>
            </w:tcBorders>
          </w:tcPr>
          <w:p>
            <w:pPr>
              <w:spacing w:after="0"/>
              <w:rPr>
                <w:sz w:val="5"/>
                <w:szCs w:val="5"/>
                <w:color w:val="auto"/>
              </w:rPr>
            </w:pPr>
          </w:p>
        </w:tc>
        <w:tc>
          <w:tcPr>
            <w:tcW w:w="240" w:type="dxa"/>
            <w:vAlign w:val="bottom"/>
            <w:tcBorders>
              <w:bottom w:val="single" w:sz="8" w:color="A6A6A6"/>
            </w:tcBorders>
          </w:tcPr>
          <w:p>
            <w:pPr>
              <w:spacing w:after="0"/>
              <w:rPr>
                <w:sz w:val="5"/>
                <w:szCs w:val="5"/>
                <w:color w:val="auto"/>
              </w:rPr>
            </w:pPr>
          </w:p>
        </w:tc>
        <w:tc>
          <w:tcPr>
            <w:tcW w:w="1440" w:type="dxa"/>
            <w:vAlign w:val="bottom"/>
            <w:tcBorders>
              <w:bottom w:val="single" w:sz="8" w:color="A6A6A6"/>
            </w:tcBorders>
          </w:tcPr>
          <w:p>
            <w:pPr>
              <w:spacing w:after="0"/>
              <w:rPr>
                <w:sz w:val="5"/>
                <w:szCs w:val="5"/>
                <w:color w:val="auto"/>
              </w:rPr>
            </w:pPr>
          </w:p>
        </w:tc>
        <w:tc>
          <w:tcPr>
            <w:tcW w:w="220" w:type="dxa"/>
            <w:vAlign w:val="bottom"/>
            <w:tcBorders>
              <w:bottom w:val="single" w:sz="8" w:color="A6A6A6"/>
            </w:tcBorders>
          </w:tcPr>
          <w:p>
            <w:pPr>
              <w:spacing w:after="0"/>
              <w:rPr>
                <w:sz w:val="5"/>
                <w:szCs w:val="5"/>
                <w:color w:val="auto"/>
              </w:rPr>
            </w:pPr>
          </w:p>
        </w:tc>
        <w:tc>
          <w:tcPr>
            <w:tcW w:w="460" w:type="dxa"/>
            <w:vAlign w:val="bottom"/>
            <w:tcBorders>
              <w:bottom w:val="single" w:sz="8" w:color="A6A6A6"/>
            </w:tcBorders>
          </w:tcPr>
          <w:p>
            <w:pPr>
              <w:spacing w:after="0"/>
              <w:rPr>
                <w:sz w:val="5"/>
                <w:szCs w:val="5"/>
                <w:color w:val="auto"/>
              </w:rPr>
            </w:pPr>
          </w:p>
        </w:tc>
        <w:tc>
          <w:tcPr>
            <w:tcW w:w="1000" w:type="dxa"/>
            <w:vAlign w:val="bottom"/>
            <w:tcBorders>
              <w:bottom w:val="single" w:sz="8" w:color="A6A6A6"/>
            </w:tcBorders>
          </w:tcPr>
          <w:p>
            <w:pPr>
              <w:spacing w:after="0"/>
              <w:rPr>
                <w:sz w:val="5"/>
                <w:szCs w:val="5"/>
                <w:color w:val="auto"/>
              </w:rPr>
            </w:pPr>
          </w:p>
        </w:tc>
        <w:tc>
          <w:tcPr>
            <w:tcW w:w="220" w:type="dxa"/>
            <w:vAlign w:val="bottom"/>
            <w:tcBorders>
              <w:bottom w:val="single" w:sz="8" w:color="A6A6A6"/>
            </w:tcBorders>
          </w:tcPr>
          <w:p>
            <w:pPr>
              <w:spacing w:after="0"/>
              <w:rPr>
                <w:sz w:val="5"/>
                <w:szCs w:val="5"/>
                <w:color w:val="auto"/>
              </w:rPr>
            </w:pPr>
          </w:p>
        </w:tc>
        <w:tc>
          <w:tcPr>
            <w:tcW w:w="1440" w:type="dxa"/>
            <w:vAlign w:val="bottom"/>
            <w:tcBorders>
              <w:bottom w:val="single" w:sz="8" w:color="A6A6A6"/>
            </w:tcBorders>
          </w:tcPr>
          <w:p>
            <w:pPr>
              <w:spacing w:after="0"/>
              <w:rPr>
                <w:sz w:val="5"/>
                <w:szCs w:val="5"/>
                <w:color w:val="auto"/>
              </w:rPr>
            </w:pPr>
          </w:p>
        </w:tc>
      </w:tr>
      <w:tr>
        <w:trPr>
          <w:trHeight w:val="339"/>
        </w:trPr>
        <w:tc>
          <w:tcPr>
            <w:tcW w:w="2900" w:type="dxa"/>
            <w:vAlign w:val="bottom"/>
          </w:tcPr>
          <w:p>
            <w:pPr>
              <w:spacing w:after="0"/>
              <w:rPr>
                <w:sz w:val="20"/>
                <w:szCs w:val="20"/>
                <w:color w:val="auto"/>
              </w:rPr>
            </w:pPr>
            <w:r>
              <w:rPr>
                <w:rFonts w:ascii="Arial Narrow" w:cs="Arial Narrow" w:eastAsia="Arial Narrow" w:hAnsi="Arial Narrow"/>
                <w:sz w:val="20"/>
                <w:szCs w:val="20"/>
                <w:b w:val="1"/>
                <w:bCs w:val="1"/>
                <w:color w:val="386CAD"/>
              </w:rPr>
              <w:t>Fernley, Nevada</w:t>
            </w:r>
          </w:p>
        </w:tc>
        <w:tc>
          <w:tcPr>
            <w:tcW w:w="1440" w:type="dxa"/>
            <w:vAlign w:val="bottom"/>
          </w:tcPr>
          <w:p>
            <w:pPr>
              <w:jc w:val="right"/>
              <w:ind w:right="1"/>
              <w:spacing w:after="0"/>
              <w:rPr>
                <w:sz w:val="20"/>
                <w:szCs w:val="20"/>
                <w:color w:val="auto"/>
              </w:rPr>
            </w:pPr>
            <w:r>
              <w:rPr>
                <w:rFonts w:ascii="Arial Narrow" w:cs="Arial Narrow" w:eastAsia="Arial Narrow" w:hAnsi="Arial Narrow"/>
                <w:sz w:val="20"/>
                <w:szCs w:val="20"/>
                <w:color w:val="auto"/>
              </w:rPr>
              <w:t>76,825</w:t>
            </w:r>
          </w:p>
        </w:tc>
        <w:tc>
          <w:tcPr>
            <w:tcW w:w="1680" w:type="dxa"/>
            <w:vAlign w:val="bottom"/>
            <w:gridSpan w:val="2"/>
          </w:tcPr>
          <w:p>
            <w:pPr>
              <w:jc w:val="right"/>
              <w:ind w:right="15"/>
              <w:spacing w:after="0"/>
              <w:rPr>
                <w:sz w:val="20"/>
                <w:szCs w:val="20"/>
                <w:color w:val="auto"/>
              </w:rPr>
            </w:pPr>
            <w:r>
              <w:rPr>
                <w:rFonts w:ascii="Arial Narrow" w:cs="Arial Narrow" w:eastAsia="Arial Narrow" w:hAnsi="Arial Narrow"/>
                <w:sz w:val="20"/>
                <w:szCs w:val="20"/>
                <w:color w:val="auto"/>
              </w:rPr>
              <w:t>29,250</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jc w:val="right"/>
              <w:ind w:right="23"/>
              <w:spacing w:after="0"/>
              <w:rPr>
                <w:sz w:val="20"/>
                <w:szCs w:val="20"/>
                <w:color w:val="auto"/>
              </w:rPr>
            </w:pPr>
            <w:r>
              <w:rPr>
                <w:rFonts w:ascii="Arial Narrow" w:cs="Arial Narrow" w:eastAsia="Arial Narrow" w:hAnsi="Arial Narrow"/>
                <w:sz w:val="20"/>
                <w:szCs w:val="20"/>
                <w:color w:val="auto"/>
              </w:rPr>
              <w:t>106,075</w:t>
            </w:r>
          </w:p>
        </w:tc>
        <w:tc>
          <w:tcPr>
            <w:tcW w:w="1660" w:type="dxa"/>
            <w:vAlign w:val="bottom"/>
            <w:gridSpan w:val="2"/>
          </w:tcPr>
          <w:p>
            <w:pPr>
              <w:jc w:val="right"/>
              <w:ind w:right="10"/>
              <w:spacing w:after="0"/>
              <w:rPr>
                <w:sz w:val="20"/>
                <w:szCs w:val="20"/>
                <w:color w:val="auto"/>
              </w:rPr>
            </w:pPr>
            <w:r>
              <w:rPr>
                <w:rFonts w:ascii="Arial Narrow" w:cs="Arial Narrow" w:eastAsia="Arial Narrow" w:hAnsi="Arial Narrow"/>
                <w:sz w:val="20"/>
                <w:szCs w:val="20"/>
                <w:color w:val="auto"/>
              </w:rPr>
              <w:t>16,800</w:t>
            </w:r>
          </w:p>
        </w:tc>
      </w:tr>
      <w:tr>
        <w:trPr>
          <w:trHeight w:val="65"/>
        </w:trPr>
        <w:tc>
          <w:tcPr>
            <w:tcW w:w="2900" w:type="dxa"/>
            <w:vAlign w:val="bottom"/>
            <w:tcBorders>
              <w:bottom w:val="single" w:sz="8" w:color="A6A6A6"/>
            </w:tcBorders>
          </w:tcPr>
          <w:p>
            <w:pPr>
              <w:spacing w:after="0"/>
              <w:rPr>
                <w:sz w:val="5"/>
                <w:szCs w:val="5"/>
                <w:color w:val="auto"/>
              </w:rPr>
            </w:pPr>
          </w:p>
        </w:tc>
        <w:tc>
          <w:tcPr>
            <w:tcW w:w="1440" w:type="dxa"/>
            <w:vAlign w:val="bottom"/>
            <w:tcBorders>
              <w:bottom w:val="single" w:sz="8" w:color="A6A6A6"/>
            </w:tcBorders>
          </w:tcPr>
          <w:p>
            <w:pPr>
              <w:spacing w:after="0"/>
              <w:rPr>
                <w:sz w:val="5"/>
                <w:szCs w:val="5"/>
                <w:color w:val="auto"/>
              </w:rPr>
            </w:pPr>
          </w:p>
        </w:tc>
        <w:tc>
          <w:tcPr>
            <w:tcW w:w="240" w:type="dxa"/>
            <w:vAlign w:val="bottom"/>
            <w:tcBorders>
              <w:bottom w:val="single" w:sz="8" w:color="A6A6A6"/>
            </w:tcBorders>
          </w:tcPr>
          <w:p>
            <w:pPr>
              <w:spacing w:after="0"/>
              <w:rPr>
                <w:sz w:val="5"/>
                <w:szCs w:val="5"/>
                <w:color w:val="auto"/>
              </w:rPr>
            </w:pPr>
          </w:p>
        </w:tc>
        <w:tc>
          <w:tcPr>
            <w:tcW w:w="1440" w:type="dxa"/>
            <w:vAlign w:val="bottom"/>
            <w:tcBorders>
              <w:bottom w:val="single" w:sz="8" w:color="A6A6A6"/>
            </w:tcBorders>
          </w:tcPr>
          <w:p>
            <w:pPr>
              <w:spacing w:after="0"/>
              <w:rPr>
                <w:sz w:val="5"/>
                <w:szCs w:val="5"/>
                <w:color w:val="auto"/>
              </w:rPr>
            </w:pPr>
          </w:p>
        </w:tc>
        <w:tc>
          <w:tcPr>
            <w:tcW w:w="220" w:type="dxa"/>
            <w:vAlign w:val="bottom"/>
            <w:tcBorders>
              <w:bottom w:val="single" w:sz="8" w:color="A6A6A6"/>
            </w:tcBorders>
          </w:tcPr>
          <w:p>
            <w:pPr>
              <w:spacing w:after="0"/>
              <w:rPr>
                <w:sz w:val="5"/>
                <w:szCs w:val="5"/>
                <w:color w:val="auto"/>
              </w:rPr>
            </w:pPr>
          </w:p>
        </w:tc>
        <w:tc>
          <w:tcPr>
            <w:tcW w:w="460" w:type="dxa"/>
            <w:vAlign w:val="bottom"/>
            <w:tcBorders>
              <w:bottom w:val="single" w:sz="8" w:color="A6A6A6"/>
            </w:tcBorders>
          </w:tcPr>
          <w:p>
            <w:pPr>
              <w:spacing w:after="0"/>
              <w:rPr>
                <w:sz w:val="5"/>
                <w:szCs w:val="5"/>
                <w:color w:val="auto"/>
              </w:rPr>
            </w:pPr>
          </w:p>
        </w:tc>
        <w:tc>
          <w:tcPr>
            <w:tcW w:w="1000" w:type="dxa"/>
            <w:vAlign w:val="bottom"/>
            <w:tcBorders>
              <w:bottom w:val="single" w:sz="8" w:color="A6A6A6"/>
            </w:tcBorders>
          </w:tcPr>
          <w:p>
            <w:pPr>
              <w:spacing w:after="0"/>
              <w:rPr>
                <w:sz w:val="5"/>
                <w:szCs w:val="5"/>
                <w:color w:val="auto"/>
              </w:rPr>
            </w:pPr>
          </w:p>
        </w:tc>
        <w:tc>
          <w:tcPr>
            <w:tcW w:w="220" w:type="dxa"/>
            <w:vAlign w:val="bottom"/>
            <w:tcBorders>
              <w:bottom w:val="single" w:sz="8" w:color="A6A6A6"/>
            </w:tcBorders>
          </w:tcPr>
          <w:p>
            <w:pPr>
              <w:spacing w:after="0"/>
              <w:rPr>
                <w:sz w:val="5"/>
                <w:szCs w:val="5"/>
                <w:color w:val="auto"/>
              </w:rPr>
            </w:pPr>
          </w:p>
        </w:tc>
        <w:tc>
          <w:tcPr>
            <w:tcW w:w="1440" w:type="dxa"/>
            <w:vAlign w:val="bottom"/>
            <w:tcBorders>
              <w:bottom w:val="single" w:sz="8" w:color="A6A6A6"/>
            </w:tcBorders>
          </w:tcPr>
          <w:p>
            <w:pPr>
              <w:spacing w:after="0"/>
              <w:rPr>
                <w:sz w:val="5"/>
                <w:szCs w:val="5"/>
                <w:color w:val="auto"/>
              </w:rPr>
            </w:pPr>
          </w:p>
        </w:tc>
      </w:tr>
      <w:tr>
        <w:trPr>
          <w:trHeight w:val="339"/>
        </w:trPr>
        <w:tc>
          <w:tcPr>
            <w:tcW w:w="2900" w:type="dxa"/>
            <w:vAlign w:val="bottom"/>
          </w:tcPr>
          <w:p>
            <w:pPr>
              <w:spacing w:after="0"/>
              <w:rPr>
                <w:sz w:val="20"/>
                <w:szCs w:val="20"/>
                <w:color w:val="auto"/>
              </w:rPr>
            </w:pPr>
            <w:r>
              <w:rPr>
                <w:rFonts w:ascii="Arial Narrow" w:cs="Arial Narrow" w:eastAsia="Arial Narrow" w:hAnsi="Arial Narrow"/>
                <w:sz w:val="20"/>
                <w:szCs w:val="20"/>
                <w:b w:val="1"/>
                <w:bCs w:val="1"/>
                <w:color w:val="386CAD"/>
              </w:rPr>
              <w:t>Louisville, Kentucky</w:t>
            </w:r>
          </w:p>
        </w:tc>
        <w:tc>
          <w:tcPr>
            <w:tcW w:w="1440" w:type="dxa"/>
            <w:vAlign w:val="bottom"/>
          </w:tcPr>
          <w:p>
            <w:pPr>
              <w:jc w:val="right"/>
              <w:ind w:right="1"/>
              <w:spacing w:after="0"/>
              <w:rPr>
                <w:sz w:val="20"/>
                <w:szCs w:val="20"/>
                <w:color w:val="auto"/>
              </w:rPr>
            </w:pPr>
            <w:r>
              <w:rPr>
                <w:rFonts w:ascii="Arial Narrow" w:cs="Arial Narrow" w:eastAsia="Arial Narrow" w:hAnsi="Arial Narrow"/>
                <w:sz w:val="20"/>
                <w:szCs w:val="20"/>
                <w:color w:val="auto"/>
              </w:rPr>
              <w:t>62,150</w:t>
            </w:r>
          </w:p>
        </w:tc>
        <w:tc>
          <w:tcPr>
            <w:tcW w:w="1680" w:type="dxa"/>
            <w:vAlign w:val="bottom"/>
            <w:gridSpan w:val="2"/>
          </w:tcPr>
          <w:p>
            <w:pPr>
              <w:jc w:val="right"/>
              <w:ind w:right="15"/>
              <w:spacing w:after="0"/>
              <w:rPr>
                <w:sz w:val="20"/>
                <w:szCs w:val="20"/>
                <w:color w:val="auto"/>
              </w:rPr>
            </w:pPr>
            <w:r>
              <w:rPr>
                <w:rFonts w:ascii="Arial Narrow" w:cs="Arial Narrow" w:eastAsia="Arial Narrow" w:hAnsi="Arial Narrow"/>
                <w:sz w:val="20"/>
                <w:szCs w:val="20"/>
                <w:color w:val="auto"/>
              </w:rPr>
              <w:t>102,000</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jc w:val="right"/>
              <w:ind w:right="23"/>
              <w:spacing w:after="0"/>
              <w:rPr>
                <w:sz w:val="20"/>
                <w:szCs w:val="20"/>
                <w:color w:val="auto"/>
              </w:rPr>
            </w:pPr>
            <w:r>
              <w:rPr>
                <w:rFonts w:ascii="Arial Narrow" w:cs="Arial Narrow" w:eastAsia="Arial Narrow" w:hAnsi="Arial Narrow"/>
                <w:sz w:val="20"/>
                <w:szCs w:val="20"/>
                <w:color w:val="auto"/>
              </w:rPr>
              <w:t>164,150</w:t>
            </w:r>
          </w:p>
        </w:tc>
        <w:tc>
          <w:tcPr>
            <w:tcW w:w="1660" w:type="dxa"/>
            <w:vAlign w:val="bottom"/>
            <w:gridSpan w:val="2"/>
          </w:tcPr>
          <w:p>
            <w:pPr>
              <w:jc w:val="right"/>
              <w:ind w:right="10"/>
              <w:spacing w:after="0"/>
              <w:rPr>
                <w:sz w:val="20"/>
                <w:szCs w:val="20"/>
                <w:color w:val="auto"/>
              </w:rPr>
            </w:pPr>
            <w:r>
              <w:rPr>
                <w:rFonts w:ascii="Arial Narrow" w:cs="Arial Narrow" w:eastAsia="Arial Narrow" w:hAnsi="Arial Narrow"/>
                <w:sz w:val="20"/>
                <w:szCs w:val="20"/>
                <w:color w:val="auto"/>
              </w:rPr>
              <w:t>124,400</w:t>
            </w:r>
          </w:p>
        </w:tc>
      </w:tr>
      <w:tr>
        <w:trPr>
          <w:trHeight w:val="65"/>
        </w:trPr>
        <w:tc>
          <w:tcPr>
            <w:tcW w:w="2900" w:type="dxa"/>
            <w:vAlign w:val="bottom"/>
            <w:tcBorders>
              <w:bottom w:val="single" w:sz="8" w:color="A6A6A6"/>
            </w:tcBorders>
          </w:tcPr>
          <w:p>
            <w:pPr>
              <w:spacing w:after="0"/>
              <w:rPr>
                <w:sz w:val="5"/>
                <w:szCs w:val="5"/>
                <w:color w:val="auto"/>
              </w:rPr>
            </w:pPr>
          </w:p>
        </w:tc>
        <w:tc>
          <w:tcPr>
            <w:tcW w:w="1440" w:type="dxa"/>
            <w:vAlign w:val="bottom"/>
            <w:tcBorders>
              <w:bottom w:val="single" w:sz="8" w:color="A6A6A6"/>
            </w:tcBorders>
          </w:tcPr>
          <w:p>
            <w:pPr>
              <w:spacing w:after="0"/>
              <w:rPr>
                <w:sz w:val="5"/>
                <w:szCs w:val="5"/>
                <w:color w:val="auto"/>
              </w:rPr>
            </w:pPr>
          </w:p>
        </w:tc>
        <w:tc>
          <w:tcPr>
            <w:tcW w:w="240" w:type="dxa"/>
            <w:vAlign w:val="bottom"/>
            <w:tcBorders>
              <w:bottom w:val="single" w:sz="8" w:color="A6A6A6"/>
            </w:tcBorders>
          </w:tcPr>
          <w:p>
            <w:pPr>
              <w:spacing w:after="0"/>
              <w:rPr>
                <w:sz w:val="5"/>
                <w:szCs w:val="5"/>
                <w:color w:val="auto"/>
              </w:rPr>
            </w:pPr>
          </w:p>
        </w:tc>
        <w:tc>
          <w:tcPr>
            <w:tcW w:w="1440" w:type="dxa"/>
            <w:vAlign w:val="bottom"/>
            <w:tcBorders>
              <w:bottom w:val="single" w:sz="8" w:color="A6A6A6"/>
            </w:tcBorders>
          </w:tcPr>
          <w:p>
            <w:pPr>
              <w:spacing w:after="0"/>
              <w:rPr>
                <w:sz w:val="5"/>
                <w:szCs w:val="5"/>
                <w:color w:val="auto"/>
              </w:rPr>
            </w:pPr>
          </w:p>
        </w:tc>
        <w:tc>
          <w:tcPr>
            <w:tcW w:w="220" w:type="dxa"/>
            <w:vAlign w:val="bottom"/>
            <w:tcBorders>
              <w:bottom w:val="single" w:sz="8" w:color="A6A6A6"/>
            </w:tcBorders>
          </w:tcPr>
          <w:p>
            <w:pPr>
              <w:spacing w:after="0"/>
              <w:rPr>
                <w:sz w:val="5"/>
                <w:szCs w:val="5"/>
                <w:color w:val="auto"/>
              </w:rPr>
            </w:pPr>
          </w:p>
        </w:tc>
        <w:tc>
          <w:tcPr>
            <w:tcW w:w="460" w:type="dxa"/>
            <w:vAlign w:val="bottom"/>
            <w:tcBorders>
              <w:bottom w:val="single" w:sz="8" w:color="A6A6A6"/>
            </w:tcBorders>
          </w:tcPr>
          <w:p>
            <w:pPr>
              <w:spacing w:after="0"/>
              <w:rPr>
                <w:sz w:val="5"/>
                <w:szCs w:val="5"/>
                <w:color w:val="auto"/>
              </w:rPr>
            </w:pPr>
          </w:p>
        </w:tc>
        <w:tc>
          <w:tcPr>
            <w:tcW w:w="1000" w:type="dxa"/>
            <w:vAlign w:val="bottom"/>
            <w:tcBorders>
              <w:bottom w:val="single" w:sz="8" w:color="A6A6A6"/>
            </w:tcBorders>
          </w:tcPr>
          <w:p>
            <w:pPr>
              <w:spacing w:after="0"/>
              <w:rPr>
                <w:sz w:val="5"/>
                <w:szCs w:val="5"/>
                <w:color w:val="auto"/>
              </w:rPr>
            </w:pPr>
          </w:p>
        </w:tc>
        <w:tc>
          <w:tcPr>
            <w:tcW w:w="220" w:type="dxa"/>
            <w:vAlign w:val="bottom"/>
            <w:tcBorders>
              <w:bottom w:val="single" w:sz="8" w:color="A6A6A6"/>
            </w:tcBorders>
          </w:tcPr>
          <w:p>
            <w:pPr>
              <w:spacing w:after="0"/>
              <w:rPr>
                <w:sz w:val="5"/>
                <w:szCs w:val="5"/>
                <w:color w:val="auto"/>
              </w:rPr>
            </w:pPr>
          </w:p>
        </w:tc>
        <w:tc>
          <w:tcPr>
            <w:tcW w:w="1440" w:type="dxa"/>
            <w:vAlign w:val="bottom"/>
            <w:tcBorders>
              <w:bottom w:val="single" w:sz="8" w:color="A6A6A6"/>
            </w:tcBorders>
          </w:tcPr>
          <w:p>
            <w:pPr>
              <w:spacing w:after="0"/>
              <w:rPr>
                <w:sz w:val="5"/>
                <w:szCs w:val="5"/>
                <w:color w:val="auto"/>
              </w:rPr>
            </w:pPr>
          </w:p>
        </w:tc>
      </w:tr>
      <w:tr>
        <w:trPr>
          <w:trHeight w:val="339"/>
        </w:trPr>
        <w:tc>
          <w:tcPr>
            <w:tcW w:w="2900" w:type="dxa"/>
            <w:vAlign w:val="bottom"/>
          </w:tcPr>
          <w:p>
            <w:pPr>
              <w:spacing w:after="0"/>
              <w:rPr>
                <w:sz w:val="20"/>
                <w:szCs w:val="20"/>
                <w:color w:val="auto"/>
              </w:rPr>
            </w:pPr>
            <w:r>
              <w:rPr>
                <w:rFonts w:ascii="Arial Narrow" w:cs="Arial Narrow" w:eastAsia="Arial Narrow" w:hAnsi="Arial Narrow"/>
                <w:sz w:val="20"/>
                <w:szCs w:val="20"/>
                <w:b w:val="1"/>
                <w:bCs w:val="1"/>
                <w:color w:val="386CAD"/>
              </w:rPr>
              <w:t>Fairborn, Ohio</w:t>
            </w:r>
          </w:p>
        </w:tc>
        <w:tc>
          <w:tcPr>
            <w:tcW w:w="1440" w:type="dxa"/>
            <w:vAlign w:val="bottom"/>
          </w:tcPr>
          <w:p>
            <w:pPr>
              <w:jc w:val="right"/>
              <w:ind w:right="1"/>
              <w:spacing w:after="0"/>
              <w:rPr>
                <w:sz w:val="20"/>
                <w:szCs w:val="20"/>
                <w:color w:val="auto"/>
              </w:rPr>
            </w:pPr>
            <w:r>
              <w:rPr>
                <w:rFonts w:ascii="Arial Narrow" w:cs="Arial Narrow" w:eastAsia="Arial Narrow" w:hAnsi="Arial Narrow"/>
                <w:sz w:val="20"/>
                <w:szCs w:val="20"/>
                <w:color w:val="auto"/>
              </w:rPr>
              <w:t>13,880</w:t>
            </w:r>
          </w:p>
        </w:tc>
        <w:tc>
          <w:tcPr>
            <w:tcW w:w="1680" w:type="dxa"/>
            <w:vAlign w:val="bottom"/>
            <w:gridSpan w:val="2"/>
          </w:tcPr>
          <w:p>
            <w:pPr>
              <w:jc w:val="right"/>
              <w:ind w:right="15"/>
              <w:spacing w:after="0"/>
              <w:rPr>
                <w:sz w:val="20"/>
                <w:szCs w:val="20"/>
                <w:color w:val="auto"/>
              </w:rPr>
            </w:pPr>
            <w:r>
              <w:rPr>
                <w:rFonts w:ascii="Arial Narrow" w:cs="Arial Narrow" w:eastAsia="Arial Narrow" w:hAnsi="Arial Narrow"/>
                <w:sz w:val="20"/>
                <w:szCs w:val="20"/>
                <w:color w:val="auto"/>
              </w:rPr>
              <w:t>19,160</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jc w:val="right"/>
              <w:ind w:right="23"/>
              <w:spacing w:after="0"/>
              <w:rPr>
                <w:sz w:val="20"/>
                <w:szCs w:val="20"/>
                <w:color w:val="auto"/>
              </w:rPr>
            </w:pPr>
            <w:r>
              <w:rPr>
                <w:rFonts w:ascii="Arial Narrow" w:cs="Arial Narrow" w:eastAsia="Arial Narrow" w:hAnsi="Arial Narrow"/>
                <w:sz w:val="20"/>
                <w:szCs w:val="20"/>
                <w:color w:val="auto"/>
              </w:rPr>
              <w:t>33,040</w:t>
            </w:r>
          </w:p>
        </w:tc>
        <w:tc>
          <w:tcPr>
            <w:tcW w:w="1660" w:type="dxa"/>
            <w:vAlign w:val="bottom"/>
            <w:gridSpan w:val="2"/>
          </w:tcPr>
          <w:p>
            <w:pPr>
              <w:jc w:val="right"/>
              <w:ind w:right="10"/>
              <w:spacing w:after="0"/>
              <w:rPr>
                <w:sz w:val="20"/>
                <w:szCs w:val="20"/>
                <w:color w:val="auto"/>
              </w:rPr>
            </w:pPr>
            <w:r>
              <w:rPr>
                <w:rFonts w:ascii="Arial Narrow" w:cs="Arial Narrow" w:eastAsia="Arial Narrow" w:hAnsi="Arial Narrow"/>
                <w:sz w:val="20"/>
                <w:szCs w:val="20"/>
                <w:color w:val="auto"/>
              </w:rPr>
              <w:t>1,700</w:t>
            </w:r>
          </w:p>
        </w:tc>
      </w:tr>
      <w:tr>
        <w:trPr>
          <w:trHeight w:val="90"/>
        </w:trPr>
        <w:tc>
          <w:tcPr>
            <w:tcW w:w="2900" w:type="dxa"/>
            <w:vAlign w:val="bottom"/>
            <w:tcBorders>
              <w:bottom w:val="single" w:sz="8" w:color="A6A6A6"/>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r>
      <w:tr>
        <w:trPr>
          <w:trHeight w:val="345"/>
        </w:trPr>
        <w:tc>
          <w:tcPr>
            <w:tcW w:w="2900" w:type="dxa"/>
            <w:vAlign w:val="bottom"/>
          </w:tcPr>
          <w:p>
            <w:pPr>
              <w:spacing w:after="0"/>
              <w:rPr>
                <w:sz w:val="24"/>
                <w:szCs w:val="24"/>
                <w:color w:val="auto"/>
              </w:rPr>
            </w:pPr>
          </w:p>
        </w:tc>
        <w:tc>
          <w:tcPr>
            <w:tcW w:w="1440" w:type="dxa"/>
            <w:vAlign w:val="bottom"/>
          </w:tcPr>
          <w:p>
            <w:pPr>
              <w:jc w:val="right"/>
              <w:ind w:right="1"/>
              <w:spacing w:after="0"/>
              <w:rPr>
                <w:sz w:val="20"/>
                <w:szCs w:val="20"/>
                <w:color w:val="auto"/>
              </w:rPr>
            </w:pPr>
            <w:r>
              <w:rPr>
                <w:rFonts w:ascii="Arial Narrow" w:cs="Arial Narrow" w:eastAsia="Arial Narrow" w:hAnsi="Arial Narrow"/>
                <w:sz w:val="20"/>
                <w:szCs w:val="20"/>
                <w:b w:val="1"/>
                <w:bCs w:val="1"/>
                <w:color w:val="auto"/>
              </w:rPr>
              <w:t>432,155</w:t>
            </w:r>
          </w:p>
        </w:tc>
        <w:tc>
          <w:tcPr>
            <w:tcW w:w="1680" w:type="dxa"/>
            <w:vAlign w:val="bottom"/>
            <w:gridSpan w:val="2"/>
          </w:tcPr>
          <w:p>
            <w:pPr>
              <w:jc w:val="right"/>
              <w:ind w:right="15"/>
              <w:spacing w:after="0"/>
              <w:rPr>
                <w:sz w:val="20"/>
                <w:szCs w:val="20"/>
                <w:color w:val="auto"/>
              </w:rPr>
            </w:pPr>
            <w:r>
              <w:rPr>
                <w:rFonts w:ascii="Arial Narrow" w:cs="Arial Narrow" w:eastAsia="Arial Narrow" w:hAnsi="Arial Narrow"/>
                <w:sz w:val="20"/>
                <w:szCs w:val="20"/>
                <w:b w:val="1"/>
                <w:bCs w:val="1"/>
                <w:color w:val="auto"/>
              </w:rPr>
              <w:t>320,110</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jc w:val="right"/>
              <w:ind w:right="23"/>
              <w:spacing w:after="0"/>
              <w:rPr>
                <w:sz w:val="20"/>
                <w:szCs w:val="20"/>
                <w:color w:val="auto"/>
              </w:rPr>
            </w:pPr>
            <w:r>
              <w:rPr>
                <w:rFonts w:ascii="Arial Narrow" w:cs="Arial Narrow" w:eastAsia="Arial Narrow" w:hAnsi="Arial Narrow"/>
                <w:sz w:val="20"/>
                <w:szCs w:val="20"/>
                <w:b w:val="1"/>
                <w:bCs w:val="1"/>
                <w:color w:val="auto"/>
              </w:rPr>
              <w:t>752,265</w:t>
            </w:r>
          </w:p>
        </w:tc>
        <w:tc>
          <w:tcPr>
            <w:tcW w:w="1660" w:type="dxa"/>
            <w:vAlign w:val="bottom"/>
            <w:gridSpan w:val="2"/>
          </w:tcPr>
          <w:p>
            <w:pPr>
              <w:jc w:val="right"/>
              <w:ind w:right="10"/>
              <w:spacing w:after="0"/>
              <w:rPr>
                <w:sz w:val="20"/>
                <w:szCs w:val="20"/>
                <w:color w:val="auto"/>
              </w:rPr>
            </w:pPr>
            <w:r>
              <w:rPr>
                <w:rFonts w:ascii="Arial Narrow" w:cs="Arial Narrow" w:eastAsia="Arial Narrow" w:hAnsi="Arial Narrow"/>
                <w:sz w:val="20"/>
                <w:szCs w:val="20"/>
                <w:b w:val="1"/>
                <w:bCs w:val="1"/>
                <w:color w:val="auto"/>
              </w:rPr>
              <w:t>538,100</w:t>
            </w:r>
          </w:p>
        </w:tc>
      </w:tr>
      <w:tr>
        <w:trPr>
          <w:trHeight w:val="65"/>
        </w:trPr>
        <w:tc>
          <w:tcPr>
            <w:tcW w:w="2900" w:type="dxa"/>
            <w:vAlign w:val="bottom"/>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r>
      <w:tr>
        <w:trPr>
          <w:trHeight w:val="20"/>
        </w:trPr>
        <w:tc>
          <w:tcPr>
            <w:tcW w:w="29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ind w:left="180" w:right="80" w:hanging="180"/>
        <w:spacing w:after="0"/>
        <w:tabs>
          <w:tab w:leader="none" w:pos="180" w:val="left"/>
        </w:tabs>
        <w:numPr>
          <w:ilvl w:val="0"/>
          <w:numId w:val="17"/>
        </w:numPr>
        <w:rPr>
          <w:rFonts w:ascii="Arial" w:cs="Arial" w:eastAsia="Arial" w:hAnsi="Arial"/>
          <w:sz w:val="10"/>
          <w:szCs w:val="10"/>
          <w:color w:val="auto"/>
        </w:rPr>
      </w:pPr>
      <w:r>
        <w:rPr>
          <w:rFonts w:ascii="Arial" w:cs="Arial" w:eastAsia="Arial" w:hAnsi="Arial"/>
          <w:sz w:val="16"/>
          <w:szCs w:val="16"/>
          <w:color w:val="auto"/>
        </w:rPr>
        <w:t>Measured, Indicated, and Inferred resources are based on an initial assessment using average selling price assumptions ranging from $18.76 to $23.06 per ton depending on location and market.</w:t>
      </w:r>
    </w:p>
    <w:p>
      <w:pPr>
        <w:ind w:left="180" w:right="240" w:hanging="180"/>
        <w:spacing w:after="0"/>
        <w:tabs>
          <w:tab w:leader="none" w:pos="180" w:val="left"/>
        </w:tabs>
        <w:numPr>
          <w:ilvl w:val="0"/>
          <w:numId w:val="17"/>
        </w:numPr>
        <w:rPr>
          <w:rFonts w:ascii="Arial" w:cs="Arial" w:eastAsia="Arial" w:hAnsi="Arial"/>
          <w:sz w:val="10"/>
          <w:szCs w:val="10"/>
          <w:color w:val="auto"/>
        </w:rPr>
      </w:pPr>
      <w:r>
        <w:rPr>
          <w:rFonts w:ascii="Arial" w:cs="Arial" w:eastAsia="Arial" w:hAnsi="Arial"/>
          <w:sz w:val="16"/>
          <w:szCs w:val="16"/>
          <w:color w:val="auto"/>
        </w:rPr>
        <w:t>The point of reference for reserves other than the Louisville and Buda locations are recorded on a recoverable or "run-of-mine" basis. Louisville and Buda are recorded on an in situ basis.</w:t>
      </w:r>
    </w:p>
    <w:p>
      <w:pPr>
        <w:ind w:left="180" w:hanging="180"/>
        <w:spacing w:after="0"/>
        <w:tabs>
          <w:tab w:leader="none" w:pos="180" w:val="left"/>
        </w:tabs>
        <w:numPr>
          <w:ilvl w:val="0"/>
          <w:numId w:val="17"/>
        </w:numPr>
        <w:rPr>
          <w:rFonts w:ascii="Arial" w:cs="Arial" w:eastAsia="Arial" w:hAnsi="Arial"/>
          <w:sz w:val="10"/>
          <w:szCs w:val="10"/>
          <w:color w:val="auto"/>
        </w:rPr>
      </w:pPr>
      <w:r>
        <w:rPr>
          <w:rFonts w:ascii="Arial" w:cs="Arial" w:eastAsia="Arial" w:hAnsi="Arial"/>
          <w:sz w:val="16"/>
          <w:szCs w:val="16"/>
          <w:color w:val="auto"/>
        </w:rPr>
        <w:t>Reflects the Company's 50% ownership interest.</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color w:val="auto"/>
        </w:rPr>
        <w:t>Below is a summary of our limestone reserves serving each of our cement plants at March 31, 2026.</w:t>
      </w:r>
    </w:p>
    <w:p>
      <w:pPr>
        <w:spacing w:after="0" w:line="259" w:lineRule="exact"/>
        <w:rPr>
          <w:sz w:val="20"/>
          <w:szCs w:val="20"/>
          <w:color w:val="auto"/>
        </w:rPr>
      </w:pPr>
    </w:p>
    <w:p>
      <w:pPr>
        <w:ind w:left="5380"/>
        <w:spacing w:after="0"/>
        <w:rPr>
          <w:sz w:val="20"/>
          <w:szCs w:val="20"/>
          <w:color w:val="auto"/>
        </w:rPr>
      </w:pPr>
      <w:r>
        <w:rPr>
          <w:rFonts w:ascii="Arial Narrow" w:cs="Arial Narrow" w:eastAsia="Arial Narrow" w:hAnsi="Arial Narrow"/>
          <w:sz w:val="18"/>
          <w:szCs w:val="18"/>
          <w:b w:val="1"/>
          <w:bCs w:val="1"/>
          <w:color w:val="auto"/>
        </w:rPr>
        <w:t xml:space="preserve">Limestone Reserves </w:t>
      </w:r>
      <w:r>
        <w:rPr>
          <w:rFonts w:ascii="Arial Narrow" w:cs="Arial Narrow" w:eastAsia="Arial Narrow" w:hAnsi="Arial Narrow"/>
          <w:sz w:val="24"/>
          <w:szCs w:val="24"/>
          <w:b w:val="1"/>
          <w:bCs w:val="1"/>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2040255</wp:posOffset>
            </wp:positionH>
            <wp:positionV relativeFrom="paragraph">
              <wp:posOffset>0</wp:posOffset>
            </wp:positionV>
            <wp:extent cx="3903345" cy="95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6">
                      <a:extLst>
                        <a:ext uri="{28A0092B-C50C-407E-A947-70E740481C1C}"/>
                      </a:extLst>
                    </a:blip>
                    <a:srcRect/>
                    <a:stretch>
                      <a:fillRect/>
                    </a:stretch>
                  </pic:blipFill>
                  <pic:spPr bwMode="auto">
                    <a:xfrm>
                      <a:off x="0" y="0"/>
                      <a:ext cx="3903345" cy="9525"/>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2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tcPr>
          <w:p>
            <w:pPr>
              <w:jc w:val="right"/>
              <w:ind w:right="355"/>
              <w:spacing w:after="0"/>
              <w:rPr>
                <w:sz w:val="20"/>
                <w:szCs w:val="20"/>
                <w:color w:val="auto"/>
              </w:rPr>
            </w:pPr>
            <w:r>
              <w:rPr>
                <w:rFonts w:ascii="Arial Narrow" w:cs="Arial Narrow" w:eastAsia="Arial Narrow" w:hAnsi="Arial Narrow"/>
                <w:sz w:val="16"/>
                <w:szCs w:val="16"/>
                <w:color w:val="auto"/>
              </w:rPr>
              <w:t>(tons in thousands)</w:t>
            </w:r>
          </w:p>
        </w:tc>
        <w:tc>
          <w:tcPr>
            <w:tcW w:w="26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59"/>
        </w:trPr>
        <w:tc>
          <w:tcPr>
            <w:tcW w:w="3220" w:type="dxa"/>
            <w:vAlign w:val="bottom"/>
          </w:tcPr>
          <w:p>
            <w:pPr>
              <w:spacing w:after="0"/>
              <w:rPr>
                <w:sz w:val="20"/>
                <w:szCs w:val="20"/>
                <w:color w:val="auto"/>
              </w:rPr>
            </w:pPr>
            <w:r>
              <w:rPr>
                <w:rFonts w:ascii="Arial Narrow" w:cs="Arial Narrow" w:eastAsia="Arial Narrow" w:hAnsi="Arial Narrow"/>
                <w:sz w:val="18"/>
                <w:szCs w:val="18"/>
                <w:b w:val="1"/>
                <w:bCs w:val="1"/>
                <w:color w:val="auto"/>
              </w:rPr>
              <w:t>Location</w:t>
            </w:r>
          </w:p>
        </w:tc>
        <w:tc>
          <w:tcPr>
            <w:tcW w:w="1880" w:type="dxa"/>
            <w:vAlign w:val="bottom"/>
          </w:tcPr>
          <w:p>
            <w:pPr>
              <w:jc w:val="right"/>
              <w:ind w:right="21"/>
              <w:spacing w:after="0"/>
              <w:rPr>
                <w:sz w:val="20"/>
                <w:szCs w:val="20"/>
                <w:color w:val="auto"/>
              </w:rPr>
            </w:pPr>
            <w:r>
              <w:rPr>
                <w:rFonts w:ascii="Arial Narrow" w:cs="Arial Narrow" w:eastAsia="Arial Narrow" w:hAnsi="Arial Narrow"/>
                <w:sz w:val="18"/>
                <w:szCs w:val="18"/>
                <w:b w:val="1"/>
                <w:bCs w:val="1"/>
                <w:color w:val="auto"/>
              </w:rPr>
              <w:t>Proven</w:t>
            </w:r>
          </w:p>
        </w:tc>
        <w:tc>
          <w:tcPr>
            <w:tcW w:w="260" w:type="dxa"/>
            <w:vAlign w:val="bottom"/>
          </w:tcPr>
          <w:p>
            <w:pPr>
              <w:spacing w:after="0"/>
              <w:rPr>
                <w:sz w:val="22"/>
                <w:szCs w:val="22"/>
                <w:color w:val="auto"/>
              </w:rPr>
            </w:pPr>
          </w:p>
        </w:tc>
        <w:tc>
          <w:tcPr>
            <w:tcW w:w="1880" w:type="dxa"/>
            <w:vAlign w:val="bottom"/>
          </w:tcPr>
          <w:p>
            <w:pPr>
              <w:jc w:val="right"/>
              <w:ind w:right="35"/>
              <w:spacing w:after="0"/>
              <w:rPr>
                <w:sz w:val="20"/>
                <w:szCs w:val="20"/>
                <w:color w:val="auto"/>
              </w:rPr>
            </w:pPr>
            <w:r>
              <w:rPr>
                <w:rFonts w:ascii="Arial Narrow" w:cs="Arial Narrow" w:eastAsia="Arial Narrow" w:hAnsi="Arial Narrow"/>
                <w:sz w:val="18"/>
                <w:szCs w:val="18"/>
                <w:b w:val="1"/>
                <w:bCs w:val="1"/>
                <w:color w:val="auto"/>
              </w:rPr>
              <w:t>Probable</w:t>
            </w:r>
          </w:p>
        </w:tc>
        <w:tc>
          <w:tcPr>
            <w:tcW w:w="260" w:type="dxa"/>
            <w:vAlign w:val="bottom"/>
          </w:tcPr>
          <w:p>
            <w:pPr>
              <w:spacing w:after="0"/>
              <w:rPr>
                <w:sz w:val="22"/>
                <w:szCs w:val="22"/>
                <w:color w:val="auto"/>
              </w:rPr>
            </w:pPr>
          </w:p>
        </w:tc>
        <w:tc>
          <w:tcPr>
            <w:tcW w:w="1860" w:type="dxa"/>
            <w:vAlign w:val="bottom"/>
          </w:tcPr>
          <w:p>
            <w:pPr>
              <w:jc w:val="right"/>
              <w:ind w:right="10"/>
              <w:spacing w:after="0"/>
              <w:rPr>
                <w:sz w:val="20"/>
                <w:szCs w:val="20"/>
                <w:color w:val="auto"/>
              </w:rPr>
            </w:pPr>
            <w:r>
              <w:rPr>
                <w:rFonts w:ascii="Arial Narrow" w:cs="Arial Narrow" w:eastAsia="Arial Narrow" w:hAnsi="Arial Narrow"/>
                <w:sz w:val="18"/>
                <w:szCs w:val="18"/>
                <w:b w:val="1"/>
                <w:bCs w:val="1"/>
                <w:color w:val="auto"/>
              </w:rPr>
              <w:t>Total Proven &amp; Probable</w:t>
            </w:r>
          </w:p>
        </w:tc>
      </w:tr>
      <w:tr>
        <w:trPr>
          <w:trHeight w:val="92"/>
        </w:trPr>
        <w:tc>
          <w:tcPr>
            <w:tcW w:w="322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2140" w:type="dxa"/>
            <w:vAlign w:val="bottom"/>
            <w:tcBorders>
              <w:bottom w:val="single" w:sz="8" w:color="auto"/>
            </w:tcBorders>
            <w:gridSpan w:val="2"/>
          </w:tcPr>
          <w:p>
            <w:pPr>
              <w:spacing w:after="0"/>
              <w:rPr>
                <w:sz w:val="7"/>
                <w:szCs w:val="7"/>
                <w:color w:val="auto"/>
              </w:rPr>
            </w:pPr>
          </w:p>
        </w:tc>
        <w:tc>
          <w:tcPr>
            <w:tcW w:w="2120" w:type="dxa"/>
            <w:vAlign w:val="bottom"/>
            <w:tcBorders>
              <w:bottom w:val="single" w:sz="8" w:color="auto"/>
            </w:tcBorders>
            <w:gridSpan w:val="2"/>
          </w:tcPr>
          <w:p>
            <w:pPr>
              <w:spacing w:after="0"/>
              <w:rPr>
                <w:sz w:val="7"/>
                <w:szCs w:val="7"/>
                <w:color w:val="auto"/>
              </w:rPr>
            </w:pPr>
          </w:p>
        </w:tc>
      </w:tr>
      <w:tr>
        <w:trPr>
          <w:trHeight w:val="344"/>
        </w:trPr>
        <w:tc>
          <w:tcPr>
            <w:tcW w:w="3220" w:type="dxa"/>
            <w:vAlign w:val="bottom"/>
          </w:tcPr>
          <w:p>
            <w:pPr>
              <w:spacing w:after="0"/>
              <w:rPr>
                <w:sz w:val="20"/>
                <w:szCs w:val="20"/>
                <w:color w:val="auto"/>
              </w:rPr>
            </w:pPr>
            <w:r>
              <w:rPr>
                <w:rFonts w:ascii="Arial Narrow" w:cs="Arial Narrow" w:eastAsia="Arial Narrow" w:hAnsi="Arial Narrow"/>
                <w:sz w:val="20"/>
                <w:szCs w:val="20"/>
                <w:b w:val="1"/>
                <w:bCs w:val="1"/>
                <w:color w:val="386CAD"/>
              </w:rPr>
              <w:t xml:space="preserve">Buda, Texas </w:t>
            </w:r>
            <w:r>
              <w:rPr>
                <w:rFonts w:ascii="Arial Narrow" w:cs="Arial Narrow" w:eastAsia="Arial Narrow" w:hAnsi="Arial Narrow"/>
                <w:sz w:val="13"/>
                <w:szCs w:val="13"/>
                <w:b w:val="1"/>
                <w:bCs w:val="1"/>
                <w:color w:val="386CAD"/>
              </w:rPr>
              <w:t>(3)</w:t>
            </w:r>
          </w:p>
        </w:tc>
        <w:tc>
          <w:tcPr>
            <w:tcW w:w="1880" w:type="dxa"/>
            <w:vAlign w:val="bottom"/>
          </w:tcPr>
          <w:p>
            <w:pPr>
              <w:jc w:val="right"/>
              <w:ind w:right="21"/>
              <w:spacing w:after="0"/>
              <w:rPr>
                <w:sz w:val="20"/>
                <w:szCs w:val="20"/>
                <w:color w:val="auto"/>
              </w:rPr>
            </w:pPr>
            <w:r>
              <w:rPr>
                <w:rFonts w:ascii="Arial Narrow" w:cs="Arial Narrow" w:eastAsia="Arial Narrow" w:hAnsi="Arial Narrow"/>
                <w:sz w:val="20"/>
                <w:szCs w:val="20"/>
                <w:color w:val="auto"/>
              </w:rPr>
              <w:t>23,800</w:t>
            </w:r>
          </w:p>
        </w:tc>
        <w:tc>
          <w:tcPr>
            <w:tcW w:w="2140" w:type="dxa"/>
            <w:vAlign w:val="bottom"/>
            <w:gridSpan w:val="2"/>
          </w:tcPr>
          <w:p>
            <w:pPr>
              <w:jc w:val="right"/>
              <w:ind w:right="35"/>
              <w:spacing w:after="0"/>
              <w:rPr>
                <w:sz w:val="20"/>
                <w:szCs w:val="20"/>
                <w:color w:val="auto"/>
              </w:rPr>
            </w:pPr>
            <w:r>
              <w:rPr>
                <w:rFonts w:ascii="Arial Narrow" w:cs="Arial Narrow" w:eastAsia="Arial Narrow" w:hAnsi="Arial Narrow"/>
                <w:sz w:val="20"/>
                <w:szCs w:val="20"/>
                <w:color w:val="auto"/>
              </w:rPr>
              <w:t>14,340</w:t>
            </w:r>
          </w:p>
        </w:tc>
        <w:tc>
          <w:tcPr>
            <w:tcW w:w="2120" w:type="dxa"/>
            <w:vAlign w:val="bottom"/>
            <w:gridSpan w:val="2"/>
          </w:tcPr>
          <w:p>
            <w:pPr>
              <w:jc w:val="right"/>
              <w:ind w:right="10"/>
              <w:spacing w:after="0"/>
              <w:rPr>
                <w:sz w:val="20"/>
                <w:szCs w:val="20"/>
                <w:color w:val="auto"/>
              </w:rPr>
            </w:pPr>
            <w:r>
              <w:rPr>
                <w:rFonts w:ascii="Arial Narrow" w:cs="Arial Narrow" w:eastAsia="Arial Narrow" w:hAnsi="Arial Narrow"/>
                <w:sz w:val="20"/>
                <w:szCs w:val="20"/>
                <w:color w:val="auto"/>
              </w:rPr>
              <w:t>38,140</w:t>
            </w:r>
          </w:p>
        </w:tc>
      </w:tr>
      <w:tr>
        <w:trPr>
          <w:trHeight w:val="65"/>
        </w:trPr>
        <w:tc>
          <w:tcPr>
            <w:tcW w:w="3220" w:type="dxa"/>
            <w:vAlign w:val="bottom"/>
            <w:tcBorders>
              <w:bottom w:val="single" w:sz="8" w:color="A6A6A6"/>
            </w:tcBorders>
          </w:tcPr>
          <w:p>
            <w:pPr>
              <w:spacing w:after="0"/>
              <w:rPr>
                <w:sz w:val="5"/>
                <w:szCs w:val="5"/>
                <w:color w:val="auto"/>
              </w:rPr>
            </w:pPr>
          </w:p>
        </w:tc>
        <w:tc>
          <w:tcPr>
            <w:tcW w:w="1880" w:type="dxa"/>
            <w:vAlign w:val="bottom"/>
            <w:tcBorders>
              <w:bottom w:val="single" w:sz="8" w:color="A6A6A6"/>
            </w:tcBorders>
          </w:tcPr>
          <w:p>
            <w:pPr>
              <w:spacing w:after="0"/>
              <w:rPr>
                <w:sz w:val="5"/>
                <w:szCs w:val="5"/>
                <w:color w:val="auto"/>
              </w:rPr>
            </w:pPr>
          </w:p>
        </w:tc>
        <w:tc>
          <w:tcPr>
            <w:tcW w:w="260" w:type="dxa"/>
            <w:vAlign w:val="bottom"/>
            <w:tcBorders>
              <w:bottom w:val="single" w:sz="8" w:color="A6A6A6"/>
            </w:tcBorders>
          </w:tcPr>
          <w:p>
            <w:pPr>
              <w:spacing w:after="0"/>
              <w:rPr>
                <w:sz w:val="5"/>
                <w:szCs w:val="5"/>
                <w:color w:val="auto"/>
              </w:rPr>
            </w:pPr>
          </w:p>
        </w:tc>
        <w:tc>
          <w:tcPr>
            <w:tcW w:w="1880" w:type="dxa"/>
            <w:vAlign w:val="bottom"/>
            <w:tcBorders>
              <w:bottom w:val="single" w:sz="8" w:color="A6A6A6"/>
            </w:tcBorders>
          </w:tcPr>
          <w:p>
            <w:pPr>
              <w:spacing w:after="0"/>
              <w:rPr>
                <w:sz w:val="5"/>
                <w:szCs w:val="5"/>
                <w:color w:val="auto"/>
              </w:rPr>
            </w:pPr>
          </w:p>
        </w:tc>
        <w:tc>
          <w:tcPr>
            <w:tcW w:w="260" w:type="dxa"/>
            <w:vAlign w:val="bottom"/>
            <w:tcBorders>
              <w:bottom w:val="single" w:sz="8" w:color="A6A6A6"/>
            </w:tcBorders>
          </w:tcPr>
          <w:p>
            <w:pPr>
              <w:spacing w:after="0"/>
              <w:rPr>
                <w:sz w:val="5"/>
                <w:szCs w:val="5"/>
                <w:color w:val="auto"/>
              </w:rPr>
            </w:pPr>
          </w:p>
        </w:tc>
        <w:tc>
          <w:tcPr>
            <w:tcW w:w="1860" w:type="dxa"/>
            <w:vAlign w:val="bottom"/>
            <w:tcBorders>
              <w:bottom w:val="single" w:sz="8" w:color="A6A6A6"/>
            </w:tcBorders>
          </w:tcPr>
          <w:p>
            <w:pPr>
              <w:spacing w:after="0"/>
              <w:rPr>
                <w:sz w:val="5"/>
                <w:szCs w:val="5"/>
                <w:color w:val="auto"/>
              </w:rPr>
            </w:pPr>
          </w:p>
        </w:tc>
      </w:tr>
      <w:tr>
        <w:trPr>
          <w:trHeight w:val="339"/>
        </w:trPr>
        <w:tc>
          <w:tcPr>
            <w:tcW w:w="3220" w:type="dxa"/>
            <w:vAlign w:val="bottom"/>
          </w:tcPr>
          <w:p>
            <w:pPr>
              <w:spacing w:after="0"/>
              <w:rPr>
                <w:sz w:val="20"/>
                <w:szCs w:val="20"/>
                <w:color w:val="auto"/>
              </w:rPr>
            </w:pPr>
            <w:r>
              <w:rPr>
                <w:rFonts w:ascii="Arial Narrow" w:cs="Arial Narrow" w:eastAsia="Arial Narrow" w:hAnsi="Arial Narrow"/>
                <w:sz w:val="20"/>
                <w:szCs w:val="20"/>
                <w:b w:val="1"/>
                <w:bCs w:val="1"/>
                <w:color w:val="386CAD"/>
              </w:rPr>
              <w:t>LaSalle, Illinois</w:t>
            </w:r>
          </w:p>
        </w:tc>
        <w:tc>
          <w:tcPr>
            <w:tcW w:w="1880" w:type="dxa"/>
            <w:vAlign w:val="bottom"/>
          </w:tcPr>
          <w:p>
            <w:pPr>
              <w:jc w:val="right"/>
              <w:ind w:right="21"/>
              <w:spacing w:after="0"/>
              <w:rPr>
                <w:sz w:val="20"/>
                <w:szCs w:val="20"/>
                <w:color w:val="auto"/>
              </w:rPr>
            </w:pPr>
            <w:r>
              <w:rPr>
                <w:rFonts w:ascii="Arial Narrow" w:cs="Arial Narrow" w:eastAsia="Arial Narrow" w:hAnsi="Arial Narrow"/>
                <w:sz w:val="20"/>
                <w:szCs w:val="20"/>
                <w:color w:val="auto"/>
              </w:rPr>
              <w:t>14,500</w:t>
            </w:r>
          </w:p>
        </w:tc>
        <w:tc>
          <w:tcPr>
            <w:tcW w:w="2140" w:type="dxa"/>
            <w:vAlign w:val="bottom"/>
            <w:gridSpan w:val="2"/>
          </w:tcPr>
          <w:p>
            <w:pPr>
              <w:jc w:val="right"/>
              <w:ind w:right="35"/>
              <w:spacing w:after="0"/>
              <w:rPr>
                <w:sz w:val="20"/>
                <w:szCs w:val="20"/>
                <w:color w:val="auto"/>
              </w:rPr>
            </w:pPr>
            <w:r>
              <w:rPr>
                <w:rFonts w:ascii="Arial Narrow" w:cs="Arial Narrow" w:eastAsia="Arial Narrow" w:hAnsi="Arial Narrow"/>
                <w:sz w:val="20"/>
                <w:szCs w:val="20"/>
                <w:color w:val="auto"/>
              </w:rPr>
              <w:t>3,020</w:t>
            </w:r>
          </w:p>
        </w:tc>
        <w:tc>
          <w:tcPr>
            <w:tcW w:w="2120" w:type="dxa"/>
            <w:vAlign w:val="bottom"/>
            <w:gridSpan w:val="2"/>
          </w:tcPr>
          <w:p>
            <w:pPr>
              <w:jc w:val="right"/>
              <w:ind w:right="10"/>
              <w:spacing w:after="0"/>
              <w:rPr>
                <w:sz w:val="20"/>
                <w:szCs w:val="20"/>
                <w:color w:val="auto"/>
              </w:rPr>
            </w:pPr>
            <w:r>
              <w:rPr>
                <w:rFonts w:ascii="Arial Narrow" w:cs="Arial Narrow" w:eastAsia="Arial Narrow" w:hAnsi="Arial Narrow"/>
                <w:sz w:val="20"/>
                <w:szCs w:val="20"/>
                <w:color w:val="auto"/>
              </w:rPr>
              <w:t>17,520</w:t>
            </w:r>
          </w:p>
        </w:tc>
      </w:tr>
      <w:tr>
        <w:trPr>
          <w:trHeight w:val="65"/>
        </w:trPr>
        <w:tc>
          <w:tcPr>
            <w:tcW w:w="3220" w:type="dxa"/>
            <w:vAlign w:val="bottom"/>
            <w:tcBorders>
              <w:bottom w:val="single" w:sz="8" w:color="A6A6A6"/>
            </w:tcBorders>
          </w:tcPr>
          <w:p>
            <w:pPr>
              <w:spacing w:after="0"/>
              <w:rPr>
                <w:sz w:val="5"/>
                <w:szCs w:val="5"/>
                <w:color w:val="auto"/>
              </w:rPr>
            </w:pPr>
          </w:p>
        </w:tc>
        <w:tc>
          <w:tcPr>
            <w:tcW w:w="1880" w:type="dxa"/>
            <w:vAlign w:val="bottom"/>
            <w:tcBorders>
              <w:bottom w:val="single" w:sz="8" w:color="A6A6A6"/>
            </w:tcBorders>
          </w:tcPr>
          <w:p>
            <w:pPr>
              <w:spacing w:after="0"/>
              <w:rPr>
                <w:sz w:val="5"/>
                <w:szCs w:val="5"/>
                <w:color w:val="auto"/>
              </w:rPr>
            </w:pPr>
          </w:p>
        </w:tc>
        <w:tc>
          <w:tcPr>
            <w:tcW w:w="260" w:type="dxa"/>
            <w:vAlign w:val="bottom"/>
            <w:tcBorders>
              <w:bottom w:val="single" w:sz="8" w:color="A6A6A6"/>
            </w:tcBorders>
          </w:tcPr>
          <w:p>
            <w:pPr>
              <w:spacing w:after="0"/>
              <w:rPr>
                <w:sz w:val="5"/>
                <w:szCs w:val="5"/>
                <w:color w:val="auto"/>
              </w:rPr>
            </w:pPr>
          </w:p>
        </w:tc>
        <w:tc>
          <w:tcPr>
            <w:tcW w:w="1880" w:type="dxa"/>
            <w:vAlign w:val="bottom"/>
            <w:tcBorders>
              <w:bottom w:val="single" w:sz="8" w:color="A6A6A6"/>
            </w:tcBorders>
          </w:tcPr>
          <w:p>
            <w:pPr>
              <w:spacing w:after="0"/>
              <w:rPr>
                <w:sz w:val="5"/>
                <w:szCs w:val="5"/>
                <w:color w:val="auto"/>
              </w:rPr>
            </w:pPr>
          </w:p>
        </w:tc>
        <w:tc>
          <w:tcPr>
            <w:tcW w:w="260" w:type="dxa"/>
            <w:vAlign w:val="bottom"/>
            <w:tcBorders>
              <w:bottom w:val="single" w:sz="8" w:color="A6A6A6"/>
            </w:tcBorders>
          </w:tcPr>
          <w:p>
            <w:pPr>
              <w:spacing w:after="0"/>
              <w:rPr>
                <w:sz w:val="5"/>
                <w:szCs w:val="5"/>
                <w:color w:val="auto"/>
              </w:rPr>
            </w:pPr>
          </w:p>
        </w:tc>
        <w:tc>
          <w:tcPr>
            <w:tcW w:w="1860" w:type="dxa"/>
            <w:vAlign w:val="bottom"/>
            <w:tcBorders>
              <w:bottom w:val="single" w:sz="8" w:color="A6A6A6"/>
            </w:tcBorders>
          </w:tcPr>
          <w:p>
            <w:pPr>
              <w:spacing w:after="0"/>
              <w:rPr>
                <w:sz w:val="5"/>
                <w:szCs w:val="5"/>
                <w:color w:val="auto"/>
              </w:rPr>
            </w:pPr>
          </w:p>
        </w:tc>
      </w:tr>
      <w:tr>
        <w:trPr>
          <w:trHeight w:val="339"/>
        </w:trPr>
        <w:tc>
          <w:tcPr>
            <w:tcW w:w="3220" w:type="dxa"/>
            <w:vAlign w:val="bottom"/>
          </w:tcPr>
          <w:p>
            <w:pPr>
              <w:spacing w:after="0"/>
              <w:rPr>
                <w:sz w:val="20"/>
                <w:szCs w:val="20"/>
                <w:color w:val="auto"/>
              </w:rPr>
            </w:pPr>
            <w:r>
              <w:rPr>
                <w:rFonts w:ascii="Arial Narrow" w:cs="Arial Narrow" w:eastAsia="Arial Narrow" w:hAnsi="Arial Narrow"/>
                <w:sz w:val="20"/>
                <w:szCs w:val="20"/>
                <w:b w:val="1"/>
                <w:bCs w:val="1"/>
                <w:color w:val="386CAD"/>
              </w:rPr>
              <w:t>Sugar Creek, Missouri</w:t>
            </w:r>
          </w:p>
        </w:tc>
        <w:tc>
          <w:tcPr>
            <w:tcW w:w="1880" w:type="dxa"/>
            <w:vAlign w:val="bottom"/>
          </w:tcPr>
          <w:p>
            <w:pPr>
              <w:jc w:val="right"/>
              <w:ind w:right="21"/>
              <w:spacing w:after="0"/>
              <w:rPr>
                <w:sz w:val="20"/>
                <w:szCs w:val="20"/>
                <w:color w:val="auto"/>
              </w:rPr>
            </w:pPr>
            <w:r>
              <w:rPr>
                <w:rFonts w:ascii="Arial Narrow" w:cs="Arial Narrow" w:eastAsia="Arial Narrow" w:hAnsi="Arial Narrow"/>
                <w:sz w:val="20"/>
                <w:szCs w:val="20"/>
                <w:color w:val="auto"/>
              </w:rPr>
              <w:t>22,070</w:t>
            </w:r>
          </w:p>
        </w:tc>
        <w:tc>
          <w:tcPr>
            <w:tcW w:w="2140" w:type="dxa"/>
            <w:vAlign w:val="bottom"/>
            <w:gridSpan w:val="2"/>
          </w:tcPr>
          <w:p>
            <w:pPr>
              <w:jc w:val="right"/>
              <w:ind w:right="35"/>
              <w:spacing w:after="0"/>
              <w:rPr>
                <w:sz w:val="20"/>
                <w:szCs w:val="20"/>
                <w:color w:val="auto"/>
              </w:rPr>
            </w:pPr>
            <w:r>
              <w:rPr>
                <w:rFonts w:ascii="Arial Narrow" w:cs="Arial Narrow" w:eastAsia="Arial Narrow" w:hAnsi="Arial Narrow"/>
                <w:sz w:val="20"/>
                <w:szCs w:val="20"/>
                <w:color w:val="auto"/>
              </w:rPr>
              <w:t>4,900</w:t>
            </w:r>
          </w:p>
        </w:tc>
        <w:tc>
          <w:tcPr>
            <w:tcW w:w="2120" w:type="dxa"/>
            <w:vAlign w:val="bottom"/>
            <w:gridSpan w:val="2"/>
          </w:tcPr>
          <w:p>
            <w:pPr>
              <w:jc w:val="right"/>
              <w:ind w:right="10"/>
              <w:spacing w:after="0"/>
              <w:rPr>
                <w:sz w:val="20"/>
                <w:szCs w:val="20"/>
                <w:color w:val="auto"/>
              </w:rPr>
            </w:pPr>
            <w:r>
              <w:rPr>
                <w:rFonts w:ascii="Arial Narrow" w:cs="Arial Narrow" w:eastAsia="Arial Narrow" w:hAnsi="Arial Narrow"/>
                <w:sz w:val="20"/>
                <w:szCs w:val="20"/>
                <w:color w:val="auto"/>
              </w:rPr>
              <w:t>26,970</w:t>
            </w:r>
          </w:p>
        </w:tc>
      </w:tr>
      <w:tr>
        <w:trPr>
          <w:trHeight w:val="65"/>
        </w:trPr>
        <w:tc>
          <w:tcPr>
            <w:tcW w:w="3220" w:type="dxa"/>
            <w:vAlign w:val="bottom"/>
            <w:tcBorders>
              <w:bottom w:val="single" w:sz="8" w:color="A6A6A6"/>
            </w:tcBorders>
          </w:tcPr>
          <w:p>
            <w:pPr>
              <w:spacing w:after="0"/>
              <w:rPr>
                <w:sz w:val="5"/>
                <w:szCs w:val="5"/>
                <w:color w:val="auto"/>
              </w:rPr>
            </w:pPr>
          </w:p>
        </w:tc>
        <w:tc>
          <w:tcPr>
            <w:tcW w:w="1880" w:type="dxa"/>
            <w:vAlign w:val="bottom"/>
            <w:tcBorders>
              <w:bottom w:val="single" w:sz="8" w:color="A6A6A6"/>
            </w:tcBorders>
          </w:tcPr>
          <w:p>
            <w:pPr>
              <w:spacing w:after="0"/>
              <w:rPr>
                <w:sz w:val="5"/>
                <w:szCs w:val="5"/>
                <w:color w:val="auto"/>
              </w:rPr>
            </w:pPr>
          </w:p>
        </w:tc>
        <w:tc>
          <w:tcPr>
            <w:tcW w:w="260" w:type="dxa"/>
            <w:vAlign w:val="bottom"/>
            <w:tcBorders>
              <w:bottom w:val="single" w:sz="8" w:color="A6A6A6"/>
            </w:tcBorders>
          </w:tcPr>
          <w:p>
            <w:pPr>
              <w:spacing w:after="0"/>
              <w:rPr>
                <w:sz w:val="5"/>
                <w:szCs w:val="5"/>
                <w:color w:val="auto"/>
              </w:rPr>
            </w:pPr>
          </w:p>
        </w:tc>
        <w:tc>
          <w:tcPr>
            <w:tcW w:w="1880" w:type="dxa"/>
            <w:vAlign w:val="bottom"/>
            <w:tcBorders>
              <w:bottom w:val="single" w:sz="8" w:color="A6A6A6"/>
            </w:tcBorders>
          </w:tcPr>
          <w:p>
            <w:pPr>
              <w:spacing w:after="0"/>
              <w:rPr>
                <w:sz w:val="5"/>
                <w:szCs w:val="5"/>
                <w:color w:val="auto"/>
              </w:rPr>
            </w:pPr>
          </w:p>
        </w:tc>
        <w:tc>
          <w:tcPr>
            <w:tcW w:w="260" w:type="dxa"/>
            <w:vAlign w:val="bottom"/>
            <w:tcBorders>
              <w:bottom w:val="single" w:sz="8" w:color="A6A6A6"/>
            </w:tcBorders>
          </w:tcPr>
          <w:p>
            <w:pPr>
              <w:spacing w:after="0"/>
              <w:rPr>
                <w:sz w:val="5"/>
                <w:szCs w:val="5"/>
                <w:color w:val="auto"/>
              </w:rPr>
            </w:pPr>
          </w:p>
        </w:tc>
        <w:tc>
          <w:tcPr>
            <w:tcW w:w="1860" w:type="dxa"/>
            <w:vAlign w:val="bottom"/>
            <w:tcBorders>
              <w:bottom w:val="single" w:sz="8" w:color="A6A6A6"/>
            </w:tcBorders>
          </w:tcPr>
          <w:p>
            <w:pPr>
              <w:spacing w:after="0"/>
              <w:rPr>
                <w:sz w:val="5"/>
                <w:szCs w:val="5"/>
                <w:color w:val="auto"/>
              </w:rPr>
            </w:pPr>
          </w:p>
        </w:tc>
      </w:tr>
      <w:tr>
        <w:trPr>
          <w:trHeight w:val="339"/>
        </w:trPr>
        <w:tc>
          <w:tcPr>
            <w:tcW w:w="3220" w:type="dxa"/>
            <w:vAlign w:val="bottom"/>
          </w:tcPr>
          <w:p>
            <w:pPr>
              <w:spacing w:after="0"/>
              <w:rPr>
                <w:sz w:val="20"/>
                <w:szCs w:val="20"/>
                <w:color w:val="auto"/>
              </w:rPr>
            </w:pPr>
            <w:r>
              <w:rPr>
                <w:rFonts w:ascii="Arial Narrow" w:cs="Arial Narrow" w:eastAsia="Arial Narrow" w:hAnsi="Arial Narrow"/>
                <w:sz w:val="20"/>
                <w:szCs w:val="20"/>
                <w:b w:val="1"/>
                <w:bCs w:val="1"/>
                <w:color w:val="386CAD"/>
              </w:rPr>
              <w:t>Laramie, Wyoming</w:t>
            </w:r>
          </w:p>
        </w:tc>
        <w:tc>
          <w:tcPr>
            <w:tcW w:w="1880" w:type="dxa"/>
            <w:vAlign w:val="bottom"/>
          </w:tcPr>
          <w:p>
            <w:pPr>
              <w:jc w:val="right"/>
              <w:ind w:right="21"/>
              <w:spacing w:after="0"/>
              <w:rPr>
                <w:sz w:val="20"/>
                <w:szCs w:val="20"/>
                <w:color w:val="auto"/>
              </w:rPr>
            </w:pPr>
            <w:r>
              <w:rPr>
                <w:rFonts w:ascii="Arial Narrow" w:cs="Arial Narrow" w:eastAsia="Arial Narrow" w:hAnsi="Arial Narrow"/>
                <w:sz w:val="20"/>
                <w:szCs w:val="20"/>
                <w:color w:val="auto"/>
              </w:rPr>
              <w:t>36,640</w:t>
            </w:r>
          </w:p>
        </w:tc>
        <w:tc>
          <w:tcPr>
            <w:tcW w:w="2140" w:type="dxa"/>
            <w:vAlign w:val="bottom"/>
            <w:gridSpan w:val="2"/>
          </w:tcPr>
          <w:p>
            <w:pPr>
              <w:jc w:val="right"/>
              <w:ind w:right="35"/>
              <w:spacing w:after="0"/>
              <w:rPr>
                <w:sz w:val="20"/>
                <w:szCs w:val="20"/>
                <w:color w:val="auto"/>
              </w:rPr>
            </w:pPr>
            <w:r>
              <w:rPr>
                <w:rFonts w:ascii="Arial Narrow" w:cs="Arial Narrow" w:eastAsia="Arial Narrow" w:hAnsi="Arial Narrow"/>
                <w:sz w:val="20"/>
                <w:szCs w:val="20"/>
                <w:color w:val="auto"/>
              </w:rPr>
              <w:t>24,370</w:t>
            </w:r>
          </w:p>
        </w:tc>
        <w:tc>
          <w:tcPr>
            <w:tcW w:w="2120" w:type="dxa"/>
            <w:vAlign w:val="bottom"/>
            <w:gridSpan w:val="2"/>
          </w:tcPr>
          <w:p>
            <w:pPr>
              <w:jc w:val="right"/>
              <w:ind w:right="10"/>
              <w:spacing w:after="0"/>
              <w:rPr>
                <w:sz w:val="20"/>
                <w:szCs w:val="20"/>
                <w:color w:val="auto"/>
              </w:rPr>
            </w:pPr>
            <w:r>
              <w:rPr>
                <w:rFonts w:ascii="Arial Narrow" w:cs="Arial Narrow" w:eastAsia="Arial Narrow" w:hAnsi="Arial Narrow"/>
                <w:sz w:val="20"/>
                <w:szCs w:val="20"/>
                <w:color w:val="auto"/>
              </w:rPr>
              <w:t>61,010</w:t>
            </w:r>
          </w:p>
        </w:tc>
      </w:tr>
      <w:tr>
        <w:trPr>
          <w:trHeight w:val="65"/>
        </w:trPr>
        <w:tc>
          <w:tcPr>
            <w:tcW w:w="3220" w:type="dxa"/>
            <w:vAlign w:val="bottom"/>
            <w:tcBorders>
              <w:bottom w:val="single" w:sz="8" w:color="A6A6A6"/>
            </w:tcBorders>
          </w:tcPr>
          <w:p>
            <w:pPr>
              <w:spacing w:after="0"/>
              <w:rPr>
                <w:sz w:val="5"/>
                <w:szCs w:val="5"/>
                <w:color w:val="auto"/>
              </w:rPr>
            </w:pPr>
          </w:p>
        </w:tc>
        <w:tc>
          <w:tcPr>
            <w:tcW w:w="1880" w:type="dxa"/>
            <w:vAlign w:val="bottom"/>
            <w:tcBorders>
              <w:bottom w:val="single" w:sz="8" w:color="A6A6A6"/>
            </w:tcBorders>
          </w:tcPr>
          <w:p>
            <w:pPr>
              <w:spacing w:after="0"/>
              <w:rPr>
                <w:sz w:val="5"/>
                <w:szCs w:val="5"/>
                <w:color w:val="auto"/>
              </w:rPr>
            </w:pPr>
          </w:p>
        </w:tc>
        <w:tc>
          <w:tcPr>
            <w:tcW w:w="260" w:type="dxa"/>
            <w:vAlign w:val="bottom"/>
            <w:tcBorders>
              <w:bottom w:val="single" w:sz="8" w:color="A6A6A6"/>
            </w:tcBorders>
          </w:tcPr>
          <w:p>
            <w:pPr>
              <w:spacing w:after="0"/>
              <w:rPr>
                <w:sz w:val="5"/>
                <w:szCs w:val="5"/>
                <w:color w:val="auto"/>
              </w:rPr>
            </w:pPr>
          </w:p>
        </w:tc>
        <w:tc>
          <w:tcPr>
            <w:tcW w:w="1880" w:type="dxa"/>
            <w:vAlign w:val="bottom"/>
            <w:tcBorders>
              <w:bottom w:val="single" w:sz="8" w:color="A6A6A6"/>
            </w:tcBorders>
          </w:tcPr>
          <w:p>
            <w:pPr>
              <w:spacing w:after="0"/>
              <w:rPr>
                <w:sz w:val="5"/>
                <w:szCs w:val="5"/>
                <w:color w:val="auto"/>
              </w:rPr>
            </w:pPr>
          </w:p>
        </w:tc>
        <w:tc>
          <w:tcPr>
            <w:tcW w:w="260" w:type="dxa"/>
            <w:vAlign w:val="bottom"/>
            <w:tcBorders>
              <w:bottom w:val="single" w:sz="8" w:color="A6A6A6"/>
            </w:tcBorders>
          </w:tcPr>
          <w:p>
            <w:pPr>
              <w:spacing w:after="0"/>
              <w:rPr>
                <w:sz w:val="5"/>
                <w:szCs w:val="5"/>
                <w:color w:val="auto"/>
              </w:rPr>
            </w:pPr>
          </w:p>
        </w:tc>
        <w:tc>
          <w:tcPr>
            <w:tcW w:w="1860" w:type="dxa"/>
            <w:vAlign w:val="bottom"/>
            <w:tcBorders>
              <w:bottom w:val="single" w:sz="8" w:color="A6A6A6"/>
            </w:tcBorders>
          </w:tcPr>
          <w:p>
            <w:pPr>
              <w:spacing w:after="0"/>
              <w:rPr>
                <w:sz w:val="5"/>
                <w:szCs w:val="5"/>
                <w:color w:val="auto"/>
              </w:rPr>
            </w:pPr>
          </w:p>
        </w:tc>
      </w:tr>
      <w:tr>
        <w:trPr>
          <w:trHeight w:val="339"/>
        </w:trPr>
        <w:tc>
          <w:tcPr>
            <w:tcW w:w="3220" w:type="dxa"/>
            <w:vAlign w:val="bottom"/>
          </w:tcPr>
          <w:p>
            <w:pPr>
              <w:spacing w:after="0"/>
              <w:rPr>
                <w:sz w:val="20"/>
                <w:szCs w:val="20"/>
                <w:color w:val="auto"/>
              </w:rPr>
            </w:pPr>
            <w:r>
              <w:rPr>
                <w:rFonts w:ascii="Arial Narrow" w:cs="Arial Narrow" w:eastAsia="Arial Narrow" w:hAnsi="Arial Narrow"/>
                <w:sz w:val="20"/>
                <w:szCs w:val="20"/>
                <w:b w:val="1"/>
                <w:bCs w:val="1"/>
                <w:color w:val="386CAD"/>
              </w:rPr>
              <w:t>Tulsa, Oklahoma</w:t>
            </w:r>
          </w:p>
        </w:tc>
        <w:tc>
          <w:tcPr>
            <w:tcW w:w="1880" w:type="dxa"/>
            <w:vAlign w:val="bottom"/>
          </w:tcPr>
          <w:p>
            <w:pPr>
              <w:jc w:val="right"/>
              <w:ind w:right="21"/>
              <w:spacing w:after="0"/>
              <w:rPr>
                <w:sz w:val="20"/>
                <w:szCs w:val="20"/>
                <w:color w:val="auto"/>
              </w:rPr>
            </w:pPr>
            <w:r>
              <w:rPr>
                <w:rFonts w:ascii="Arial Narrow" w:cs="Arial Narrow" w:eastAsia="Arial Narrow" w:hAnsi="Arial Narrow"/>
                <w:sz w:val="20"/>
                <w:szCs w:val="20"/>
                <w:color w:val="auto"/>
              </w:rPr>
              <w:t>33,780</w:t>
            </w:r>
          </w:p>
        </w:tc>
        <w:tc>
          <w:tcPr>
            <w:tcW w:w="2140" w:type="dxa"/>
            <w:vAlign w:val="bottom"/>
            <w:gridSpan w:val="2"/>
          </w:tcPr>
          <w:p>
            <w:pPr>
              <w:jc w:val="right"/>
              <w:ind w:right="35"/>
              <w:spacing w:after="0"/>
              <w:rPr>
                <w:sz w:val="20"/>
                <w:szCs w:val="20"/>
                <w:color w:val="auto"/>
              </w:rPr>
            </w:pPr>
            <w:r>
              <w:rPr>
                <w:rFonts w:ascii="Arial Narrow" w:cs="Arial Narrow" w:eastAsia="Arial Narrow" w:hAnsi="Arial Narrow"/>
                <w:sz w:val="20"/>
                <w:szCs w:val="20"/>
                <w:color w:val="auto"/>
              </w:rPr>
              <w:t>280</w:t>
            </w:r>
          </w:p>
        </w:tc>
        <w:tc>
          <w:tcPr>
            <w:tcW w:w="2120" w:type="dxa"/>
            <w:vAlign w:val="bottom"/>
            <w:gridSpan w:val="2"/>
          </w:tcPr>
          <w:p>
            <w:pPr>
              <w:jc w:val="right"/>
              <w:ind w:right="10"/>
              <w:spacing w:after="0"/>
              <w:rPr>
                <w:sz w:val="20"/>
                <w:szCs w:val="20"/>
                <w:color w:val="auto"/>
              </w:rPr>
            </w:pPr>
            <w:r>
              <w:rPr>
                <w:rFonts w:ascii="Arial Narrow" w:cs="Arial Narrow" w:eastAsia="Arial Narrow" w:hAnsi="Arial Narrow"/>
                <w:sz w:val="20"/>
                <w:szCs w:val="20"/>
                <w:color w:val="auto"/>
              </w:rPr>
              <w:t>34,060</w:t>
            </w:r>
          </w:p>
        </w:tc>
      </w:tr>
      <w:tr>
        <w:trPr>
          <w:trHeight w:val="65"/>
        </w:trPr>
        <w:tc>
          <w:tcPr>
            <w:tcW w:w="3220" w:type="dxa"/>
            <w:vAlign w:val="bottom"/>
            <w:tcBorders>
              <w:bottom w:val="single" w:sz="8" w:color="A6A6A6"/>
            </w:tcBorders>
          </w:tcPr>
          <w:p>
            <w:pPr>
              <w:spacing w:after="0"/>
              <w:rPr>
                <w:sz w:val="5"/>
                <w:szCs w:val="5"/>
                <w:color w:val="auto"/>
              </w:rPr>
            </w:pPr>
          </w:p>
        </w:tc>
        <w:tc>
          <w:tcPr>
            <w:tcW w:w="1880" w:type="dxa"/>
            <w:vAlign w:val="bottom"/>
            <w:tcBorders>
              <w:bottom w:val="single" w:sz="8" w:color="A6A6A6"/>
            </w:tcBorders>
          </w:tcPr>
          <w:p>
            <w:pPr>
              <w:spacing w:after="0"/>
              <w:rPr>
                <w:sz w:val="5"/>
                <w:szCs w:val="5"/>
                <w:color w:val="auto"/>
              </w:rPr>
            </w:pPr>
          </w:p>
        </w:tc>
        <w:tc>
          <w:tcPr>
            <w:tcW w:w="260" w:type="dxa"/>
            <w:vAlign w:val="bottom"/>
            <w:tcBorders>
              <w:bottom w:val="single" w:sz="8" w:color="A6A6A6"/>
            </w:tcBorders>
          </w:tcPr>
          <w:p>
            <w:pPr>
              <w:spacing w:after="0"/>
              <w:rPr>
                <w:sz w:val="5"/>
                <w:szCs w:val="5"/>
                <w:color w:val="auto"/>
              </w:rPr>
            </w:pPr>
          </w:p>
        </w:tc>
        <w:tc>
          <w:tcPr>
            <w:tcW w:w="1880" w:type="dxa"/>
            <w:vAlign w:val="bottom"/>
            <w:tcBorders>
              <w:bottom w:val="single" w:sz="8" w:color="A6A6A6"/>
            </w:tcBorders>
          </w:tcPr>
          <w:p>
            <w:pPr>
              <w:spacing w:after="0"/>
              <w:rPr>
                <w:sz w:val="5"/>
                <w:szCs w:val="5"/>
                <w:color w:val="auto"/>
              </w:rPr>
            </w:pPr>
          </w:p>
        </w:tc>
        <w:tc>
          <w:tcPr>
            <w:tcW w:w="260" w:type="dxa"/>
            <w:vAlign w:val="bottom"/>
            <w:tcBorders>
              <w:bottom w:val="single" w:sz="8" w:color="A6A6A6"/>
            </w:tcBorders>
          </w:tcPr>
          <w:p>
            <w:pPr>
              <w:spacing w:after="0"/>
              <w:rPr>
                <w:sz w:val="5"/>
                <w:szCs w:val="5"/>
                <w:color w:val="auto"/>
              </w:rPr>
            </w:pPr>
          </w:p>
        </w:tc>
        <w:tc>
          <w:tcPr>
            <w:tcW w:w="1860" w:type="dxa"/>
            <w:vAlign w:val="bottom"/>
            <w:tcBorders>
              <w:bottom w:val="single" w:sz="8" w:color="A6A6A6"/>
            </w:tcBorders>
          </w:tcPr>
          <w:p>
            <w:pPr>
              <w:spacing w:after="0"/>
              <w:rPr>
                <w:sz w:val="5"/>
                <w:szCs w:val="5"/>
                <w:color w:val="auto"/>
              </w:rPr>
            </w:pPr>
          </w:p>
        </w:tc>
      </w:tr>
      <w:tr>
        <w:trPr>
          <w:trHeight w:val="339"/>
        </w:trPr>
        <w:tc>
          <w:tcPr>
            <w:tcW w:w="3220" w:type="dxa"/>
            <w:vAlign w:val="bottom"/>
          </w:tcPr>
          <w:p>
            <w:pPr>
              <w:spacing w:after="0"/>
              <w:rPr>
                <w:sz w:val="20"/>
                <w:szCs w:val="20"/>
                <w:color w:val="auto"/>
              </w:rPr>
            </w:pPr>
            <w:r>
              <w:rPr>
                <w:rFonts w:ascii="Arial Narrow" w:cs="Arial Narrow" w:eastAsia="Arial Narrow" w:hAnsi="Arial Narrow"/>
                <w:sz w:val="20"/>
                <w:szCs w:val="20"/>
                <w:b w:val="1"/>
                <w:bCs w:val="1"/>
                <w:color w:val="386CAD"/>
              </w:rPr>
              <w:t>Fernley, Nevada</w:t>
            </w:r>
          </w:p>
        </w:tc>
        <w:tc>
          <w:tcPr>
            <w:tcW w:w="1880" w:type="dxa"/>
            <w:vAlign w:val="bottom"/>
          </w:tcPr>
          <w:p>
            <w:pPr>
              <w:jc w:val="right"/>
              <w:ind w:right="21"/>
              <w:spacing w:after="0"/>
              <w:rPr>
                <w:sz w:val="20"/>
                <w:szCs w:val="20"/>
                <w:color w:val="auto"/>
              </w:rPr>
            </w:pPr>
            <w:r>
              <w:rPr>
                <w:rFonts w:ascii="Arial Narrow" w:cs="Arial Narrow" w:eastAsia="Arial Narrow" w:hAnsi="Arial Narrow"/>
                <w:sz w:val="20"/>
                <w:szCs w:val="20"/>
                <w:color w:val="auto"/>
              </w:rPr>
              <w:t>17,260</w:t>
            </w:r>
          </w:p>
        </w:tc>
        <w:tc>
          <w:tcPr>
            <w:tcW w:w="2140" w:type="dxa"/>
            <w:vAlign w:val="bottom"/>
            <w:gridSpan w:val="2"/>
          </w:tcPr>
          <w:p>
            <w:pPr>
              <w:jc w:val="right"/>
              <w:ind w:right="35"/>
              <w:spacing w:after="0"/>
              <w:rPr>
                <w:sz w:val="20"/>
                <w:szCs w:val="20"/>
                <w:color w:val="auto"/>
              </w:rPr>
            </w:pPr>
            <w:r>
              <w:rPr>
                <w:rFonts w:ascii="Arial Narrow" w:cs="Arial Narrow" w:eastAsia="Arial Narrow" w:hAnsi="Arial Narrow"/>
                <w:sz w:val="20"/>
                <w:szCs w:val="20"/>
                <w:color w:val="auto"/>
              </w:rPr>
              <w:t>7,050</w:t>
            </w:r>
          </w:p>
        </w:tc>
        <w:tc>
          <w:tcPr>
            <w:tcW w:w="2120" w:type="dxa"/>
            <w:vAlign w:val="bottom"/>
            <w:gridSpan w:val="2"/>
          </w:tcPr>
          <w:p>
            <w:pPr>
              <w:jc w:val="right"/>
              <w:ind w:right="10"/>
              <w:spacing w:after="0"/>
              <w:rPr>
                <w:sz w:val="20"/>
                <w:szCs w:val="20"/>
                <w:color w:val="auto"/>
              </w:rPr>
            </w:pPr>
            <w:r>
              <w:rPr>
                <w:rFonts w:ascii="Arial Narrow" w:cs="Arial Narrow" w:eastAsia="Arial Narrow" w:hAnsi="Arial Narrow"/>
                <w:sz w:val="20"/>
                <w:szCs w:val="20"/>
                <w:color w:val="auto"/>
              </w:rPr>
              <w:t>24,310</w:t>
            </w:r>
          </w:p>
        </w:tc>
      </w:tr>
      <w:tr>
        <w:trPr>
          <w:trHeight w:val="65"/>
        </w:trPr>
        <w:tc>
          <w:tcPr>
            <w:tcW w:w="3220" w:type="dxa"/>
            <w:vAlign w:val="bottom"/>
            <w:tcBorders>
              <w:bottom w:val="single" w:sz="8" w:color="A6A6A6"/>
            </w:tcBorders>
          </w:tcPr>
          <w:p>
            <w:pPr>
              <w:spacing w:after="0"/>
              <w:rPr>
                <w:sz w:val="5"/>
                <w:szCs w:val="5"/>
                <w:color w:val="auto"/>
              </w:rPr>
            </w:pPr>
          </w:p>
        </w:tc>
        <w:tc>
          <w:tcPr>
            <w:tcW w:w="1880" w:type="dxa"/>
            <w:vAlign w:val="bottom"/>
            <w:tcBorders>
              <w:bottom w:val="single" w:sz="8" w:color="A6A6A6"/>
            </w:tcBorders>
          </w:tcPr>
          <w:p>
            <w:pPr>
              <w:spacing w:after="0"/>
              <w:rPr>
                <w:sz w:val="5"/>
                <w:szCs w:val="5"/>
                <w:color w:val="auto"/>
              </w:rPr>
            </w:pPr>
          </w:p>
        </w:tc>
        <w:tc>
          <w:tcPr>
            <w:tcW w:w="260" w:type="dxa"/>
            <w:vAlign w:val="bottom"/>
            <w:tcBorders>
              <w:bottom w:val="single" w:sz="8" w:color="A6A6A6"/>
            </w:tcBorders>
          </w:tcPr>
          <w:p>
            <w:pPr>
              <w:spacing w:after="0"/>
              <w:rPr>
                <w:sz w:val="5"/>
                <w:szCs w:val="5"/>
                <w:color w:val="auto"/>
              </w:rPr>
            </w:pPr>
          </w:p>
        </w:tc>
        <w:tc>
          <w:tcPr>
            <w:tcW w:w="1880" w:type="dxa"/>
            <w:vAlign w:val="bottom"/>
            <w:tcBorders>
              <w:bottom w:val="single" w:sz="8" w:color="A6A6A6"/>
            </w:tcBorders>
          </w:tcPr>
          <w:p>
            <w:pPr>
              <w:spacing w:after="0"/>
              <w:rPr>
                <w:sz w:val="5"/>
                <w:szCs w:val="5"/>
                <w:color w:val="auto"/>
              </w:rPr>
            </w:pPr>
          </w:p>
        </w:tc>
        <w:tc>
          <w:tcPr>
            <w:tcW w:w="260" w:type="dxa"/>
            <w:vAlign w:val="bottom"/>
            <w:tcBorders>
              <w:bottom w:val="single" w:sz="8" w:color="A6A6A6"/>
            </w:tcBorders>
          </w:tcPr>
          <w:p>
            <w:pPr>
              <w:spacing w:after="0"/>
              <w:rPr>
                <w:sz w:val="5"/>
                <w:szCs w:val="5"/>
                <w:color w:val="auto"/>
              </w:rPr>
            </w:pPr>
          </w:p>
        </w:tc>
        <w:tc>
          <w:tcPr>
            <w:tcW w:w="1860" w:type="dxa"/>
            <w:vAlign w:val="bottom"/>
            <w:tcBorders>
              <w:bottom w:val="single" w:sz="8" w:color="A6A6A6"/>
            </w:tcBorders>
          </w:tcPr>
          <w:p>
            <w:pPr>
              <w:spacing w:after="0"/>
              <w:rPr>
                <w:sz w:val="5"/>
                <w:szCs w:val="5"/>
                <w:color w:val="auto"/>
              </w:rPr>
            </w:pPr>
          </w:p>
        </w:tc>
      </w:tr>
      <w:tr>
        <w:trPr>
          <w:trHeight w:val="339"/>
        </w:trPr>
        <w:tc>
          <w:tcPr>
            <w:tcW w:w="3220" w:type="dxa"/>
            <w:vAlign w:val="bottom"/>
          </w:tcPr>
          <w:p>
            <w:pPr>
              <w:spacing w:after="0"/>
              <w:rPr>
                <w:sz w:val="20"/>
                <w:szCs w:val="20"/>
                <w:color w:val="auto"/>
              </w:rPr>
            </w:pPr>
            <w:r>
              <w:rPr>
                <w:rFonts w:ascii="Arial Narrow" w:cs="Arial Narrow" w:eastAsia="Arial Narrow" w:hAnsi="Arial Narrow"/>
                <w:sz w:val="20"/>
                <w:szCs w:val="20"/>
                <w:b w:val="1"/>
                <w:bCs w:val="1"/>
                <w:color w:val="386CAD"/>
              </w:rPr>
              <w:t>Louisville, Kentucky</w:t>
            </w:r>
          </w:p>
        </w:tc>
        <w:tc>
          <w:tcPr>
            <w:tcW w:w="1880" w:type="dxa"/>
            <w:vAlign w:val="bottom"/>
          </w:tcPr>
          <w:p>
            <w:pPr>
              <w:jc w:val="right"/>
              <w:ind w:right="21"/>
              <w:spacing w:after="0"/>
              <w:rPr>
                <w:sz w:val="20"/>
                <w:szCs w:val="20"/>
                <w:color w:val="auto"/>
              </w:rPr>
            </w:pPr>
            <w:r>
              <w:rPr>
                <w:rFonts w:ascii="Arial Narrow" w:cs="Arial Narrow" w:eastAsia="Arial Narrow" w:hAnsi="Arial Narrow"/>
                <w:sz w:val="20"/>
                <w:szCs w:val="20"/>
                <w:color w:val="auto"/>
              </w:rPr>
              <w:t>43,260</w:t>
            </w:r>
          </w:p>
        </w:tc>
        <w:tc>
          <w:tcPr>
            <w:tcW w:w="2140" w:type="dxa"/>
            <w:vAlign w:val="bottom"/>
            <w:gridSpan w:val="2"/>
          </w:tcPr>
          <w:p>
            <w:pPr>
              <w:jc w:val="right"/>
              <w:ind w:right="35"/>
              <w:spacing w:after="0"/>
              <w:rPr>
                <w:sz w:val="20"/>
                <w:szCs w:val="20"/>
                <w:color w:val="auto"/>
              </w:rPr>
            </w:pPr>
            <w:r>
              <w:rPr>
                <w:rFonts w:ascii="Arial Narrow" w:cs="Arial Narrow" w:eastAsia="Arial Narrow" w:hAnsi="Arial Narrow"/>
                <w:sz w:val="20"/>
                <w:szCs w:val="20"/>
                <w:color w:val="auto"/>
              </w:rPr>
              <w:t>45,330</w:t>
            </w:r>
          </w:p>
        </w:tc>
        <w:tc>
          <w:tcPr>
            <w:tcW w:w="2120" w:type="dxa"/>
            <w:vAlign w:val="bottom"/>
            <w:gridSpan w:val="2"/>
          </w:tcPr>
          <w:p>
            <w:pPr>
              <w:jc w:val="right"/>
              <w:ind w:right="10"/>
              <w:spacing w:after="0"/>
              <w:rPr>
                <w:sz w:val="20"/>
                <w:szCs w:val="20"/>
                <w:color w:val="auto"/>
              </w:rPr>
            </w:pPr>
            <w:r>
              <w:rPr>
                <w:rFonts w:ascii="Arial Narrow" w:cs="Arial Narrow" w:eastAsia="Arial Narrow" w:hAnsi="Arial Narrow"/>
                <w:sz w:val="20"/>
                <w:szCs w:val="20"/>
                <w:color w:val="auto"/>
              </w:rPr>
              <w:t>88,590</w:t>
            </w:r>
          </w:p>
        </w:tc>
      </w:tr>
      <w:tr>
        <w:trPr>
          <w:trHeight w:val="65"/>
        </w:trPr>
        <w:tc>
          <w:tcPr>
            <w:tcW w:w="3220" w:type="dxa"/>
            <w:vAlign w:val="bottom"/>
            <w:tcBorders>
              <w:bottom w:val="single" w:sz="8" w:color="A6A6A6"/>
            </w:tcBorders>
          </w:tcPr>
          <w:p>
            <w:pPr>
              <w:spacing w:after="0"/>
              <w:rPr>
                <w:sz w:val="5"/>
                <w:szCs w:val="5"/>
                <w:color w:val="auto"/>
              </w:rPr>
            </w:pPr>
          </w:p>
        </w:tc>
        <w:tc>
          <w:tcPr>
            <w:tcW w:w="1880" w:type="dxa"/>
            <w:vAlign w:val="bottom"/>
            <w:tcBorders>
              <w:bottom w:val="single" w:sz="8" w:color="A6A6A6"/>
            </w:tcBorders>
          </w:tcPr>
          <w:p>
            <w:pPr>
              <w:spacing w:after="0"/>
              <w:rPr>
                <w:sz w:val="5"/>
                <w:szCs w:val="5"/>
                <w:color w:val="auto"/>
              </w:rPr>
            </w:pPr>
          </w:p>
        </w:tc>
        <w:tc>
          <w:tcPr>
            <w:tcW w:w="260" w:type="dxa"/>
            <w:vAlign w:val="bottom"/>
            <w:tcBorders>
              <w:bottom w:val="single" w:sz="8" w:color="A6A6A6"/>
            </w:tcBorders>
          </w:tcPr>
          <w:p>
            <w:pPr>
              <w:spacing w:after="0"/>
              <w:rPr>
                <w:sz w:val="5"/>
                <w:szCs w:val="5"/>
                <w:color w:val="auto"/>
              </w:rPr>
            </w:pPr>
          </w:p>
        </w:tc>
        <w:tc>
          <w:tcPr>
            <w:tcW w:w="1880" w:type="dxa"/>
            <w:vAlign w:val="bottom"/>
            <w:tcBorders>
              <w:bottom w:val="single" w:sz="8" w:color="A6A6A6"/>
            </w:tcBorders>
          </w:tcPr>
          <w:p>
            <w:pPr>
              <w:spacing w:after="0"/>
              <w:rPr>
                <w:sz w:val="5"/>
                <w:szCs w:val="5"/>
                <w:color w:val="auto"/>
              </w:rPr>
            </w:pPr>
          </w:p>
        </w:tc>
        <w:tc>
          <w:tcPr>
            <w:tcW w:w="260" w:type="dxa"/>
            <w:vAlign w:val="bottom"/>
            <w:tcBorders>
              <w:bottom w:val="single" w:sz="8" w:color="A6A6A6"/>
            </w:tcBorders>
          </w:tcPr>
          <w:p>
            <w:pPr>
              <w:spacing w:after="0"/>
              <w:rPr>
                <w:sz w:val="5"/>
                <w:szCs w:val="5"/>
                <w:color w:val="auto"/>
              </w:rPr>
            </w:pPr>
          </w:p>
        </w:tc>
        <w:tc>
          <w:tcPr>
            <w:tcW w:w="1860" w:type="dxa"/>
            <w:vAlign w:val="bottom"/>
            <w:tcBorders>
              <w:bottom w:val="single" w:sz="8" w:color="A6A6A6"/>
            </w:tcBorders>
          </w:tcPr>
          <w:p>
            <w:pPr>
              <w:spacing w:after="0"/>
              <w:rPr>
                <w:sz w:val="5"/>
                <w:szCs w:val="5"/>
                <w:color w:val="auto"/>
              </w:rPr>
            </w:pPr>
          </w:p>
        </w:tc>
      </w:tr>
      <w:tr>
        <w:trPr>
          <w:trHeight w:val="339"/>
        </w:trPr>
        <w:tc>
          <w:tcPr>
            <w:tcW w:w="3220" w:type="dxa"/>
            <w:vAlign w:val="bottom"/>
          </w:tcPr>
          <w:p>
            <w:pPr>
              <w:spacing w:after="0"/>
              <w:rPr>
                <w:sz w:val="20"/>
                <w:szCs w:val="20"/>
                <w:color w:val="auto"/>
              </w:rPr>
            </w:pPr>
            <w:r>
              <w:rPr>
                <w:rFonts w:ascii="Arial Narrow" w:cs="Arial Narrow" w:eastAsia="Arial Narrow" w:hAnsi="Arial Narrow"/>
                <w:sz w:val="20"/>
                <w:szCs w:val="20"/>
                <w:b w:val="1"/>
                <w:bCs w:val="1"/>
                <w:color w:val="386CAD"/>
              </w:rPr>
              <w:t>Fairborn, Ohio</w:t>
            </w:r>
          </w:p>
        </w:tc>
        <w:tc>
          <w:tcPr>
            <w:tcW w:w="1880" w:type="dxa"/>
            <w:vAlign w:val="bottom"/>
          </w:tcPr>
          <w:p>
            <w:pPr>
              <w:jc w:val="right"/>
              <w:ind w:right="21"/>
              <w:spacing w:after="0"/>
              <w:rPr>
                <w:sz w:val="20"/>
                <w:szCs w:val="20"/>
                <w:color w:val="auto"/>
              </w:rPr>
            </w:pPr>
            <w:r>
              <w:rPr>
                <w:rFonts w:ascii="Arial Narrow" w:cs="Arial Narrow" w:eastAsia="Arial Narrow" w:hAnsi="Arial Narrow"/>
                <w:sz w:val="20"/>
                <w:szCs w:val="20"/>
                <w:color w:val="auto"/>
              </w:rPr>
              <w:t>22,620</w:t>
            </w:r>
          </w:p>
        </w:tc>
        <w:tc>
          <w:tcPr>
            <w:tcW w:w="2140" w:type="dxa"/>
            <w:vAlign w:val="bottom"/>
            <w:gridSpan w:val="2"/>
          </w:tcPr>
          <w:p>
            <w:pPr>
              <w:jc w:val="right"/>
              <w:ind w:right="35"/>
              <w:spacing w:after="0"/>
              <w:rPr>
                <w:sz w:val="20"/>
                <w:szCs w:val="20"/>
                <w:color w:val="auto"/>
              </w:rPr>
            </w:pPr>
            <w:r>
              <w:rPr>
                <w:rFonts w:ascii="Arial Narrow" w:cs="Arial Narrow" w:eastAsia="Arial Narrow" w:hAnsi="Arial Narrow"/>
                <w:sz w:val="20"/>
                <w:szCs w:val="20"/>
                <w:color w:val="auto"/>
              </w:rPr>
              <w:t>40</w:t>
            </w:r>
          </w:p>
        </w:tc>
        <w:tc>
          <w:tcPr>
            <w:tcW w:w="2120" w:type="dxa"/>
            <w:vAlign w:val="bottom"/>
            <w:gridSpan w:val="2"/>
          </w:tcPr>
          <w:p>
            <w:pPr>
              <w:jc w:val="right"/>
              <w:ind w:right="10"/>
              <w:spacing w:after="0"/>
              <w:rPr>
                <w:sz w:val="20"/>
                <w:szCs w:val="20"/>
                <w:color w:val="auto"/>
              </w:rPr>
            </w:pPr>
            <w:r>
              <w:rPr>
                <w:rFonts w:ascii="Arial Narrow" w:cs="Arial Narrow" w:eastAsia="Arial Narrow" w:hAnsi="Arial Narrow"/>
                <w:sz w:val="20"/>
                <w:szCs w:val="20"/>
                <w:color w:val="auto"/>
              </w:rPr>
              <w:t>22,660</w:t>
            </w:r>
          </w:p>
        </w:tc>
      </w:tr>
      <w:tr>
        <w:trPr>
          <w:trHeight w:val="90"/>
        </w:trPr>
        <w:tc>
          <w:tcPr>
            <w:tcW w:w="3220" w:type="dxa"/>
            <w:vAlign w:val="bottom"/>
            <w:tcBorders>
              <w:bottom w:val="single" w:sz="8" w:color="A6A6A6"/>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860" w:type="dxa"/>
            <w:vAlign w:val="bottom"/>
            <w:tcBorders>
              <w:bottom w:val="single" w:sz="8" w:color="auto"/>
            </w:tcBorders>
          </w:tcPr>
          <w:p>
            <w:pPr>
              <w:spacing w:after="0"/>
              <w:rPr>
                <w:sz w:val="7"/>
                <w:szCs w:val="7"/>
                <w:color w:val="auto"/>
              </w:rPr>
            </w:pPr>
          </w:p>
        </w:tc>
      </w:tr>
      <w:tr>
        <w:trPr>
          <w:trHeight w:val="344"/>
        </w:trPr>
        <w:tc>
          <w:tcPr>
            <w:tcW w:w="3220" w:type="dxa"/>
            <w:vAlign w:val="bottom"/>
          </w:tcPr>
          <w:p>
            <w:pPr>
              <w:spacing w:after="0"/>
              <w:rPr>
                <w:sz w:val="24"/>
                <w:szCs w:val="24"/>
                <w:color w:val="auto"/>
              </w:rPr>
            </w:pPr>
          </w:p>
        </w:tc>
        <w:tc>
          <w:tcPr>
            <w:tcW w:w="1880" w:type="dxa"/>
            <w:vAlign w:val="bottom"/>
          </w:tcPr>
          <w:p>
            <w:pPr>
              <w:jc w:val="right"/>
              <w:ind w:right="21"/>
              <w:spacing w:after="0"/>
              <w:rPr>
                <w:sz w:val="20"/>
                <w:szCs w:val="20"/>
                <w:color w:val="auto"/>
              </w:rPr>
            </w:pPr>
            <w:r>
              <w:rPr>
                <w:rFonts w:ascii="Arial Narrow" w:cs="Arial Narrow" w:eastAsia="Arial Narrow" w:hAnsi="Arial Narrow"/>
                <w:sz w:val="20"/>
                <w:szCs w:val="20"/>
                <w:b w:val="1"/>
                <w:bCs w:val="1"/>
                <w:color w:val="auto"/>
              </w:rPr>
              <w:t>213,930</w:t>
            </w:r>
          </w:p>
        </w:tc>
        <w:tc>
          <w:tcPr>
            <w:tcW w:w="2140" w:type="dxa"/>
            <w:vAlign w:val="bottom"/>
            <w:gridSpan w:val="2"/>
          </w:tcPr>
          <w:p>
            <w:pPr>
              <w:jc w:val="right"/>
              <w:ind w:right="35"/>
              <w:spacing w:after="0"/>
              <w:rPr>
                <w:sz w:val="20"/>
                <w:szCs w:val="20"/>
                <w:color w:val="auto"/>
              </w:rPr>
            </w:pPr>
            <w:r>
              <w:rPr>
                <w:rFonts w:ascii="Arial Narrow" w:cs="Arial Narrow" w:eastAsia="Arial Narrow" w:hAnsi="Arial Narrow"/>
                <w:sz w:val="20"/>
                <w:szCs w:val="20"/>
                <w:b w:val="1"/>
                <w:bCs w:val="1"/>
                <w:color w:val="auto"/>
              </w:rPr>
              <w:t>99,330</w:t>
            </w:r>
          </w:p>
        </w:tc>
        <w:tc>
          <w:tcPr>
            <w:tcW w:w="2120" w:type="dxa"/>
            <w:vAlign w:val="bottom"/>
            <w:gridSpan w:val="2"/>
          </w:tcPr>
          <w:p>
            <w:pPr>
              <w:jc w:val="right"/>
              <w:ind w:right="10"/>
              <w:spacing w:after="0"/>
              <w:rPr>
                <w:sz w:val="20"/>
                <w:szCs w:val="20"/>
                <w:color w:val="auto"/>
              </w:rPr>
            </w:pPr>
            <w:r>
              <w:rPr>
                <w:rFonts w:ascii="Arial Narrow" w:cs="Arial Narrow" w:eastAsia="Arial Narrow" w:hAnsi="Arial Narrow"/>
                <w:sz w:val="20"/>
                <w:szCs w:val="20"/>
                <w:b w:val="1"/>
                <w:bCs w:val="1"/>
                <w:color w:val="auto"/>
              </w:rPr>
              <w:t>313,260</w:t>
            </w:r>
          </w:p>
        </w:tc>
      </w:tr>
      <w:tr>
        <w:trPr>
          <w:trHeight w:val="65"/>
        </w:trPr>
        <w:tc>
          <w:tcPr>
            <w:tcW w:w="3220" w:type="dxa"/>
            <w:vAlign w:val="bottom"/>
          </w:tcPr>
          <w:p>
            <w:pPr>
              <w:spacing w:after="0"/>
              <w:rPr>
                <w:sz w:val="5"/>
                <w:szCs w:val="5"/>
                <w:color w:val="auto"/>
              </w:rPr>
            </w:pPr>
          </w:p>
        </w:tc>
        <w:tc>
          <w:tcPr>
            <w:tcW w:w="188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88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860" w:type="dxa"/>
            <w:vAlign w:val="bottom"/>
            <w:tcBorders>
              <w:bottom w:val="single" w:sz="8" w:color="auto"/>
            </w:tcBorders>
          </w:tcPr>
          <w:p>
            <w:pPr>
              <w:spacing w:after="0"/>
              <w:rPr>
                <w:sz w:val="5"/>
                <w:szCs w:val="5"/>
                <w:color w:val="auto"/>
              </w:rPr>
            </w:pPr>
          </w:p>
        </w:tc>
      </w:tr>
      <w:tr>
        <w:trPr>
          <w:trHeight w:val="20"/>
        </w:trPr>
        <w:tc>
          <w:tcPr>
            <w:tcW w:w="322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04" w:lineRule="exact"/>
        <w:rPr>
          <w:sz w:val="20"/>
          <w:szCs w:val="20"/>
          <w:color w:val="auto"/>
        </w:rPr>
      </w:pPr>
    </w:p>
    <w:p>
      <w:pPr>
        <w:ind w:left="180" w:right="300" w:hanging="180"/>
        <w:spacing w:after="0" w:line="282" w:lineRule="auto"/>
        <w:tabs>
          <w:tab w:leader="none" w:pos="180" w:val="left"/>
        </w:tabs>
        <w:numPr>
          <w:ilvl w:val="0"/>
          <w:numId w:val="18"/>
        </w:numPr>
        <w:rPr>
          <w:rFonts w:ascii="Arial" w:cs="Arial" w:eastAsia="Arial" w:hAnsi="Arial"/>
          <w:sz w:val="10"/>
          <w:szCs w:val="10"/>
          <w:color w:val="auto"/>
        </w:rPr>
      </w:pPr>
      <w:r>
        <w:rPr>
          <w:rFonts w:ascii="Arial" w:cs="Arial" w:eastAsia="Arial" w:hAnsi="Arial"/>
          <w:sz w:val="16"/>
          <w:szCs w:val="16"/>
          <w:color w:val="auto"/>
        </w:rPr>
        <w:t>The economic viability of our reserves was determined using average limestone prices ranging from $18.76 to $23.06 per ton, depending on location and market.</w:t>
      </w:r>
    </w:p>
    <w:p>
      <w:pPr>
        <w:sectPr>
          <w:pgSz w:w="11880" w:h="15480" w:orient="portrait"/>
          <w:cols w:equalWidth="0" w:num="1">
            <w:col w:w="9360"/>
          </w:cols>
          <w:pgMar w:left="1260" w:top="1267" w:right="1260" w:bottom="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41</w:t>
      </w:r>
    </w:p>
    <w:p>
      <w:pPr>
        <w:sectPr>
          <w:pgSz w:w="11880" w:h="15480" w:orient="portrait"/>
          <w:cols w:equalWidth="0" w:num="1">
            <w:col w:w="9360"/>
          </w:cols>
          <w:pgMar w:left="1260" w:top="1267" w:right="1260" w:bottom="0" w:gutter="0" w:footer="0" w:header="0"/>
          <w:type w:val="continuous"/>
        </w:sectPr>
      </w:pPr>
    </w:p>
    <w:bookmarkStart w:id="49" w:name="page50"/>
    <w:bookmarkEnd w:id="49"/>
    <w:p>
      <w:pPr>
        <w:ind w:left="180" w:right="240" w:hanging="180"/>
        <w:spacing w:after="0"/>
        <w:tabs>
          <w:tab w:leader="none" w:pos="180" w:val="left"/>
        </w:tabs>
        <w:numPr>
          <w:ilvl w:val="0"/>
          <w:numId w:val="19"/>
        </w:numPr>
        <w:rPr>
          <w:rFonts w:ascii="Arial" w:cs="Arial" w:eastAsia="Arial" w:hAnsi="Arial"/>
          <w:sz w:val="10"/>
          <w:szCs w:val="10"/>
          <w:color w:val="auto"/>
        </w:rPr>
      </w:pPr>
      <w:r>
        <w:rPr>
          <w:rFonts w:ascii="Arial" w:cs="Arial" w:eastAsia="Arial" w:hAnsi="Arial"/>
          <w:sz w:val="16"/>
          <w:szCs w:val="16"/>
          <w:color w:val="auto"/>
        </w:rPr>
        <w:t>The point of reference for reserves other than the Louisville and Buda locations are recorded on a recoverable or "run-of-mine" basis. Louisville and Buda are recorded on an in situ basis.</w:t>
      </w:r>
    </w:p>
    <w:p>
      <w:pPr>
        <w:ind w:left="180" w:hanging="180"/>
        <w:spacing w:after="0"/>
        <w:tabs>
          <w:tab w:leader="none" w:pos="180" w:val="left"/>
        </w:tabs>
        <w:numPr>
          <w:ilvl w:val="0"/>
          <w:numId w:val="19"/>
        </w:numPr>
        <w:rPr>
          <w:rFonts w:ascii="Arial" w:cs="Arial" w:eastAsia="Arial" w:hAnsi="Arial"/>
          <w:sz w:val="10"/>
          <w:szCs w:val="10"/>
          <w:color w:val="auto"/>
        </w:rPr>
      </w:pPr>
      <w:r>
        <w:rPr>
          <w:rFonts w:ascii="Arial" w:cs="Arial" w:eastAsia="Arial" w:hAnsi="Arial"/>
          <w:sz w:val="16"/>
          <w:szCs w:val="16"/>
          <w:color w:val="auto"/>
        </w:rPr>
        <w:t>Reflects the Company's 50% ownership interest.</w:t>
      </w:r>
    </w:p>
    <w:p>
      <w:pPr>
        <w:spacing w:after="0" w:line="264" w:lineRule="exact"/>
        <w:rPr>
          <w:sz w:val="20"/>
          <w:szCs w:val="20"/>
          <w:color w:val="auto"/>
        </w:rPr>
      </w:pPr>
    </w:p>
    <w:p>
      <w:pPr>
        <w:ind w:right="140"/>
        <w:spacing w:after="0" w:line="296" w:lineRule="auto"/>
        <w:rPr>
          <w:sz w:val="20"/>
          <w:szCs w:val="20"/>
          <w:color w:val="auto"/>
        </w:rPr>
      </w:pPr>
      <w:r>
        <w:rPr>
          <w:rFonts w:ascii="Arial" w:cs="Arial" w:eastAsia="Arial" w:hAnsi="Arial"/>
          <w:sz w:val="20"/>
          <w:szCs w:val="20"/>
          <w:color w:val="auto"/>
        </w:rPr>
        <w:t>Our total measured and indicated limestone resources were 752.3 million tons at March 31, 2026, compared with 728.4 million tons at March 31, 2025. Our total proven and probable reserves were 313.3 million tons at March 31, 2026, compared with 321.2 million tons at March 31, 2025. The decrease was primarily due to depletion during fiscal 2026.</w:t>
      </w:r>
    </w:p>
    <w:p>
      <w:pPr>
        <w:spacing w:after="0" w:line="185" w:lineRule="exact"/>
        <w:rPr>
          <w:sz w:val="20"/>
          <w:szCs w:val="20"/>
          <w:color w:val="auto"/>
        </w:rPr>
      </w:pPr>
    </w:p>
    <w:p>
      <w:pPr>
        <w:ind w:right="120"/>
        <w:spacing w:after="0" w:line="325" w:lineRule="auto"/>
        <w:rPr>
          <w:sz w:val="20"/>
          <w:szCs w:val="20"/>
          <w:color w:val="auto"/>
        </w:rPr>
      </w:pPr>
      <w:r>
        <w:rPr>
          <w:rFonts w:ascii="Arial" w:cs="Arial" w:eastAsia="Arial" w:hAnsi="Arial"/>
          <w:sz w:val="20"/>
          <w:szCs w:val="20"/>
          <w:color w:val="auto"/>
        </w:rPr>
        <w:t>Below is a summary of the annual production volumes from our cement quarries for each of the following fiscal years.</w:t>
      </w:r>
    </w:p>
    <w:p>
      <w:pPr>
        <w:spacing w:after="0" w:line="319" w:lineRule="exact"/>
        <w:rPr>
          <w:sz w:val="20"/>
          <w:szCs w:val="20"/>
          <w:color w:val="auto"/>
        </w:rPr>
      </w:pPr>
    </w:p>
    <w:p>
      <w:pPr>
        <w:ind w:left="5820"/>
        <w:spacing w:after="0"/>
        <w:rPr>
          <w:sz w:val="20"/>
          <w:szCs w:val="20"/>
          <w:color w:val="auto"/>
        </w:rPr>
      </w:pPr>
      <w:r>
        <w:rPr>
          <w:rFonts w:ascii="Arial Narrow" w:cs="Arial Narrow" w:eastAsia="Arial Narrow" w:hAnsi="Arial Narrow"/>
          <w:sz w:val="18"/>
          <w:szCs w:val="18"/>
          <w:b w:val="1"/>
          <w:bCs w:val="1"/>
          <w:color w:val="auto"/>
        </w:rPr>
        <w:t>Tons Mined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2040255</wp:posOffset>
            </wp:positionH>
            <wp:positionV relativeFrom="paragraph">
              <wp:posOffset>43180</wp:posOffset>
            </wp:positionV>
            <wp:extent cx="3903345" cy="95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7">
                      <a:extLst>
                        <a:ext uri="{28A0092B-C50C-407E-A947-70E740481C1C}"/>
                      </a:extLst>
                    </a:blip>
                    <a:srcRect/>
                    <a:stretch>
                      <a:fillRect/>
                    </a:stretch>
                  </pic:blipFill>
                  <pic:spPr bwMode="auto">
                    <a:xfrm>
                      <a:off x="0" y="0"/>
                      <a:ext cx="3903345" cy="9525"/>
                    </a:xfrm>
                    <a:prstGeom prst="rect">
                      <a:avLst/>
                    </a:prstGeom>
                    <a:noFill/>
                  </pic:spPr>
                </pic:pic>
              </a:graphicData>
            </a:graphic>
          </wp:anchor>
        </w:drawing>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2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tcPr>
          <w:p>
            <w:pPr>
              <w:jc w:val="right"/>
              <w:ind w:right="360"/>
              <w:spacing w:after="0"/>
              <w:rPr>
                <w:sz w:val="20"/>
                <w:szCs w:val="20"/>
                <w:color w:val="auto"/>
              </w:rPr>
            </w:pPr>
            <w:r>
              <w:rPr>
                <w:rFonts w:ascii="Arial Narrow" w:cs="Arial Narrow" w:eastAsia="Arial Narrow" w:hAnsi="Arial Narrow"/>
                <w:sz w:val="16"/>
                <w:szCs w:val="16"/>
                <w:color w:val="auto"/>
              </w:rPr>
              <w:t>(tons in thousands)</w:t>
            </w:r>
          </w:p>
        </w:tc>
        <w:tc>
          <w:tcPr>
            <w:tcW w:w="26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59"/>
        </w:trPr>
        <w:tc>
          <w:tcPr>
            <w:tcW w:w="3220" w:type="dxa"/>
            <w:vAlign w:val="bottom"/>
          </w:tcPr>
          <w:p>
            <w:pPr>
              <w:spacing w:after="0"/>
              <w:rPr>
                <w:sz w:val="20"/>
                <w:szCs w:val="20"/>
                <w:color w:val="auto"/>
              </w:rPr>
            </w:pPr>
            <w:r>
              <w:rPr>
                <w:rFonts w:ascii="Arial Narrow" w:cs="Arial Narrow" w:eastAsia="Arial Narrow" w:hAnsi="Arial Narrow"/>
                <w:sz w:val="18"/>
                <w:szCs w:val="18"/>
                <w:b w:val="1"/>
                <w:bCs w:val="1"/>
                <w:color w:val="auto"/>
              </w:rPr>
              <w:t>Location</w:t>
            </w:r>
          </w:p>
        </w:tc>
        <w:tc>
          <w:tcPr>
            <w:tcW w:w="1880" w:type="dxa"/>
            <w:vAlign w:val="bottom"/>
          </w:tcPr>
          <w:p>
            <w:pPr>
              <w:jc w:val="right"/>
              <w:ind w:right="21"/>
              <w:spacing w:after="0"/>
              <w:rPr>
                <w:sz w:val="20"/>
                <w:szCs w:val="20"/>
                <w:color w:val="auto"/>
              </w:rPr>
            </w:pPr>
            <w:r>
              <w:rPr>
                <w:rFonts w:ascii="Arial Narrow" w:cs="Arial Narrow" w:eastAsia="Arial Narrow" w:hAnsi="Arial Narrow"/>
                <w:sz w:val="18"/>
                <w:szCs w:val="18"/>
                <w:b w:val="1"/>
                <w:bCs w:val="1"/>
                <w:color w:val="auto"/>
              </w:rPr>
              <w:t>2026</w:t>
            </w:r>
          </w:p>
        </w:tc>
        <w:tc>
          <w:tcPr>
            <w:tcW w:w="2140" w:type="dxa"/>
            <w:vAlign w:val="bottom"/>
            <w:gridSpan w:val="2"/>
          </w:tcPr>
          <w:p>
            <w:pPr>
              <w:jc w:val="right"/>
              <w:ind w:right="40"/>
              <w:spacing w:after="0"/>
              <w:rPr>
                <w:sz w:val="20"/>
                <w:szCs w:val="20"/>
                <w:color w:val="auto"/>
              </w:rPr>
            </w:pPr>
            <w:r>
              <w:rPr>
                <w:rFonts w:ascii="Arial Narrow" w:cs="Arial Narrow" w:eastAsia="Arial Narrow" w:hAnsi="Arial Narrow"/>
                <w:sz w:val="18"/>
                <w:szCs w:val="18"/>
                <w:b w:val="1"/>
                <w:bCs w:val="1"/>
                <w:color w:val="auto"/>
              </w:rPr>
              <w:t>2025</w:t>
            </w:r>
          </w:p>
        </w:tc>
        <w:tc>
          <w:tcPr>
            <w:tcW w:w="2120" w:type="dxa"/>
            <w:vAlign w:val="bottom"/>
            <w:gridSpan w:val="2"/>
          </w:tcPr>
          <w:p>
            <w:pPr>
              <w:jc w:val="right"/>
              <w:ind w:right="100"/>
              <w:spacing w:after="0"/>
              <w:rPr>
                <w:sz w:val="20"/>
                <w:szCs w:val="20"/>
                <w:color w:val="auto"/>
              </w:rPr>
            </w:pPr>
            <w:r>
              <w:rPr>
                <w:rFonts w:ascii="Arial Narrow" w:cs="Arial Narrow" w:eastAsia="Arial Narrow" w:hAnsi="Arial Narrow"/>
                <w:sz w:val="18"/>
                <w:szCs w:val="18"/>
                <w:b w:val="1"/>
                <w:bCs w:val="1"/>
                <w:color w:val="auto"/>
              </w:rPr>
              <w:t>2024</w:t>
            </w:r>
          </w:p>
        </w:tc>
      </w:tr>
      <w:tr>
        <w:trPr>
          <w:trHeight w:val="92"/>
        </w:trPr>
        <w:tc>
          <w:tcPr>
            <w:tcW w:w="322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2140" w:type="dxa"/>
            <w:vAlign w:val="bottom"/>
            <w:tcBorders>
              <w:bottom w:val="single" w:sz="8" w:color="auto"/>
            </w:tcBorders>
            <w:gridSpan w:val="2"/>
          </w:tcPr>
          <w:p>
            <w:pPr>
              <w:spacing w:after="0"/>
              <w:rPr>
                <w:sz w:val="7"/>
                <w:szCs w:val="7"/>
                <w:color w:val="auto"/>
              </w:rPr>
            </w:pPr>
          </w:p>
        </w:tc>
        <w:tc>
          <w:tcPr>
            <w:tcW w:w="2120" w:type="dxa"/>
            <w:vAlign w:val="bottom"/>
            <w:tcBorders>
              <w:bottom w:val="single" w:sz="8" w:color="auto"/>
            </w:tcBorders>
            <w:gridSpan w:val="2"/>
          </w:tcPr>
          <w:p>
            <w:pPr>
              <w:spacing w:after="0"/>
              <w:rPr>
                <w:sz w:val="7"/>
                <w:szCs w:val="7"/>
                <w:color w:val="auto"/>
              </w:rPr>
            </w:pPr>
          </w:p>
        </w:tc>
      </w:tr>
      <w:tr>
        <w:trPr>
          <w:trHeight w:val="344"/>
        </w:trPr>
        <w:tc>
          <w:tcPr>
            <w:tcW w:w="3220" w:type="dxa"/>
            <w:vAlign w:val="bottom"/>
          </w:tcPr>
          <w:p>
            <w:pPr>
              <w:spacing w:after="0"/>
              <w:rPr>
                <w:sz w:val="20"/>
                <w:szCs w:val="20"/>
                <w:color w:val="auto"/>
              </w:rPr>
            </w:pPr>
            <w:r>
              <w:rPr>
                <w:rFonts w:ascii="Arial Narrow" w:cs="Arial Narrow" w:eastAsia="Arial Narrow" w:hAnsi="Arial Narrow"/>
                <w:sz w:val="20"/>
                <w:szCs w:val="20"/>
                <w:b w:val="1"/>
                <w:bCs w:val="1"/>
                <w:color w:val="386CAD"/>
              </w:rPr>
              <w:t xml:space="preserve">Buda, Texas </w:t>
            </w:r>
            <w:r>
              <w:rPr>
                <w:rFonts w:ascii="Arial Narrow" w:cs="Arial Narrow" w:eastAsia="Arial Narrow" w:hAnsi="Arial Narrow"/>
                <w:sz w:val="13"/>
                <w:szCs w:val="13"/>
                <w:b w:val="1"/>
                <w:bCs w:val="1"/>
                <w:color w:val="386CAD"/>
              </w:rPr>
              <w:t>(1)</w:t>
            </w:r>
          </w:p>
        </w:tc>
        <w:tc>
          <w:tcPr>
            <w:tcW w:w="1880" w:type="dxa"/>
            <w:vAlign w:val="bottom"/>
          </w:tcPr>
          <w:p>
            <w:pPr>
              <w:jc w:val="right"/>
              <w:ind w:right="21"/>
              <w:spacing w:after="0"/>
              <w:rPr>
                <w:sz w:val="20"/>
                <w:szCs w:val="20"/>
                <w:color w:val="auto"/>
              </w:rPr>
            </w:pPr>
            <w:r>
              <w:rPr>
                <w:rFonts w:ascii="Arial Narrow" w:cs="Arial Narrow" w:eastAsia="Arial Narrow" w:hAnsi="Arial Narrow"/>
                <w:sz w:val="20"/>
                <w:szCs w:val="20"/>
                <w:color w:val="auto"/>
              </w:rPr>
              <w:t>540</w:t>
            </w:r>
          </w:p>
        </w:tc>
        <w:tc>
          <w:tcPr>
            <w:tcW w:w="2140" w:type="dxa"/>
            <w:vAlign w:val="bottom"/>
            <w:gridSpan w:val="2"/>
          </w:tcPr>
          <w:p>
            <w:pPr>
              <w:jc w:val="right"/>
              <w:ind w:right="40"/>
              <w:spacing w:after="0"/>
              <w:rPr>
                <w:sz w:val="20"/>
                <w:szCs w:val="20"/>
                <w:color w:val="auto"/>
              </w:rPr>
            </w:pPr>
            <w:r>
              <w:rPr>
                <w:rFonts w:ascii="Arial Narrow" w:cs="Arial Narrow" w:eastAsia="Arial Narrow" w:hAnsi="Arial Narrow"/>
                <w:sz w:val="20"/>
                <w:szCs w:val="20"/>
                <w:color w:val="auto"/>
              </w:rPr>
              <w:t>515</w:t>
            </w:r>
          </w:p>
        </w:tc>
        <w:tc>
          <w:tcPr>
            <w:tcW w:w="2120" w:type="dxa"/>
            <w:vAlign w:val="bottom"/>
            <w:gridSpan w:val="2"/>
          </w:tcPr>
          <w:p>
            <w:pPr>
              <w:jc w:val="right"/>
              <w:ind w:right="100"/>
              <w:spacing w:after="0"/>
              <w:rPr>
                <w:sz w:val="20"/>
                <w:szCs w:val="20"/>
                <w:color w:val="auto"/>
              </w:rPr>
            </w:pPr>
            <w:r>
              <w:rPr>
                <w:rFonts w:ascii="Arial Narrow" w:cs="Arial Narrow" w:eastAsia="Arial Narrow" w:hAnsi="Arial Narrow"/>
                <w:sz w:val="20"/>
                <w:szCs w:val="20"/>
                <w:color w:val="auto"/>
              </w:rPr>
              <w:t>800</w:t>
            </w:r>
          </w:p>
        </w:tc>
      </w:tr>
      <w:tr>
        <w:trPr>
          <w:trHeight w:val="65"/>
        </w:trPr>
        <w:tc>
          <w:tcPr>
            <w:tcW w:w="3220" w:type="dxa"/>
            <w:vAlign w:val="bottom"/>
            <w:tcBorders>
              <w:bottom w:val="single" w:sz="8" w:color="A6A6A6"/>
            </w:tcBorders>
          </w:tcPr>
          <w:p>
            <w:pPr>
              <w:spacing w:after="0"/>
              <w:rPr>
                <w:sz w:val="5"/>
                <w:szCs w:val="5"/>
                <w:color w:val="auto"/>
              </w:rPr>
            </w:pPr>
          </w:p>
        </w:tc>
        <w:tc>
          <w:tcPr>
            <w:tcW w:w="1880" w:type="dxa"/>
            <w:vAlign w:val="bottom"/>
            <w:tcBorders>
              <w:bottom w:val="single" w:sz="8" w:color="A6A6A6"/>
            </w:tcBorders>
          </w:tcPr>
          <w:p>
            <w:pPr>
              <w:spacing w:after="0"/>
              <w:rPr>
                <w:sz w:val="5"/>
                <w:szCs w:val="5"/>
                <w:color w:val="auto"/>
              </w:rPr>
            </w:pPr>
          </w:p>
        </w:tc>
        <w:tc>
          <w:tcPr>
            <w:tcW w:w="260" w:type="dxa"/>
            <w:vAlign w:val="bottom"/>
            <w:tcBorders>
              <w:bottom w:val="single" w:sz="8" w:color="A6A6A6"/>
            </w:tcBorders>
          </w:tcPr>
          <w:p>
            <w:pPr>
              <w:spacing w:after="0"/>
              <w:rPr>
                <w:sz w:val="5"/>
                <w:szCs w:val="5"/>
                <w:color w:val="auto"/>
              </w:rPr>
            </w:pPr>
          </w:p>
        </w:tc>
        <w:tc>
          <w:tcPr>
            <w:tcW w:w="1880" w:type="dxa"/>
            <w:vAlign w:val="bottom"/>
            <w:tcBorders>
              <w:bottom w:val="single" w:sz="8" w:color="A6A6A6"/>
            </w:tcBorders>
          </w:tcPr>
          <w:p>
            <w:pPr>
              <w:spacing w:after="0"/>
              <w:rPr>
                <w:sz w:val="5"/>
                <w:szCs w:val="5"/>
                <w:color w:val="auto"/>
              </w:rPr>
            </w:pPr>
          </w:p>
        </w:tc>
        <w:tc>
          <w:tcPr>
            <w:tcW w:w="260" w:type="dxa"/>
            <w:vAlign w:val="bottom"/>
            <w:tcBorders>
              <w:bottom w:val="single" w:sz="8" w:color="A6A6A6"/>
            </w:tcBorders>
          </w:tcPr>
          <w:p>
            <w:pPr>
              <w:spacing w:after="0"/>
              <w:rPr>
                <w:sz w:val="5"/>
                <w:szCs w:val="5"/>
                <w:color w:val="auto"/>
              </w:rPr>
            </w:pPr>
          </w:p>
        </w:tc>
        <w:tc>
          <w:tcPr>
            <w:tcW w:w="1860" w:type="dxa"/>
            <w:vAlign w:val="bottom"/>
            <w:tcBorders>
              <w:bottom w:val="single" w:sz="8" w:color="A6A6A6"/>
            </w:tcBorders>
          </w:tcPr>
          <w:p>
            <w:pPr>
              <w:spacing w:after="0"/>
              <w:rPr>
                <w:sz w:val="5"/>
                <w:szCs w:val="5"/>
                <w:color w:val="auto"/>
              </w:rPr>
            </w:pPr>
          </w:p>
        </w:tc>
      </w:tr>
      <w:tr>
        <w:trPr>
          <w:trHeight w:val="339"/>
        </w:trPr>
        <w:tc>
          <w:tcPr>
            <w:tcW w:w="3220" w:type="dxa"/>
            <w:vAlign w:val="bottom"/>
          </w:tcPr>
          <w:p>
            <w:pPr>
              <w:spacing w:after="0"/>
              <w:rPr>
                <w:sz w:val="20"/>
                <w:szCs w:val="20"/>
                <w:color w:val="auto"/>
              </w:rPr>
            </w:pPr>
            <w:r>
              <w:rPr>
                <w:rFonts w:ascii="Arial Narrow" w:cs="Arial Narrow" w:eastAsia="Arial Narrow" w:hAnsi="Arial Narrow"/>
                <w:sz w:val="20"/>
                <w:szCs w:val="20"/>
                <w:b w:val="1"/>
                <w:bCs w:val="1"/>
                <w:color w:val="386CAD"/>
              </w:rPr>
              <w:t>LaSalle, Illinois</w:t>
            </w:r>
          </w:p>
        </w:tc>
        <w:tc>
          <w:tcPr>
            <w:tcW w:w="1880" w:type="dxa"/>
            <w:vAlign w:val="bottom"/>
          </w:tcPr>
          <w:p>
            <w:pPr>
              <w:jc w:val="right"/>
              <w:ind w:right="21"/>
              <w:spacing w:after="0"/>
              <w:rPr>
                <w:sz w:val="20"/>
                <w:szCs w:val="20"/>
                <w:color w:val="auto"/>
              </w:rPr>
            </w:pPr>
            <w:r>
              <w:rPr>
                <w:rFonts w:ascii="Arial Narrow" w:cs="Arial Narrow" w:eastAsia="Arial Narrow" w:hAnsi="Arial Narrow"/>
                <w:sz w:val="20"/>
                <w:szCs w:val="20"/>
                <w:color w:val="auto"/>
              </w:rPr>
              <w:t>930</w:t>
            </w:r>
          </w:p>
        </w:tc>
        <w:tc>
          <w:tcPr>
            <w:tcW w:w="2140" w:type="dxa"/>
            <w:vAlign w:val="bottom"/>
            <w:gridSpan w:val="2"/>
          </w:tcPr>
          <w:p>
            <w:pPr>
              <w:jc w:val="right"/>
              <w:ind w:right="40"/>
              <w:spacing w:after="0"/>
              <w:rPr>
                <w:sz w:val="20"/>
                <w:szCs w:val="20"/>
                <w:color w:val="auto"/>
              </w:rPr>
            </w:pPr>
            <w:r>
              <w:rPr>
                <w:rFonts w:ascii="Arial Narrow" w:cs="Arial Narrow" w:eastAsia="Arial Narrow" w:hAnsi="Arial Narrow"/>
                <w:sz w:val="20"/>
                <w:szCs w:val="20"/>
                <w:color w:val="auto"/>
              </w:rPr>
              <w:t>1,015</w:t>
            </w:r>
          </w:p>
        </w:tc>
        <w:tc>
          <w:tcPr>
            <w:tcW w:w="2120" w:type="dxa"/>
            <w:vAlign w:val="bottom"/>
            <w:gridSpan w:val="2"/>
          </w:tcPr>
          <w:p>
            <w:pPr>
              <w:jc w:val="right"/>
              <w:ind w:right="100"/>
              <w:spacing w:after="0"/>
              <w:rPr>
                <w:sz w:val="20"/>
                <w:szCs w:val="20"/>
                <w:color w:val="auto"/>
              </w:rPr>
            </w:pPr>
            <w:r>
              <w:rPr>
                <w:rFonts w:ascii="Arial Narrow" w:cs="Arial Narrow" w:eastAsia="Arial Narrow" w:hAnsi="Arial Narrow"/>
                <w:sz w:val="20"/>
                <w:szCs w:val="20"/>
                <w:color w:val="auto"/>
              </w:rPr>
              <w:t>1,180</w:t>
            </w:r>
          </w:p>
        </w:tc>
      </w:tr>
      <w:tr>
        <w:trPr>
          <w:trHeight w:val="65"/>
        </w:trPr>
        <w:tc>
          <w:tcPr>
            <w:tcW w:w="3220" w:type="dxa"/>
            <w:vAlign w:val="bottom"/>
            <w:tcBorders>
              <w:bottom w:val="single" w:sz="8" w:color="A6A6A6"/>
            </w:tcBorders>
          </w:tcPr>
          <w:p>
            <w:pPr>
              <w:spacing w:after="0"/>
              <w:rPr>
                <w:sz w:val="5"/>
                <w:szCs w:val="5"/>
                <w:color w:val="auto"/>
              </w:rPr>
            </w:pPr>
          </w:p>
        </w:tc>
        <w:tc>
          <w:tcPr>
            <w:tcW w:w="1880" w:type="dxa"/>
            <w:vAlign w:val="bottom"/>
            <w:tcBorders>
              <w:bottom w:val="single" w:sz="8" w:color="A6A6A6"/>
            </w:tcBorders>
          </w:tcPr>
          <w:p>
            <w:pPr>
              <w:spacing w:after="0"/>
              <w:rPr>
                <w:sz w:val="5"/>
                <w:szCs w:val="5"/>
                <w:color w:val="auto"/>
              </w:rPr>
            </w:pPr>
          </w:p>
        </w:tc>
        <w:tc>
          <w:tcPr>
            <w:tcW w:w="260" w:type="dxa"/>
            <w:vAlign w:val="bottom"/>
            <w:tcBorders>
              <w:bottom w:val="single" w:sz="8" w:color="A6A6A6"/>
            </w:tcBorders>
          </w:tcPr>
          <w:p>
            <w:pPr>
              <w:spacing w:after="0"/>
              <w:rPr>
                <w:sz w:val="5"/>
                <w:szCs w:val="5"/>
                <w:color w:val="auto"/>
              </w:rPr>
            </w:pPr>
          </w:p>
        </w:tc>
        <w:tc>
          <w:tcPr>
            <w:tcW w:w="1880" w:type="dxa"/>
            <w:vAlign w:val="bottom"/>
            <w:tcBorders>
              <w:bottom w:val="single" w:sz="8" w:color="A6A6A6"/>
            </w:tcBorders>
          </w:tcPr>
          <w:p>
            <w:pPr>
              <w:spacing w:after="0"/>
              <w:rPr>
                <w:sz w:val="5"/>
                <w:szCs w:val="5"/>
                <w:color w:val="auto"/>
              </w:rPr>
            </w:pPr>
          </w:p>
        </w:tc>
        <w:tc>
          <w:tcPr>
            <w:tcW w:w="260" w:type="dxa"/>
            <w:vAlign w:val="bottom"/>
            <w:tcBorders>
              <w:bottom w:val="single" w:sz="8" w:color="A6A6A6"/>
            </w:tcBorders>
          </w:tcPr>
          <w:p>
            <w:pPr>
              <w:spacing w:after="0"/>
              <w:rPr>
                <w:sz w:val="5"/>
                <w:szCs w:val="5"/>
                <w:color w:val="auto"/>
              </w:rPr>
            </w:pPr>
          </w:p>
        </w:tc>
        <w:tc>
          <w:tcPr>
            <w:tcW w:w="1860" w:type="dxa"/>
            <w:vAlign w:val="bottom"/>
            <w:tcBorders>
              <w:bottom w:val="single" w:sz="8" w:color="A6A6A6"/>
            </w:tcBorders>
          </w:tcPr>
          <w:p>
            <w:pPr>
              <w:spacing w:after="0"/>
              <w:rPr>
                <w:sz w:val="5"/>
                <w:szCs w:val="5"/>
                <w:color w:val="auto"/>
              </w:rPr>
            </w:pPr>
          </w:p>
        </w:tc>
      </w:tr>
      <w:tr>
        <w:trPr>
          <w:trHeight w:val="339"/>
        </w:trPr>
        <w:tc>
          <w:tcPr>
            <w:tcW w:w="3220" w:type="dxa"/>
            <w:vAlign w:val="bottom"/>
          </w:tcPr>
          <w:p>
            <w:pPr>
              <w:spacing w:after="0"/>
              <w:rPr>
                <w:sz w:val="20"/>
                <w:szCs w:val="20"/>
                <w:color w:val="auto"/>
              </w:rPr>
            </w:pPr>
            <w:r>
              <w:rPr>
                <w:rFonts w:ascii="Arial Narrow" w:cs="Arial Narrow" w:eastAsia="Arial Narrow" w:hAnsi="Arial Narrow"/>
                <w:sz w:val="20"/>
                <w:szCs w:val="20"/>
                <w:b w:val="1"/>
                <w:bCs w:val="1"/>
                <w:color w:val="386CAD"/>
              </w:rPr>
              <w:t>Sugar Creek, Missouri</w:t>
            </w:r>
          </w:p>
        </w:tc>
        <w:tc>
          <w:tcPr>
            <w:tcW w:w="1880" w:type="dxa"/>
            <w:vAlign w:val="bottom"/>
          </w:tcPr>
          <w:p>
            <w:pPr>
              <w:jc w:val="right"/>
              <w:ind w:right="21"/>
              <w:spacing w:after="0"/>
              <w:rPr>
                <w:sz w:val="20"/>
                <w:szCs w:val="20"/>
                <w:color w:val="auto"/>
              </w:rPr>
            </w:pPr>
            <w:r>
              <w:rPr>
                <w:rFonts w:ascii="Arial Narrow" w:cs="Arial Narrow" w:eastAsia="Arial Narrow" w:hAnsi="Arial Narrow"/>
                <w:sz w:val="20"/>
                <w:szCs w:val="20"/>
                <w:color w:val="auto"/>
              </w:rPr>
              <w:t>945</w:t>
            </w:r>
          </w:p>
        </w:tc>
        <w:tc>
          <w:tcPr>
            <w:tcW w:w="2140" w:type="dxa"/>
            <w:vAlign w:val="bottom"/>
            <w:gridSpan w:val="2"/>
          </w:tcPr>
          <w:p>
            <w:pPr>
              <w:jc w:val="right"/>
              <w:ind w:right="40"/>
              <w:spacing w:after="0"/>
              <w:rPr>
                <w:sz w:val="20"/>
                <w:szCs w:val="20"/>
                <w:color w:val="auto"/>
              </w:rPr>
            </w:pPr>
            <w:r>
              <w:rPr>
                <w:rFonts w:ascii="Arial Narrow" w:cs="Arial Narrow" w:eastAsia="Arial Narrow" w:hAnsi="Arial Narrow"/>
                <w:sz w:val="20"/>
                <w:szCs w:val="20"/>
                <w:color w:val="auto"/>
              </w:rPr>
              <w:t>915</w:t>
            </w:r>
          </w:p>
        </w:tc>
        <w:tc>
          <w:tcPr>
            <w:tcW w:w="2120" w:type="dxa"/>
            <w:vAlign w:val="bottom"/>
            <w:gridSpan w:val="2"/>
          </w:tcPr>
          <w:p>
            <w:pPr>
              <w:jc w:val="right"/>
              <w:ind w:right="100"/>
              <w:spacing w:after="0"/>
              <w:rPr>
                <w:sz w:val="20"/>
                <w:szCs w:val="20"/>
                <w:color w:val="auto"/>
              </w:rPr>
            </w:pPr>
            <w:r>
              <w:rPr>
                <w:rFonts w:ascii="Arial Narrow" w:cs="Arial Narrow" w:eastAsia="Arial Narrow" w:hAnsi="Arial Narrow"/>
                <w:sz w:val="20"/>
                <w:szCs w:val="20"/>
                <w:color w:val="auto"/>
              </w:rPr>
              <w:t>820</w:t>
            </w:r>
          </w:p>
        </w:tc>
      </w:tr>
      <w:tr>
        <w:trPr>
          <w:trHeight w:val="65"/>
        </w:trPr>
        <w:tc>
          <w:tcPr>
            <w:tcW w:w="3220" w:type="dxa"/>
            <w:vAlign w:val="bottom"/>
            <w:tcBorders>
              <w:bottom w:val="single" w:sz="8" w:color="A6A6A6"/>
            </w:tcBorders>
          </w:tcPr>
          <w:p>
            <w:pPr>
              <w:spacing w:after="0"/>
              <w:rPr>
                <w:sz w:val="5"/>
                <w:szCs w:val="5"/>
                <w:color w:val="auto"/>
              </w:rPr>
            </w:pPr>
          </w:p>
        </w:tc>
        <w:tc>
          <w:tcPr>
            <w:tcW w:w="1880" w:type="dxa"/>
            <w:vAlign w:val="bottom"/>
            <w:tcBorders>
              <w:bottom w:val="single" w:sz="8" w:color="A6A6A6"/>
            </w:tcBorders>
          </w:tcPr>
          <w:p>
            <w:pPr>
              <w:spacing w:after="0"/>
              <w:rPr>
                <w:sz w:val="5"/>
                <w:szCs w:val="5"/>
                <w:color w:val="auto"/>
              </w:rPr>
            </w:pPr>
          </w:p>
        </w:tc>
        <w:tc>
          <w:tcPr>
            <w:tcW w:w="260" w:type="dxa"/>
            <w:vAlign w:val="bottom"/>
            <w:tcBorders>
              <w:bottom w:val="single" w:sz="8" w:color="A6A6A6"/>
            </w:tcBorders>
          </w:tcPr>
          <w:p>
            <w:pPr>
              <w:spacing w:after="0"/>
              <w:rPr>
                <w:sz w:val="5"/>
                <w:szCs w:val="5"/>
                <w:color w:val="auto"/>
              </w:rPr>
            </w:pPr>
          </w:p>
        </w:tc>
        <w:tc>
          <w:tcPr>
            <w:tcW w:w="1880" w:type="dxa"/>
            <w:vAlign w:val="bottom"/>
            <w:tcBorders>
              <w:bottom w:val="single" w:sz="8" w:color="A6A6A6"/>
            </w:tcBorders>
          </w:tcPr>
          <w:p>
            <w:pPr>
              <w:spacing w:after="0"/>
              <w:rPr>
                <w:sz w:val="5"/>
                <w:szCs w:val="5"/>
                <w:color w:val="auto"/>
              </w:rPr>
            </w:pPr>
          </w:p>
        </w:tc>
        <w:tc>
          <w:tcPr>
            <w:tcW w:w="260" w:type="dxa"/>
            <w:vAlign w:val="bottom"/>
            <w:tcBorders>
              <w:bottom w:val="single" w:sz="8" w:color="A6A6A6"/>
            </w:tcBorders>
          </w:tcPr>
          <w:p>
            <w:pPr>
              <w:spacing w:after="0"/>
              <w:rPr>
                <w:sz w:val="5"/>
                <w:szCs w:val="5"/>
                <w:color w:val="auto"/>
              </w:rPr>
            </w:pPr>
          </w:p>
        </w:tc>
        <w:tc>
          <w:tcPr>
            <w:tcW w:w="1860" w:type="dxa"/>
            <w:vAlign w:val="bottom"/>
            <w:tcBorders>
              <w:bottom w:val="single" w:sz="8" w:color="A6A6A6"/>
            </w:tcBorders>
          </w:tcPr>
          <w:p>
            <w:pPr>
              <w:spacing w:after="0"/>
              <w:rPr>
                <w:sz w:val="5"/>
                <w:szCs w:val="5"/>
                <w:color w:val="auto"/>
              </w:rPr>
            </w:pPr>
          </w:p>
        </w:tc>
      </w:tr>
      <w:tr>
        <w:trPr>
          <w:trHeight w:val="339"/>
        </w:trPr>
        <w:tc>
          <w:tcPr>
            <w:tcW w:w="3220" w:type="dxa"/>
            <w:vAlign w:val="bottom"/>
          </w:tcPr>
          <w:p>
            <w:pPr>
              <w:spacing w:after="0"/>
              <w:rPr>
                <w:sz w:val="20"/>
                <w:szCs w:val="20"/>
                <w:color w:val="auto"/>
              </w:rPr>
            </w:pPr>
            <w:r>
              <w:rPr>
                <w:rFonts w:ascii="Arial Narrow" w:cs="Arial Narrow" w:eastAsia="Arial Narrow" w:hAnsi="Arial Narrow"/>
                <w:sz w:val="20"/>
                <w:szCs w:val="20"/>
                <w:b w:val="1"/>
                <w:bCs w:val="1"/>
                <w:color w:val="386CAD"/>
              </w:rPr>
              <w:t>Laramie, Wyoming</w:t>
            </w:r>
          </w:p>
        </w:tc>
        <w:tc>
          <w:tcPr>
            <w:tcW w:w="1880" w:type="dxa"/>
            <w:vAlign w:val="bottom"/>
          </w:tcPr>
          <w:p>
            <w:pPr>
              <w:jc w:val="right"/>
              <w:ind w:right="21"/>
              <w:spacing w:after="0"/>
              <w:rPr>
                <w:sz w:val="20"/>
                <w:szCs w:val="20"/>
                <w:color w:val="auto"/>
              </w:rPr>
            </w:pPr>
            <w:r>
              <w:rPr>
                <w:rFonts w:ascii="Arial Narrow" w:cs="Arial Narrow" w:eastAsia="Arial Narrow" w:hAnsi="Arial Narrow"/>
                <w:sz w:val="20"/>
                <w:szCs w:val="20"/>
                <w:color w:val="auto"/>
              </w:rPr>
              <w:t>664</w:t>
            </w:r>
          </w:p>
        </w:tc>
        <w:tc>
          <w:tcPr>
            <w:tcW w:w="2140" w:type="dxa"/>
            <w:vAlign w:val="bottom"/>
            <w:gridSpan w:val="2"/>
          </w:tcPr>
          <w:p>
            <w:pPr>
              <w:jc w:val="right"/>
              <w:ind w:right="40"/>
              <w:spacing w:after="0"/>
              <w:rPr>
                <w:sz w:val="20"/>
                <w:szCs w:val="20"/>
                <w:color w:val="auto"/>
              </w:rPr>
            </w:pPr>
            <w:r>
              <w:rPr>
                <w:rFonts w:ascii="Arial Narrow" w:cs="Arial Narrow" w:eastAsia="Arial Narrow" w:hAnsi="Arial Narrow"/>
                <w:sz w:val="20"/>
                <w:szCs w:val="20"/>
                <w:color w:val="auto"/>
              </w:rPr>
              <w:t>870</w:t>
            </w:r>
          </w:p>
        </w:tc>
        <w:tc>
          <w:tcPr>
            <w:tcW w:w="2120" w:type="dxa"/>
            <w:vAlign w:val="bottom"/>
            <w:gridSpan w:val="2"/>
          </w:tcPr>
          <w:p>
            <w:pPr>
              <w:jc w:val="right"/>
              <w:ind w:right="100"/>
              <w:spacing w:after="0"/>
              <w:rPr>
                <w:sz w:val="20"/>
                <w:szCs w:val="20"/>
                <w:color w:val="auto"/>
              </w:rPr>
            </w:pPr>
            <w:r>
              <w:rPr>
                <w:rFonts w:ascii="Arial Narrow" w:cs="Arial Narrow" w:eastAsia="Arial Narrow" w:hAnsi="Arial Narrow"/>
                <w:sz w:val="20"/>
                <w:szCs w:val="20"/>
                <w:color w:val="auto"/>
              </w:rPr>
              <w:t>915</w:t>
            </w:r>
          </w:p>
        </w:tc>
      </w:tr>
      <w:tr>
        <w:trPr>
          <w:trHeight w:val="65"/>
        </w:trPr>
        <w:tc>
          <w:tcPr>
            <w:tcW w:w="3220" w:type="dxa"/>
            <w:vAlign w:val="bottom"/>
            <w:tcBorders>
              <w:bottom w:val="single" w:sz="8" w:color="A6A6A6"/>
            </w:tcBorders>
          </w:tcPr>
          <w:p>
            <w:pPr>
              <w:spacing w:after="0"/>
              <w:rPr>
                <w:sz w:val="5"/>
                <w:szCs w:val="5"/>
                <w:color w:val="auto"/>
              </w:rPr>
            </w:pPr>
          </w:p>
        </w:tc>
        <w:tc>
          <w:tcPr>
            <w:tcW w:w="1880" w:type="dxa"/>
            <w:vAlign w:val="bottom"/>
            <w:tcBorders>
              <w:bottom w:val="single" w:sz="8" w:color="A6A6A6"/>
            </w:tcBorders>
          </w:tcPr>
          <w:p>
            <w:pPr>
              <w:spacing w:after="0"/>
              <w:rPr>
                <w:sz w:val="5"/>
                <w:szCs w:val="5"/>
                <w:color w:val="auto"/>
              </w:rPr>
            </w:pPr>
          </w:p>
        </w:tc>
        <w:tc>
          <w:tcPr>
            <w:tcW w:w="260" w:type="dxa"/>
            <w:vAlign w:val="bottom"/>
            <w:tcBorders>
              <w:bottom w:val="single" w:sz="8" w:color="A6A6A6"/>
            </w:tcBorders>
          </w:tcPr>
          <w:p>
            <w:pPr>
              <w:spacing w:after="0"/>
              <w:rPr>
                <w:sz w:val="5"/>
                <w:szCs w:val="5"/>
                <w:color w:val="auto"/>
              </w:rPr>
            </w:pPr>
          </w:p>
        </w:tc>
        <w:tc>
          <w:tcPr>
            <w:tcW w:w="1880" w:type="dxa"/>
            <w:vAlign w:val="bottom"/>
            <w:tcBorders>
              <w:bottom w:val="single" w:sz="8" w:color="A6A6A6"/>
            </w:tcBorders>
          </w:tcPr>
          <w:p>
            <w:pPr>
              <w:spacing w:after="0"/>
              <w:rPr>
                <w:sz w:val="5"/>
                <w:szCs w:val="5"/>
                <w:color w:val="auto"/>
              </w:rPr>
            </w:pPr>
          </w:p>
        </w:tc>
        <w:tc>
          <w:tcPr>
            <w:tcW w:w="260" w:type="dxa"/>
            <w:vAlign w:val="bottom"/>
            <w:tcBorders>
              <w:bottom w:val="single" w:sz="8" w:color="A6A6A6"/>
            </w:tcBorders>
          </w:tcPr>
          <w:p>
            <w:pPr>
              <w:spacing w:after="0"/>
              <w:rPr>
                <w:sz w:val="5"/>
                <w:szCs w:val="5"/>
                <w:color w:val="auto"/>
              </w:rPr>
            </w:pPr>
          </w:p>
        </w:tc>
        <w:tc>
          <w:tcPr>
            <w:tcW w:w="1860" w:type="dxa"/>
            <w:vAlign w:val="bottom"/>
            <w:tcBorders>
              <w:bottom w:val="single" w:sz="8" w:color="A6A6A6"/>
            </w:tcBorders>
          </w:tcPr>
          <w:p>
            <w:pPr>
              <w:spacing w:after="0"/>
              <w:rPr>
                <w:sz w:val="5"/>
                <w:szCs w:val="5"/>
                <w:color w:val="auto"/>
              </w:rPr>
            </w:pPr>
          </w:p>
        </w:tc>
      </w:tr>
      <w:tr>
        <w:trPr>
          <w:trHeight w:val="339"/>
        </w:trPr>
        <w:tc>
          <w:tcPr>
            <w:tcW w:w="3220" w:type="dxa"/>
            <w:vAlign w:val="bottom"/>
          </w:tcPr>
          <w:p>
            <w:pPr>
              <w:spacing w:after="0"/>
              <w:rPr>
                <w:sz w:val="20"/>
                <w:szCs w:val="20"/>
                <w:color w:val="auto"/>
              </w:rPr>
            </w:pPr>
            <w:r>
              <w:rPr>
                <w:rFonts w:ascii="Arial Narrow" w:cs="Arial Narrow" w:eastAsia="Arial Narrow" w:hAnsi="Arial Narrow"/>
                <w:sz w:val="20"/>
                <w:szCs w:val="20"/>
                <w:b w:val="1"/>
                <w:bCs w:val="1"/>
                <w:color w:val="386CAD"/>
              </w:rPr>
              <w:t>Tulsa, Oklahoma</w:t>
            </w:r>
          </w:p>
        </w:tc>
        <w:tc>
          <w:tcPr>
            <w:tcW w:w="1880" w:type="dxa"/>
            <w:vAlign w:val="bottom"/>
          </w:tcPr>
          <w:p>
            <w:pPr>
              <w:jc w:val="right"/>
              <w:ind w:right="21"/>
              <w:spacing w:after="0"/>
              <w:rPr>
                <w:sz w:val="20"/>
                <w:szCs w:val="20"/>
                <w:color w:val="auto"/>
              </w:rPr>
            </w:pPr>
            <w:r>
              <w:rPr>
                <w:rFonts w:ascii="Arial Narrow" w:cs="Arial Narrow" w:eastAsia="Arial Narrow" w:hAnsi="Arial Narrow"/>
                <w:sz w:val="20"/>
                <w:szCs w:val="20"/>
                <w:color w:val="auto"/>
              </w:rPr>
              <w:t>900</w:t>
            </w:r>
          </w:p>
        </w:tc>
        <w:tc>
          <w:tcPr>
            <w:tcW w:w="2140" w:type="dxa"/>
            <w:vAlign w:val="bottom"/>
            <w:gridSpan w:val="2"/>
          </w:tcPr>
          <w:p>
            <w:pPr>
              <w:jc w:val="right"/>
              <w:ind w:right="40"/>
              <w:spacing w:after="0"/>
              <w:rPr>
                <w:sz w:val="20"/>
                <w:szCs w:val="20"/>
                <w:color w:val="auto"/>
              </w:rPr>
            </w:pPr>
            <w:r>
              <w:rPr>
                <w:rFonts w:ascii="Arial Narrow" w:cs="Arial Narrow" w:eastAsia="Arial Narrow" w:hAnsi="Arial Narrow"/>
                <w:sz w:val="20"/>
                <w:szCs w:val="20"/>
                <w:color w:val="auto"/>
              </w:rPr>
              <w:t>760</w:t>
            </w:r>
          </w:p>
        </w:tc>
        <w:tc>
          <w:tcPr>
            <w:tcW w:w="2120" w:type="dxa"/>
            <w:vAlign w:val="bottom"/>
            <w:gridSpan w:val="2"/>
          </w:tcPr>
          <w:p>
            <w:pPr>
              <w:jc w:val="right"/>
              <w:ind w:right="100"/>
              <w:spacing w:after="0"/>
              <w:rPr>
                <w:sz w:val="20"/>
                <w:szCs w:val="20"/>
                <w:color w:val="auto"/>
              </w:rPr>
            </w:pPr>
            <w:r>
              <w:rPr>
                <w:rFonts w:ascii="Arial Narrow" w:cs="Arial Narrow" w:eastAsia="Arial Narrow" w:hAnsi="Arial Narrow"/>
                <w:sz w:val="20"/>
                <w:szCs w:val="20"/>
                <w:color w:val="auto"/>
              </w:rPr>
              <w:t>885</w:t>
            </w:r>
          </w:p>
        </w:tc>
      </w:tr>
      <w:tr>
        <w:trPr>
          <w:trHeight w:val="65"/>
        </w:trPr>
        <w:tc>
          <w:tcPr>
            <w:tcW w:w="3220" w:type="dxa"/>
            <w:vAlign w:val="bottom"/>
            <w:tcBorders>
              <w:bottom w:val="single" w:sz="8" w:color="A6A6A6"/>
            </w:tcBorders>
          </w:tcPr>
          <w:p>
            <w:pPr>
              <w:spacing w:after="0"/>
              <w:rPr>
                <w:sz w:val="5"/>
                <w:szCs w:val="5"/>
                <w:color w:val="auto"/>
              </w:rPr>
            </w:pPr>
          </w:p>
        </w:tc>
        <w:tc>
          <w:tcPr>
            <w:tcW w:w="1880" w:type="dxa"/>
            <w:vAlign w:val="bottom"/>
            <w:tcBorders>
              <w:bottom w:val="single" w:sz="8" w:color="A6A6A6"/>
            </w:tcBorders>
          </w:tcPr>
          <w:p>
            <w:pPr>
              <w:spacing w:after="0"/>
              <w:rPr>
                <w:sz w:val="5"/>
                <w:szCs w:val="5"/>
                <w:color w:val="auto"/>
              </w:rPr>
            </w:pPr>
          </w:p>
        </w:tc>
        <w:tc>
          <w:tcPr>
            <w:tcW w:w="260" w:type="dxa"/>
            <w:vAlign w:val="bottom"/>
            <w:tcBorders>
              <w:bottom w:val="single" w:sz="8" w:color="A6A6A6"/>
            </w:tcBorders>
          </w:tcPr>
          <w:p>
            <w:pPr>
              <w:spacing w:after="0"/>
              <w:rPr>
                <w:sz w:val="5"/>
                <w:szCs w:val="5"/>
                <w:color w:val="auto"/>
              </w:rPr>
            </w:pPr>
          </w:p>
        </w:tc>
        <w:tc>
          <w:tcPr>
            <w:tcW w:w="1880" w:type="dxa"/>
            <w:vAlign w:val="bottom"/>
            <w:tcBorders>
              <w:bottom w:val="single" w:sz="8" w:color="A6A6A6"/>
            </w:tcBorders>
          </w:tcPr>
          <w:p>
            <w:pPr>
              <w:spacing w:after="0"/>
              <w:rPr>
                <w:sz w:val="5"/>
                <w:szCs w:val="5"/>
                <w:color w:val="auto"/>
              </w:rPr>
            </w:pPr>
          </w:p>
        </w:tc>
        <w:tc>
          <w:tcPr>
            <w:tcW w:w="260" w:type="dxa"/>
            <w:vAlign w:val="bottom"/>
            <w:tcBorders>
              <w:bottom w:val="single" w:sz="8" w:color="A6A6A6"/>
            </w:tcBorders>
          </w:tcPr>
          <w:p>
            <w:pPr>
              <w:spacing w:after="0"/>
              <w:rPr>
                <w:sz w:val="5"/>
                <w:szCs w:val="5"/>
                <w:color w:val="auto"/>
              </w:rPr>
            </w:pPr>
          </w:p>
        </w:tc>
        <w:tc>
          <w:tcPr>
            <w:tcW w:w="1860" w:type="dxa"/>
            <w:vAlign w:val="bottom"/>
            <w:tcBorders>
              <w:bottom w:val="single" w:sz="8" w:color="A6A6A6"/>
            </w:tcBorders>
          </w:tcPr>
          <w:p>
            <w:pPr>
              <w:spacing w:after="0"/>
              <w:rPr>
                <w:sz w:val="5"/>
                <w:szCs w:val="5"/>
                <w:color w:val="auto"/>
              </w:rPr>
            </w:pPr>
          </w:p>
        </w:tc>
      </w:tr>
      <w:tr>
        <w:trPr>
          <w:trHeight w:val="339"/>
        </w:trPr>
        <w:tc>
          <w:tcPr>
            <w:tcW w:w="3220" w:type="dxa"/>
            <w:vAlign w:val="bottom"/>
          </w:tcPr>
          <w:p>
            <w:pPr>
              <w:spacing w:after="0"/>
              <w:rPr>
                <w:sz w:val="20"/>
                <w:szCs w:val="20"/>
                <w:color w:val="auto"/>
              </w:rPr>
            </w:pPr>
            <w:r>
              <w:rPr>
                <w:rFonts w:ascii="Arial Narrow" w:cs="Arial Narrow" w:eastAsia="Arial Narrow" w:hAnsi="Arial Narrow"/>
                <w:sz w:val="20"/>
                <w:szCs w:val="20"/>
                <w:b w:val="1"/>
                <w:bCs w:val="1"/>
                <w:color w:val="386CAD"/>
              </w:rPr>
              <w:t>Fernley, Nevada</w:t>
            </w:r>
          </w:p>
        </w:tc>
        <w:tc>
          <w:tcPr>
            <w:tcW w:w="1880" w:type="dxa"/>
            <w:vAlign w:val="bottom"/>
          </w:tcPr>
          <w:p>
            <w:pPr>
              <w:jc w:val="right"/>
              <w:ind w:right="21"/>
              <w:spacing w:after="0"/>
              <w:rPr>
                <w:sz w:val="20"/>
                <w:szCs w:val="20"/>
                <w:color w:val="auto"/>
              </w:rPr>
            </w:pPr>
            <w:r>
              <w:rPr>
                <w:rFonts w:ascii="Arial Narrow" w:cs="Arial Narrow" w:eastAsia="Arial Narrow" w:hAnsi="Arial Narrow"/>
                <w:sz w:val="20"/>
                <w:szCs w:val="20"/>
                <w:color w:val="auto"/>
              </w:rPr>
              <w:t>505</w:t>
            </w:r>
          </w:p>
        </w:tc>
        <w:tc>
          <w:tcPr>
            <w:tcW w:w="2140" w:type="dxa"/>
            <w:vAlign w:val="bottom"/>
            <w:gridSpan w:val="2"/>
          </w:tcPr>
          <w:p>
            <w:pPr>
              <w:jc w:val="right"/>
              <w:ind w:right="40"/>
              <w:spacing w:after="0"/>
              <w:rPr>
                <w:sz w:val="20"/>
                <w:szCs w:val="20"/>
                <w:color w:val="auto"/>
              </w:rPr>
            </w:pPr>
            <w:r>
              <w:rPr>
                <w:rFonts w:ascii="Arial Narrow" w:cs="Arial Narrow" w:eastAsia="Arial Narrow" w:hAnsi="Arial Narrow"/>
                <w:sz w:val="20"/>
                <w:szCs w:val="20"/>
                <w:color w:val="auto"/>
              </w:rPr>
              <w:t>510</w:t>
            </w:r>
          </w:p>
        </w:tc>
        <w:tc>
          <w:tcPr>
            <w:tcW w:w="2120" w:type="dxa"/>
            <w:vAlign w:val="bottom"/>
            <w:gridSpan w:val="2"/>
          </w:tcPr>
          <w:p>
            <w:pPr>
              <w:jc w:val="right"/>
              <w:ind w:right="100"/>
              <w:spacing w:after="0"/>
              <w:rPr>
                <w:sz w:val="20"/>
                <w:szCs w:val="20"/>
                <w:color w:val="auto"/>
              </w:rPr>
            </w:pPr>
            <w:r>
              <w:rPr>
                <w:rFonts w:ascii="Arial Narrow" w:cs="Arial Narrow" w:eastAsia="Arial Narrow" w:hAnsi="Arial Narrow"/>
                <w:sz w:val="20"/>
                <w:szCs w:val="20"/>
                <w:color w:val="auto"/>
              </w:rPr>
              <w:t>610</w:t>
            </w:r>
          </w:p>
        </w:tc>
      </w:tr>
      <w:tr>
        <w:trPr>
          <w:trHeight w:val="65"/>
        </w:trPr>
        <w:tc>
          <w:tcPr>
            <w:tcW w:w="3220" w:type="dxa"/>
            <w:vAlign w:val="bottom"/>
            <w:tcBorders>
              <w:bottom w:val="single" w:sz="8" w:color="A6A6A6"/>
            </w:tcBorders>
          </w:tcPr>
          <w:p>
            <w:pPr>
              <w:spacing w:after="0"/>
              <w:rPr>
                <w:sz w:val="5"/>
                <w:szCs w:val="5"/>
                <w:color w:val="auto"/>
              </w:rPr>
            </w:pPr>
          </w:p>
        </w:tc>
        <w:tc>
          <w:tcPr>
            <w:tcW w:w="1880" w:type="dxa"/>
            <w:vAlign w:val="bottom"/>
            <w:tcBorders>
              <w:bottom w:val="single" w:sz="8" w:color="A6A6A6"/>
            </w:tcBorders>
          </w:tcPr>
          <w:p>
            <w:pPr>
              <w:spacing w:after="0"/>
              <w:rPr>
                <w:sz w:val="5"/>
                <w:szCs w:val="5"/>
                <w:color w:val="auto"/>
              </w:rPr>
            </w:pPr>
          </w:p>
        </w:tc>
        <w:tc>
          <w:tcPr>
            <w:tcW w:w="260" w:type="dxa"/>
            <w:vAlign w:val="bottom"/>
            <w:tcBorders>
              <w:bottom w:val="single" w:sz="8" w:color="A6A6A6"/>
            </w:tcBorders>
          </w:tcPr>
          <w:p>
            <w:pPr>
              <w:spacing w:after="0"/>
              <w:rPr>
                <w:sz w:val="5"/>
                <w:szCs w:val="5"/>
                <w:color w:val="auto"/>
              </w:rPr>
            </w:pPr>
          </w:p>
        </w:tc>
        <w:tc>
          <w:tcPr>
            <w:tcW w:w="1880" w:type="dxa"/>
            <w:vAlign w:val="bottom"/>
            <w:tcBorders>
              <w:bottom w:val="single" w:sz="8" w:color="A6A6A6"/>
            </w:tcBorders>
          </w:tcPr>
          <w:p>
            <w:pPr>
              <w:spacing w:after="0"/>
              <w:rPr>
                <w:sz w:val="5"/>
                <w:szCs w:val="5"/>
                <w:color w:val="auto"/>
              </w:rPr>
            </w:pPr>
          </w:p>
        </w:tc>
        <w:tc>
          <w:tcPr>
            <w:tcW w:w="260" w:type="dxa"/>
            <w:vAlign w:val="bottom"/>
            <w:tcBorders>
              <w:bottom w:val="single" w:sz="8" w:color="A6A6A6"/>
            </w:tcBorders>
          </w:tcPr>
          <w:p>
            <w:pPr>
              <w:spacing w:after="0"/>
              <w:rPr>
                <w:sz w:val="5"/>
                <w:szCs w:val="5"/>
                <w:color w:val="auto"/>
              </w:rPr>
            </w:pPr>
          </w:p>
        </w:tc>
        <w:tc>
          <w:tcPr>
            <w:tcW w:w="1860" w:type="dxa"/>
            <w:vAlign w:val="bottom"/>
            <w:tcBorders>
              <w:bottom w:val="single" w:sz="8" w:color="A6A6A6"/>
            </w:tcBorders>
          </w:tcPr>
          <w:p>
            <w:pPr>
              <w:spacing w:after="0"/>
              <w:rPr>
                <w:sz w:val="5"/>
                <w:szCs w:val="5"/>
                <w:color w:val="auto"/>
              </w:rPr>
            </w:pPr>
          </w:p>
        </w:tc>
      </w:tr>
      <w:tr>
        <w:trPr>
          <w:trHeight w:val="339"/>
        </w:trPr>
        <w:tc>
          <w:tcPr>
            <w:tcW w:w="3220" w:type="dxa"/>
            <w:vAlign w:val="bottom"/>
          </w:tcPr>
          <w:p>
            <w:pPr>
              <w:spacing w:after="0"/>
              <w:rPr>
                <w:sz w:val="20"/>
                <w:szCs w:val="20"/>
                <w:color w:val="auto"/>
              </w:rPr>
            </w:pPr>
            <w:r>
              <w:rPr>
                <w:rFonts w:ascii="Arial Narrow" w:cs="Arial Narrow" w:eastAsia="Arial Narrow" w:hAnsi="Arial Narrow"/>
                <w:sz w:val="20"/>
                <w:szCs w:val="20"/>
                <w:b w:val="1"/>
                <w:bCs w:val="1"/>
                <w:color w:val="386CAD"/>
              </w:rPr>
              <w:t>Louisville, Kentucky</w:t>
            </w:r>
          </w:p>
        </w:tc>
        <w:tc>
          <w:tcPr>
            <w:tcW w:w="1880" w:type="dxa"/>
            <w:vAlign w:val="bottom"/>
          </w:tcPr>
          <w:p>
            <w:pPr>
              <w:jc w:val="right"/>
              <w:ind w:right="21"/>
              <w:spacing w:after="0"/>
              <w:rPr>
                <w:sz w:val="20"/>
                <w:szCs w:val="20"/>
                <w:color w:val="auto"/>
              </w:rPr>
            </w:pPr>
            <w:r>
              <w:rPr>
                <w:rFonts w:ascii="Arial Narrow" w:cs="Arial Narrow" w:eastAsia="Arial Narrow" w:hAnsi="Arial Narrow"/>
                <w:sz w:val="20"/>
                <w:szCs w:val="20"/>
                <w:color w:val="auto"/>
              </w:rPr>
              <w:t>2,295</w:t>
            </w:r>
          </w:p>
        </w:tc>
        <w:tc>
          <w:tcPr>
            <w:tcW w:w="2140" w:type="dxa"/>
            <w:vAlign w:val="bottom"/>
            <w:gridSpan w:val="2"/>
          </w:tcPr>
          <w:p>
            <w:pPr>
              <w:jc w:val="right"/>
              <w:ind w:right="40"/>
              <w:spacing w:after="0"/>
              <w:rPr>
                <w:sz w:val="20"/>
                <w:szCs w:val="20"/>
                <w:color w:val="auto"/>
              </w:rPr>
            </w:pPr>
            <w:r>
              <w:rPr>
                <w:rFonts w:ascii="Arial Narrow" w:cs="Arial Narrow" w:eastAsia="Arial Narrow" w:hAnsi="Arial Narrow"/>
                <w:sz w:val="20"/>
                <w:szCs w:val="20"/>
                <w:color w:val="auto"/>
              </w:rPr>
              <w:t>1,850</w:t>
            </w:r>
          </w:p>
        </w:tc>
        <w:tc>
          <w:tcPr>
            <w:tcW w:w="2120" w:type="dxa"/>
            <w:vAlign w:val="bottom"/>
            <w:gridSpan w:val="2"/>
          </w:tcPr>
          <w:p>
            <w:pPr>
              <w:jc w:val="right"/>
              <w:ind w:right="100"/>
              <w:spacing w:after="0"/>
              <w:rPr>
                <w:sz w:val="20"/>
                <w:szCs w:val="20"/>
                <w:color w:val="auto"/>
              </w:rPr>
            </w:pPr>
            <w:r>
              <w:rPr>
                <w:rFonts w:ascii="Arial Narrow" w:cs="Arial Narrow" w:eastAsia="Arial Narrow" w:hAnsi="Arial Narrow"/>
                <w:sz w:val="20"/>
                <w:szCs w:val="20"/>
                <w:color w:val="auto"/>
              </w:rPr>
              <w:t>1,965</w:t>
            </w:r>
          </w:p>
        </w:tc>
      </w:tr>
      <w:tr>
        <w:trPr>
          <w:trHeight w:val="65"/>
        </w:trPr>
        <w:tc>
          <w:tcPr>
            <w:tcW w:w="3220" w:type="dxa"/>
            <w:vAlign w:val="bottom"/>
            <w:tcBorders>
              <w:bottom w:val="single" w:sz="8" w:color="A6A6A6"/>
            </w:tcBorders>
          </w:tcPr>
          <w:p>
            <w:pPr>
              <w:spacing w:after="0"/>
              <w:rPr>
                <w:sz w:val="5"/>
                <w:szCs w:val="5"/>
                <w:color w:val="auto"/>
              </w:rPr>
            </w:pPr>
          </w:p>
        </w:tc>
        <w:tc>
          <w:tcPr>
            <w:tcW w:w="1880" w:type="dxa"/>
            <w:vAlign w:val="bottom"/>
            <w:tcBorders>
              <w:bottom w:val="single" w:sz="8" w:color="A6A6A6"/>
            </w:tcBorders>
          </w:tcPr>
          <w:p>
            <w:pPr>
              <w:spacing w:after="0"/>
              <w:rPr>
                <w:sz w:val="5"/>
                <w:szCs w:val="5"/>
                <w:color w:val="auto"/>
              </w:rPr>
            </w:pPr>
          </w:p>
        </w:tc>
        <w:tc>
          <w:tcPr>
            <w:tcW w:w="260" w:type="dxa"/>
            <w:vAlign w:val="bottom"/>
            <w:tcBorders>
              <w:bottom w:val="single" w:sz="8" w:color="A6A6A6"/>
            </w:tcBorders>
          </w:tcPr>
          <w:p>
            <w:pPr>
              <w:spacing w:after="0"/>
              <w:rPr>
                <w:sz w:val="5"/>
                <w:szCs w:val="5"/>
                <w:color w:val="auto"/>
              </w:rPr>
            </w:pPr>
          </w:p>
        </w:tc>
        <w:tc>
          <w:tcPr>
            <w:tcW w:w="1880" w:type="dxa"/>
            <w:vAlign w:val="bottom"/>
            <w:tcBorders>
              <w:bottom w:val="single" w:sz="8" w:color="A6A6A6"/>
            </w:tcBorders>
          </w:tcPr>
          <w:p>
            <w:pPr>
              <w:spacing w:after="0"/>
              <w:rPr>
                <w:sz w:val="5"/>
                <w:szCs w:val="5"/>
                <w:color w:val="auto"/>
              </w:rPr>
            </w:pPr>
          </w:p>
        </w:tc>
        <w:tc>
          <w:tcPr>
            <w:tcW w:w="260" w:type="dxa"/>
            <w:vAlign w:val="bottom"/>
            <w:tcBorders>
              <w:bottom w:val="single" w:sz="8" w:color="A6A6A6"/>
            </w:tcBorders>
          </w:tcPr>
          <w:p>
            <w:pPr>
              <w:spacing w:after="0"/>
              <w:rPr>
                <w:sz w:val="5"/>
                <w:szCs w:val="5"/>
                <w:color w:val="auto"/>
              </w:rPr>
            </w:pPr>
          </w:p>
        </w:tc>
        <w:tc>
          <w:tcPr>
            <w:tcW w:w="1860" w:type="dxa"/>
            <w:vAlign w:val="bottom"/>
            <w:tcBorders>
              <w:bottom w:val="single" w:sz="8" w:color="A6A6A6"/>
            </w:tcBorders>
          </w:tcPr>
          <w:p>
            <w:pPr>
              <w:spacing w:after="0"/>
              <w:rPr>
                <w:sz w:val="5"/>
                <w:szCs w:val="5"/>
                <w:color w:val="auto"/>
              </w:rPr>
            </w:pPr>
          </w:p>
        </w:tc>
      </w:tr>
      <w:tr>
        <w:trPr>
          <w:trHeight w:val="339"/>
        </w:trPr>
        <w:tc>
          <w:tcPr>
            <w:tcW w:w="3220" w:type="dxa"/>
            <w:vAlign w:val="bottom"/>
          </w:tcPr>
          <w:p>
            <w:pPr>
              <w:spacing w:after="0"/>
              <w:rPr>
                <w:sz w:val="20"/>
                <w:szCs w:val="20"/>
                <w:color w:val="auto"/>
              </w:rPr>
            </w:pPr>
            <w:r>
              <w:rPr>
                <w:rFonts w:ascii="Arial Narrow" w:cs="Arial Narrow" w:eastAsia="Arial Narrow" w:hAnsi="Arial Narrow"/>
                <w:sz w:val="20"/>
                <w:szCs w:val="20"/>
                <w:b w:val="1"/>
                <w:bCs w:val="1"/>
                <w:color w:val="386CAD"/>
              </w:rPr>
              <w:t>Fairborn, Ohio</w:t>
            </w:r>
          </w:p>
        </w:tc>
        <w:tc>
          <w:tcPr>
            <w:tcW w:w="1880" w:type="dxa"/>
            <w:vAlign w:val="bottom"/>
          </w:tcPr>
          <w:p>
            <w:pPr>
              <w:jc w:val="right"/>
              <w:ind w:right="21"/>
              <w:spacing w:after="0"/>
              <w:rPr>
                <w:sz w:val="20"/>
                <w:szCs w:val="20"/>
                <w:color w:val="auto"/>
              </w:rPr>
            </w:pPr>
            <w:r>
              <w:rPr>
                <w:rFonts w:ascii="Arial Narrow" w:cs="Arial Narrow" w:eastAsia="Arial Narrow" w:hAnsi="Arial Narrow"/>
                <w:sz w:val="20"/>
                <w:szCs w:val="20"/>
                <w:color w:val="auto"/>
              </w:rPr>
              <w:t>880</w:t>
            </w:r>
          </w:p>
        </w:tc>
        <w:tc>
          <w:tcPr>
            <w:tcW w:w="2140" w:type="dxa"/>
            <w:vAlign w:val="bottom"/>
            <w:gridSpan w:val="2"/>
          </w:tcPr>
          <w:p>
            <w:pPr>
              <w:jc w:val="right"/>
              <w:ind w:right="40"/>
              <w:spacing w:after="0"/>
              <w:rPr>
                <w:sz w:val="20"/>
                <w:szCs w:val="20"/>
                <w:color w:val="auto"/>
              </w:rPr>
            </w:pPr>
            <w:r>
              <w:rPr>
                <w:rFonts w:ascii="Arial Narrow" w:cs="Arial Narrow" w:eastAsia="Arial Narrow" w:hAnsi="Arial Narrow"/>
                <w:sz w:val="20"/>
                <w:szCs w:val="20"/>
                <w:color w:val="auto"/>
              </w:rPr>
              <w:t>910</w:t>
            </w:r>
          </w:p>
        </w:tc>
        <w:tc>
          <w:tcPr>
            <w:tcW w:w="2120" w:type="dxa"/>
            <w:vAlign w:val="bottom"/>
            <w:gridSpan w:val="2"/>
          </w:tcPr>
          <w:p>
            <w:pPr>
              <w:jc w:val="right"/>
              <w:ind w:right="100"/>
              <w:spacing w:after="0"/>
              <w:rPr>
                <w:sz w:val="20"/>
                <w:szCs w:val="20"/>
                <w:color w:val="auto"/>
              </w:rPr>
            </w:pPr>
            <w:r>
              <w:rPr>
                <w:rFonts w:ascii="Arial Narrow" w:cs="Arial Narrow" w:eastAsia="Arial Narrow" w:hAnsi="Arial Narrow"/>
                <w:sz w:val="20"/>
                <w:szCs w:val="20"/>
                <w:color w:val="auto"/>
              </w:rPr>
              <w:t>870</w:t>
            </w:r>
          </w:p>
        </w:tc>
      </w:tr>
      <w:tr>
        <w:trPr>
          <w:trHeight w:val="90"/>
        </w:trPr>
        <w:tc>
          <w:tcPr>
            <w:tcW w:w="3220" w:type="dxa"/>
            <w:vAlign w:val="bottom"/>
            <w:tcBorders>
              <w:bottom w:val="single" w:sz="8" w:color="A6A6A6"/>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860" w:type="dxa"/>
            <w:vAlign w:val="bottom"/>
            <w:tcBorders>
              <w:bottom w:val="single" w:sz="8" w:color="auto"/>
            </w:tcBorders>
          </w:tcPr>
          <w:p>
            <w:pPr>
              <w:spacing w:after="0"/>
              <w:rPr>
                <w:sz w:val="7"/>
                <w:szCs w:val="7"/>
                <w:color w:val="auto"/>
              </w:rPr>
            </w:pPr>
          </w:p>
        </w:tc>
      </w:tr>
      <w:tr>
        <w:trPr>
          <w:trHeight w:val="344"/>
        </w:trPr>
        <w:tc>
          <w:tcPr>
            <w:tcW w:w="3220" w:type="dxa"/>
            <w:vAlign w:val="bottom"/>
          </w:tcPr>
          <w:p>
            <w:pPr>
              <w:spacing w:after="0"/>
              <w:rPr>
                <w:sz w:val="24"/>
                <w:szCs w:val="24"/>
                <w:color w:val="auto"/>
              </w:rPr>
            </w:pPr>
          </w:p>
        </w:tc>
        <w:tc>
          <w:tcPr>
            <w:tcW w:w="1880" w:type="dxa"/>
            <w:vAlign w:val="bottom"/>
          </w:tcPr>
          <w:p>
            <w:pPr>
              <w:jc w:val="right"/>
              <w:ind w:right="21"/>
              <w:spacing w:after="0"/>
              <w:rPr>
                <w:sz w:val="20"/>
                <w:szCs w:val="20"/>
                <w:color w:val="auto"/>
              </w:rPr>
            </w:pPr>
            <w:r>
              <w:rPr>
                <w:rFonts w:ascii="Arial Narrow" w:cs="Arial Narrow" w:eastAsia="Arial Narrow" w:hAnsi="Arial Narrow"/>
                <w:sz w:val="20"/>
                <w:szCs w:val="20"/>
                <w:b w:val="1"/>
                <w:bCs w:val="1"/>
                <w:color w:val="auto"/>
              </w:rPr>
              <w:t>7,659</w:t>
            </w:r>
          </w:p>
        </w:tc>
        <w:tc>
          <w:tcPr>
            <w:tcW w:w="2140" w:type="dxa"/>
            <w:vAlign w:val="bottom"/>
            <w:gridSpan w:val="2"/>
          </w:tcPr>
          <w:p>
            <w:pPr>
              <w:jc w:val="right"/>
              <w:ind w:right="40"/>
              <w:spacing w:after="0"/>
              <w:rPr>
                <w:sz w:val="20"/>
                <w:szCs w:val="20"/>
                <w:color w:val="auto"/>
              </w:rPr>
            </w:pPr>
            <w:r>
              <w:rPr>
                <w:rFonts w:ascii="Arial Narrow" w:cs="Arial Narrow" w:eastAsia="Arial Narrow" w:hAnsi="Arial Narrow"/>
                <w:sz w:val="20"/>
                <w:szCs w:val="20"/>
                <w:b w:val="1"/>
                <w:bCs w:val="1"/>
                <w:color w:val="auto"/>
              </w:rPr>
              <w:t>7,345</w:t>
            </w:r>
          </w:p>
        </w:tc>
        <w:tc>
          <w:tcPr>
            <w:tcW w:w="2120" w:type="dxa"/>
            <w:vAlign w:val="bottom"/>
            <w:gridSpan w:val="2"/>
          </w:tcPr>
          <w:p>
            <w:pPr>
              <w:jc w:val="right"/>
              <w:ind w:right="100"/>
              <w:spacing w:after="0"/>
              <w:rPr>
                <w:sz w:val="20"/>
                <w:szCs w:val="20"/>
                <w:color w:val="auto"/>
              </w:rPr>
            </w:pPr>
            <w:r>
              <w:rPr>
                <w:rFonts w:ascii="Arial Narrow" w:cs="Arial Narrow" w:eastAsia="Arial Narrow" w:hAnsi="Arial Narrow"/>
                <w:sz w:val="20"/>
                <w:szCs w:val="20"/>
                <w:b w:val="1"/>
                <w:bCs w:val="1"/>
                <w:color w:val="auto"/>
              </w:rPr>
              <w:t>8,045</w:t>
            </w:r>
          </w:p>
        </w:tc>
      </w:tr>
      <w:tr>
        <w:trPr>
          <w:trHeight w:val="65"/>
        </w:trPr>
        <w:tc>
          <w:tcPr>
            <w:tcW w:w="3220" w:type="dxa"/>
            <w:vAlign w:val="bottom"/>
          </w:tcPr>
          <w:p>
            <w:pPr>
              <w:spacing w:after="0"/>
              <w:rPr>
                <w:sz w:val="5"/>
                <w:szCs w:val="5"/>
                <w:color w:val="auto"/>
              </w:rPr>
            </w:pPr>
          </w:p>
        </w:tc>
        <w:tc>
          <w:tcPr>
            <w:tcW w:w="188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88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860" w:type="dxa"/>
            <w:vAlign w:val="bottom"/>
            <w:tcBorders>
              <w:bottom w:val="single" w:sz="8" w:color="auto"/>
            </w:tcBorders>
          </w:tcPr>
          <w:p>
            <w:pPr>
              <w:spacing w:after="0"/>
              <w:rPr>
                <w:sz w:val="5"/>
                <w:szCs w:val="5"/>
                <w:color w:val="auto"/>
              </w:rPr>
            </w:pPr>
          </w:p>
        </w:tc>
      </w:tr>
      <w:tr>
        <w:trPr>
          <w:trHeight w:val="20"/>
        </w:trPr>
        <w:tc>
          <w:tcPr>
            <w:tcW w:w="322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04" w:lineRule="exact"/>
        <w:rPr>
          <w:sz w:val="20"/>
          <w:szCs w:val="20"/>
          <w:color w:val="auto"/>
        </w:rPr>
      </w:pPr>
    </w:p>
    <w:p>
      <w:pPr>
        <w:ind w:left="180" w:hanging="180"/>
        <w:spacing w:after="0"/>
        <w:tabs>
          <w:tab w:leader="none" w:pos="180" w:val="left"/>
        </w:tabs>
        <w:numPr>
          <w:ilvl w:val="0"/>
          <w:numId w:val="20"/>
        </w:numPr>
        <w:rPr>
          <w:rFonts w:ascii="Arial" w:cs="Arial" w:eastAsia="Arial" w:hAnsi="Arial"/>
          <w:sz w:val="10"/>
          <w:szCs w:val="10"/>
          <w:color w:val="auto"/>
        </w:rPr>
      </w:pPr>
      <w:r>
        <w:rPr>
          <w:rFonts w:ascii="Arial" w:cs="Arial" w:eastAsia="Arial" w:hAnsi="Arial"/>
          <w:sz w:val="16"/>
          <w:szCs w:val="16"/>
          <w:color w:val="auto"/>
        </w:rPr>
        <w:t>Reflects the Company's 50% ownership interest</w:t>
      </w:r>
      <w:r>
        <w:rPr>
          <w:rFonts w:ascii="Arial" w:cs="Arial" w:eastAsia="Arial" w:hAnsi="Arial"/>
          <w:sz w:val="10"/>
          <w:szCs w:val="10"/>
          <w:color w:val="auto"/>
        </w:rPr>
        <w:t>.</w:t>
      </w: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color w:val="43A8B4"/>
        </w:rPr>
        <w:t>Aggregate Mining Properties</w:t>
      </w:r>
    </w:p>
    <w:p>
      <w:pPr>
        <w:spacing w:after="0" w:line="160" w:lineRule="exact"/>
        <w:rPr>
          <w:sz w:val="20"/>
          <w:szCs w:val="20"/>
          <w:color w:val="auto"/>
        </w:rPr>
      </w:pPr>
    </w:p>
    <w:p>
      <w:pPr>
        <w:ind w:right="200"/>
        <w:spacing w:after="0" w:line="296" w:lineRule="auto"/>
        <w:rPr>
          <w:sz w:val="20"/>
          <w:szCs w:val="20"/>
          <w:color w:val="auto"/>
        </w:rPr>
      </w:pPr>
      <w:r>
        <w:rPr>
          <w:rFonts w:ascii="Arial" w:cs="Arial" w:eastAsia="Arial" w:hAnsi="Arial"/>
          <w:sz w:val="20"/>
          <w:szCs w:val="20"/>
          <w:color w:val="auto"/>
        </w:rPr>
        <w:t>We have Aggregate operations near most of our concrete facilities as well as other locations throughout the US. Aggregates are obtained principally by mining and extracting from quarries owned or leased by the Company. The Company operates all its quarries, and mining at our quarries is done by Company personnel.</w:t>
      </w:r>
    </w:p>
    <w:p>
      <w:pPr>
        <w:spacing w:after="0" w:line="65" w:lineRule="exact"/>
        <w:rPr>
          <w:sz w:val="20"/>
          <w:szCs w:val="20"/>
          <w:color w:val="auto"/>
        </w:rPr>
      </w:pPr>
    </w:p>
    <w:p>
      <w:pPr>
        <w:ind w:right="560"/>
        <w:spacing w:after="0" w:line="325" w:lineRule="auto"/>
        <w:rPr>
          <w:sz w:val="20"/>
          <w:szCs w:val="20"/>
          <w:color w:val="auto"/>
        </w:rPr>
      </w:pPr>
      <w:r>
        <w:rPr>
          <w:rFonts w:ascii="Arial" w:cs="Arial" w:eastAsia="Arial" w:hAnsi="Arial"/>
          <w:sz w:val="20"/>
          <w:szCs w:val="20"/>
          <w:color w:val="auto"/>
        </w:rPr>
        <w:t>Mineral resources and reserves for our aggregate plants consist of both sand and gravel, as well as limestone.</w:t>
      </w:r>
    </w:p>
    <w:p>
      <w:pPr>
        <w:spacing w:after="0" w:line="37" w:lineRule="exact"/>
        <w:rPr>
          <w:sz w:val="20"/>
          <w:szCs w:val="20"/>
          <w:color w:val="auto"/>
        </w:rPr>
      </w:pPr>
    </w:p>
    <w:p>
      <w:pPr>
        <w:ind w:right="20"/>
        <w:spacing w:after="0" w:line="290" w:lineRule="auto"/>
        <w:rPr>
          <w:sz w:val="20"/>
          <w:szCs w:val="20"/>
          <w:color w:val="auto"/>
        </w:rPr>
      </w:pPr>
      <w:r>
        <w:rPr>
          <w:rFonts w:ascii="Arial" w:cs="Arial" w:eastAsia="Arial" w:hAnsi="Arial"/>
          <w:sz w:val="20"/>
          <w:szCs w:val="20"/>
          <w:color w:val="auto"/>
        </w:rPr>
        <w:t>As of March 31, 2026, we had 205.7 million tons of proven and probable aggregate reserves and 250.9 million tons of measured and indicated aggregate resources, exclusive of aggregate reserves. Approximately 60% of our reserves are owned, with the rest covered under leases expiring between 2040 and 2060. We do not consider any of our individual quarries to be material for disclosure purposes. All our individual locations, with the exception of the Kansas City area, have at least 25 years of reserves and resources. All of our aggregate mines are surface mines with the exception of one.</w:t>
      </w:r>
    </w:p>
    <w:p>
      <w:pPr>
        <w:sectPr>
          <w:pgSz w:w="11880" w:h="15480" w:orient="portrait"/>
          <w:cols w:equalWidth="0" w:num="1">
            <w:col w:w="9360"/>
          </w:cols>
          <w:pgMar w:left="1260" w:top="1243"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42</w:t>
      </w:r>
    </w:p>
    <w:p>
      <w:pPr>
        <w:sectPr>
          <w:pgSz w:w="11880" w:h="15480" w:orient="portrait"/>
          <w:cols w:equalWidth="0" w:num="1">
            <w:col w:w="9360"/>
          </w:cols>
          <w:pgMar w:left="1260" w:top="1243" w:right="1260" w:bottom="0" w:gutter="0" w:footer="0" w:header="0"/>
          <w:type w:val="continuous"/>
        </w:sectPr>
      </w:pPr>
    </w:p>
    <w:bookmarkStart w:id="50" w:name="page51"/>
    <w:bookmarkEnd w:id="50"/>
    <w:p>
      <w:pPr>
        <w:ind w:right="60"/>
        <w:spacing w:after="0" w:line="325" w:lineRule="auto"/>
        <w:rPr>
          <w:sz w:val="20"/>
          <w:szCs w:val="20"/>
          <w:color w:val="auto"/>
        </w:rPr>
      </w:pPr>
      <w:r>
        <w:rPr>
          <w:rFonts w:ascii="Arial" w:cs="Arial" w:eastAsia="Arial" w:hAnsi="Arial"/>
          <w:sz w:val="20"/>
          <w:szCs w:val="20"/>
          <w:color w:val="auto"/>
        </w:rPr>
        <w:t>The following table sets forth certain information regarding our aggregates facilities as well as aggregates resources, exclusive of aggregates reserves, at March 31, 2026.</w:t>
      </w:r>
    </w:p>
    <w:p>
      <w:pPr>
        <w:spacing w:after="0" w:line="319" w:lineRule="exact"/>
        <w:rPr>
          <w:sz w:val="20"/>
          <w:szCs w:val="20"/>
          <w:color w:val="auto"/>
        </w:rPr>
      </w:pPr>
    </w:p>
    <w:p>
      <w:pPr>
        <w:ind w:left="5780"/>
        <w:spacing w:after="0"/>
        <w:rPr>
          <w:sz w:val="20"/>
          <w:szCs w:val="20"/>
          <w:color w:val="auto"/>
        </w:rPr>
      </w:pPr>
      <w:r>
        <w:rPr>
          <w:rFonts w:ascii="Arial Narrow" w:cs="Arial Narrow" w:eastAsia="Arial Narrow" w:hAnsi="Arial Narrow"/>
          <w:sz w:val="18"/>
          <w:szCs w:val="18"/>
          <w:b w:val="1"/>
          <w:bCs w:val="1"/>
          <w:color w:val="auto"/>
        </w:rPr>
        <w:t xml:space="preserve">Aggregates Resources </w:t>
      </w:r>
      <w:r>
        <w:rPr>
          <w:rFonts w:ascii="Arial Narrow" w:cs="Arial Narrow" w:eastAsia="Arial Narrow" w:hAnsi="Arial Narrow"/>
          <w:sz w:val="24"/>
          <w:szCs w:val="24"/>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2573655</wp:posOffset>
            </wp:positionH>
            <wp:positionV relativeFrom="paragraph">
              <wp:posOffset>0</wp:posOffset>
            </wp:positionV>
            <wp:extent cx="3370580" cy="95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8">
                      <a:extLst>
                        <a:ext uri="{28A0092B-C50C-407E-A947-70E740481C1C}"/>
                      </a:extLst>
                    </a:blip>
                    <a:srcRect/>
                    <a:stretch>
                      <a:fillRect/>
                    </a:stretch>
                  </pic:blipFill>
                  <pic:spPr bwMode="auto">
                    <a:xfrm>
                      <a:off x="0" y="0"/>
                      <a:ext cx="3370580" cy="9525"/>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8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80" w:type="dxa"/>
            <w:vAlign w:val="bottom"/>
            <w:gridSpan w:val="3"/>
          </w:tcPr>
          <w:p>
            <w:pPr>
              <w:jc w:val="right"/>
              <w:ind w:right="686"/>
              <w:spacing w:after="0"/>
              <w:rPr>
                <w:sz w:val="20"/>
                <w:szCs w:val="20"/>
                <w:color w:val="auto"/>
              </w:rPr>
            </w:pPr>
            <w:r>
              <w:rPr>
                <w:rFonts w:ascii="Arial Narrow" w:cs="Arial Narrow" w:eastAsia="Arial Narrow" w:hAnsi="Arial Narrow"/>
                <w:sz w:val="16"/>
                <w:szCs w:val="16"/>
                <w:color w:val="auto"/>
              </w:rPr>
              <w:t>(tons in thousands)</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12"/>
        </w:trPr>
        <w:tc>
          <w:tcPr>
            <w:tcW w:w="18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6"/>
              <w:spacing w:after="0"/>
              <w:rPr>
                <w:sz w:val="20"/>
                <w:szCs w:val="20"/>
                <w:color w:val="auto"/>
              </w:rPr>
            </w:pPr>
            <w:r>
              <w:rPr>
                <w:rFonts w:ascii="Arial Narrow" w:cs="Arial Narrow" w:eastAsia="Arial Narrow" w:hAnsi="Arial Narrow"/>
                <w:sz w:val="18"/>
                <w:szCs w:val="18"/>
                <w:b w:val="1"/>
                <w:bCs w:val="1"/>
                <w:color w:val="auto"/>
              </w:rPr>
              <w:t>Total</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07"/>
        </w:trPr>
        <w:tc>
          <w:tcPr>
            <w:tcW w:w="188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6"/>
              <w:spacing w:after="0"/>
              <w:rPr>
                <w:sz w:val="20"/>
                <w:szCs w:val="20"/>
                <w:color w:val="auto"/>
              </w:rPr>
            </w:pPr>
            <w:r>
              <w:rPr>
                <w:rFonts w:ascii="Arial Narrow" w:cs="Arial Narrow" w:eastAsia="Arial Narrow" w:hAnsi="Arial Narrow"/>
                <w:sz w:val="18"/>
                <w:szCs w:val="18"/>
                <w:b w:val="1"/>
                <w:bCs w:val="1"/>
                <w:color w:val="auto"/>
              </w:rPr>
              <w:t>Measured &amp;</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54"/>
        </w:trPr>
        <w:tc>
          <w:tcPr>
            <w:tcW w:w="1880" w:type="dxa"/>
            <w:vAlign w:val="bottom"/>
          </w:tcPr>
          <w:p>
            <w:pPr>
              <w:spacing w:after="0"/>
              <w:rPr>
                <w:sz w:val="20"/>
                <w:szCs w:val="20"/>
                <w:color w:val="auto"/>
              </w:rPr>
            </w:pPr>
            <w:r>
              <w:rPr>
                <w:rFonts w:ascii="Arial Narrow" w:cs="Arial Narrow" w:eastAsia="Arial Narrow" w:hAnsi="Arial Narrow"/>
                <w:sz w:val="18"/>
                <w:szCs w:val="18"/>
                <w:b w:val="1"/>
                <w:bCs w:val="1"/>
                <w:color w:val="auto"/>
              </w:rPr>
              <w:t>Location</w:t>
            </w:r>
          </w:p>
        </w:tc>
        <w:tc>
          <w:tcPr>
            <w:tcW w:w="2180" w:type="dxa"/>
            <w:vAlign w:val="bottom"/>
          </w:tcPr>
          <w:p>
            <w:pPr>
              <w:ind w:left="540"/>
              <w:spacing w:after="0"/>
              <w:rPr>
                <w:sz w:val="20"/>
                <w:szCs w:val="20"/>
                <w:color w:val="auto"/>
              </w:rPr>
            </w:pPr>
            <w:r>
              <w:rPr>
                <w:rFonts w:ascii="Arial Narrow" w:cs="Arial Narrow" w:eastAsia="Arial Narrow" w:hAnsi="Arial Narrow"/>
                <w:sz w:val="18"/>
                <w:szCs w:val="18"/>
                <w:b w:val="1"/>
                <w:bCs w:val="1"/>
                <w:color w:val="auto"/>
              </w:rPr>
              <w:t>Types of Aggregates</w:t>
            </w:r>
          </w:p>
        </w:tc>
        <w:tc>
          <w:tcPr>
            <w:tcW w:w="1200" w:type="dxa"/>
            <w:vAlign w:val="bottom"/>
          </w:tcPr>
          <w:p>
            <w:pPr>
              <w:jc w:val="right"/>
              <w:ind w:right="1"/>
              <w:spacing w:after="0"/>
              <w:rPr>
                <w:sz w:val="20"/>
                <w:szCs w:val="20"/>
                <w:color w:val="auto"/>
              </w:rPr>
            </w:pPr>
            <w:r>
              <w:rPr>
                <w:rFonts w:ascii="Arial Narrow" w:cs="Arial Narrow" w:eastAsia="Arial Narrow" w:hAnsi="Arial Narrow"/>
                <w:sz w:val="18"/>
                <w:szCs w:val="18"/>
                <w:b w:val="1"/>
                <w:bCs w:val="1"/>
                <w:color w:val="auto"/>
              </w:rPr>
              <w:t>Measured</w:t>
            </w:r>
          </w:p>
        </w:tc>
        <w:tc>
          <w:tcPr>
            <w:tcW w:w="160" w:type="dxa"/>
            <w:vAlign w:val="bottom"/>
          </w:tcPr>
          <w:p>
            <w:pPr>
              <w:spacing w:after="0"/>
              <w:rPr>
                <w:sz w:val="22"/>
                <w:szCs w:val="22"/>
                <w:color w:val="auto"/>
              </w:rPr>
            </w:pPr>
          </w:p>
        </w:tc>
        <w:tc>
          <w:tcPr>
            <w:tcW w:w="1200" w:type="dxa"/>
            <w:vAlign w:val="bottom"/>
          </w:tcPr>
          <w:p>
            <w:pPr>
              <w:jc w:val="right"/>
              <w:ind w:right="8"/>
              <w:spacing w:after="0"/>
              <w:rPr>
                <w:sz w:val="20"/>
                <w:szCs w:val="20"/>
                <w:color w:val="auto"/>
              </w:rPr>
            </w:pPr>
            <w:r>
              <w:rPr>
                <w:rFonts w:ascii="Arial Narrow" w:cs="Arial Narrow" w:eastAsia="Arial Narrow" w:hAnsi="Arial Narrow"/>
                <w:sz w:val="18"/>
                <w:szCs w:val="18"/>
                <w:b w:val="1"/>
                <w:bCs w:val="1"/>
                <w:color w:val="auto"/>
              </w:rPr>
              <w:t>Indicated</w:t>
            </w:r>
          </w:p>
        </w:tc>
        <w:tc>
          <w:tcPr>
            <w:tcW w:w="180" w:type="dxa"/>
            <w:vAlign w:val="bottom"/>
          </w:tcPr>
          <w:p>
            <w:pPr>
              <w:spacing w:after="0"/>
              <w:rPr>
                <w:sz w:val="22"/>
                <w:szCs w:val="22"/>
                <w:color w:val="auto"/>
              </w:rPr>
            </w:pPr>
          </w:p>
        </w:tc>
        <w:tc>
          <w:tcPr>
            <w:tcW w:w="1200" w:type="dxa"/>
            <w:vAlign w:val="bottom"/>
          </w:tcPr>
          <w:p>
            <w:pPr>
              <w:jc w:val="right"/>
              <w:ind w:right="6"/>
              <w:spacing w:after="0"/>
              <w:rPr>
                <w:sz w:val="20"/>
                <w:szCs w:val="20"/>
                <w:color w:val="auto"/>
              </w:rPr>
            </w:pPr>
            <w:r>
              <w:rPr>
                <w:rFonts w:ascii="Arial Narrow" w:cs="Arial Narrow" w:eastAsia="Arial Narrow" w:hAnsi="Arial Narrow"/>
                <w:sz w:val="18"/>
                <w:szCs w:val="18"/>
                <w:b w:val="1"/>
                <w:bCs w:val="1"/>
                <w:color w:val="auto"/>
              </w:rPr>
              <w:t>Indicated</w:t>
            </w:r>
          </w:p>
        </w:tc>
        <w:tc>
          <w:tcPr>
            <w:tcW w:w="160" w:type="dxa"/>
            <w:vAlign w:val="bottom"/>
          </w:tcPr>
          <w:p>
            <w:pPr>
              <w:spacing w:after="0"/>
              <w:rPr>
                <w:sz w:val="22"/>
                <w:szCs w:val="22"/>
                <w:color w:val="auto"/>
              </w:rPr>
            </w:pPr>
          </w:p>
        </w:tc>
        <w:tc>
          <w:tcPr>
            <w:tcW w:w="1200" w:type="dxa"/>
            <w:vAlign w:val="bottom"/>
          </w:tcPr>
          <w:p>
            <w:pPr>
              <w:jc w:val="right"/>
              <w:ind w:right="10"/>
              <w:spacing w:after="0"/>
              <w:rPr>
                <w:sz w:val="20"/>
                <w:szCs w:val="20"/>
                <w:color w:val="auto"/>
              </w:rPr>
            </w:pPr>
            <w:r>
              <w:rPr>
                <w:rFonts w:ascii="Arial Narrow" w:cs="Arial Narrow" w:eastAsia="Arial Narrow" w:hAnsi="Arial Narrow"/>
                <w:sz w:val="18"/>
                <w:szCs w:val="18"/>
                <w:b w:val="1"/>
                <w:bCs w:val="1"/>
                <w:color w:val="auto"/>
              </w:rPr>
              <w:t>Inferred</w:t>
            </w:r>
          </w:p>
        </w:tc>
      </w:tr>
      <w:tr>
        <w:trPr>
          <w:trHeight w:val="46"/>
        </w:trPr>
        <w:tc>
          <w:tcPr>
            <w:tcW w:w="1880" w:type="dxa"/>
            <w:vAlign w:val="bottom"/>
            <w:tcBorders>
              <w:bottom w:val="single" w:sz="8" w:color="auto"/>
            </w:tcBorders>
          </w:tcPr>
          <w:p>
            <w:pPr>
              <w:spacing w:after="0"/>
              <w:rPr>
                <w:sz w:val="3"/>
                <w:szCs w:val="3"/>
                <w:color w:val="auto"/>
              </w:rPr>
            </w:pPr>
          </w:p>
        </w:tc>
        <w:tc>
          <w:tcPr>
            <w:tcW w:w="21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2"/>
          </w:tcPr>
          <w:p>
            <w:pPr>
              <w:spacing w:after="0"/>
              <w:rPr>
                <w:sz w:val="3"/>
                <w:szCs w:val="3"/>
                <w:color w:val="auto"/>
              </w:rPr>
            </w:pPr>
          </w:p>
        </w:tc>
      </w:tr>
      <w:tr>
        <w:trPr>
          <w:trHeight w:val="344"/>
        </w:trPr>
        <w:tc>
          <w:tcPr>
            <w:tcW w:w="1880" w:type="dxa"/>
            <w:vAlign w:val="bottom"/>
          </w:tcPr>
          <w:p>
            <w:pPr>
              <w:spacing w:after="0"/>
              <w:rPr>
                <w:sz w:val="20"/>
                <w:szCs w:val="20"/>
                <w:color w:val="auto"/>
              </w:rPr>
            </w:pPr>
            <w:r>
              <w:rPr>
                <w:rFonts w:ascii="Arial Narrow" w:cs="Arial Narrow" w:eastAsia="Arial Narrow" w:hAnsi="Arial Narrow"/>
                <w:sz w:val="20"/>
                <w:szCs w:val="20"/>
                <w:b w:val="1"/>
                <w:bCs w:val="1"/>
                <w:color w:val="43A8B4"/>
              </w:rPr>
              <w:t>Central Texas</w:t>
            </w:r>
          </w:p>
        </w:tc>
        <w:tc>
          <w:tcPr>
            <w:tcW w:w="2180" w:type="dxa"/>
            <w:vAlign w:val="bottom"/>
          </w:tcPr>
          <w:p>
            <w:pPr>
              <w:ind w:left="140"/>
              <w:spacing w:after="0"/>
              <w:rPr>
                <w:sz w:val="20"/>
                <w:szCs w:val="20"/>
                <w:color w:val="auto"/>
              </w:rPr>
            </w:pPr>
            <w:r>
              <w:rPr>
                <w:rFonts w:ascii="Arial Narrow" w:cs="Arial Narrow" w:eastAsia="Arial Narrow" w:hAnsi="Arial Narrow"/>
                <w:sz w:val="20"/>
                <w:szCs w:val="20"/>
                <w:color w:val="auto"/>
              </w:rPr>
              <w:t>Limestone and Gravel</w:t>
            </w:r>
          </w:p>
        </w:tc>
        <w:tc>
          <w:tcPr>
            <w:tcW w:w="1200" w:type="dxa"/>
            <w:vAlign w:val="bottom"/>
          </w:tcPr>
          <w:p>
            <w:pPr>
              <w:jc w:val="right"/>
              <w:ind w:right="1"/>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4"/>
                <w:szCs w:val="24"/>
                <w:color w:val="auto"/>
              </w:rPr>
            </w:pPr>
          </w:p>
        </w:tc>
        <w:tc>
          <w:tcPr>
            <w:tcW w:w="1200" w:type="dxa"/>
            <w:vAlign w:val="bottom"/>
          </w:tcPr>
          <w:p>
            <w:pPr>
              <w:jc w:val="right"/>
              <w:ind w:right="8"/>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1200" w:type="dxa"/>
            <w:vAlign w:val="bottom"/>
          </w:tcPr>
          <w:p>
            <w:pPr>
              <w:jc w:val="right"/>
              <w:ind w:right="6"/>
              <w:spacing w:after="0"/>
              <w:rPr>
                <w:sz w:val="20"/>
                <w:szCs w:val="20"/>
                <w:color w:val="auto"/>
              </w:rPr>
            </w:pPr>
            <w:r>
              <w:rPr>
                <w:rFonts w:ascii="Arial Narrow" w:cs="Arial Narrow" w:eastAsia="Arial Narrow" w:hAnsi="Arial Narrow"/>
                <w:sz w:val="20"/>
                <w:szCs w:val="20"/>
                <w:color w:val="auto"/>
              </w:rPr>
              <w:t>—</w:t>
            </w:r>
          </w:p>
        </w:tc>
        <w:tc>
          <w:tcPr>
            <w:tcW w:w="1360" w:type="dxa"/>
            <w:vAlign w:val="bottom"/>
            <w:gridSpan w:val="2"/>
          </w:tcPr>
          <w:p>
            <w:pPr>
              <w:jc w:val="right"/>
              <w:ind w:right="10"/>
              <w:spacing w:after="0"/>
              <w:rPr>
                <w:sz w:val="20"/>
                <w:szCs w:val="20"/>
                <w:color w:val="auto"/>
              </w:rPr>
            </w:pPr>
            <w:r>
              <w:rPr>
                <w:rFonts w:ascii="Arial Narrow" w:cs="Arial Narrow" w:eastAsia="Arial Narrow" w:hAnsi="Arial Narrow"/>
                <w:sz w:val="20"/>
                <w:szCs w:val="20"/>
                <w:color w:val="auto"/>
              </w:rPr>
              <w:t>41,260</w:t>
            </w:r>
          </w:p>
        </w:tc>
      </w:tr>
      <w:tr>
        <w:trPr>
          <w:trHeight w:val="65"/>
        </w:trPr>
        <w:tc>
          <w:tcPr>
            <w:tcW w:w="1880" w:type="dxa"/>
            <w:vAlign w:val="bottom"/>
            <w:tcBorders>
              <w:bottom w:val="single" w:sz="8" w:color="A6A6A6"/>
            </w:tcBorders>
          </w:tcPr>
          <w:p>
            <w:pPr>
              <w:spacing w:after="0"/>
              <w:rPr>
                <w:sz w:val="5"/>
                <w:szCs w:val="5"/>
                <w:color w:val="auto"/>
              </w:rPr>
            </w:pPr>
          </w:p>
        </w:tc>
        <w:tc>
          <w:tcPr>
            <w:tcW w:w="2180" w:type="dxa"/>
            <w:vAlign w:val="bottom"/>
            <w:tcBorders>
              <w:bottom w:val="single" w:sz="8" w:color="A6A6A6"/>
            </w:tcBorders>
          </w:tcPr>
          <w:p>
            <w:pPr>
              <w:spacing w:after="0"/>
              <w:rPr>
                <w:sz w:val="5"/>
                <w:szCs w:val="5"/>
                <w:color w:val="auto"/>
              </w:rPr>
            </w:pPr>
          </w:p>
        </w:tc>
        <w:tc>
          <w:tcPr>
            <w:tcW w:w="120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12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120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1200" w:type="dxa"/>
            <w:vAlign w:val="bottom"/>
            <w:tcBorders>
              <w:bottom w:val="single" w:sz="8" w:color="A6A6A6"/>
            </w:tcBorders>
          </w:tcPr>
          <w:p>
            <w:pPr>
              <w:spacing w:after="0"/>
              <w:rPr>
                <w:sz w:val="5"/>
                <w:szCs w:val="5"/>
                <w:color w:val="auto"/>
              </w:rPr>
            </w:pPr>
          </w:p>
        </w:tc>
      </w:tr>
      <w:tr>
        <w:trPr>
          <w:trHeight w:val="339"/>
        </w:trPr>
        <w:tc>
          <w:tcPr>
            <w:tcW w:w="1880" w:type="dxa"/>
            <w:vAlign w:val="bottom"/>
          </w:tcPr>
          <w:p>
            <w:pPr>
              <w:spacing w:after="0"/>
              <w:rPr>
                <w:sz w:val="20"/>
                <w:szCs w:val="20"/>
                <w:color w:val="auto"/>
              </w:rPr>
            </w:pPr>
            <w:r>
              <w:rPr>
                <w:rFonts w:ascii="Arial Narrow" w:cs="Arial Narrow" w:eastAsia="Arial Narrow" w:hAnsi="Arial Narrow"/>
                <w:sz w:val="20"/>
                <w:szCs w:val="20"/>
                <w:b w:val="1"/>
                <w:bCs w:val="1"/>
                <w:color w:val="43A8B4"/>
              </w:rPr>
              <w:t xml:space="preserve">Kansas City Area </w:t>
            </w:r>
            <w:r>
              <w:rPr>
                <w:rFonts w:ascii="Arial Narrow" w:cs="Arial Narrow" w:eastAsia="Arial Narrow" w:hAnsi="Arial Narrow"/>
                <w:sz w:val="13"/>
                <w:szCs w:val="13"/>
                <w:b w:val="1"/>
                <w:bCs w:val="1"/>
                <w:color w:val="43A8B4"/>
              </w:rPr>
              <w:t>(2)</w:t>
            </w:r>
          </w:p>
        </w:tc>
        <w:tc>
          <w:tcPr>
            <w:tcW w:w="2180" w:type="dxa"/>
            <w:vAlign w:val="bottom"/>
          </w:tcPr>
          <w:p>
            <w:pPr>
              <w:ind w:left="140"/>
              <w:spacing w:after="0"/>
              <w:rPr>
                <w:sz w:val="20"/>
                <w:szCs w:val="20"/>
                <w:color w:val="auto"/>
              </w:rPr>
            </w:pPr>
            <w:r>
              <w:rPr>
                <w:rFonts w:ascii="Arial Narrow" w:cs="Arial Narrow" w:eastAsia="Arial Narrow" w:hAnsi="Arial Narrow"/>
                <w:sz w:val="20"/>
                <w:szCs w:val="20"/>
                <w:color w:val="auto"/>
              </w:rPr>
              <w:t>Limestone</w:t>
            </w:r>
          </w:p>
        </w:tc>
        <w:tc>
          <w:tcPr>
            <w:tcW w:w="1200" w:type="dxa"/>
            <w:vAlign w:val="bottom"/>
          </w:tcPr>
          <w:p>
            <w:pPr>
              <w:jc w:val="right"/>
              <w:ind w:right="1"/>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4"/>
                <w:szCs w:val="24"/>
                <w:color w:val="auto"/>
              </w:rPr>
            </w:pPr>
          </w:p>
        </w:tc>
        <w:tc>
          <w:tcPr>
            <w:tcW w:w="1200" w:type="dxa"/>
            <w:vAlign w:val="bottom"/>
          </w:tcPr>
          <w:p>
            <w:pPr>
              <w:jc w:val="right"/>
              <w:ind w:right="8"/>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1200" w:type="dxa"/>
            <w:vAlign w:val="bottom"/>
          </w:tcPr>
          <w:p>
            <w:pPr>
              <w:jc w:val="right"/>
              <w:ind w:right="6"/>
              <w:spacing w:after="0"/>
              <w:rPr>
                <w:sz w:val="20"/>
                <w:szCs w:val="20"/>
                <w:color w:val="auto"/>
              </w:rPr>
            </w:pPr>
            <w:r>
              <w:rPr>
                <w:rFonts w:ascii="Arial Narrow" w:cs="Arial Narrow" w:eastAsia="Arial Narrow" w:hAnsi="Arial Narrow"/>
                <w:sz w:val="20"/>
                <w:szCs w:val="20"/>
                <w:color w:val="auto"/>
              </w:rPr>
              <w:t>—</w:t>
            </w:r>
          </w:p>
        </w:tc>
        <w:tc>
          <w:tcPr>
            <w:tcW w:w="1360" w:type="dxa"/>
            <w:vAlign w:val="bottom"/>
            <w:gridSpan w:val="2"/>
          </w:tcPr>
          <w:p>
            <w:pPr>
              <w:jc w:val="right"/>
              <w:ind w:right="10"/>
              <w:spacing w:after="0"/>
              <w:rPr>
                <w:sz w:val="20"/>
                <w:szCs w:val="20"/>
                <w:color w:val="auto"/>
              </w:rPr>
            </w:pPr>
            <w:r>
              <w:rPr>
                <w:rFonts w:ascii="Arial Narrow" w:cs="Arial Narrow" w:eastAsia="Arial Narrow" w:hAnsi="Arial Narrow"/>
                <w:sz w:val="20"/>
                <w:szCs w:val="20"/>
                <w:color w:val="auto"/>
              </w:rPr>
              <w:t>25,000</w:t>
            </w:r>
          </w:p>
        </w:tc>
      </w:tr>
      <w:tr>
        <w:trPr>
          <w:trHeight w:val="65"/>
        </w:trPr>
        <w:tc>
          <w:tcPr>
            <w:tcW w:w="1880" w:type="dxa"/>
            <w:vAlign w:val="bottom"/>
            <w:tcBorders>
              <w:bottom w:val="single" w:sz="8" w:color="A6A6A6"/>
            </w:tcBorders>
          </w:tcPr>
          <w:p>
            <w:pPr>
              <w:spacing w:after="0"/>
              <w:rPr>
                <w:sz w:val="5"/>
                <w:szCs w:val="5"/>
                <w:color w:val="auto"/>
              </w:rPr>
            </w:pPr>
          </w:p>
        </w:tc>
        <w:tc>
          <w:tcPr>
            <w:tcW w:w="2180" w:type="dxa"/>
            <w:vAlign w:val="bottom"/>
            <w:tcBorders>
              <w:bottom w:val="single" w:sz="8" w:color="A6A6A6"/>
            </w:tcBorders>
          </w:tcPr>
          <w:p>
            <w:pPr>
              <w:spacing w:after="0"/>
              <w:rPr>
                <w:sz w:val="5"/>
                <w:szCs w:val="5"/>
                <w:color w:val="auto"/>
              </w:rPr>
            </w:pPr>
          </w:p>
        </w:tc>
        <w:tc>
          <w:tcPr>
            <w:tcW w:w="120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12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120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1200" w:type="dxa"/>
            <w:vAlign w:val="bottom"/>
            <w:tcBorders>
              <w:bottom w:val="single" w:sz="8" w:color="A6A6A6"/>
            </w:tcBorders>
          </w:tcPr>
          <w:p>
            <w:pPr>
              <w:spacing w:after="0"/>
              <w:rPr>
                <w:sz w:val="5"/>
                <w:szCs w:val="5"/>
                <w:color w:val="auto"/>
              </w:rPr>
            </w:pPr>
          </w:p>
        </w:tc>
      </w:tr>
      <w:tr>
        <w:trPr>
          <w:trHeight w:val="339"/>
        </w:trPr>
        <w:tc>
          <w:tcPr>
            <w:tcW w:w="1880" w:type="dxa"/>
            <w:vAlign w:val="bottom"/>
          </w:tcPr>
          <w:p>
            <w:pPr>
              <w:spacing w:after="0"/>
              <w:rPr>
                <w:sz w:val="20"/>
                <w:szCs w:val="20"/>
                <w:color w:val="auto"/>
              </w:rPr>
            </w:pPr>
            <w:r>
              <w:rPr>
                <w:rFonts w:ascii="Arial Narrow" w:cs="Arial Narrow" w:eastAsia="Arial Narrow" w:hAnsi="Arial Narrow"/>
                <w:sz w:val="20"/>
                <w:szCs w:val="20"/>
                <w:b w:val="1"/>
                <w:bCs w:val="1"/>
                <w:color w:val="43A8B4"/>
              </w:rPr>
              <w:t>Northern Colorado</w:t>
            </w:r>
          </w:p>
        </w:tc>
        <w:tc>
          <w:tcPr>
            <w:tcW w:w="2180" w:type="dxa"/>
            <w:vAlign w:val="bottom"/>
          </w:tcPr>
          <w:p>
            <w:pPr>
              <w:ind w:left="140"/>
              <w:spacing w:after="0"/>
              <w:rPr>
                <w:sz w:val="20"/>
                <w:szCs w:val="20"/>
                <w:color w:val="auto"/>
              </w:rPr>
            </w:pPr>
            <w:r>
              <w:rPr>
                <w:rFonts w:ascii="Arial Narrow" w:cs="Arial Narrow" w:eastAsia="Arial Narrow" w:hAnsi="Arial Narrow"/>
                <w:sz w:val="20"/>
                <w:szCs w:val="20"/>
                <w:color w:val="auto"/>
              </w:rPr>
              <w:t>Sand and Gravel</w:t>
            </w:r>
          </w:p>
        </w:tc>
        <w:tc>
          <w:tcPr>
            <w:tcW w:w="1200" w:type="dxa"/>
            <w:vAlign w:val="bottom"/>
          </w:tcPr>
          <w:p>
            <w:pPr>
              <w:jc w:val="right"/>
              <w:ind w:right="1"/>
              <w:spacing w:after="0"/>
              <w:rPr>
                <w:sz w:val="20"/>
                <w:szCs w:val="20"/>
                <w:color w:val="auto"/>
              </w:rPr>
            </w:pPr>
            <w:r>
              <w:rPr>
                <w:rFonts w:ascii="Arial Narrow" w:cs="Arial Narrow" w:eastAsia="Arial Narrow" w:hAnsi="Arial Narrow"/>
                <w:sz w:val="20"/>
                <w:szCs w:val="20"/>
                <w:color w:val="auto"/>
              </w:rPr>
              <w:t>58,660</w:t>
            </w:r>
          </w:p>
        </w:tc>
        <w:tc>
          <w:tcPr>
            <w:tcW w:w="1360" w:type="dxa"/>
            <w:vAlign w:val="bottom"/>
            <w:gridSpan w:val="2"/>
          </w:tcPr>
          <w:p>
            <w:pPr>
              <w:jc w:val="right"/>
              <w:ind w:right="8"/>
              <w:spacing w:after="0"/>
              <w:rPr>
                <w:sz w:val="20"/>
                <w:szCs w:val="20"/>
                <w:color w:val="auto"/>
              </w:rPr>
            </w:pPr>
            <w:r>
              <w:rPr>
                <w:rFonts w:ascii="Arial Narrow" w:cs="Arial Narrow" w:eastAsia="Arial Narrow" w:hAnsi="Arial Narrow"/>
                <w:sz w:val="20"/>
                <w:szCs w:val="20"/>
                <w:color w:val="auto"/>
              </w:rPr>
              <w:t>16,915</w:t>
            </w:r>
          </w:p>
        </w:tc>
        <w:tc>
          <w:tcPr>
            <w:tcW w:w="1380" w:type="dxa"/>
            <w:vAlign w:val="bottom"/>
            <w:gridSpan w:val="2"/>
          </w:tcPr>
          <w:p>
            <w:pPr>
              <w:jc w:val="right"/>
              <w:ind w:right="6"/>
              <w:spacing w:after="0"/>
              <w:rPr>
                <w:sz w:val="20"/>
                <w:szCs w:val="20"/>
                <w:color w:val="auto"/>
              </w:rPr>
            </w:pPr>
            <w:r>
              <w:rPr>
                <w:rFonts w:ascii="Arial Narrow" w:cs="Arial Narrow" w:eastAsia="Arial Narrow" w:hAnsi="Arial Narrow"/>
                <w:sz w:val="20"/>
                <w:szCs w:val="20"/>
                <w:color w:val="auto"/>
              </w:rPr>
              <w:t>75,575</w:t>
            </w:r>
          </w:p>
        </w:tc>
        <w:tc>
          <w:tcPr>
            <w:tcW w:w="1360" w:type="dxa"/>
            <w:vAlign w:val="bottom"/>
            <w:gridSpan w:val="2"/>
          </w:tcPr>
          <w:p>
            <w:pPr>
              <w:jc w:val="right"/>
              <w:ind w:right="10"/>
              <w:spacing w:after="0"/>
              <w:rPr>
                <w:sz w:val="20"/>
                <w:szCs w:val="20"/>
                <w:color w:val="auto"/>
              </w:rPr>
            </w:pPr>
            <w:r>
              <w:rPr>
                <w:rFonts w:ascii="Arial Narrow" w:cs="Arial Narrow" w:eastAsia="Arial Narrow" w:hAnsi="Arial Narrow"/>
                <w:sz w:val="20"/>
                <w:szCs w:val="20"/>
                <w:color w:val="auto"/>
              </w:rPr>
              <w:t>6,300</w:t>
            </w:r>
          </w:p>
        </w:tc>
      </w:tr>
      <w:tr>
        <w:trPr>
          <w:trHeight w:val="65"/>
        </w:trPr>
        <w:tc>
          <w:tcPr>
            <w:tcW w:w="1880" w:type="dxa"/>
            <w:vAlign w:val="bottom"/>
            <w:tcBorders>
              <w:bottom w:val="single" w:sz="8" w:color="A6A6A6"/>
            </w:tcBorders>
          </w:tcPr>
          <w:p>
            <w:pPr>
              <w:spacing w:after="0"/>
              <w:rPr>
                <w:sz w:val="5"/>
                <w:szCs w:val="5"/>
                <w:color w:val="auto"/>
              </w:rPr>
            </w:pPr>
          </w:p>
        </w:tc>
        <w:tc>
          <w:tcPr>
            <w:tcW w:w="2180" w:type="dxa"/>
            <w:vAlign w:val="bottom"/>
            <w:tcBorders>
              <w:bottom w:val="single" w:sz="8" w:color="A6A6A6"/>
            </w:tcBorders>
          </w:tcPr>
          <w:p>
            <w:pPr>
              <w:spacing w:after="0"/>
              <w:rPr>
                <w:sz w:val="5"/>
                <w:szCs w:val="5"/>
                <w:color w:val="auto"/>
              </w:rPr>
            </w:pPr>
          </w:p>
        </w:tc>
        <w:tc>
          <w:tcPr>
            <w:tcW w:w="120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12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120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1200" w:type="dxa"/>
            <w:vAlign w:val="bottom"/>
            <w:tcBorders>
              <w:bottom w:val="single" w:sz="8" w:color="A6A6A6"/>
            </w:tcBorders>
          </w:tcPr>
          <w:p>
            <w:pPr>
              <w:spacing w:after="0"/>
              <w:rPr>
                <w:sz w:val="5"/>
                <w:szCs w:val="5"/>
                <w:color w:val="auto"/>
              </w:rPr>
            </w:pPr>
          </w:p>
        </w:tc>
      </w:tr>
      <w:tr>
        <w:trPr>
          <w:trHeight w:val="339"/>
        </w:trPr>
        <w:tc>
          <w:tcPr>
            <w:tcW w:w="1880" w:type="dxa"/>
            <w:vAlign w:val="bottom"/>
          </w:tcPr>
          <w:p>
            <w:pPr>
              <w:spacing w:after="0"/>
              <w:rPr>
                <w:sz w:val="20"/>
                <w:szCs w:val="20"/>
                <w:color w:val="auto"/>
              </w:rPr>
            </w:pPr>
            <w:r>
              <w:rPr>
                <w:rFonts w:ascii="Arial Narrow" w:cs="Arial Narrow" w:eastAsia="Arial Narrow" w:hAnsi="Arial Narrow"/>
                <w:sz w:val="20"/>
                <w:szCs w:val="20"/>
                <w:b w:val="1"/>
                <w:bCs w:val="1"/>
                <w:color w:val="43A8B4"/>
              </w:rPr>
              <w:t>Northern Kentucky</w:t>
            </w:r>
          </w:p>
        </w:tc>
        <w:tc>
          <w:tcPr>
            <w:tcW w:w="2180" w:type="dxa"/>
            <w:vAlign w:val="bottom"/>
          </w:tcPr>
          <w:p>
            <w:pPr>
              <w:ind w:left="140"/>
              <w:spacing w:after="0"/>
              <w:rPr>
                <w:sz w:val="20"/>
                <w:szCs w:val="20"/>
                <w:color w:val="auto"/>
              </w:rPr>
            </w:pPr>
            <w:r>
              <w:rPr>
                <w:rFonts w:ascii="Arial Narrow" w:cs="Arial Narrow" w:eastAsia="Arial Narrow" w:hAnsi="Arial Narrow"/>
                <w:sz w:val="20"/>
                <w:szCs w:val="20"/>
                <w:color w:val="auto"/>
              </w:rPr>
              <w:t>Limestone</w:t>
            </w:r>
          </w:p>
        </w:tc>
        <w:tc>
          <w:tcPr>
            <w:tcW w:w="1200" w:type="dxa"/>
            <w:vAlign w:val="bottom"/>
          </w:tcPr>
          <w:p>
            <w:pPr>
              <w:jc w:val="right"/>
              <w:ind w:right="1"/>
              <w:spacing w:after="0"/>
              <w:rPr>
                <w:sz w:val="20"/>
                <w:szCs w:val="20"/>
                <w:color w:val="auto"/>
              </w:rPr>
            </w:pPr>
            <w:r>
              <w:rPr>
                <w:rFonts w:ascii="Arial Narrow" w:cs="Arial Narrow" w:eastAsia="Arial Narrow" w:hAnsi="Arial Narrow"/>
                <w:sz w:val="20"/>
                <w:szCs w:val="20"/>
                <w:color w:val="auto"/>
              </w:rPr>
              <w:t>29,800</w:t>
            </w:r>
          </w:p>
        </w:tc>
        <w:tc>
          <w:tcPr>
            <w:tcW w:w="1360" w:type="dxa"/>
            <w:vAlign w:val="bottom"/>
            <w:gridSpan w:val="2"/>
          </w:tcPr>
          <w:p>
            <w:pPr>
              <w:jc w:val="right"/>
              <w:ind w:right="8"/>
              <w:spacing w:after="0"/>
              <w:rPr>
                <w:sz w:val="20"/>
                <w:szCs w:val="20"/>
                <w:color w:val="auto"/>
              </w:rPr>
            </w:pPr>
            <w:r>
              <w:rPr>
                <w:rFonts w:ascii="Arial Narrow" w:cs="Arial Narrow" w:eastAsia="Arial Narrow" w:hAnsi="Arial Narrow"/>
                <w:sz w:val="20"/>
                <w:szCs w:val="20"/>
                <w:color w:val="auto"/>
              </w:rPr>
              <w:t>76,900</w:t>
            </w:r>
          </w:p>
        </w:tc>
        <w:tc>
          <w:tcPr>
            <w:tcW w:w="1380" w:type="dxa"/>
            <w:vAlign w:val="bottom"/>
            <w:gridSpan w:val="2"/>
          </w:tcPr>
          <w:p>
            <w:pPr>
              <w:jc w:val="right"/>
              <w:ind w:right="6"/>
              <w:spacing w:after="0"/>
              <w:rPr>
                <w:sz w:val="20"/>
                <w:szCs w:val="20"/>
                <w:color w:val="auto"/>
              </w:rPr>
            </w:pPr>
            <w:r>
              <w:rPr>
                <w:rFonts w:ascii="Arial Narrow" w:cs="Arial Narrow" w:eastAsia="Arial Narrow" w:hAnsi="Arial Narrow"/>
                <w:sz w:val="20"/>
                <w:szCs w:val="20"/>
                <w:color w:val="auto"/>
              </w:rPr>
              <w:t>106,700</w:t>
            </w:r>
          </w:p>
        </w:tc>
        <w:tc>
          <w:tcPr>
            <w:tcW w:w="1360" w:type="dxa"/>
            <w:vAlign w:val="bottom"/>
            <w:gridSpan w:val="2"/>
          </w:tcPr>
          <w:p>
            <w:pPr>
              <w:jc w:val="right"/>
              <w:ind w:right="10"/>
              <w:spacing w:after="0"/>
              <w:rPr>
                <w:sz w:val="20"/>
                <w:szCs w:val="20"/>
                <w:color w:val="auto"/>
              </w:rPr>
            </w:pPr>
            <w:r>
              <w:rPr>
                <w:rFonts w:ascii="Arial Narrow" w:cs="Arial Narrow" w:eastAsia="Arial Narrow" w:hAnsi="Arial Narrow"/>
                <w:sz w:val="20"/>
                <w:szCs w:val="20"/>
                <w:color w:val="auto"/>
              </w:rPr>
              <w:t>148,100</w:t>
            </w:r>
          </w:p>
        </w:tc>
      </w:tr>
      <w:tr>
        <w:trPr>
          <w:trHeight w:val="65"/>
        </w:trPr>
        <w:tc>
          <w:tcPr>
            <w:tcW w:w="1880" w:type="dxa"/>
            <w:vAlign w:val="bottom"/>
            <w:tcBorders>
              <w:bottom w:val="single" w:sz="8" w:color="A6A6A6"/>
            </w:tcBorders>
          </w:tcPr>
          <w:p>
            <w:pPr>
              <w:spacing w:after="0"/>
              <w:rPr>
                <w:sz w:val="5"/>
                <w:szCs w:val="5"/>
                <w:color w:val="auto"/>
              </w:rPr>
            </w:pPr>
          </w:p>
        </w:tc>
        <w:tc>
          <w:tcPr>
            <w:tcW w:w="2180" w:type="dxa"/>
            <w:vAlign w:val="bottom"/>
            <w:tcBorders>
              <w:bottom w:val="single" w:sz="8" w:color="A6A6A6"/>
            </w:tcBorders>
          </w:tcPr>
          <w:p>
            <w:pPr>
              <w:spacing w:after="0"/>
              <w:rPr>
                <w:sz w:val="5"/>
                <w:szCs w:val="5"/>
                <w:color w:val="auto"/>
              </w:rPr>
            </w:pPr>
          </w:p>
        </w:tc>
        <w:tc>
          <w:tcPr>
            <w:tcW w:w="120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12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120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1200" w:type="dxa"/>
            <w:vAlign w:val="bottom"/>
            <w:tcBorders>
              <w:bottom w:val="single" w:sz="8" w:color="A6A6A6"/>
            </w:tcBorders>
          </w:tcPr>
          <w:p>
            <w:pPr>
              <w:spacing w:after="0"/>
              <w:rPr>
                <w:sz w:val="5"/>
                <w:szCs w:val="5"/>
                <w:color w:val="auto"/>
              </w:rPr>
            </w:pPr>
          </w:p>
        </w:tc>
      </w:tr>
      <w:tr>
        <w:trPr>
          <w:trHeight w:val="339"/>
        </w:trPr>
        <w:tc>
          <w:tcPr>
            <w:tcW w:w="1880" w:type="dxa"/>
            <w:vAlign w:val="bottom"/>
          </w:tcPr>
          <w:p>
            <w:pPr>
              <w:spacing w:after="0"/>
              <w:rPr>
                <w:sz w:val="20"/>
                <w:szCs w:val="20"/>
                <w:color w:val="auto"/>
              </w:rPr>
            </w:pPr>
            <w:r>
              <w:rPr>
                <w:rFonts w:ascii="Arial Narrow" w:cs="Arial Narrow" w:eastAsia="Arial Narrow" w:hAnsi="Arial Narrow"/>
                <w:sz w:val="20"/>
                <w:szCs w:val="20"/>
                <w:b w:val="1"/>
                <w:bCs w:val="1"/>
                <w:color w:val="43A8B4"/>
              </w:rPr>
              <w:t>Northern Nevada</w:t>
            </w:r>
          </w:p>
        </w:tc>
        <w:tc>
          <w:tcPr>
            <w:tcW w:w="2180" w:type="dxa"/>
            <w:vAlign w:val="bottom"/>
          </w:tcPr>
          <w:p>
            <w:pPr>
              <w:ind w:left="140"/>
              <w:spacing w:after="0"/>
              <w:rPr>
                <w:sz w:val="20"/>
                <w:szCs w:val="20"/>
                <w:color w:val="auto"/>
              </w:rPr>
            </w:pPr>
            <w:r>
              <w:rPr>
                <w:rFonts w:ascii="Arial Narrow" w:cs="Arial Narrow" w:eastAsia="Arial Narrow" w:hAnsi="Arial Narrow"/>
                <w:sz w:val="20"/>
                <w:szCs w:val="20"/>
                <w:color w:val="auto"/>
              </w:rPr>
              <w:t>Sand and Gravel</w:t>
            </w:r>
          </w:p>
        </w:tc>
        <w:tc>
          <w:tcPr>
            <w:tcW w:w="1200" w:type="dxa"/>
            <w:vAlign w:val="bottom"/>
          </w:tcPr>
          <w:p>
            <w:pPr>
              <w:jc w:val="right"/>
              <w:ind w:right="1"/>
              <w:spacing w:after="0"/>
              <w:rPr>
                <w:sz w:val="20"/>
                <w:szCs w:val="20"/>
                <w:color w:val="auto"/>
              </w:rPr>
            </w:pPr>
            <w:r>
              <w:rPr>
                <w:rFonts w:ascii="Arial Narrow" w:cs="Arial Narrow" w:eastAsia="Arial Narrow" w:hAnsi="Arial Narrow"/>
                <w:sz w:val="20"/>
                <w:szCs w:val="20"/>
                <w:color w:val="auto"/>
              </w:rPr>
              <w:t>24,885</w:t>
            </w:r>
          </w:p>
        </w:tc>
        <w:tc>
          <w:tcPr>
            <w:tcW w:w="1360" w:type="dxa"/>
            <w:vAlign w:val="bottom"/>
            <w:gridSpan w:val="2"/>
          </w:tcPr>
          <w:p>
            <w:pPr>
              <w:jc w:val="right"/>
              <w:ind w:right="8"/>
              <w:spacing w:after="0"/>
              <w:rPr>
                <w:sz w:val="20"/>
                <w:szCs w:val="20"/>
                <w:color w:val="auto"/>
              </w:rPr>
            </w:pPr>
            <w:r>
              <w:rPr>
                <w:rFonts w:ascii="Arial Narrow" w:cs="Arial Narrow" w:eastAsia="Arial Narrow" w:hAnsi="Arial Narrow"/>
                <w:sz w:val="20"/>
                <w:szCs w:val="20"/>
                <w:color w:val="auto"/>
              </w:rPr>
              <w:t>20,250</w:t>
            </w:r>
          </w:p>
        </w:tc>
        <w:tc>
          <w:tcPr>
            <w:tcW w:w="1380" w:type="dxa"/>
            <w:vAlign w:val="bottom"/>
            <w:gridSpan w:val="2"/>
          </w:tcPr>
          <w:p>
            <w:pPr>
              <w:jc w:val="right"/>
              <w:ind w:right="6"/>
              <w:spacing w:after="0"/>
              <w:rPr>
                <w:sz w:val="20"/>
                <w:szCs w:val="20"/>
                <w:color w:val="auto"/>
              </w:rPr>
            </w:pPr>
            <w:r>
              <w:rPr>
                <w:rFonts w:ascii="Arial Narrow" w:cs="Arial Narrow" w:eastAsia="Arial Narrow" w:hAnsi="Arial Narrow"/>
                <w:sz w:val="20"/>
                <w:szCs w:val="20"/>
                <w:color w:val="auto"/>
              </w:rPr>
              <w:t>45,135</w:t>
            </w:r>
          </w:p>
        </w:tc>
        <w:tc>
          <w:tcPr>
            <w:tcW w:w="1360" w:type="dxa"/>
            <w:vAlign w:val="bottom"/>
            <w:gridSpan w:val="2"/>
          </w:tcPr>
          <w:p>
            <w:pPr>
              <w:jc w:val="right"/>
              <w:ind w:right="10"/>
              <w:spacing w:after="0"/>
              <w:rPr>
                <w:sz w:val="20"/>
                <w:szCs w:val="20"/>
                <w:color w:val="auto"/>
              </w:rPr>
            </w:pPr>
            <w:r>
              <w:rPr>
                <w:rFonts w:ascii="Arial Narrow" w:cs="Arial Narrow" w:eastAsia="Arial Narrow" w:hAnsi="Arial Narrow"/>
                <w:sz w:val="20"/>
                <w:szCs w:val="20"/>
                <w:color w:val="auto"/>
              </w:rPr>
              <w:t>2,775</w:t>
            </w:r>
          </w:p>
        </w:tc>
      </w:tr>
      <w:tr>
        <w:trPr>
          <w:trHeight w:val="65"/>
        </w:trPr>
        <w:tc>
          <w:tcPr>
            <w:tcW w:w="1880" w:type="dxa"/>
            <w:vAlign w:val="bottom"/>
            <w:tcBorders>
              <w:bottom w:val="single" w:sz="8" w:color="A6A6A6"/>
            </w:tcBorders>
          </w:tcPr>
          <w:p>
            <w:pPr>
              <w:spacing w:after="0"/>
              <w:rPr>
                <w:sz w:val="5"/>
                <w:szCs w:val="5"/>
                <w:color w:val="auto"/>
              </w:rPr>
            </w:pPr>
          </w:p>
        </w:tc>
        <w:tc>
          <w:tcPr>
            <w:tcW w:w="2180" w:type="dxa"/>
            <w:vAlign w:val="bottom"/>
            <w:tcBorders>
              <w:bottom w:val="single" w:sz="8" w:color="A6A6A6"/>
            </w:tcBorders>
          </w:tcPr>
          <w:p>
            <w:pPr>
              <w:spacing w:after="0"/>
              <w:rPr>
                <w:sz w:val="5"/>
                <w:szCs w:val="5"/>
                <w:color w:val="auto"/>
              </w:rPr>
            </w:pPr>
          </w:p>
        </w:tc>
        <w:tc>
          <w:tcPr>
            <w:tcW w:w="120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12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120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1200" w:type="dxa"/>
            <w:vAlign w:val="bottom"/>
            <w:tcBorders>
              <w:bottom w:val="single" w:sz="8" w:color="A6A6A6"/>
            </w:tcBorders>
          </w:tcPr>
          <w:p>
            <w:pPr>
              <w:spacing w:after="0"/>
              <w:rPr>
                <w:sz w:val="5"/>
                <w:szCs w:val="5"/>
                <w:color w:val="auto"/>
              </w:rPr>
            </w:pPr>
          </w:p>
        </w:tc>
      </w:tr>
      <w:tr>
        <w:trPr>
          <w:trHeight w:val="339"/>
        </w:trPr>
        <w:tc>
          <w:tcPr>
            <w:tcW w:w="1880" w:type="dxa"/>
            <w:vAlign w:val="bottom"/>
          </w:tcPr>
          <w:p>
            <w:pPr>
              <w:spacing w:after="0"/>
              <w:rPr>
                <w:sz w:val="20"/>
                <w:szCs w:val="20"/>
                <w:color w:val="auto"/>
              </w:rPr>
            </w:pPr>
            <w:r>
              <w:rPr>
                <w:rFonts w:ascii="Arial Narrow" w:cs="Arial Narrow" w:eastAsia="Arial Narrow" w:hAnsi="Arial Narrow"/>
                <w:sz w:val="20"/>
                <w:szCs w:val="20"/>
                <w:b w:val="1"/>
                <w:bCs w:val="1"/>
                <w:color w:val="43A8B4"/>
              </w:rPr>
              <w:t>Western Pennsylvania</w:t>
            </w:r>
          </w:p>
        </w:tc>
        <w:tc>
          <w:tcPr>
            <w:tcW w:w="2180" w:type="dxa"/>
            <w:vAlign w:val="bottom"/>
          </w:tcPr>
          <w:p>
            <w:pPr>
              <w:ind w:left="140"/>
              <w:spacing w:after="0"/>
              <w:rPr>
                <w:sz w:val="20"/>
                <w:szCs w:val="20"/>
                <w:color w:val="auto"/>
              </w:rPr>
            </w:pPr>
            <w:r>
              <w:rPr>
                <w:rFonts w:ascii="Arial Narrow" w:cs="Arial Narrow" w:eastAsia="Arial Narrow" w:hAnsi="Arial Narrow"/>
                <w:sz w:val="20"/>
                <w:szCs w:val="20"/>
                <w:color w:val="auto"/>
              </w:rPr>
              <w:t>Limestone</w:t>
            </w:r>
          </w:p>
        </w:tc>
        <w:tc>
          <w:tcPr>
            <w:tcW w:w="1200" w:type="dxa"/>
            <w:vAlign w:val="bottom"/>
          </w:tcPr>
          <w:p>
            <w:pPr>
              <w:jc w:val="right"/>
              <w:ind w:right="1"/>
              <w:spacing w:after="0"/>
              <w:rPr>
                <w:sz w:val="20"/>
                <w:szCs w:val="20"/>
                <w:color w:val="auto"/>
              </w:rPr>
            </w:pPr>
            <w:r>
              <w:rPr>
                <w:rFonts w:ascii="Arial Narrow" w:cs="Arial Narrow" w:eastAsia="Arial Narrow" w:hAnsi="Arial Narrow"/>
                <w:sz w:val="20"/>
                <w:szCs w:val="20"/>
                <w:color w:val="auto"/>
              </w:rPr>
              <w:t>11,100</w:t>
            </w:r>
          </w:p>
        </w:tc>
        <w:tc>
          <w:tcPr>
            <w:tcW w:w="1360" w:type="dxa"/>
            <w:vAlign w:val="bottom"/>
            <w:gridSpan w:val="2"/>
          </w:tcPr>
          <w:p>
            <w:pPr>
              <w:jc w:val="right"/>
              <w:ind w:right="8"/>
              <w:spacing w:after="0"/>
              <w:rPr>
                <w:sz w:val="20"/>
                <w:szCs w:val="20"/>
                <w:color w:val="auto"/>
              </w:rPr>
            </w:pPr>
            <w:r>
              <w:rPr>
                <w:rFonts w:ascii="Arial Narrow" w:cs="Arial Narrow" w:eastAsia="Arial Narrow" w:hAnsi="Arial Narrow"/>
                <w:sz w:val="20"/>
                <w:szCs w:val="20"/>
                <w:color w:val="auto"/>
              </w:rPr>
              <w:t>12,400</w:t>
            </w:r>
          </w:p>
        </w:tc>
        <w:tc>
          <w:tcPr>
            <w:tcW w:w="1380" w:type="dxa"/>
            <w:vAlign w:val="bottom"/>
            <w:gridSpan w:val="2"/>
          </w:tcPr>
          <w:p>
            <w:pPr>
              <w:jc w:val="right"/>
              <w:ind w:right="6"/>
              <w:spacing w:after="0"/>
              <w:rPr>
                <w:sz w:val="20"/>
                <w:szCs w:val="20"/>
                <w:color w:val="auto"/>
              </w:rPr>
            </w:pPr>
            <w:r>
              <w:rPr>
                <w:rFonts w:ascii="Arial Narrow" w:cs="Arial Narrow" w:eastAsia="Arial Narrow" w:hAnsi="Arial Narrow"/>
                <w:sz w:val="20"/>
                <w:szCs w:val="20"/>
                <w:color w:val="auto"/>
              </w:rPr>
              <w:t>23,500</w:t>
            </w:r>
          </w:p>
        </w:tc>
        <w:tc>
          <w:tcPr>
            <w:tcW w:w="1360" w:type="dxa"/>
            <w:vAlign w:val="bottom"/>
            <w:gridSpan w:val="2"/>
          </w:tcPr>
          <w:p>
            <w:pPr>
              <w:jc w:val="right"/>
              <w:ind w:right="10"/>
              <w:spacing w:after="0"/>
              <w:rPr>
                <w:sz w:val="20"/>
                <w:szCs w:val="20"/>
                <w:color w:val="auto"/>
              </w:rPr>
            </w:pPr>
            <w:r>
              <w:rPr>
                <w:rFonts w:ascii="Arial Narrow" w:cs="Arial Narrow" w:eastAsia="Arial Narrow" w:hAnsi="Arial Narrow"/>
                <w:sz w:val="20"/>
                <w:szCs w:val="20"/>
                <w:color w:val="auto"/>
              </w:rPr>
              <w:t>19,800</w:t>
            </w:r>
          </w:p>
        </w:tc>
      </w:tr>
      <w:tr>
        <w:trPr>
          <w:trHeight w:val="90"/>
        </w:trPr>
        <w:tc>
          <w:tcPr>
            <w:tcW w:w="1880" w:type="dxa"/>
            <w:vAlign w:val="bottom"/>
            <w:tcBorders>
              <w:bottom w:val="single" w:sz="8" w:color="A6A6A6"/>
            </w:tcBorders>
          </w:tcPr>
          <w:p>
            <w:pPr>
              <w:spacing w:after="0"/>
              <w:rPr>
                <w:sz w:val="7"/>
                <w:szCs w:val="7"/>
                <w:color w:val="auto"/>
              </w:rPr>
            </w:pPr>
          </w:p>
        </w:tc>
        <w:tc>
          <w:tcPr>
            <w:tcW w:w="2180" w:type="dxa"/>
            <w:vAlign w:val="bottom"/>
            <w:tcBorders>
              <w:bottom w:val="single" w:sz="8" w:color="A6A6A6"/>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r>
      <w:tr>
        <w:trPr>
          <w:trHeight w:val="344"/>
        </w:trPr>
        <w:tc>
          <w:tcPr>
            <w:tcW w:w="18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00" w:type="dxa"/>
            <w:vAlign w:val="bottom"/>
          </w:tcPr>
          <w:p>
            <w:pPr>
              <w:jc w:val="right"/>
              <w:ind w:right="1"/>
              <w:spacing w:after="0"/>
              <w:rPr>
                <w:sz w:val="20"/>
                <w:szCs w:val="20"/>
                <w:color w:val="auto"/>
              </w:rPr>
            </w:pPr>
            <w:r>
              <w:rPr>
                <w:rFonts w:ascii="Arial Narrow" w:cs="Arial Narrow" w:eastAsia="Arial Narrow" w:hAnsi="Arial Narrow"/>
                <w:sz w:val="20"/>
                <w:szCs w:val="20"/>
                <w:b w:val="1"/>
                <w:bCs w:val="1"/>
                <w:color w:val="auto"/>
              </w:rPr>
              <w:t>124,445</w:t>
            </w:r>
          </w:p>
        </w:tc>
        <w:tc>
          <w:tcPr>
            <w:tcW w:w="1360" w:type="dxa"/>
            <w:vAlign w:val="bottom"/>
            <w:gridSpan w:val="2"/>
          </w:tcPr>
          <w:p>
            <w:pPr>
              <w:jc w:val="right"/>
              <w:ind w:right="8"/>
              <w:spacing w:after="0"/>
              <w:rPr>
                <w:sz w:val="20"/>
                <w:szCs w:val="20"/>
                <w:color w:val="auto"/>
              </w:rPr>
            </w:pPr>
            <w:r>
              <w:rPr>
                <w:rFonts w:ascii="Arial Narrow" w:cs="Arial Narrow" w:eastAsia="Arial Narrow" w:hAnsi="Arial Narrow"/>
                <w:sz w:val="20"/>
                <w:szCs w:val="20"/>
                <w:b w:val="1"/>
                <w:bCs w:val="1"/>
                <w:color w:val="auto"/>
              </w:rPr>
              <w:t>126,465</w:t>
            </w:r>
          </w:p>
        </w:tc>
        <w:tc>
          <w:tcPr>
            <w:tcW w:w="1380" w:type="dxa"/>
            <w:vAlign w:val="bottom"/>
            <w:gridSpan w:val="2"/>
          </w:tcPr>
          <w:p>
            <w:pPr>
              <w:jc w:val="right"/>
              <w:ind w:right="6"/>
              <w:spacing w:after="0"/>
              <w:rPr>
                <w:sz w:val="20"/>
                <w:szCs w:val="20"/>
                <w:color w:val="auto"/>
              </w:rPr>
            </w:pPr>
            <w:r>
              <w:rPr>
                <w:rFonts w:ascii="Arial Narrow" w:cs="Arial Narrow" w:eastAsia="Arial Narrow" w:hAnsi="Arial Narrow"/>
                <w:sz w:val="20"/>
                <w:szCs w:val="20"/>
                <w:b w:val="1"/>
                <w:bCs w:val="1"/>
                <w:color w:val="auto"/>
              </w:rPr>
              <w:t>250,910</w:t>
            </w:r>
          </w:p>
        </w:tc>
        <w:tc>
          <w:tcPr>
            <w:tcW w:w="1360" w:type="dxa"/>
            <w:vAlign w:val="bottom"/>
            <w:gridSpan w:val="2"/>
          </w:tcPr>
          <w:p>
            <w:pPr>
              <w:jc w:val="right"/>
              <w:ind w:right="10"/>
              <w:spacing w:after="0"/>
              <w:rPr>
                <w:sz w:val="20"/>
                <w:szCs w:val="20"/>
                <w:color w:val="auto"/>
              </w:rPr>
            </w:pPr>
            <w:r>
              <w:rPr>
                <w:rFonts w:ascii="Arial Narrow" w:cs="Arial Narrow" w:eastAsia="Arial Narrow" w:hAnsi="Arial Narrow"/>
                <w:sz w:val="20"/>
                <w:szCs w:val="20"/>
                <w:b w:val="1"/>
                <w:bCs w:val="1"/>
                <w:color w:val="auto"/>
              </w:rPr>
              <w:t>243,235</w:t>
            </w:r>
          </w:p>
        </w:tc>
      </w:tr>
      <w:tr>
        <w:trPr>
          <w:trHeight w:val="65"/>
        </w:trPr>
        <w:tc>
          <w:tcPr>
            <w:tcW w:w="1880" w:type="dxa"/>
            <w:vAlign w:val="bottom"/>
          </w:tcPr>
          <w:p>
            <w:pPr>
              <w:spacing w:after="0"/>
              <w:rPr>
                <w:sz w:val="5"/>
                <w:szCs w:val="5"/>
                <w:color w:val="auto"/>
              </w:rPr>
            </w:pPr>
          </w:p>
        </w:tc>
        <w:tc>
          <w:tcPr>
            <w:tcW w:w="2180" w:type="dxa"/>
            <w:vAlign w:val="bottom"/>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20"/>
        </w:trPr>
        <w:tc>
          <w:tcPr>
            <w:tcW w:w="18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ind w:left="180" w:right="80" w:hanging="180"/>
        <w:spacing w:after="0"/>
        <w:tabs>
          <w:tab w:leader="none" w:pos="180" w:val="left"/>
        </w:tabs>
        <w:numPr>
          <w:ilvl w:val="0"/>
          <w:numId w:val="21"/>
        </w:numPr>
        <w:rPr>
          <w:rFonts w:ascii="Arial" w:cs="Arial" w:eastAsia="Arial" w:hAnsi="Arial"/>
          <w:sz w:val="10"/>
          <w:szCs w:val="10"/>
          <w:color w:val="auto"/>
        </w:rPr>
      </w:pPr>
      <w:r>
        <w:rPr>
          <w:rFonts w:ascii="Arial" w:cs="Arial" w:eastAsia="Arial" w:hAnsi="Arial"/>
          <w:sz w:val="16"/>
          <w:szCs w:val="16"/>
          <w:color w:val="auto"/>
        </w:rPr>
        <w:t>Measured, Indicated, and Inferred resources are based on an initial assessment using average selling price assumptions ranging from $8.00 to $28.00 per ton depending on location and market. Aggregates resources are reported on an in situ basis.</w:t>
      </w:r>
    </w:p>
    <w:p>
      <w:pPr>
        <w:ind w:left="180" w:hanging="180"/>
        <w:spacing w:after="0"/>
        <w:tabs>
          <w:tab w:leader="none" w:pos="180" w:val="left"/>
        </w:tabs>
        <w:numPr>
          <w:ilvl w:val="0"/>
          <w:numId w:val="21"/>
        </w:numPr>
        <w:rPr>
          <w:rFonts w:ascii="Arial" w:cs="Arial" w:eastAsia="Arial" w:hAnsi="Arial"/>
          <w:sz w:val="10"/>
          <w:szCs w:val="10"/>
          <w:color w:val="auto"/>
        </w:rPr>
      </w:pPr>
      <w:r>
        <w:rPr>
          <w:rFonts w:ascii="Arial" w:cs="Arial" w:eastAsia="Arial" w:hAnsi="Arial"/>
          <w:sz w:val="16"/>
          <w:szCs w:val="16"/>
          <w:color w:val="auto"/>
        </w:rPr>
        <w:t>The Company currently is not operating its aggregate facility in the Kansas City area.</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color w:val="auto"/>
        </w:rPr>
        <w:t>The following sets forth certain information regarding our aggregates reserves at March 31, 2026.</w:t>
      </w:r>
    </w:p>
    <w:p>
      <w:pPr>
        <w:spacing w:after="0" w:line="200" w:lineRule="exact"/>
        <w:rPr>
          <w:sz w:val="20"/>
          <w:szCs w:val="20"/>
          <w:color w:val="auto"/>
        </w:rPr>
      </w:pPr>
    </w:p>
    <w:p>
      <w:pPr>
        <w:spacing w:after="0" w:line="242" w:lineRule="exact"/>
        <w:rPr>
          <w:sz w:val="20"/>
          <w:szCs w:val="20"/>
          <w:color w:val="auto"/>
        </w:rPr>
      </w:pPr>
    </w:p>
    <w:p>
      <w:pPr>
        <w:ind w:left="6180"/>
        <w:spacing w:after="0"/>
        <w:rPr>
          <w:sz w:val="20"/>
          <w:szCs w:val="20"/>
          <w:color w:val="auto"/>
        </w:rPr>
      </w:pPr>
      <w:r>
        <w:rPr>
          <w:rFonts w:ascii="Arial Narrow" w:cs="Arial Narrow" w:eastAsia="Arial Narrow" w:hAnsi="Arial Narrow"/>
          <w:sz w:val="18"/>
          <w:szCs w:val="18"/>
          <w:b w:val="1"/>
          <w:bCs w:val="1"/>
          <w:color w:val="auto"/>
        </w:rPr>
        <w:t xml:space="preserve">Aggregates Reserves </w:t>
      </w:r>
      <w:r>
        <w:rPr>
          <w:rFonts w:ascii="Arial Narrow" w:cs="Arial Narrow" w:eastAsia="Arial Narrow" w:hAnsi="Arial Narrow"/>
          <w:sz w:val="24"/>
          <w:szCs w:val="24"/>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3023870</wp:posOffset>
            </wp:positionH>
            <wp:positionV relativeFrom="paragraph">
              <wp:posOffset>0</wp:posOffset>
            </wp:positionV>
            <wp:extent cx="2919730" cy="95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9">
                      <a:extLst>
                        <a:ext uri="{28A0092B-C50C-407E-A947-70E740481C1C}"/>
                      </a:extLst>
                    </a:blip>
                    <a:srcRect/>
                    <a:stretch>
                      <a:fillRect/>
                    </a:stretch>
                  </pic:blipFill>
                  <pic:spPr bwMode="auto">
                    <a:xfrm>
                      <a:off x="0" y="0"/>
                      <a:ext cx="2919730" cy="9525"/>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ind w:right="110"/>
              <w:spacing w:after="0"/>
              <w:rPr>
                <w:sz w:val="20"/>
                <w:szCs w:val="20"/>
                <w:color w:val="auto"/>
              </w:rPr>
            </w:pPr>
            <w:r>
              <w:rPr>
                <w:rFonts w:ascii="Arial Narrow" w:cs="Arial Narrow" w:eastAsia="Arial Narrow" w:hAnsi="Arial Narrow"/>
                <w:sz w:val="16"/>
                <w:szCs w:val="16"/>
                <w:color w:val="auto"/>
              </w:rPr>
              <w:t>(tons in thousands)</w:t>
            </w: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12"/>
        </w:trPr>
        <w:tc>
          <w:tcPr>
            <w:tcW w:w="20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27"/>
              <w:spacing w:after="0"/>
              <w:rPr>
                <w:sz w:val="20"/>
                <w:szCs w:val="20"/>
                <w:color w:val="auto"/>
              </w:rPr>
            </w:pPr>
            <w:r>
              <w:rPr>
                <w:rFonts w:ascii="Arial Narrow" w:cs="Arial Narrow" w:eastAsia="Arial Narrow" w:hAnsi="Arial Narrow"/>
                <w:sz w:val="18"/>
                <w:szCs w:val="18"/>
                <w:b w:val="1"/>
                <w:bCs w:val="1"/>
                <w:color w:val="auto"/>
              </w:rPr>
              <w:t>Total Proven &amp;</w:t>
            </w:r>
          </w:p>
        </w:tc>
      </w:tr>
      <w:tr>
        <w:trPr>
          <w:trHeight w:val="254"/>
        </w:trPr>
        <w:tc>
          <w:tcPr>
            <w:tcW w:w="2060" w:type="dxa"/>
            <w:vAlign w:val="bottom"/>
          </w:tcPr>
          <w:p>
            <w:pPr>
              <w:spacing w:after="0"/>
              <w:rPr>
                <w:sz w:val="20"/>
                <w:szCs w:val="20"/>
                <w:color w:val="auto"/>
              </w:rPr>
            </w:pPr>
            <w:r>
              <w:rPr>
                <w:rFonts w:ascii="Arial Narrow" w:cs="Arial Narrow" w:eastAsia="Arial Narrow" w:hAnsi="Arial Narrow"/>
                <w:sz w:val="18"/>
                <w:szCs w:val="18"/>
                <w:b w:val="1"/>
                <w:bCs w:val="1"/>
                <w:color w:val="auto"/>
              </w:rPr>
              <w:t>Location</w:t>
            </w:r>
          </w:p>
        </w:tc>
        <w:tc>
          <w:tcPr>
            <w:tcW w:w="2700" w:type="dxa"/>
            <w:vAlign w:val="bottom"/>
          </w:tcPr>
          <w:p>
            <w:pPr>
              <w:ind w:left="1040"/>
              <w:spacing w:after="0"/>
              <w:rPr>
                <w:sz w:val="20"/>
                <w:szCs w:val="20"/>
                <w:color w:val="auto"/>
              </w:rPr>
            </w:pPr>
            <w:r>
              <w:rPr>
                <w:rFonts w:ascii="Arial Narrow" w:cs="Arial Narrow" w:eastAsia="Arial Narrow" w:hAnsi="Arial Narrow"/>
                <w:sz w:val="18"/>
                <w:szCs w:val="18"/>
                <w:b w:val="1"/>
                <w:bCs w:val="1"/>
                <w:color w:val="auto"/>
              </w:rPr>
              <w:t>Types of Aggregates</w:t>
            </w:r>
          </w:p>
        </w:tc>
        <w:tc>
          <w:tcPr>
            <w:tcW w:w="1400" w:type="dxa"/>
            <w:vAlign w:val="bottom"/>
          </w:tcPr>
          <w:p>
            <w:pPr>
              <w:jc w:val="right"/>
              <w:ind w:right="1"/>
              <w:spacing w:after="0"/>
              <w:rPr>
                <w:sz w:val="20"/>
                <w:szCs w:val="20"/>
                <w:color w:val="auto"/>
              </w:rPr>
            </w:pPr>
            <w:r>
              <w:rPr>
                <w:rFonts w:ascii="Arial Narrow" w:cs="Arial Narrow" w:eastAsia="Arial Narrow" w:hAnsi="Arial Narrow"/>
                <w:sz w:val="18"/>
                <w:szCs w:val="18"/>
                <w:b w:val="1"/>
                <w:bCs w:val="1"/>
                <w:color w:val="auto"/>
              </w:rPr>
              <w:t>Proven</w:t>
            </w:r>
          </w:p>
        </w:tc>
        <w:tc>
          <w:tcPr>
            <w:tcW w:w="200" w:type="dxa"/>
            <w:vAlign w:val="bottom"/>
          </w:tcPr>
          <w:p>
            <w:pPr>
              <w:spacing w:after="0"/>
              <w:rPr>
                <w:sz w:val="22"/>
                <w:szCs w:val="22"/>
                <w:color w:val="auto"/>
              </w:rPr>
            </w:pPr>
          </w:p>
        </w:tc>
        <w:tc>
          <w:tcPr>
            <w:tcW w:w="1420" w:type="dxa"/>
            <w:vAlign w:val="bottom"/>
          </w:tcPr>
          <w:p>
            <w:pPr>
              <w:jc w:val="right"/>
              <w:ind w:right="30"/>
              <w:spacing w:after="0"/>
              <w:rPr>
                <w:sz w:val="20"/>
                <w:szCs w:val="20"/>
                <w:color w:val="auto"/>
              </w:rPr>
            </w:pPr>
            <w:r>
              <w:rPr>
                <w:rFonts w:ascii="Arial Narrow" w:cs="Arial Narrow" w:eastAsia="Arial Narrow" w:hAnsi="Arial Narrow"/>
                <w:sz w:val="18"/>
                <w:szCs w:val="18"/>
                <w:b w:val="1"/>
                <w:bCs w:val="1"/>
                <w:color w:val="auto"/>
              </w:rPr>
              <w:t>Probable</w:t>
            </w:r>
          </w:p>
        </w:tc>
        <w:tc>
          <w:tcPr>
            <w:tcW w:w="180" w:type="dxa"/>
            <w:vAlign w:val="bottom"/>
          </w:tcPr>
          <w:p>
            <w:pPr>
              <w:spacing w:after="0"/>
              <w:rPr>
                <w:sz w:val="22"/>
                <w:szCs w:val="22"/>
                <w:color w:val="auto"/>
              </w:rPr>
            </w:pPr>
          </w:p>
        </w:tc>
        <w:tc>
          <w:tcPr>
            <w:tcW w:w="1400" w:type="dxa"/>
            <w:vAlign w:val="bottom"/>
          </w:tcPr>
          <w:p>
            <w:pPr>
              <w:jc w:val="right"/>
              <w:ind w:right="347"/>
              <w:spacing w:after="0"/>
              <w:rPr>
                <w:sz w:val="20"/>
                <w:szCs w:val="20"/>
                <w:color w:val="auto"/>
              </w:rPr>
            </w:pPr>
            <w:r>
              <w:rPr>
                <w:rFonts w:ascii="Arial Narrow" w:cs="Arial Narrow" w:eastAsia="Arial Narrow" w:hAnsi="Arial Narrow"/>
                <w:sz w:val="18"/>
                <w:szCs w:val="18"/>
                <w:b w:val="1"/>
                <w:bCs w:val="1"/>
                <w:color w:val="auto"/>
              </w:rPr>
              <w:t>Probable</w:t>
            </w:r>
          </w:p>
        </w:tc>
      </w:tr>
      <w:tr>
        <w:trPr>
          <w:trHeight w:val="46"/>
        </w:trPr>
        <w:tc>
          <w:tcPr>
            <w:tcW w:w="2060" w:type="dxa"/>
            <w:vAlign w:val="bottom"/>
            <w:tcBorders>
              <w:bottom w:val="single" w:sz="8" w:color="auto"/>
            </w:tcBorders>
          </w:tcPr>
          <w:p>
            <w:pPr>
              <w:spacing w:after="0"/>
              <w:rPr>
                <w:sz w:val="3"/>
                <w:szCs w:val="3"/>
                <w:color w:val="auto"/>
              </w:rPr>
            </w:pPr>
          </w:p>
        </w:tc>
        <w:tc>
          <w:tcPr>
            <w:tcW w:w="27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gridSpan w:val="2"/>
          </w:tcPr>
          <w:p>
            <w:pPr>
              <w:spacing w:after="0"/>
              <w:rPr>
                <w:sz w:val="3"/>
                <w:szCs w:val="3"/>
                <w:color w:val="auto"/>
              </w:rPr>
            </w:pPr>
          </w:p>
        </w:tc>
        <w:tc>
          <w:tcPr>
            <w:tcW w:w="1580" w:type="dxa"/>
            <w:vAlign w:val="bottom"/>
            <w:tcBorders>
              <w:bottom w:val="single" w:sz="8" w:color="auto"/>
            </w:tcBorders>
            <w:gridSpan w:val="2"/>
          </w:tcPr>
          <w:p>
            <w:pPr>
              <w:spacing w:after="0"/>
              <w:rPr>
                <w:sz w:val="3"/>
                <w:szCs w:val="3"/>
                <w:color w:val="auto"/>
              </w:rPr>
            </w:pPr>
          </w:p>
        </w:tc>
      </w:tr>
      <w:tr>
        <w:trPr>
          <w:trHeight w:val="344"/>
        </w:trPr>
        <w:tc>
          <w:tcPr>
            <w:tcW w:w="2060" w:type="dxa"/>
            <w:vAlign w:val="bottom"/>
          </w:tcPr>
          <w:p>
            <w:pPr>
              <w:spacing w:after="0"/>
              <w:rPr>
                <w:sz w:val="20"/>
                <w:szCs w:val="20"/>
                <w:color w:val="auto"/>
              </w:rPr>
            </w:pPr>
            <w:r>
              <w:rPr>
                <w:rFonts w:ascii="Arial Narrow" w:cs="Arial Narrow" w:eastAsia="Arial Narrow" w:hAnsi="Arial Narrow"/>
                <w:sz w:val="20"/>
                <w:szCs w:val="20"/>
                <w:b w:val="1"/>
                <w:bCs w:val="1"/>
                <w:color w:val="43A8B4"/>
              </w:rPr>
              <w:t>Central Texas</w:t>
            </w:r>
          </w:p>
        </w:tc>
        <w:tc>
          <w:tcPr>
            <w:tcW w:w="2700" w:type="dxa"/>
            <w:vAlign w:val="bottom"/>
          </w:tcPr>
          <w:p>
            <w:pPr>
              <w:ind w:left="320"/>
              <w:spacing w:after="0"/>
              <w:rPr>
                <w:sz w:val="20"/>
                <w:szCs w:val="20"/>
                <w:color w:val="auto"/>
              </w:rPr>
            </w:pPr>
            <w:r>
              <w:rPr>
                <w:rFonts w:ascii="Arial Narrow" w:cs="Arial Narrow" w:eastAsia="Arial Narrow" w:hAnsi="Arial Narrow"/>
                <w:sz w:val="20"/>
                <w:szCs w:val="20"/>
                <w:color w:val="auto"/>
              </w:rPr>
              <w:t>Limestone and Gravel</w:t>
            </w:r>
          </w:p>
        </w:tc>
        <w:tc>
          <w:tcPr>
            <w:tcW w:w="1400" w:type="dxa"/>
            <w:vAlign w:val="bottom"/>
          </w:tcPr>
          <w:p>
            <w:pPr>
              <w:jc w:val="right"/>
              <w:ind w:right="1"/>
              <w:spacing w:after="0"/>
              <w:rPr>
                <w:sz w:val="20"/>
                <w:szCs w:val="20"/>
                <w:color w:val="auto"/>
              </w:rPr>
            </w:pPr>
            <w:r>
              <w:rPr>
                <w:rFonts w:ascii="Arial Narrow" w:cs="Arial Narrow" w:eastAsia="Arial Narrow" w:hAnsi="Arial Narrow"/>
                <w:sz w:val="20"/>
                <w:szCs w:val="20"/>
                <w:color w:val="auto"/>
              </w:rPr>
              <w:t>63,980</w:t>
            </w:r>
          </w:p>
        </w:tc>
        <w:tc>
          <w:tcPr>
            <w:tcW w:w="1620" w:type="dxa"/>
            <w:vAlign w:val="bottom"/>
            <w:gridSpan w:val="2"/>
          </w:tcPr>
          <w:p>
            <w:pPr>
              <w:jc w:val="right"/>
              <w:ind w:right="30"/>
              <w:spacing w:after="0"/>
              <w:rPr>
                <w:sz w:val="20"/>
                <w:szCs w:val="20"/>
                <w:color w:val="auto"/>
              </w:rPr>
            </w:pPr>
            <w:r>
              <w:rPr>
                <w:rFonts w:ascii="Arial Narrow" w:cs="Arial Narrow" w:eastAsia="Arial Narrow" w:hAnsi="Arial Narrow"/>
                <w:sz w:val="20"/>
                <w:szCs w:val="20"/>
                <w:color w:val="auto"/>
              </w:rPr>
              <w:t>6,210</w:t>
            </w:r>
          </w:p>
        </w:tc>
        <w:tc>
          <w:tcPr>
            <w:tcW w:w="1580" w:type="dxa"/>
            <w:vAlign w:val="bottom"/>
            <w:gridSpan w:val="2"/>
          </w:tcPr>
          <w:p>
            <w:pPr>
              <w:jc w:val="right"/>
              <w:ind w:right="7"/>
              <w:spacing w:after="0"/>
              <w:rPr>
                <w:sz w:val="20"/>
                <w:szCs w:val="20"/>
                <w:color w:val="auto"/>
              </w:rPr>
            </w:pPr>
            <w:r>
              <w:rPr>
                <w:rFonts w:ascii="Arial Narrow" w:cs="Arial Narrow" w:eastAsia="Arial Narrow" w:hAnsi="Arial Narrow"/>
                <w:sz w:val="20"/>
                <w:szCs w:val="20"/>
                <w:color w:val="auto"/>
              </w:rPr>
              <w:t>70,190</w:t>
            </w:r>
          </w:p>
        </w:tc>
      </w:tr>
      <w:tr>
        <w:trPr>
          <w:trHeight w:val="65"/>
        </w:trPr>
        <w:tc>
          <w:tcPr>
            <w:tcW w:w="2060" w:type="dxa"/>
            <w:vAlign w:val="bottom"/>
            <w:tcBorders>
              <w:bottom w:val="single" w:sz="8" w:color="A6A6A6"/>
            </w:tcBorders>
          </w:tcPr>
          <w:p>
            <w:pPr>
              <w:spacing w:after="0"/>
              <w:rPr>
                <w:sz w:val="5"/>
                <w:szCs w:val="5"/>
                <w:color w:val="auto"/>
              </w:rPr>
            </w:pPr>
          </w:p>
        </w:tc>
        <w:tc>
          <w:tcPr>
            <w:tcW w:w="2700" w:type="dxa"/>
            <w:vAlign w:val="bottom"/>
            <w:tcBorders>
              <w:bottom w:val="single" w:sz="8" w:color="A6A6A6"/>
            </w:tcBorders>
          </w:tcPr>
          <w:p>
            <w:pPr>
              <w:spacing w:after="0"/>
              <w:rPr>
                <w:sz w:val="5"/>
                <w:szCs w:val="5"/>
                <w:color w:val="auto"/>
              </w:rPr>
            </w:pPr>
          </w:p>
        </w:tc>
        <w:tc>
          <w:tcPr>
            <w:tcW w:w="1400" w:type="dxa"/>
            <w:vAlign w:val="bottom"/>
            <w:tcBorders>
              <w:bottom w:val="single" w:sz="8" w:color="A6A6A6"/>
            </w:tcBorders>
          </w:tcPr>
          <w:p>
            <w:pPr>
              <w:spacing w:after="0"/>
              <w:rPr>
                <w:sz w:val="5"/>
                <w:szCs w:val="5"/>
                <w:color w:val="auto"/>
              </w:rPr>
            </w:pPr>
          </w:p>
        </w:tc>
        <w:tc>
          <w:tcPr>
            <w:tcW w:w="200" w:type="dxa"/>
            <w:vAlign w:val="bottom"/>
            <w:tcBorders>
              <w:bottom w:val="single" w:sz="8" w:color="A6A6A6"/>
            </w:tcBorders>
          </w:tcPr>
          <w:p>
            <w:pPr>
              <w:spacing w:after="0"/>
              <w:rPr>
                <w:sz w:val="5"/>
                <w:szCs w:val="5"/>
                <w:color w:val="auto"/>
              </w:rPr>
            </w:pPr>
          </w:p>
        </w:tc>
        <w:tc>
          <w:tcPr>
            <w:tcW w:w="142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1400" w:type="dxa"/>
            <w:vAlign w:val="bottom"/>
            <w:tcBorders>
              <w:bottom w:val="single" w:sz="8" w:color="A6A6A6"/>
            </w:tcBorders>
          </w:tcPr>
          <w:p>
            <w:pPr>
              <w:spacing w:after="0"/>
              <w:rPr>
                <w:sz w:val="5"/>
                <w:szCs w:val="5"/>
                <w:color w:val="auto"/>
              </w:rPr>
            </w:pPr>
          </w:p>
        </w:tc>
      </w:tr>
      <w:tr>
        <w:trPr>
          <w:trHeight w:val="339"/>
        </w:trPr>
        <w:tc>
          <w:tcPr>
            <w:tcW w:w="2060" w:type="dxa"/>
            <w:vAlign w:val="bottom"/>
          </w:tcPr>
          <w:p>
            <w:pPr>
              <w:spacing w:after="0"/>
              <w:rPr>
                <w:sz w:val="20"/>
                <w:szCs w:val="20"/>
                <w:color w:val="auto"/>
              </w:rPr>
            </w:pPr>
            <w:r>
              <w:rPr>
                <w:rFonts w:ascii="Arial Narrow" w:cs="Arial Narrow" w:eastAsia="Arial Narrow" w:hAnsi="Arial Narrow"/>
                <w:sz w:val="20"/>
                <w:szCs w:val="20"/>
                <w:b w:val="1"/>
                <w:bCs w:val="1"/>
                <w:color w:val="43A8B4"/>
              </w:rPr>
              <w:t xml:space="preserve">Kansas City Area </w:t>
            </w:r>
            <w:r>
              <w:rPr>
                <w:rFonts w:ascii="Arial Narrow" w:cs="Arial Narrow" w:eastAsia="Arial Narrow" w:hAnsi="Arial Narrow"/>
                <w:sz w:val="13"/>
                <w:szCs w:val="13"/>
                <w:b w:val="1"/>
                <w:bCs w:val="1"/>
                <w:color w:val="43A8B4"/>
              </w:rPr>
              <w:t>(2)</w:t>
            </w:r>
          </w:p>
        </w:tc>
        <w:tc>
          <w:tcPr>
            <w:tcW w:w="2700" w:type="dxa"/>
            <w:vAlign w:val="bottom"/>
          </w:tcPr>
          <w:p>
            <w:pPr>
              <w:ind w:left="320"/>
              <w:spacing w:after="0"/>
              <w:rPr>
                <w:sz w:val="20"/>
                <w:szCs w:val="20"/>
                <w:color w:val="auto"/>
              </w:rPr>
            </w:pPr>
            <w:r>
              <w:rPr>
                <w:rFonts w:ascii="Arial Narrow" w:cs="Arial Narrow" w:eastAsia="Arial Narrow" w:hAnsi="Arial Narrow"/>
                <w:sz w:val="20"/>
                <w:szCs w:val="20"/>
                <w:color w:val="auto"/>
              </w:rPr>
              <w:t>Limestone</w:t>
            </w:r>
          </w:p>
        </w:tc>
        <w:tc>
          <w:tcPr>
            <w:tcW w:w="1400" w:type="dxa"/>
            <w:vAlign w:val="bottom"/>
          </w:tcPr>
          <w:p>
            <w:pPr>
              <w:jc w:val="right"/>
              <w:ind w:right="1"/>
              <w:spacing w:after="0"/>
              <w:rPr>
                <w:sz w:val="20"/>
                <w:szCs w:val="20"/>
                <w:color w:val="auto"/>
              </w:rPr>
            </w:pPr>
            <w:r>
              <w:rPr>
                <w:rFonts w:ascii="Arial Narrow" w:cs="Arial Narrow" w:eastAsia="Arial Narrow" w:hAnsi="Arial Narrow"/>
                <w:sz w:val="20"/>
                <w:szCs w:val="20"/>
                <w:color w:val="auto"/>
              </w:rPr>
              <w:t>—</w:t>
            </w:r>
          </w:p>
        </w:tc>
        <w:tc>
          <w:tcPr>
            <w:tcW w:w="200" w:type="dxa"/>
            <w:vAlign w:val="bottom"/>
          </w:tcPr>
          <w:p>
            <w:pPr>
              <w:spacing w:after="0"/>
              <w:rPr>
                <w:sz w:val="24"/>
                <w:szCs w:val="24"/>
                <w:color w:val="auto"/>
              </w:rPr>
            </w:pPr>
          </w:p>
        </w:tc>
        <w:tc>
          <w:tcPr>
            <w:tcW w:w="1420" w:type="dxa"/>
            <w:vAlign w:val="bottom"/>
          </w:tcPr>
          <w:p>
            <w:pPr>
              <w:jc w:val="right"/>
              <w:ind w:right="30"/>
              <w:spacing w:after="0"/>
              <w:rPr>
                <w:sz w:val="20"/>
                <w:szCs w:val="20"/>
                <w:color w:val="auto"/>
              </w:rPr>
            </w:pPr>
            <w:r>
              <w:rPr>
                <w:rFonts w:ascii="Arial Narrow" w:cs="Arial Narrow" w:eastAsia="Arial Narrow" w:hAnsi="Arial Narrow"/>
                <w:sz w:val="20"/>
                <w:szCs w:val="20"/>
                <w:color w:val="auto"/>
              </w:rPr>
              <w:t>—</w:t>
            </w:r>
          </w:p>
        </w:tc>
        <w:tc>
          <w:tcPr>
            <w:tcW w:w="180" w:type="dxa"/>
            <w:vAlign w:val="bottom"/>
          </w:tcPr>
          <w:p>
            <w:pPr>
              <w:spacing w:after="0"/>
              <w:rPr>
                <w:sz w:val="24"/>
                <w:szCs w:val="24"/>
                <w:color w:val="auto"/>
              </w:rPr>
            </w:pPr>
          </w:p>
        </w:tc>
        <w:tc>
          <w:tcPr>
            <w:tcW w:w="1400" w:type="dxa"/>
            <w:vAlign w:val="bottom"/>
          </w:tcPr>
          <w:p>
            <w:pPr>
              <w:jc w:val="right"/>
              <w:ind w:right="7"/>
              <w:spacing w:after="0"/>
              <w:rPr>
                <w:sz w:val="20"/>
                <w:szCs w:val="20"/>
                <w:color w:val="auto"/>
              </w:rPr>
            </w:pPr>
            <w:r>
              <w:rPr>
                <w:rFonts w:ascii="Arial Narrow" w:cs="Arial Narrow" w:eastAsia="Arial Narrow" w:hAnsi="Arial Narrow"/>
                <w:sz w:val="20"/>
                <w:szCs w:val="20"/>
                <w:color w:val="auto"/>
              </w:rPr>
              <w:t>—</w:t>
            </w:r>
          </w:p>
        </w:tc>
      </w:tr>
      <w:tr>
        <w:trPr>
          <w:trHeight w:val="65"/>
        </w:trPr>
        <w:tc>
          <w:tcPr>
            <w:tcW w:w="2060" w:type="dxa"/>
            <w:vAlign w:val="bottom"/>
            <w:tcBorders>
              <w:bottom w:val="single" w:sz="8" w:color="A6A6A6"/>
            </w:tcBorders>
          </w:tcPr>
          <w:p>
            <w:pPr>
              <w:spacing w:after="0"/>
              <w:rPr>
                <w:sz w:val="5"/>
                <w:szCs w:val="5"/>
                <w:color w:val="auto"/>
              </w:rPr>
            </w:pPr>
          </w:p>
        </w:tc>
        <w:tc>
          <w:tcPr>
            <w:tcW w:w="2700" w:type="dxa"/>
            <w:vAlign w:val="bottom"/>
            <w:tcBorders>
              <w:bottom w:val="single" w:sz="8" w:color="A6A6A6"/>
            </w:tcBorders>
          </w:tcPr>
          <w:p>
            <w:pPr>
              <w:spacing w:after="0"/>
              <w:rPr>
                <w:sz w:val="5"/>
                <w:szCs w:val="5"/>
                <w:color w:val="auto"/>
              </w:rPr>
            </w:pPr>
          </w:p>
        </w:tc>
        <w:tc>
          <w:tcPr>
            <w:tcW w:w="1400" w:type="dxa"/>
            <w:vAlign w:val="bottom"/>
            <w:tcBorders>
              <w:bottom w:val="single" w:sz="8" w:color="A6A6A6"/>
            </w:tcBorders>
          </w:tcPr>
          <w:p>
            <w:pPr>
              <w:spacing w:after="0"/>
              <w:rPr>
                <w:sz w:val="5"/>
                <w:szCs w:val="5"/>
                <w:color w:val="auto"/>
              </w:rPr>
            </w:pPr>
          </w:p>
        </w:tc>
        <w:tc>
          <w:tcPr>
            <w:tcW w:w="200" w:type="dxa"/>
            <w:vAlign w:val="bottom"/>
            <w:tcBorders>
              <w:bottom w:val="single" w:sz="8" w:color="A6A6A6"/>
            </w:tcBorders>
          </w:tcPr>
          <w:p>
            <w:pPr>
              <w:spacing w:after="0"/>
              <w:rPr>
                <w:sz w:val="5"/>
                <w:szCs w:val="5"/>
                <w:color w:val="auto"/>
              </w:rPr>
            </w:pPr>
          </w:p>
        </w:tc>
        <w:tc>
          <w:tcPr>
            <w:tcW w:w="142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1400" w:type="dxa"/>
            <w:vAlign w:val="bottom"/>
            <w:tcBorders>
              <w:bottom w:val="single" w:sz="8" w:color="A6A6A6"/>
            </w:tcBorders>
          </w:tcPr>
          <w:p>
            <w:pPr>
              <w:spacing w:after="0"/>
              <w:rPr>
                <w:sz w:val="5"/>
                <w:szCs w:val="5"/>
                <w:color w:val="auto"/>
              </w:rPr>
            </w:pPr>
          </w:p>
        </w:tc>
      </w:tr>
      <w:tr>
        <w:trPr>
          <w:trHeight w:val="339"/>
        </w:trPr>
        <w:tc>
          <w:tcPr>
            <w:tcW w:w="2060" w:type="dxa"/>
            <w:vAlign w:val="bottom"/>
          </w:tcPr>
          <w:p>
            <w:pPr>
              <w:spacing w:after="0"/>
              <w:rPr>
                <w:sz w:val="20"/>
                <w:szCs w:val="20"/>
                <w:color w:val="auto"/>
              </w:rPr>
            </w:pPr>
            <w:r>
              <w:rPr>
                <w:rFonts w:ascii="Arial Narrow" w:cs="Arial Narrow" w:eastAsia="Arial Narrow" w:hAnsi="Arial Narrow"/>
                <w:sz w:val="20"/>
                <w:szCs w:val="20"/>
                <w:b w:val="1"/>
                <w:bCs w:val="1"/>
                <w:color w:val="43A8B4"/>
              </w:rPr>
              <w:t>Northern Colorado</w:t>
            </w:r>
          </w:p>
        </w:tc>
        <w:tc>
          <w:tcPr>
            <w:tcW w:w="2700" w:type="dxa"/>
            <w:vAlign w:val="bottom"/>
          </w:tcPr>
          <w:p>
            <w:pPr>
              <w:ind w:left="320"/>
              <w:spacing w:after="0"/>
              <w:rPr>
                <w:sz w:val="20"/>
                <w:szCs w:val="20"/>
                <w:color w:val="auto"/>
              </w:rPr>
            </w:pPr>
            <w:r>
              <w:rPr>
                <w:rFonts w:ascii="Arial Narrow" w:cs="Arial Narrow" w:eastAsia="Arial Narrow" w:hAnsi="Arial Narrow"/>
                <w:sz w:val="20"/>
                <w:szCs w:val="20"/>
                <w:color w:val="auto"/>
              </w:rPr>
              <w:t>Sand and Gravel</w:t>
            </w:r>
          </w:p>
        </w:tc>
        <w:tc>
          <w:tcPr>
            <w:tcW w:w="1400" w:type="dxa"/>
            <w:vAlign w:val="bottom"/>
          </w:tcPr>
          <w:p>
            <w:pPr>
              <w:jc w:val="right"/>
              <w:ind w:right="1"/>
              <w:spacing w:after="0"/>
              <w:rPr>
                <w:sz w:val="20"/>
                <w:szCs w:val="20"/>
                <w:color w:val="auto"/>
              </w:rPr>
            </w:pPr>
            <w:r>
              <w:rPr>
                <w:rFonts w:ascii="Arial Narrow" w:cs="Arial Narrow" w:eastAsia="Arial Narrow" w:hAnsi="Arial Narrow"/>
                <w:sz w:val="20"/>
                <w:szCs w:val="20"/>
                <w:color w:val="auto"/>
              </w:rPr>
              <w:t>—</w:t>
            </w:r>
          </w:p>
        </w:tc>
        <w:tc>
          <w:tcPr>
            <w:tcW w:w="1620" w:type="dxa"/>
            <w:vAlign w:val="bottom"/>
            <w:gridSpan w:val="2"/>
          </w:tcPr>
          <w:p>
            <w:pPr>
              <w:jc w:val="right"/>
              <w:ind w:right="30"/>
              <w:spacing w:after="0"/>
              <w:rPr>
                <w:sz w:val="20"/>
                <w:szCs w:val="20"/>
                <w:color w:val="auto"/>
              </w:rPr>
            </w:pPr>
            <w:r>
              <w:rPr>
                <w:rFonts w:ascii="Arial Narrow" w:cs="Arial Narrow" w:eastAsia="Arial Narrow" w:hAnsi="Arial Narrow"/>
                <w:sz w:val="20"/>
                <w:szCs w:val="20"/>
                <w:color w:val="auto"/>
              </w:rPr>
              <w:t>11,800</w:t>
            </w:r>
          </w:p>
        </w:tc>
        <w:tc>
          <w:tcPr>
            <w:tcW w:w="1580" w:type="dxa"/>
            <w:vAlign w:val="bottom"/>
            <w:gridSpan w:val="2"/>
          </w:tcPr>
          <w:p>
            <w:pPr>
              <w:jc w:val="right"/>
              <w:ind w:right="7"/>
              <w:spacing w:after="0"/>
              <w:rPr>
                <w:sz w:val="20"/>
                <w:szCs w:val="20"/>
                <w:color w:val="auto"/>
              </w:rPr>
            </w:pPr>
            <w:r>
              <w:rPr>
                <w:rFonts w:ascii="Arial Narrow" w:cs="Arial Narrow" w:eastAsia="Arial Narrow" w:hAnsi="Arial Narrow"/>
                <w:sz w:val="20"/>
                <w:szCs w:val="20"/>
                <w:color w:val="auto"/>
              </w:rPr>
              <w:t>11,800</w:t>
            </w:r>
          </w:p>
        </w:tc>
      </w:tr>
      <w:tr>
        <w:trPr>
          <w:trHeight w:val="65"/>
        </w:trPr>
        <w:tc>
          <w:tcPr>
            <w:tcW w:w="2060" w:type="dxa"/>
            <w:vAlign w:val="bottom"/>
            <w:tcBorders>
              <w:bottom w:val="single" w:sz="8" w:color="A6A6A6"/>
            </w:tcBorders>
          </w:tcPr>
          <w:p>
            <w:pPr>
              <w:spacing w:after="0"/>
              <w:rPr>
                <w:sz w:val="5"/>
                <w:szCs w:val="5"/>
                <w:color w:val="auto"/>
              </w:rPr>
            </w:pPr>
          </w:p>
        </w:tc>
        <w:tc>
          <w:tcPr>
            <w:tcW w:w="2700" w:type="dxa"/>
            <w:vAlign w:val="bottom"/>
            <w:tcBorders>
              <w:bottom w:val="single" w:sz="8" w:color="A6A6A6"/>
            </w:tcBorders>
          </w:tcPr>
          <w:p>
            <w:pPr>
              <w:spacing w:after="0"/>
              <w:rPr>
                <w:sz w:val="5"/>
                <w:szCs w:val="5"/>
                <w:color w:val="auto"/>
              </w:rPr>
            </w:pPr>
          </w:p>
        </w:tc>
        <w:tc>
          <w:tcPr>
            <w:tcW w:w="1400" w:type="dxa"/>
            <w:vAlign w:val="bottom"/>
            <w:tcBorders>
              <w:bottom w:val="single" w:sz="8" w:color="A6A6A6"/>
            </w:tcBorders>
          </w:tcPr>
          <w:p>
            <w:pPr>
              <w:spacing w:after="0"/>
              <w:rPr>
                <w:sz w:val="5"/>
                <w:szCs w:val="5"/>
                <w:color w:val="auto"/>
              </w:rPr>
            </w:pPr>
          </w:p>
        </w:tc>
        <w:tc>
          <w:tcPr>
            <w:tcW w:w="200" w:type="dxa"/>
            <w:vAlign w:val="bottom"/>
            <w:tcBorders>
              <w:bottom w:val="single" w:sz="8" w:color="A6A6A6"/>
            </w:tcBorders>
          </w:tcPr>
          <w:p>
            <w:pPr>
              <w:spacing w:after="0"/>
              <w:rPr>
                <w:sz w:val="5"/>
                <w:szCs w:val="5"/>
                <w:color w:val="auto"/>
              </w:rPr>
            </w:pPr>
          </w:p>
        </w:tc>
        <w:tc>
          <w:tcPr>
            <w:tcW w:w="142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1400" w:type="dxa"/>
            <w:vAlign w:val="bottom"/>
            <w:tcBorders>
              <w:bottom w:val="single" w:sz="8" w:color="A6A6A6"/>
            </w:tcBorders>
          </w:tcPr>
          <w:p>
            <w:pPr>
              <w:spacing w:after="0"/>
              <w:rPr>
                <w:sz w:val="5"/>
                <w:szCs w:val="5"/>
                <w:color w:val="auto"/>
              </w:rPr>
            </w:pPr>
          </w:p>
        </w:tc>
      </w:tr>
      <w:tr>
        <w:trPr>
          <w:trHeight w:val="339"/>
        </w:trPr>
        <w:tc>
          <w:tcPr>
            <w:tcW w:w="2060" w:type="dxa"/>
            <w:vAlign w:val="bottom"/>
          </w:tcPr>
          <w:p>
            <w:pPr>
              <w:spacing w:after="0"/>
              <w:rPr>
                <w:sz w:val="20"/>
                <w:szCs w:val="20"/>
                <w:color w:val="auto"/>
              </w:rPr>
            </w:pPr>
            <w:r>
              <w:rPr>
                <w:rFonts w:ascii="Arial Narrow" w:cs="Arial Narrow" w:eastAsia="Arial Narrow" w:hAnsi="Arial Narrow"/>
                <w:sz w:val="20"/>
                <w:szCs w:val="20"/>
                <w:b w:val="1"/>
                <w:bCs w:val="1"/>
                <w:color w:val="43A8B4"/>
              </w:rPr>
              <w:t>Northern Nevada</w:t>
            </w:r>
          </w:p>
        </w:tc>
        <w:tc>
          <w:tcPr>
            <w:tcW w:w="2700" w:type="dxa"/>
            <w:vAlign w:val="bottom"/>
          </w:tcPr>
          <w:p>
            <w:pPr>
              <w:ind w:left="320"/>
              <w:spacing w:after="0"/>
              <w:rPr>
                <w:sz w:val="20"/>
                <w:szCs w:val="20"/>
                <w:color w:val="auto"/>
              </w:rPr>
            </w:pPr>
            <w:r>
              <w:rPr>
                <w:rFonts w:ascii="Arial Narrow" w:cs="Arial Narrow" w:eastAsia="Arial Narrow" w:hAnsi="Arial Narrow"/>
                <w:sz w:val="20"/>
                <w:szCs w:val="20"/>
                <w:color w:val="auto"/>
              </w:rPr>
              <w:t>Sand and Gravel</w:t>
            </w:r>
          </w:p>
        </w:tc>
        <w:tc>
          <w:tcPr>
            <w:tcW w:w="1400" w:type="dxa"/>
            <w:vAlign w:val="bottom"/>
          </w:tcPr>
          <w:p>
            <w:pPr>
              <w:jc w:val="right"/>
              <w:ind w:right="1"/>
              <w:spacing w:after="0"/>
              <w:rPr>
                <w:sz w:val="20"/>
                <w:szCs w:val="20"/>
                <w:color w:val="auto"/>
              </w:rPr>
            </w:pPr>
            <w:r>
              <w:rPr>
                <w:rFonts w:ascii="Arial Narrow" w:cs="Arial Narrow" w:eastAsia="Arial Narrow" w:hAnsi="Arial Narrow"/>
                <w:sz w:val="20"/>
                <w:szCs w:val="20"/>
                <w:color w:val="auto"/>
              </w:rPr>
              <w:t>28,750</w:t>
            </w:r>
          </w:p>
        </w:tc>
        <w:tc>
          <w:tcPr>
            <w:tcW w:w="1620" w:type="dxa"/>
            <w:vAlign w:val="bottom"/>
            <w:gridSpan w:val="2"/>
          </w:tcPr>
          <w:p>
            <w:pPr>
              <w:jc w:val="right"/>
              <w:ind w:right="30"/>
              <w:spacing w:after="0"/>
              <w:rPr>
                <w:sz w:val="20"/>
                <w:szCs w:val="20"/>
                <w:color w:val="auto"/>
              </w:rPr>
            </w:pPr>
            <w:r>
              <w:rPr>
                <w:rFonts w:ascii="Arial Narrow" w:cs="Arial Narrow" w:eastAsia="Arial Narrow" w:hAnsi="Arial Narrow"/>
                <w:sz w:val="20"/>
                <w:szCs w:val="20"/>
                <w:color w:val="auto"/>
              </w:rPr>
              <w:t>2,995</w:t>
            </w:r>
          </w:p>
        </w:tc>
        <w:tc>
          <w:tcPr>
            <w:tcW w:w="1580" w:type="dxa"/>
            <w:vAlign w:val="bottom"/>
            <w:gridSpan w:val="2"/>
          </w:tcPr>
          <w:p>
            <w:pPr>
              <w:jc w:val="right"/>
              <w:ind w:right="7"/>
              <w:spacing w:after="0"/>
              <w:rPr>
                <w:sz w:val="20"/>
                <w:szCs w:val="20"/>
                <w:color w:val="auto"/>
              </w:rPr>
            </w:pPr>
            <w:r>
              <w:rPr>
                <w:rFonts w:ascii="Arial Narrow" w:cs="Arial Narrow" w:eastAsia="Arial Narrow" w:hAnsi="Arial Narrow"/>
                <w:sz w:val="20"/>
                <w:szCs w:val="20"/>
                <w:color w:val="auto"/>
              </w:rPr>
              <w:t>31,745</w:t>
            </w:r>
          </w:p>
        </w:tc>
      </w:tr>
      <w:tr>
        <w:trPr>
          <w:trHeight w:val="65"/>
        </w:trPr>
        <w:tc>
          <w:tcPr>
            <w:tcW w:w="2060" w:type="dxa"/>
            <w:vAlign w:val="bottom"/>
            <w:tcBorders>
              <w:bottom w:val="single" w:sz="8" w:color="A6A6A6"/>
            </w:tcBorders>
          </w:tcPr>
          <w:p>
            <w:pPr>
              <w:spacing w:after="0"/>
              <w:rPr>
                <w:sz w:val="5"/>
                <w:szCs w:val="5"/>
                <w:color w:val="auto"/>
              </w:rPr>
            </w:pPr>
          </w:p>
        </w:tc>
        <w:tc>
          <w:tcPr>
            <w:tcW w:w="2700" w:type="dxa"/>
            <w:vAlign w:val="bottom"/>
            <w:tcBorders>
              <w:bottom w:val="single" w:sz="8" w:color="A6A6A6"/>
            </w:tcBorders>
          </w:tcPr>
          <w:p>
            <w:pPr>
              <w:spacing w:after="0"/>
              <w:rPr>
                <w:sz w:val="5"/>
                <w:szCs w:val="5"/>
                <w:color w:val="auto"/>
              </w:rPr>
            </w:pPr>
          </w:p>
        </w:tc>
        <w:tc>
          <w:tcPr>
            <w:tcW w:w="1400" w:type="dxa"/>
            <w:vAlign w:val="bottom"/>
            <w:tcBorders>
              <w:bottom w:val="single" w:sz="8" w:color="A6A6A6"/>
            </w:tcBorders>
          </w:tcPr>
          <w:p>
            <w:pPr>
              <w:spacing w:after="0"/>
              <w:rPr>
                <w:sz w:val="5"/>
                <w:szCs w:val="5"/>
                <w:color w:val="auto"/>
              </w:rPr>
            </w:pPr>
          </w:p>
        </w:tc>
        <w:tc>
          <w:tcPr>
            <w:tcW w:w="200" w:type="dxa"/>
            <w:vAlign w:val="bottom"/>
            <w:tcBorders>
              <w:bottom w:val="single" w:sz="8" w:color="A6A6A6"/>
            </w:tcBorders>
          </w:tcPr>
          <w:p>
            <w:pPr>
              <w:spacing w:after="0"/>
              <w:rPr>
                <w:sz w:val="5"/>
                <w:szCs w:val="5"/>
                <w:color w:val="auto"/>
              </w:rPr>
            </w:pPr>
          </w:p>
        </w:tc>
        <w:tc>
          <w:tcPr>
            <w:tcW w:w="142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1400" w:type="dxa"/>
            <w:vAlign w:val="bottom"/>
            <w:tcBorders>
              <w:bottom w:val="single" w:sz="8" w:color="A6A6A6"/>
            </w:tcBorders>
          </w:tcPr>
          <w:p>
            <w:pPr>
              <w:spacing w:after="0"/>
              <w:rPr>
                <w:sz w:val="5"/>
                <w:szCs w:val="5"/>
                <w:color w:val="auto"/>
              </w:rPr>
            </w:pPr>
          </w:p>
        </w:tc>
      </w:tr>
      <w:tr>
        <w:trPr>
          <w:trHeight w:val="339"/>
        </w:trPr>
        <w:tc>
          <w:tcPr>
            <w:tcW w:w="2060" w:type="dxa"/>
            <w:vAlign w:val="bottom"/>
          </w:tcPr>
          <w:p>
            <w:pPr>
              <w:spacing w:after="0"/>
              <w:rPr>
                <w:sz w:val="20"/>
                <w:szCs w:val="20"/>
                <w:color w:val="auto"/>
              </w:rPr>
            </w:pPr>
            <w:r>
              <w:rPr>
                <w:rFonts w:ascii="Arial Narrow" w:cs="Arial Narrow" w:eastAsia="Arial Narrow" w:hAnsi="Arial Narrow"/>
                <w:sz w:val="20"/>
                <w:szCs w:val="20"/>
                <w:b w:val="1"/>
                <w:bCs w:val="1"/>
                <w:color w:val="43A8B4"/>
              </w:rPr>
              <w:t>Northern Kentucky</w:t>
            </w:r>
          </w:p>
        </w:tc>
        <w:tc>
          <w:tcPr>
            <w:tcW w:w="2700" w:type="dxa"/>
            <w:vAlign w:val="bottom"/>
          </w:tcPr>
          <w:p>
            <w:pPr>
              <w:ind w:left="320"/>
              <w:spacing w:after="0"/>
              <w:rPr>
                <w:sz w:val="20"/>
                <w:szCs w:val="20"/>
                <w:color w:val="auto"/>
              </w:rPr>
            </w:pPr>
            <w:r>
              <w:rPr>
                <w:rFonts w:ascii="Arial Narrow" w:cs="Arial Narrow" w:eastAsia="Arial Narrow" w:hAnsi="Arial Narrow"/>
                <w:sz w:val="20"/>
                <w:szCs w:val="20"/>
                <w:color w:val="auto"/>
              </w:rPr>
              <w:t>Limestone</w:t>
            </w:r>
          </w:p>
        </w:tc>
        <w:tc>
          <w:tcPr>
            <w:tcW w:w="1400" w:type="dxa"/>
            <w:vAlign w:val="bottom"/>
          </w:tcPr>
          <w:p>
            <w:pPr>
              <w:jc w:val="right"/>
              <w:ind w:right="1"/>
              <w:spacing w:after="0"/>
              <w:rPr>
                <w:sz w:val="20"/>
                <w:szCs w:val="20"/>
                <w:color w:val="auto"/>
              </w:rPr>
            </w:pPr>
            <w:r>
              <w:rPr>
                <w:rFonts w:ascii="Arial Narrow" w:cs="Arial Narrow" w:eastAsia="Arial Narrow" w:hAnsi="Arial Narrow"/>
                <w:sz w:val="20"/>
                <w:szCs w:val="20"/>
                <w:color w:val="auto"/>
              </w:rPr>
              <w:t>42,520</w:t>
            </w:r>
          </w:p>
        </w:tc>
        <w:tc>
          <w:tcPr>
            <w:tcW w:w="1620" w:type="dxa"/>
            <w:vAlign w:val="bottom"/>
            <w:gridSpan w:val="2"/>
          </w:tcPr>
          <w:p>
            <w:pPr>
              <w:jc w:val="right"/>
              <w:ind w:right="30"/>
              <w:spacing w:after="0"/>
              <w:rPr>
                <w:sz w:val="20"/>
                <w:szCs w:val="20"/>
                <w:color w:val="auto"/>
              </w:rPr>
            </w:pPr>
            <w:r>
              <w:rPr>
                <w:rFonts w:ascii="Arial Narrow" w:cs="Arial Narrow" w:eastAsia="Arial Narrow" w:hAnsi="Arial Narrow"/>
                <w:sz w:val="20"/>
                <w:szCs w:val="20"/>
                <w:color w:val="auto"/>
              </w:rPr>
              <w:t>26,380</w:t>
            </w:r>
          </w:p>
        </w:tc>
        <w:tc>
          <w:tcPr>
            <w:tcW w:w="1580" w:type="dxa"/>
            <w:vAlign w:val="bottom"/>
            <w:gridSpan w:val="2"/>
          </w:tcPr>
          <w:p>
            <w:pPr>
              <w:jc w:val="right"/>
              <w:ind w:right="7"/>
              <w:spacing w:after="0"/>
              <w:rPr>
                <w:sz w:val="20"/>
                <w:szCs w:val="20"/>
                <w:color w:val="auto"/>
              </w:rPr>
            </w:pPr>
            <w:r>
              <w:rPr>
                <w:rFonts w:ascii="Arial Narrow" w:cs="Arial Narrow" w:eastAsia="Arial Narrow" w:hAnsi="Arial Narrow"/>
                <w:sz w:val="20"/>
                <w:szCs w:val="20"/>
                <w:color w:val="auto"/>
              </w:rPr>
              <w:t>68,900</w:t>
            </w:r>
          </w:p>
        </w:tc>
      </w:tr>
      <w:tr>
        <w:trPr>
          <w:trHeight w:val="65"/>
        </w:trPr>
        <w:tc>
          <w:tcPr>
            <w:tcW w:w="2060" w:type="dxa"/>
            <w:vAlign w:val="bottom"/>
            <w:tcBorders>
              <w:bottom w:val="single" w:sz="8" w:color="A6A6A6"/>
            </w:tcBorders>
          </w:tcPr>
          <w:p>
            <w:pPr>
              <w:spacing w:after="0"/>
              <w:rPr>
                <w:sz w:val="5"/>
                <w:szCs w:val="5"/>
                <w:color w:val="auto"/>
              </w:rPr>
            </w:pPr>
          </w:p>
        </w:tc>
        <w:tc>
          <w:tcPr>
            <w:tcW w:w="2700" w:type="dxa"/>
            <w:vAlign w:val="bottom"/>
            <w:tcBorders>
              <w:bottom w:val="single" w:sz="8" w:color="A6A6A6"/>
            </w:tcBorders>
          </w:tcPr>
          <w:p>
            <w:pPr>
              <w:spacing w:after="0"/>
              <w:rPr>
                <w:sz w:val="5"/>
                <w:szCs w:val="5"/>
                <w:color w:val="auto"/>
              </w:rPr>
            </w:pPr>
          </w:p>
        </w:tc>
        <w:tc>
          <w:tcPr>
            <w:tcW w:w="1400" w:type="dxa"/>
            <w:vAlign w:val="bottom"/>
            <w:tcBorders>
              <w:bottom w:val="single" w:sz="8" w:color="A6A6A6"/>
            </w:tcBorders>
          </w:tcPr>
          <w:p>
            <w:pPr>
              <w:spacing w:after="0"/>
              <w:rPr>
                <w:sz w:val="5"/>
                <w:szCs w:val="5"/>
                <w:color w:val="auto"/>
              </w:rPr>
            </w:pPr>
          </w:p>
        </w:tc>
        <w:tc>
          <w:tcPr>
            <w:tcW w:w="200" w:type="dxa"/>
            <w:vAlign w:val="bottom"/>
            <w:tcBorders>
              <w:bottom w:val="single" w:sz="8" w:color="A6A6A6"/>
            </w:tcBorders>
          </w:tcPr>
          <w:p>
            <w:pPr>
              <w:spacing w:after="0"/>
              <w:rPr>
                <w:sz w:val="5"/>
                <w:szCs w:val="5"/>
                <w:color w:val="auto"/>
              </w:rPr>
            </w:pPr>
          </w:p>
        </w:tc>
        <w:tc>
          <w:tcPr>
            <w:tcW w:w="142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1400" w:type="dxa"/>
            <w:vAlign w:val="bottom"/>
            <w:tcBorders>
              <w:bottom w:val="single" w:sz="8" w:color="A6A6A6"/>
            </w:tcBorders>
          </w:tcPr>
          <w:p>
            <w:pPr>
              <w:spacing w:after="0"/>
              <w:rPr>
                <w:sz w:val="5"/>
                <w:szCs w:val="5"/>
                <w:color w:val="auto"/>
              </w:rPr>
            </w:pPr>
          </w:p>
        </w:tc>
      </w:tr>
      <w:tr>
        <w:trPr>
          <w:trHeight w:val="339"/>
        </w:trPr>
        <w:tc>
          <w:tcPr>
            <w:tcW w:w="2060" w:type="dxa"/>
            <w:vAlign w:val="bottom"/>
          </w:tcPr>
          <w:p>
            <w:pPr>
              <w:spacing w:after="0"/>
              <w:rPr>
                <w:sz w:val="20"/>
                <w:szCs w:val="20"/>
                <w:color w:val="auto"/>
              </w:rPr>
            </w:pPr>
            <w:r>
              <w:rPr>
                <w:rFonts w:ascii="Arial Narrow" w:cs="Arial Narrow" w:eastAsia="Arial Narrow" w:hAnsi="Arial Narrow"/>
                <w:sz w:val="20"/>
                <w:szCs w:val="20"/>
                <w:b w:val="1"/>
                <w:bCs w:val="1"/>
                <w:color w:val="43A8B4"/>
              </w:rPr>
              <w:t>Western Pennsylvania</w:t>
            </w:r>
          </w:p>
        </w:tc>
        <w:tc>
          <w:tcPr>
            <w:tcW w:w="2700" w:type="dxa"/>
            <w:vAlign w:val="bottom"/>
          </w:tcPr>
          <w:p>
            <w:pPr>
              <w:ind w:left="320"/>
              <w:spacing w:after="0"/>
              <w:rPr>
                <w:sz w:val="20"/>
                <w:szCs w:val="20"/>
                <w:color w:val="auto"/>
              </w:rPr>
            </w:pPr>
            <w:r>
              <w:rPr>
                <w:rFonts w:ascii="Arial Narrow" w:cs="Arial Narrow" w:eastAsia="Arial Narrow" w:hAnsi="Arial Narrow"/>
                <w:sz w:val="20"/>
                <w:szCs w:val="20"/>
                <w:color w:val="auto"/>
              </w:rPr>
              <w:t>Limestone</w:t>
            </w:r>
          </w:p>
        </w:tc>
        <w:tc>
          <w:tcPr>
            <w:tcW w:w="1400" w:type="dxa"/>
            <w:vAlign w:val="bottom"/>
          </w:tcPr>
          <w:p>
            <w:pPr>
              <w:jc w:val="right"/>
              <w:ind w:right="1"/>
              <w:spacing w:after="0"/>
              <w:rPr>
                <w:sz w:val="20"/>
                <w:szCs w:val="20"/>
                <w:color w:val="auto"/>
              </w:rPr>
            </w:pPr>
            <w:r>
              <w:rPr>
                <w:rFonts w:ascii="Arial Narrow" w:cs="Arial Narrow" w:eastAsia="Arial Narrow" w:hAnsi="Arial Narrow"/>
                <w:sz w:val="20"/>
                <w:szCs w:val="20"/>
                <w:color w:val="auto"/>
              </w:rPr>
              <w:t>18,030</w:t>
            </w:r>
          </w:p>
        </w:tc>
        <w:tc>
          <w:tcPr>
            <w:tcW w:w="1620" w:type="dxa"/>
            <w:vAlign w:val="bottom"/>
            <w:gridSpan w:val="2"/>
          </w:tcPr>
          <w:p>
            <w:pPr>
              <w:jc w:val="right"/>
              <w:ind w:right="30"/>
              <w:spacing w:after="0"/>
              <w:rPr>
                <w:sz w:val="20"/>
                <w:szCs w:val="20"/>
                <w:color w:val="auto"/>
              </w:rPr>
            </w:pPr>
            <w:r>
              <w:rPr>
                <w:rFonts w:ascii="Arial Narrow" w:cs="Arial Narrow" w:eastAsia="Arial Narrow" w:hAnsi="Arial Narrow"/>
                <w:sz w:val="20"/>
                <w:szCs w:val="20"/>
                <w:color w:val="auto"/>
              </w:rPr>
              <w:t>5,000</w:t>
            </w:r>
          </w:p>
        </w:tc>
        <w:tc>
          <w:tcPr>
            <w:tcW w:w="1580" w:type="dxa"/>
            <w:vAlign w:val="bottom"/>
            <w:gridSpan w:val="2"/>
          </w:tcPr>
          <w:p>
            <w:pPr>
              <w:jc w:val="right"/>
              <w:ind w:right="7"/>
              <w:spacing w:after="0"/>
              <w:rPr>
                <w:sz w:val="20"/>
                <w:szCs w:val="20"/>
                <w:color w:val="auto"/>
              </w:rPr>
            </w:pPr>
            <w:r>
              <w:rPr>
                <w:rFonts w:ascii="Arial Narrow" w:cs="Arial Narrow" w:eastAsia="Arial Narrow" w:hAnsi="Arial Narrow"/>
                <w:sz w:val="20"/>
                <w:szCs w:val="20"/>
                <w:color w:val="auto"/>
              </w:rPr>
              <w:t>23,030</w:t>
            </w:r>
          </w:p>
        </w:tc>
      </w:tr>
      <w:tr>
        <w:trPr>
          <w:trHeight w:val="90"/>
        </w:trPr>
        <w:tc>
          <w:tcPr>
            <w:tcW w:w="2060" w:type="dxa"/>
            <w:vAlign w:val="bottom"/>
            <w:tcBorders>
              <w:bottom w:val="single" w:sz="8" w:color="A6A6A6"/>
            </w:tcBorders>
          </w:tcPr>
          <w:p>
            <w:pPr>
              <w:spacing w:after="0"/>
              <w:rPr>
                <w:sz w:val="7"/>
                <w:szCs w:val="7"/>
                <w:color w:val="auto"/>
              </w:rPr>
            </w:pPr>
          </w:p>
        </w:tc>
        <w:tc>
          <w:tcPr>
            <w:tcW w:w="2700" w:type="dxa"/>
            <w:vAlign w:val="bottom"/>
            <w:tcBorders>
              <w:bottom w:val="single" w:sz="8" w:color="A6A6A6"/>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r>
      <w:tr>
        <w:trPr>
          <w:trHeight w:val="344"/>
        </w:trPr>
        <w:tc>
          <w:tcPr>
            <w:tcW w:w="20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400" w:type="dxa"/>
            <w:vAlign w:val="bottom"/>
          </w:tcPr>
          <w:p>
            <w:pPr>
              <w:jc w:val="right"/>
              <w:ind w:right="1"/>
              <w:spacing w:after="0"/>
              <w:rPr>
                <w:sz w:val="20"/>
                <w:szCs w:val="20"/>
                <w:color w:val="auto"/>
              </w:rPr>
            </w:pPr>
            <w:r>
              <w:rPr>
                <w:rFonts w:ascii="Arial Narrow" w:cs="Arial Narrow" w:eastAsia="Arial Narrow" w:hAnsi="Arial Narrow"/>
                <w:sz w:val="20"/>
                <w:szCs w:val="20"/>
                <w:b w:val="1"/>
                <w:bCs w:val="1"/>
                <w:color w:val="auto"/>
              </w:rPr>
              <w:t>153,280</w:t>
            </w:r>
          </w:p>
        </w:tc>
        <w:tc>
          <w:tcPr>
            <w:tcW w:w="1620" w:type="dxa"/>
            <w:vAlign w:val="bottom"/>
            <w:gridSpan w:val="2"/>
          </w:tcPr>
          <w:p>
            <w:pPr>
              <w:jc w:val="right"/>
              <w:ind w:right="30"/>
              <w:spacing w:after="0"/>
              <w:rPr>
                <w:sz w:val="20"/>
                <w:szCs w:val="20"/>
                <w:color w:val="auto"/>
              </w:rPr>
            </w:pPr>
            <w:r>
              <w:rPr>
                <w:rFonts w:ascii="Arial Narrow" w:cs="Arial Narrow" w:eastAsia="Arial Narrow" w:hAnsi="Arial Narrow"/>
                <w:sz w:val="20"/>
                <w:szCs w:val="20"/>
                <w:b w:val="1"/>
                <w:bCs w:val="1"/>
                <w:color w:val="auto"/>
              </w:rPr>
              <w:t>52,385</w:t>
            </w:r>
          </w:p>
        </w:tc>
        <w:tc>
          <w:tcPr>
            <w:tcW w:w="1580" w:type="dxa"/>
            <w:vAlign w:val="bottom"/>
            <w:gridSpan w:val="2"/>
          </w:tcPr>
          <w:p>
            <w:pPr>
              <w:jc w:val="right"/>
              <w:ind w:right="7"/>
              <w:spacing w:after="0"/>
              <w:rPr>
                <w:sz w:val="20"/>
                <w:szCs w:val="20"/>
                <w:color w:val="auto"/>
              </w:rPr>
            </w:pPr>
            <w:r>
              <w:rPr>
                <w:rFonts w:ascii="Arial Narrow" w:cs="Arial Narrow" w:eastAsia="Arial Narrow" w:hAnsi="Arial Narrow"/>
                <w:sz w:val="20"/>
                <w:szCs w:val="20"/>
                <w:b w:val="1"/>
                <w:bCs w:val="1"/>
                <w:color w:val="auto"/>
              </w:rPr>
              <w:t>205,665</w:t>
            </w:r>
          </w:p>
        </w:tc>
      </w:tr>
      <w:tr>
        <w:trPr>
          <w:trHeight w:val="65"/>
        </w:trPr>
        <w:tc>
          <w:tcPr>
            <w:tcW w:w="2060" w:type="dxa"/>
            <w:vAlign w:val="bottom"/>
          </w:tcPr>
          <w:p>
            <w:pPr>
              <w:spacing w:after="0"/>
              <w:rPr>
                <w:sz w:val="5"/>
                <w:szCs w:val="5"/>
                <w:color w:val="auto"/>
              </w:rPr>
            </w:pPr>
          </w:p>
        </w:tc>
        <w:tc>
          <w:tcPr>
            <w:tcW w:w="2700" w:type="dxa"/>
            <w:vAlign w:val="bottom"/>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r>
      <w:tr>
        <w:trPr>
          <w:trHeight w:val="20"/>
        </w:trPr>
        <w:tc>
          <w:tcPr>
            <w:tcW w:w="20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ind w:left="180" w:right="240" w:hanging="180"/>
        <w:spacing w:after="0"/>
        <w:tabs>
          <w:tab w:leader="none" w:pos="180" w:val="left"/>
        </w:tabs>
        <w:numPr>
          <w:ilvl w:val="0"/>
          <w:numId w:val="22"/>
        </w:numPr>
        <w:rPr>
          <w:rFonts w:ascii="Arial" w:cs="Arial" w:eastAsia="Arial" w:hAnsi="Arial"/>
          <w:sz w:val="10"/>
          <w:szCs w:val="10"/>
          <w:color w:val="auto"/>
        </w:rPr>
      </w:pPr>
      <w:r>
        <w:rPr>
          <w:rFonts w:ascii="Arial" w:cs="Arial" w:eastAsia="Arial" w:hAnsi="Arial"/>
          <w:sz w:val="16"/>
          <w:szCs w:val="16"/>
          <w:color w:val="auto"/>
        </w:rPr>
        <w:t>The economic viability of our reserves was determined using average limestone, sand, and gravel prices ranging from $8.00 to $28.00 per ton, depending on location and market. Aggregates reserves are reported on saleable product basis.</w:t>
      </w:r>
    </w:p>
    <w:p>
      <w:pPr>
        <w:ind w:left="180" w:hanging="180"/>
        <w:spacing w:after="0"/>
        <w:tabs>
          <w:tab w:leader="none" w:pos="180" w:val="left"/>
        </w:tabs>
        <w:numPr>
          <w:ilvl w:val="0"/>
          <w:numId w:val="22"/>
        </w:numPr>
        <w:rPr>
          <w:rFonts w:ascii="Arial" w:cs="Arial" w:eastAsia="Arial" w:hAnsi="Arial"/>
          <w:sz w:val="10"/>
          <w:szCs w:val="10"/>
          <w:color w:val="auto"/>
        </w:rPr>
      </w:pPr>
      <w:r>
        <w:rPr>
          <w:rFonts w:ascii="Arial" w:cs="Arial" w:eastAsia="Arial" w:hAnsi="Arial"/>
          <w:sz w:val="16"/>
          <w:szCs w:val="16"/>
          <w:color w:val="auto"/>
        </w:rPr>
        <w:t>The Company is currently not operating its aggregate facility in the Kansas City area.</w:t>
      </w:r>
    </w:p>
    <w:p>
      <w:pPr>
        <w:spacing w:after="0" w:line="264" w:lineRule="exact"/>
        <w:rPr>
          <w:sz w:val="20"/>
          <w:szCs w:val="20"/>
          <w:color w:val="auto"/>
        </w:rPr>
      </w:pPr>
    </w:p>
    <w:p>
      <w:pPr>
        <w:ind w:right="140"/>
        <w:spacing w:after="0" w:line="303" w:lineRule="auto"/>
        <w:rPr>
          <w:sz w:val="20"/>
          <w:szCs w:val="20"/>
          <w:color w:val="auto"/>
        </w:rPr>
      </w:pPr>
      <w:r>
        <w:rPr>
          <w:rFonts w:ascii="Arial" w:cs="Arial" w:eastAsia="Arial" w:hAnsi="Arial"/>
          <w:sz w:val="20"/>
          <w:szCs w:val="20"/>
          <w:color w:val="auto"/>
        </w:rPr>
        <w:t>Our total measured and indicated aggregates resources were 250.9 million tons at March 31, 2026, compared with 212.6 million tons at March 31, 2025. Our total proven and probable reserves were 205.7 million tons at March 31, 2026, compared with 191.7 million tons at March 31, 2025. The increases in</w:t>
      </w:r>
    </w:p>
    <w:p>
      <w:pPr>
        <w:sectPr>
          <w:pgSz w:w="11880" w:h="15480" w:orient="portrait"/>
          <w:cols w:equalWidth="0" w:num="1">
            <w:col w:w="9360"/>
          </w:cols>
          <w:pgMar w:left="1260" w:top="1267" w:right="1260" w:bottom="0"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43</w:t>
      </w:r>
    </w:p>
    <w:p>
      <w:pPr>
        <w:sectPr>
          <w:pgSz w:w="11880" w:h="15480" w:orient="portrait"/>
          <w:cols w:equalWidth="0" w:num="1">
            <w:col w:w="9360"/>
          </w:cols>
          <w:pgMar w:left="1260" w:top="1267" w:right="1260" w:bottom="0" w:gutter="0" w:footer="0" w:header="0"/>
          <w:type w:val="continuous"/>
        </w:sectPr>
      </w:pPr>
    </w:p>
    <w:bookmarkStart w:id="51" w:name="page52"/>
    <w:bookmarkEnd w:id="51"/>
    <w:p>
      <w:pPr>
        <w:ind w:right="340"/>
        <w:spacing w:after="0" w:line="325" w:lineRule="auto"/>
        <w:rPr>
          <w:sz w:val="20"/>
          <w:szCs w:val="20"/>
          <w:color w:val="auto"/>
        </w:rPr>
      </w:pPr>
      <w:r>
        <w:rPr>
          <w:rFonts w:ascii="Arial" w:cs="Arial" w:eastAsia="Arial" w:hAnsi="Arial"/>
          <w:sz w:val="20"/>
          <w:szCs w:val="20"/>
          <w:color w:val="auto"/>
        </w:rPr>
        <w:t>reserves and resources were primarily due to the Aggregates Acquisitions, partially offset by depletion during fiscal 2026.</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color w:val="auto"/>
        </w:rPr>
        <w:t>Below is a summary of the annual production volumes from our aggregate quarries.</w:t>
      </w:r>
    </w:p>
    <w:p>
      <w:pPr>
        <w:spacing w:after="0" w:line="200" w:lineRule="exact"/>
        <w:rPr>
          <w:sz w:val="20"/>
          <w:szCs w:val="20"/>
          <w:color w:val="auto"/>
        </w:rPr>
      </w:pPr>
    </w:p>
    <w:p>
      <w:pPr>
        <w:spacing w:after="0" w:line="242" w:lineRule="exact"/>
        <w:rPr>
          <w:sz w:val="20"/>
          <w:szCs w:val="20"/>
          <w:color w:val="auto"/>
        </w:rPr>
      </w:pPr>
    </w:p>
    <w:p>
      <w:pPr>
        <w:ind w:left="5820"/>
        <w:spacing w:after="0"/>
        <w:rPr>
          <w:sz w:val="20"/>
          <w:szCs w:val="20"/>
          <w:color w:val="auto"/>
        </w:rPr>
      </w:pPr>
      <w:r>
        <w:rPr>
          <w:rFonts w:ascii="Arial Narrow" w:cs="Arial Narrow" w:eastAsia="Arial Narrow" w:hAnsi="Arial Narrow"/>
          <w:sz w:val="18"/>
          <w:szCs w:val="18"/>
          <w:b w:val="1"/>
          <w:bCs w:val="1"/>
          <w:color w:val="auto"/>
        </w:rPr>
        <w:t>Tons Mined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2040255</wp:posOffset>
            </wp:positionH>
            <wp:positionV relativeFrom="paragraph">
              <wp:posOffset>43180</wp:posOffset>
            </wp:positionV>
            <wp:extent cx="3903345" cy="95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0">
                      <a:extLst>
                        <a:ext uri="{28A0092B-C50C-407E-A947-70E740481C1C}"/>
                      </a:extLst>
                    </a:blip>
                    <a:srcRect/>
                    <a:stretch>
                      <a:fillRect/>
                    </a:stretch>
                  </pic:blipFill>
                  <pic:spPr bwMode="auto">
                    <a:xfrm>
                      <a:off x="0" y="0"/>
                      <a:ext cx="3903345" cy="9525"/>
                    </a:xfrm>
                    <a:prstGeom prst="rect">
                      <a:avLst/>
                    </a:prstGeom>
                    <a:noFill/>
                  </pic:spPr>
                </pic:pic>
              </a:graphicData>
            </a:graphic>
          </wp:anchor>
        </w:drawing>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2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tcPr>
          <w:p>
            <w:pPr>
              <w:jc w:val="right"/>
              <w:ind w:right="350"/>
              <w:spacing w:after="0"/>
              <w:rPr>
                <w:sz w:val="20"/>
                <w:szCs w:val="20"/>
                <w:color w:val="auto"/>
              </w:rPr>
            </w:pPr>
            <w:r>
              <w:rPr>
                <w:rFonts w:ascii="Arial Narrow" w:cs="Arial Narrow" w:eastAsia="Arial Narrow" w:hAnsi="Arial Narrow"/>
                <w:sz w:val="16"/>
                <w:szCs w:val="16"/>
                <w:color w:val="auto"/>
              </w:rPr>
              <w:t>(tons in thousands)</w:t>
            </w:r>
          </w:p>
        </w:tc>
        <w:tc>
          <w:tcPr>
            <w:tcW w:w="26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59"/>
        </w:trPr>
        <w:tc>
          <w:tcPr>
            <w:tcW w:w="3220" w:type="dxa"/>
            <w:vAlign w:val="bottom"/>
          </w:tcPr>
          <w:p>
            <w:pPr>
              <w:spacing w:after="0"/>
              <w:rPr>
                <w:sz w:val="20"/>
                <w:szCs w:val="20"/>
                <w:color w:val="auto"/>
              </w:rPr>
            </w:pPr>
            <w:r>
              <w:rPr>
                <w:rFonts w:ascii="Arial Narrow" w:cs="Arial Narrow" w:eastAsia="Arial Narrow" w:hAnsi="Arial Narrow"/>
                <w:sz w:val="18"/>
                <w:szCs w:val="18"/>
                <w:b w:val="1"/>
                <w:bCs w:val="1"/>
                <w:color w:val="auto"/>
              </w:rPr>
              <w:t>Location</w:t>
            </w:r>
          </w:p>
        </w:tc>
        <w:tc>
          <w:tcPr>
            <w:tcW w:w="1880" w:type="dxa"/>
            <w:vAlign w:val="bottom"/>
          </w:tcPr>
          <w:p>
            <w:pPr>
              <w:jc w:val="right"/>
              <w:ind w:right="21"/>
              <w:spacing w:after="0"/>
              <w:rPr>
                <w:sz w:val="20"/>
                <w:szCs w:val="20"/>
                <w:color w:val="auto"/>
              </w:rPr>
            </w:pPr>
            <w:r>
              <w:rPr>
                <w:rFonts w:ascii="Arial Narrow" w:cs="Arial Narrow" w:eastAsia="Arial Narrow" w:hAnsi="Arial Narrow"/>
                <w:sz w:val="18"/>
                <w:szCs w:val="18"/>
                <w:b w:val="1"/>
                <w:bCs w:val="1"/>
                <w:color w:val="auto"/>
              </w:rPr>
              <w:t>2026</w:t>
            </w:r>
          </w:p>
        </w:tc>
        <w:tc>
          <w:tcPr>
            <w:tcW w:w="2140" w:type="dxa"/>
            <w:vAlign w:val="bottom"/>
            <w:gridSpan w:val="2"/>
          </w:tcPr>
          <w:p>
            <w:pPr>
              <w:jc w:val="right"/>
              <w:ind w:right="30"/>
              <w:spacing w:after="0"/>
              <w:rPr>
                <w:sz w:val="20"/>
                <w:szCs w:val="20"/>
                <w:color w:val="auto"/>
              </w:rPr>
            </w:pPr>
            <w:r>
              <w:rPr>
                <w:rFonts w:ascii="Arial Narrow" w:cs="Arial Narrow" w:eastAsia="Arial Narrow" w:hAnsi="Arial Narrow"/>
                <w:sz w:val="18"/>
                <w:szCs w:val="18"/>
                <w:b w:val="1"/>
                <w:bCs w:val="1"/>
                <w:color w:val="auto"/>
              </w:rPr>
              <w:t>2025</w:t>
            </w:r>
          </w:p>
        </w:tc>
        <w:tc>
          <w:tcPr>
            <w:tcW w:w="2120" w:type="dxa"/>
            <w:vAlign w:val="bottom"/>
            <w:gridSpan w:val="2"/>
          </w:tcPr>
          <w:p>
            <w:pPr>
              <w:jc w:val="right"/>
              <w:spacing w:after="0"/>
              <w:rPr>
                <w:sz w:val="20"/>
                <w:szCs w:val="20"/>
                <w:color w:val="auto"/>
              </w:rPr>
            </w:pPr>
            <w:r>
              <w:rPr>
                <w:rFonts w:ascii="Arial Narrow" w:cs="Arial Narrow" w:eastAsia="Arial Narrow" w:hAnsi="Arial Narrow"/>
                <w:sz w:val="18"/>
                <w:szCs w:val="18"/>
                <w:b w:val="1"/>
                <w:bCs w:val="1"/>
                <w:color w:val="auto"/>
              </w:rPr>
              <w:t>2024</w:t>
            </w:r>
          </w:p>
        </w:tc>
      </w:tr>
      <w:tr>
        <w:trPr>
          <w:trHeight w:val="46"/>
        </w:trPr>
        <w:tc>
          <w:tcPr>
            <w:tcW w:w="322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2140" w:type="dxa"/>
            <w:vAlign w:val="bottom"/>
            <w:tcBorders>
              <w:bottom w:val="single" w:sz="8" w:color="auto"/>
            </w:tcBorders>
            <w:gridSpan w:val="2"/>
          </w:tcPr>
          <w:p>
            <w:pPr>
              <w:spacing w:after="0"/>
              <w:rPr>
                <w:sz w:val="3"/>
                <w:szCs w:val="3"/>
                <w:color w:val="auto"/>
              </w:rPr>
            </w:pPr>
          </w:p>
        </w:tc>
        <w:tc>
          <w:tcPr>
            <w:tcW w:w="2120" w:type="dxa"/>
            <w:vAlign w:val="bottom"/>
            <w:tcBorders>
              <w:bottom w:val="single" w:sz="8" w:color="auto"/>
            </w:tcBorders>
            <w:gridSpan w:val="2"/>
          </w:tcPr>
          <w:p>
            <w:pPr>
              <w:spacing w:after="0"/>
              <w:rPr>
                <w:sz w:val="3"/>
                <w:szCs w:val="3"/>
                <w:color w:val="auto"/>
              </w:rPr>
            </w:pPr>
          </w:p>
        </w:tc>
      </w:tr>
      <w:tr>
        <w:trPr>
          <w:trHeight w:val="344"/>
        </w:trPr>
        <w:tc>
          <w:tcPr>
            <w:tcW w:w="3220" w:type="dxa"/>
            <w:vAlign w:val="bottom"/>
          </w:tcPr>
          <w:p>
            <w:pPr>
              <w:spacing w:after="0"/>
              <w:rPr>
                <w:sz w:val="20"/>
                <w:szCs w:val="20"/>
                <w:color w:val="auto"/>
              </w:rPr>
            </w:pPr>
            <w:r>
              <w:rPr>
                <w:rFonts w:ascii="Arial Narrow" w:cs="Arial Narrow" w:eastAsia="Arial Narrow" w:hAnsi="Arial Narrow"/>
                <w:sz w:val="20"/>
                <w:szCs w:val="20"/>
                <w:b w:val="1"/>
                <w:bCs w:val="1"/>
                <w:color w:val="43A8B4"/>
              </w:rPr>
              <w:t>Central Texas</w:t>
            </w:r>
          </w:p>
        </w:tc>
        <w:tc>
          <w:tcPr>
            <w:tcW w:w="1880" w:type="dxa"/>
            <w:vAlign w:val="bottom"/>
          </w:tcPr>
          <w:p>
            <w:pPr>
              <w:jc w:val="right"/>
              <w:ind w:right="21"/>
              <w:spacing w:after="0"/>
              <w:rPr>
                <w:sz w:val="20"/>
                <w:szCs w:val="20"/>
                <w:color w:val="auto"/>
              </w:rPr>
            </w:pPr>
            <w:r>
              <w:rPr>
                <w:rFonts w:ascii="Arial Narrow" w:cs="Arial Narrow" w:eastAsia="Arial Narrow" w:hAnsi="Arial Narrow"/>
                <w:sz w:val="20"/>
                <w:szCs w:val="20"/>
                <w:color w:val="auto"/>
              </w:rPr>
              <w:t>1,905</w:t>
            </w:r>
          </w:p>
        </w:tc>
        <w:tc>
          <w:tcPr>
            <w:tcW w:w="2140" w:type="dxa"/>
            <w:vAlign w:val="bottom"/>
            <w:gridSpan w:val="2"/>
          </w:tcPr>
          <w:p>
            <w:pPr>
              <w:jc w:val="right"/>
              <w:ind w:right="30"/>
              <w:spacing w:after="0"/>
              <w:rPr>
                <w:sz w:val="20"/>
                <w:szCs w:val="20"/>
                <w:color w:val="auto"/>
              </w:rPr>
            </w:pPr>
            <w:r>
              <w:rPr>
                <w:rFonts w:ascii="Arial Narrow" w:cs="Arial Narrow" w:eastAsia="Arial Narrow" w:hAnsi="Arial Narrow"/>
                <w:sz w:val="20"/>
                <w:szCs w:val="20"/>
                <w:color w:val="auto"/>
              </w:rPr>
              <w:t>1,780</w:t>
            </w:r>
          </w:p>
        </w:tc>
        <w:tc>
          <w:tcPr>
            <w:tcW w:w="2120" w:type="dxa"/>
            <w:vAlign w:val="bottom"/>
            <w:gridSpan w:val="2"/>
          </w:tcPr>
          <w:p>
            <w:pPr>
              <w:jc w:val="right"/>
              <w:spacing w:after="0"/>
              <w:rPr>
                <w:sz w:val="20"/>
                <w:szCs w:val="20"/>
                <w:color w:val="auto"/>
              </w:rPr>
            </w:pPr>
            <w:r>
              <w:rPr>
                <w:rFonts w:ascii="Arial Narrow" w:cs="Arial Narrow" w:eastAsia="Arial Narrow" w:hAnsi="Arial Narrow"/>
                <w:sz w:val="20"/>
                <w:szCs w:val="20"/>
                <w:color w:val="auto"/>
              </w:rPr>
              <w:t>1,885</w:t>
            </w:r>
          </w:p>
        </w:tc>
      </w:tr>
      <w:tr>
        <w:trPr>
          <w:trHeight w:val="65"/>
        </w:trPr>
        <w:tc>
          <w:tcPr>
            <w:tcW w:w="3220" w:type="dxa"/>
            <w:vAlign w:val="bottom"/>
            <w:tcBorders>
              <w:bottom w:val="single" w:sz="8" w:color="A6A6A6"/>
            </w:tcBorders>
          </w:tcPr>
          <w:p>
            <w:pPr>
              <w:spacing w:after="0"/>
              <w:rPr>
                <w:sz w:val="5"/>
                <w:szCs w:val="5"/>
                <w:color w:val="auto"/>
              </w:rPr>
            </w:pPr>
          </w:p>
        </w:tc>
        <w:tc>
          <w:tcPr>
            <w:tcW w:w="1880" w:type="dxa"/>
            <w:vAlign w:val="bottom"/>
            <w:tcBorders>
              <w:bottom w:val="single" w:sz="8" w:color="A6A6A6"/>
            </w:tcBorders>
          </w:tcPr>
          <w:p>
            <w:pPr>
              <w:spacing w:after="0"/>
              <w:rPr>
                <w:sz w:val="5"/>
                <w:szCs w:val="5"/>
                <w:color w:val="auto"/>
              </w:rPr>
            </w:pPr>
          </w:p>
        </w:tc>
        <w:tc>
          <w:tcPr>
            <w:tcW w:w="260" w:type="dxa"/>
            <w:vAlign w:val="bottom"/>
            <w:tcBorders>
              <w:bottom w:val="single" w:sz="8" w:color="A6A6A6"/>
            </w:tcBorders>
          </w:tcPr>
          <w:p>
            <w:pPr>
              <w:spacing w:after="0"/>
              <w:rPr>
                <w:sz w:val="5"/>
                <w:szCs w:val="5"/>
                <w:color w:val="auto"/>
              </w:rPr>
            </w:pPr>
          </w:p>
        </w:tc>
        <w:tc>
          <w:tcPr>
            <w:tcW w:w="1880" w:type="dxa"/>
            <w:vAlign w:val="bottom"/>
            <w:tcBorders>
              <w:bottom w:val="single" w:sz="8" w:color="A6A6A6"/>
            </w:tcBorders>
          </w:tcPr>
          <w:p>
            <w:pPr>
              <w:spacing w:after="0"/>
              <w:rPr>
                <w:sz w:val="5"/>
                <w:szCs w:val="5"/>
                <w:color w:val="auto"/>
              </w:rPr>
            </w:pPr>
          </w:p>
        </w:tc>
        <w:tc>
          <w:tcPr>
            <w:tcW w:w="260" w:type="dxa"/>
            <w:vAlign w:val="bottom"/>
            <w:tcBorders>
              <w:bottom w:val="single" w:sz="8" w:color="A6A6A6"/>
            </w:tcBorders>
          </w:tcPr>
          <w:p>
            <w:pPr>
              <w:spacing w:after="0"/>
              <w:rPr>
                <w:sz w:val="5"/>
                <w:szCs w:val="5"/>
                <w:color w:val="auto"/>
              </w:rPr>
            </w:pPr>
          </w:p>
        </w:tc>
        <w:tc>
          <w:tcPr>
            <w:tcW w:w="1860" w:type="dxa"/>
            <w:vAlign w:val="bottom"/>
            <w:tcBorders>
              <w:bottom w:val="single" w:sz="8" w:color="A6A6A6"/>
            </w:tcBorders>
          </w:tcPr>
          <w:p>
            <w:pPr>
              <w:spacing w:after="0"/>
              <w:rPr>
                <w:sz w:val="5"/>
                <w:szCs w:val="5"/>
                <w:color w:val="auto"/>
              </w:rPr>
            </w:pPr>
          </w:p>
        </w:tc>
      </w:tr>
      <w:tr>
        <w:trPr>
          <w:trHeight w:val="339"/>
        </w:trPr>
        <w:tc>
          <w:tcPr>
            <w:tcW w:w="3220" w:type="dxa"/>
            <w:vAlign w:val="bottom"/>
          </w:tcPr>
          <w:p>
            <w:pPr>
              <w:spacing w:after="0"/>
              <w:rPr>
                <w:sz w:val="20"/>
                <w:szCs w:val="20"/>
                <w:color w:val="auto"/>
              </w:rPr>
            </w:pPr>
            <w:r>
              <w:rPr>
                <w:rFonts w:ascii="Arial Narrow" w:cs="Arial Narrow" w:eastAsia="Arial Narrow" w:hAnsi="Arial Narrow"/>
                <w:sz w:val="20"/>
                <w:szCs w:val="20"/>
                <w:b w:val="1"/>
                <w:bCs w:val="1"/>
                <w:color w:val="43A8B4"/>
              </w:rPr>
              <w:t xml:space="preserve">Kansas City Area </w:t>
            </w:r>
            <w:r>
              <w:rPr>
                <w:rFonts w:ascii="Arial Narrow" w:cs="Arial Narrow" w:eastAsia="Arial Narrow" w:hAnsi="Arial Narrow"/>
                <w:sz w:val="13"/>
                <w:szCs w:val="13"/>
                <w:b w:val="1"/>
                <w:bCs w:val="1"/>
                <w:color w:val="43A8B4"/>
              </w:rPr>
              <w:t>(1)</w:t>
            </w:r>
          </w:p>
        </w:tc>
        <w:tc>
          <w:tcPr>
            <w:tcW w:w="1880" w:type="dxa"/>
            <w:vAlign w:val="bottom"/>
          </w:tcPr>
          <w:p>
            <w:pPr>
              <w:jc w:val="right"/>
              <w:ind w:right="21"/>
              <w:spacing w:after="0"/>
              <w:rPr>
                <w:sz w:val="20"/>
                <w:szCs w:val="20"/>
                <w:color w:val="auto"/>
              </w:rPr>
            </w:pPr>
            <w:r>
              <w:rPr>
                <w:rFonts w:ascii="Arial Narrow" w:cs="Arial Narrow" w:eastAsia="Arial Narrow" w:hAnsi="Arial Narrow"/>
                <w:sz w:val="20"/>
                <w:szCs w:val="20"/>
                <w:color w:val="auto"/>
              </w:rPr>
              <w:t>—</w:t>
            </w:r>
          </w:p>
        </w:tc>
        <w:tc>
          <w:tcPr>
            <w:tcW w:w="260" w:type="dxa"/>
            <w:vAlign w:val="bottom"/>
          </w:tcPr>
          <w:p>
            <w:pPr>
              <w:spacing w:after="0"/>
              <w:rPr>
                <w:sz w:val="24"/>
                <w:szCs w:val="24"/>
                <w:color w:val="auto"/>
              </w:rPr>
            </w:pPr>
          </w:p>
        </w:tc>
        <w:tc>
          <w:tcPr>
            <w:tcW w:w="1880" w:type="dxa"/>
            <w:vAlign w:val="bottom"/>
          </w:tcPr>
          <w:p>
            <w:pPr>
              <w:jc w:val="right"/>
              <w:ind w:right="30"/>
              <w:spacing w:after="0"/>
              <w:rPr>
                <w:sz w:val="20"/>
                <w:szCs w:val="20"/>
                <w:color w:val="auto"/>
              </w:rPr>
            </w:pPr>
            <w:r>
              <w:rPr>
                <w:rFonts w:ascii="Arial Narrow" w:cs="Arial Narrow" w:eastAsia="Arial Narrow" w:hAnsi="Arial Narrow"/>
                <w:sz w:val="20"/>
                <w:szCs w:val="20"/>
                <w:color w:val="auto"/>
              </w:rPr>
              <w:t>—</w:t>
            </w:r>
          </w:p>
        </w:tc>
        <w:tc>
          <w:tcPr>
            <w:tcW w:w="26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r>
      <w:tr>
        <w:trPr>
          <w:trHeight w:val="65"/>
        </w:trPr>
        <w:tc>
          <w:tcPr>
            <w:tcW w:w="3220" w:type="dxa"/>
            <w:vAlign w:val="bottom"/>
            <w:tcBorders>
              <w:bottom w:val="single" w:sz="8" w:color="A6A6A6"/>
            </w:tcBorders>
          </w:tcPr>
          <w:p>
            <w:pPr>
              <w:spacing w:after="0"/>
              <w:rPr>
                <w:sz w:val="5"/>
                <w:szCs w:val="5"/>
                <w:color w:val="auto"/>
              </w:rPr>
            </w:pPr>
          </w:p>
        </w:tc>
        <w:tc>
          <w:tcPr>
            <w:tcW w:w="1880" w:type="dxa"/>
            <w:vAlign w:val="bottom"/>
            <w:tcBorders>
              <w:bottom w:val="single" w:sz="8" w:color="A6A6A6"/>
            </w:tcBorders>
          </w:tcPr>
          <w:p>
            <w:pPr>
              <w:spacing w:after="0"/>
              <w:rPr>
                <w:sz w:val="5"/>
                <w:szCs w:val="5"/>
                <w:color w:val="auto"/>
              </w:rPr>
            </w:pPr>
          </w:p>
        </w:tc>
        <w:tc>
          <w:tcPr>
            <w:tcW w:w="260" w:type="dxa"/>
            <w:vAlign w:val="bottom"/>
            <w:tcBorders>
              <w:bottom w:val="single" w:sz="8" w:color="A6A6A6"/>
            </w:tcBorders>
          </w:tcPr>
          <w:p>
            <w:pPr>
              <w:spacing w:after="0"/>
              <w:rPr>
                <w:sz w:val="5"/>
                <w:szCs w:val="5"/>
                <w:color w:val="auto"/>
              </w:rPr>
            </w:pPr>
          </w:p>
        </w:tc>
        <w:tc>
          <w:tcPr>
            <w:tcW w:w="1880" w:type="dxa"/>
            <w:vAlign w:val="bottom"/>
            <w:tcBorders>
              <w:bottom w:val="single" w:sz="8" w:color="A6A6A6"/>
            </w:tcBorders>
          </w:tcPr>
          <w:p>
            <w:pPr>
              <w:spacing w:after="0"/>
              <w:rPr>
                <w:sz w:val="5"/>
                <w:szCs w:val="5"/>
                <w:color w:val="auto"/>
              </w:rPr>
            </w:pPr>
          </w:p>
        </w:tc>
        <w:tc>
          <w:tcPr>
            <w:tcW w:w="260" w:type="dxa"/>
            <w:vAlign w:val="bottom"/>
            <w:tcBorders>
              <w:bottom w:val="single" w:sz="8" w:color="A6A6A6"/>
            </w:tcBorders>
          </w:tcPr>
          <w:p>
            <w:pPr>
              <w:spacing w:after="0"/>
              <w:rPr>
                <w:sz w:val="5"/>
                <w:szCs w:val="5"/>
                <w:color w:val="auto"/>
              </w:rPr>
            </w:pPr>
          </w:p>
        </w:tc>
        <w:tc>
          <w:tcPr>
            <w:tcW w:w="1860" w:type="dxa"/>
            <w:vAlign w:val="bottom"/>
            <w:tcBorders>
              <w:bottom w:val="single" w:sz="8" w:color="A6A6A6"/>
            </w:tcBorders>
          </w:tcPr>
          <w:p>
            <w:pPr>
              <w:spacing w:after="0"/>
              <w:rPr>
                <w:sz w:val="5"/>
                <w:szCs w:val="5"/>
                <w:color w:val="auto"/>
              </w:rPr>
            </w:pPr>
          </w:p>
        </w:tc>
      </w:tr>
      <w:tr>
        <w:trPr>
          <w:trHeight w:val="339"/>
        </w:trPr>
        <w:tc>
          <w:tcPr>
            <w:tcW w:w="3220" w:type="dxa"/>
            <w:vAlign w:val="bottom"/>
          </w:tcPr>
          <w:p>
            <w:pPr>
              <w:spacing w:after="0"/>
              <w:rPr>
                <w:sz w:val="20"/>
                <w:szCs w:val="20"/>
                <w:color w:val="auto"/>
              </w:rPr>
            </w:pPr>
            <w:r>
              <w:rPr>
                <w:rFonts w:ascii="Arial Narrow" w:cs="Arial Narrow" w:eastAsia="Arial Narrow" w:hAnsi="Arial Narrow"/>
                <w:sz w:val="20"/>
                <w:szCs w:val="20"/>
                <w:b w:val="1"/>
                <w:bCs w:val="1"/>
                <w:color w:val="43A8B4"/>
              </w:rPr>
              <w:t>Northern Colorado</w:t>
            </w:r>
          </w:p>
        </w:tc>
        <w:tc>
          <w:tcPr>
            <w:tcW w:w="1880" w:type="dxa"/>
            <w:vAlign w:val="bottom"/>
          </w:tcPr>
          <w:p>
            <w:pPr>
              <w:jc w:val="right"/>
              <w:ind w:right="21"/>
              <w:spacing w:after="0"/>
              <w:rPr>
                <w:sz w:val="20"/>
                <w:szCs w:val="20"/>
                <w:color w:val="auto"/>
              </w:rPr>
            </w:pPr>
            <w:r>
              <w:rPr>
                <w:rFonts w:ascii="Arial Narrow" w:cs="Arial Narrow" w:eastAsia="Arial Narrow" w:hAnsi="Arial Narrow"/>
                <w:sz w:val="20"/>
                <w:szCs w:val="20"/>
                <w:color w:val="auto"/>
              </w:rPr>
              <w:t>1,090</w:t>
            </w:r>
          </w:p>
        </w:tc>
        <w:tc>
          <w:tcPr>
            <w:tcW w:w="2140" w:type="dxa"/>
            <w:vAlign w:val="bottom"/>
            <w:gridSpan w:val="2"/>
          </w:tcPr>
          <w:p>
            <w:pPr>
              <w:jc w:val="right"/>
              <w:ind w:right="30"/>
              <w:spacing w:after="0"/>
              <w:rPr>
                <w:sz w:val="20"/>
                <w:szCs w:val="20"/>
                <w:color w:val="auto"/>
              </w:rPr>
            </w:pPr>
            <w:r>
              <w:rPr>
                <w:rFonts w:ascii="Arial Narrow" w:cs="Arial Narrow" w:eastAsia="Arial Narrow" w:hAnsi="Arial Narrow"/>
                <w:sz w:val="20"/>
                <w:szCs w:val="20"/>
                <w:color w:val="auto"/>
              </w:rPr>
              <w:t>990</w:t>
            </w:r>
          </w:p>
        </w:tc>
        <w:tc>
          <w:tcPr>
            <w:tcW w:w="2120" w:type="dxa"/>
            <w:vAlign w:val="bottom"/>
            <w:gridSpan w:val="2"/>
          </w:tcPr>
          <w:p>
            <w:pPr>
              <w:jc w:val="right"/>
              <w:spacing w:after="0"/>
              <w:rPr>
                <w:sz w:val="20"/>
                <w:szCs w:val="20"/>
                <w:color w:val="auto"/>
              </w:rPr>
            </w:pPr>
            <w:r>
              <w:rPr>
                <w:rFonts w:ascii="Arial Narrow" w:cs="Arial Narrow" w:eastAsia="Arial Narrow" w:hAnsi="Arial Narrow"/>
                <w:sz w:val="20"/>
                <w:szCs w:val="20"/>
                <w:color w:val="auto"/>
              </w:rPr>
              <w:t>1,685</w:t>
            </w:r>
          </w:p>
        </w:tc>
      </w:tr>
      <w:tr>
        <w:trPr>
          <w:trHeight w:val="65"/>
        </w:trPr>
        <w:tc>
          <w:tcPr>
            <w:tcW w:w="3220" w:type="dxa"/>
            <w:vAlign w:val="bottom"/>
            <w:tcBorders>
              <w:bottom w:val="single" w:sz="8" w:color="A6A6A6"/>
            </w:tcBorders>
          </w:tcPr>
          <w:p>
            <w:pPr>
              <w:spacing w:after="0"/>
              <w:rPr>
                <w:sz w:val="5"/>
                <w:szCs w:val="5"/>
                <w:color w:val="auto"/>
              </w:rPr>
            </w:pPr>
          </w:p>
        </w:tc>
        <w:tc>
          <w:tcPr>
            <w:tcW w:w="1880" w:type="dxa"/>
            <w:vAlign w:val="bottom"/>
            <w:tcBorders>
              <w:bottom w:val="single" w:sz="8" w:color="A6A6A6"/>
            </w:tcBorders>
          </w:tcPr>
          <w:p>
            <w:pPr>
              <w:spacing w:after="0"/>
              <w:rPr>
                <w:sz w:val="5"/>
                <w:szCs w:val="5"/>
                <w:color w:val="auto"/>
              </w:rPr>
            </w:pPr>
          </w:p>
        </w:tc>
        <w:tc>
          <w:tcPr>
            <w:tcW w:w="260" w:type="dxa"/>
            <w:vAlign w:val="bottom"/>
            <w:tcBorders>
              <w:bottom w:val="single" w:sz="8" w:color="A6A6A6"/>
            </w:tcBorders>
          </w:tcPr>
          <w:p>
            <w:pPr>
              <w:spacing w:after="0"/>
              <w:rPr>
                <w:sz w:val="5"/>
                <w:szCs w:val="5"/>
                <w:color w:val="auto"/>
              </w:rPr>
            </w:pPr>
          </w:p>
        </w:tc>
        <w:tc>
          <w:tcPr>
            <w:tcW w:w="1880" w:type="dxa"/>
            <w:vAlign w:val="bottom"/>
            <w:tcBorders>
              <w:bottom w:val="single" w:sz="8" w:color="A6A6A6"/>
            </w:tcBorders>
          </w:tcPr>
          <w:p>
            <w:pPr>
              <w:spacing w:after="0"/>
              <w:rPr>
                <w:sz w:val="5"/>
                <w:szCs w:val="5"/>
                <w:color w:val="auto"/>
              </w:rPr>
            </w:pPr>
          </w:p>
        </w:tc>
        <w:tc>
          <w:tcPr>
            <w:tcW w:w="260" w:type="dxa"/>
            <w:vAlign w:val="bottom"/>
            <w:tcBorders>
              <w:bottom w:val="single" w:sz="8" w:color="A6A6A6"/>
            </w:tcBorders>
          </w:tcPr>
          <w:p>
            <w:pPr>
              <w:spacing w:after="0"/>
              <w:rPr>
                <w:sz w:val="5"/>
                <w:szCs w:val="5"/>
                <w:color w:val="auto"/>
              </w:rPr>
            </w:pPr>
          </w:p>
        </w:tc>
        <w:tc>
          <w:tcPr>
            <w:tcW w:w="1860" w:type="dxa"/>
            <w:vAlign w:val="bottom"/>
            <w:tcBorders>
              <w:bottom w:val="single" w:sz="8" w:color="A6A6A6"/>
            </w:tcBorders>
          </w:tcPr>
          <w:p>
            <w:pPr>
              <w:spacing w:after="0"/>
              <w:rPr>
                <w:sz w:val="5"/>
                <w:szCs w:val="5"/>
                <w:color w:val="auto"/>
              </w:rPr>
            </w:pPr>
          </w:p>
        </w:tc>
      </w:tr>
      <w:tr>
        <w:trPr>
          <w:trHeight w:val="339"/>
        </w:trPr>
        <w:tc>
          <w:tcPr>
            <w:tcW w:w="3220" w:type="dxa"/>
            <w:vAlign w:val="bottom"/>
          </w:tcPr>
          <w:p>
            <w:pPr>
              <w:spacing w:after="0"/>
              <w:rPr>
                <w:sz w:val="20"/>
                <w:szCs w:val="20"/>
                <w:color w:val="auto"/>
              </w:rPr>
            </w:pPr>
            <w:r>
              <w:rPr>
                <w:rFonts w:ascii="Arial Narrow" w:cs="Arial Narrow" w:eastAsia="Arial Narrow" w:hAnsi="Arial Narrow"/>
                <w:sz w:val="20"/>
                <w:szCs w:val="20"/>
                <w:b w:val="1"/>
                <w:bCs w:val="1"/>
                <w:color w:val="43A8B4"/>
              </w:rPr>
              <w:t>Northern Kentucky</w:t>
            </w:r>
          </w:p>
        </w:tc>
        <w:tc>
          <w:tcPr>
            <w:tcW w:w="1880" w:type="dxa"/>
            <w:vAlign w:val="bottom"/>
          </w:tcPr>
          <w:p>
            <w:pPr>
              <w:jc w:val="right"/>
              <w:ind w:right="21"/>
              <w:spacing w:after="0"/>
              <w:rPr>
                <w:sz w:val="20"/>
                <w:szCs w:val="20"/>
                <w:color w:val="auto"/>
              </w:rPr>
            </w:pPr>
            <w:r>
              <w:rPr>
                <w:rFonts w:ascii="Arial Narrow" w:cs="Arial Narrow" w:eastAsia="Arial Narrow" w:hAnsi="Arial Narrow"/>
                <w:sz w:val="20"/>
                <w:szCs w:val="20"/>
                <w:color w:val="auto"/>
              </w:rPr>
              <w:t>2,070</w:t>
            </w:r>
          </w:p>
        </w:tc>
        <w:tc>
          <w:tcPr>
            <w:tcW w:w="2140" w:type="dxa"/>
            <w:vAlign w:val="bottom"/>
            <w:gridSpan w:val="2"/>
          </w:tcPr>
          <w:p>
            <w:pPr>
              <w:jc w:val="right"/>
              <w:ind w:right="30"/>
              <w:spacing w:after="0"/>
              <w:rPr>
                <w:sz w:val="20"/>
                <w:szCs w:val="20"/>
                <w:color w:val="auto"/>
              </w:rPr>
            </w:pPr>
            <w:r>
              <w:rPr>
                <w:rFonts w:ascii="Arial Narrow" w:cs="Arial Narrow" w:eastAsia="Arial Narrow" w:hAnsi="Arial Narrow"/>
                <w:sz w:val="20"/>
                <w:szCs w:val="20"/>
                <w:color w:val="auto"/>
              </w:rPr>
              <w:t>1,300</w:t>
            </w:r>
          </w:p>
        </w:tc>
        <w:tc>
          <w:tcPr>
            <w:tcW w:w="2120" w:type="dxa"/>
            <w:vAlign w:val="bottom"/>
            <w:gridSpan w:val="2"/>
          </w:tcPr>
          <w:p>
            <w:pPr>
              <w:jc w:val="right"/>
              <w:spacing w:after="0"/>
              <w:rPr>
                <w:sz w:val="20"/>
                <w:szCs w:val="20"/>
                <w:color w:val="auto"/>
              </w:rPr>
            </w:pPr>
            <w:r>
              <w:rPr>
                <w:rFonts w:ascii="Arial Narrow" w:cs="Arial Narrow" w:eastAsia="Arial Narrow" w:hAnsi="Arial Narrow"/>
                <w:sz w:val="20"/>
                <w:szCs w:val="20"/>
                <w:color w:val="auto"/>
              </w:rPr>
              <w:t>900</w:t>
            </w:r>
          </w:p>
        </w:tc>
      </w:tr>
      <w:tr>
        <w:trPr>
          <w:trHeight w:val="65"/>
        </w:trPr>
        <w:tc>
          <w:tcPr>
            <w:tcW w:w="3220" w:type="dxa"/>
            <w:vAlign w:val="bottom"/>
            <w:tcBorders>
              <w:bottom w:val="single" w:sz="8" w:color="A6A6A6"/>
            </w:tcBorders>
          </w:tcPr>
          <w:p>
            <w:pPr>
              <w:spacing w:after="0"/>
              <w:rPr>
                <w:sz w:val="5"/>
                <w:szCs w:val="5"/>
                <w:color w:val="auto"/>
              </w:rPr>
            </w:pPr>
          </w:p>
        </w:tc>
        <w:tc>
          <w:tcPr>
            <w:tcW w:w="1880" w:type="dxa"/>
            <w:vAlign w:val="bottom"/>
            <w:tcBorders>
              <w:bottom w:val="single" w:sz="8" w:color="A6A6A6"/>
            </w:tcBorders>
          </w:tcPr>
          <w:p>
            <w:pPr>
              <w:spacing w:after="0"/>
              <w:rPr>
                <w:sz w:val="5"/>
                <w:szCs w:val="5"/>
                <w:color w:val="auto"/>
              </w:rPr>
            </w:pPr>
          </w:p>
        </w:tc>
        <w:tc>
          <w:tcPr>
            <w:tcW w:w="260" w:type="dxa"/>
            <w:vAlign w:val="bottom"/>
            <w:tcBorders>
              <w:bottom w:val="single" w:sz="8" w:color="A6A6A6"/>
            </w:tcBorders>
          </w:tcPr>
          <w:p>
            <w:pPr>
              <w:spacing w:after="0"/>
              <w:rPr>
                <w:sz w:val="5"/>
                <w:szCs w:val="5"/>
                <w:color w:val="auto"/>
              </w:rPr>
            </w:pPr>
          </w:p>
        </w:tc>
        <w:tc>
          <w:tcPr>
            <w:tcW w:w="1880" w:type="dxa"/>
            <w:vAlign w:val="bottom"/>
            <w:tcBorders>
              <w:bottom w:val="single" w:sz="8" w:color="A6A6A6"/>
            </w:tcBorders>
          </w:tcPr>
          <w:p>
            <w:pPr>
              <w:spacing w:after="0"/>
              <w:rPr>
                <w:sz w:val="5"/>
                <w:szCs w:val="5"/>
                <w:color w:val="auto"/>
              </w:rPr>
            </w:pPr>
          </w:p>
        </w:tc>
        <w:tc>
          <w:tcPr>
            <w:tcW w:w="260" w:type="dxa"/>
            <w:vAlign w:val="bottom"/>
            <w:tcBorders>
              <w:bottom w:val="single" w:sz="8" w:color="A6A6A6"/>
            </w:tcBorders>
          </w:tcPr>
          <w:p>
            <w:pPr>
              <w:spacing w:after="0"/>
              <w:rPr>
                <w:sz w:val="5"/>
                <w:szCs w:val="5"/>
                <w:color w:val="auto"/>
              </w:rPr>
            </w:pPr>
          </w:p>
        </w:tc>
        <w:tc>
          <w:tcPr>
            <w:tcW w:w="1860" w:type="dxa"/>
            <w:vAlign w:val="bottom"/>
            <w:tcBorders>
              <w:bottom w:val="single" w:sz="8" w:color="A6A6A6"/>
            </w:tcBorders>
          </w:tcPr>
          <w:p>
            <w:pPr>
              <w:spacing w:after="0"/>
              <w:rPr>
                <w:sz w:val="5"/>
                <w:szCs w:val="5"/>
                <w:color w:val="auto"/>
              </w:rPr>
            </w:pPr>
          </w:p>
        </w:tc>
      </w:tr>
      <w:tr>
        <w:trPr>
          <w:trHeight w:val="339"/>
        </w:trPr>
        <w:tc>
          <w:tcPr>
            <w:tcW w:w="3220" w:type="dxa"/>
            <w:vAlign w:val="bottom"/>
          </w:tcPr>
          <w:p>
            <w:pPr>
              <w:spacing w:after="0"/>
              <w:rPr>
                <w:sz w:val="20"/>
                <w:szCs w:val="20"/>
                <w:color w:val="auto"/>
              </w:rPr>
            </w:pPr>
            <w:r>
              <w:rPr>
                <w:rFonts w:ascii="Arial Narrow" w:cs="Arial Narrow" w:eastAsia="Arial Narrow" w:hAnsi="Arial Narrow"/>
                <w:sz w:val="20"/>
                <w:szCs w:val="20"/>
                <w:b w:val="1"/>
                <w:bCs w:val="1"/>
                <w:color w:val="43A8B4"/>
              </w:rPr>
              <w:t>Northern Nevada</w:t>
            </w:r>
          </w:p>
        </w:tc>
        <w:tc>
          <w:tcPr>
            <w:tcW w:w="1880" w:type="dxa"/>
            <w:vAlign w:val="bottom"/>
          </w:tcPr>
          <w:p>
            <w:pPr>
              <w:jc w:val="right"/>
              <w:ind w:right="21"/>
              <w:spacing w:after="0"/>
              <w:rPr>
                <w:sz w:val="20"/>
                <w:szCs w:val="20"/>
                <w:color w:val="auto"/>
              </w:rPr>
            </w:pPr>
            <w:r>
              <w:rPr>
                <w:rFonts w:ascii="Arial Narrow" w:cs="Arial Narrow" w:eastAsia="Arial Narrow" w:hAnsi="Arial Narrow"/>
                <w:sz w:val="20"/>
                <w:szCs w:val="20"/>
                <w:color w:val="auto"/>
              </w:rPr>
              <w:t>565</w:t>
            </w:r>
          </w:p>
        </w:tc>
        <w:tc>
          <w:tcPr>
            <w:tcW w:w="2140" w:type="dxa"/>
            <w:vAlign w:val="bottom"/>
            <w:gridSpan w:val="2"/>
          </w:tcPr>
          <w:p>
            <w:pPr>
              <w:jc w:val="right"/>
              <w:ind w:right="30"/>
              <w:spacing w:after="0"/>
              <w:rPr>
                <w:sz w:val="20"/>
                <w:szCs w:val="20"/>
                <w:color w:val="auto"/>
              </w:rPr>
            </w:pPr>
            <w:r>
              <w:rPr>
                <w:rFonts w:ascii="Arial Narrow" w:cs="Arial Narrow" w:eastAsia="Arial Narrow" w:hAnsi="Arial Narrow"/>
                <w:sz w:val="20"/>
                <w:szCs w:val="20"/>
                <w:color w:val="auto"/>
              </w:rPr>
              <w:t>720</w:t>
            </w:r>
          </w:p>
        </w:tc>
        <w:tc>
          <w:tcPr>
            <w:tcW w:w="2120" w:type="dxa"/>
            <w:vAlign w:val="bottom"/>
            <w:gridSpan w:val="2"/>
          </w:tcPr>
          <w:p>
            <w:pPr>
              <w:jc w:val="right"/>
              <w:spacing w:after="0"/>
              <w:rPr>
                <w:sz w:val="20"/>
                <w:szCs w:val="20"/>
                <w:color w:val="auto"/>
              </w:rPr>
            </w:pPr>
            <w:r>
              <w:rPr>
                <w:rFonts w:ascii="Arial Narrow" w:cs="Arial Narrow" w:eastAsia="Arial Narrow" w:hAnsi="Arial Narrow"/>
                <w:sz w:val="20"/>
                <w:szCs w:val="20"/>
                <w:color w:val="auto"/>
              </w:rPr>
              <w:t>800</w:t>
            </w:r>
          </w:p>
        </w:tc>
      </w:tr>
      <w:tr>
        <w:trPr>
          <w:trHeight w:val="65"/>
        </w:trPr>
        <w:tc>
          <w:tcPr>
            <w:tcW w:w="3220" w:type="dxa"/>
            <w:vAlign w:val="bottom"/>
            <w:tcBorders>
              <w:bottom w:val="single" w:sz="8" w:color="A6A6A6"/>
            </w:tcBorders>
          </w:tcPr>
          <w:p>
            <w:pPr>
              <w:spacing w:after="0"/>
              <w:rPr>
                <w:sz w:val="5"/>
                <w:szCs w:val="5"/>
                <w:color w:val="auto"/>
              </w:rPr>
            </w:pPr>
          </w:p>
        </w:tc>
        <w:tc>
          <w:tcPr>
            <w:tcW w:w="1880" w:type="dxa"/>
            <w:vAlign w:val="bottom"/>
            <w:tcBorders>
              <w:bottom w:val="single" w:sz="8" w:color="A6A6A6"/>
            </w:tcBorders>
          </w:tcPr>
          <w:p>
            <w:pPr>
              <w:spacing w:after="0"/>
              <w:rPr>
                <w:sz w:val="5"/>
                <w:szCs w:val="5"/>
                <w:color w:val="auto"/>
              </w:rPr>
            </w:pPr>
          </w:p>
        </w:tc>
        <w:tc>
          <w:tcPr>
            <w:tcW w:w="260" w:type="dxa"/>
            <w:vAlign w:val="bottom"/>
            <w:tcBorders>
              <w:bottom w:val="single" w:sz="8" w:color="A6A6A6"/>
            </w:tcBorders>
          </w:tcPr>
          <w:p>
            <w:pPr>
              <w:spacing w:after="0"/>
              <w:rPr>
                <w:sz w:val="5"/>
                <w:szCs w:val="5"/>
                <w:color w:val="auto"/>
              </w:rPr>
            </w:pPr>
          </w:p>
        </w:tc>
        <w:tc>
          <w:tcPr>
            <w:tcW w:w="1880" w:type="dxa"/>
            <w:vAlign w:val="bottom"/>
            <w:tcBorders>
              <w:bottom w:val="single" w:sz="8" w:color="A6A6A6"/>
            </w:tcBorders>
          </w:tcPr>
          <w:p>
            <w:pPr>
              <w:spacing w:after="0"/>
              <w:rPr>
                <w:sz w:val="5"/>
                <w:szCs w:val="5"/>
                <w:color w:val="auto"/>
              </w:rPr>
            </w:pPr>
          </w:p>
        </w:tc>
        <w:tc>
          <w:tcPr>
            <w:tcW w:w="260" w:type="dxa"/>
            <w:vAlign w:val="bottom"/>
            <w:tcBorders>
              <w:bottom w:val="single" w:sz="8" w:color="A6A6A6"/>
            </w:tcBorders>
          </w:tcPr>
          <w:p>
            <w:pPr>
              <w:spacing w:after="0"/>
              <w:rPr>
                <w:sz w:val="5"/>
                <w:szCs w:val="5"/>
                <w:color w:val="auto"/>
              </w:rPr>
            </w:pPr>
          </w:p>
        </w:tc>
        <w:tc>
          <w:tcPr>
            <w:tcW w:w="1860" w:type="dxa"/>
            <w:vAlign w:val="bottom"/>
            <w:tcBorders>
              <w:bottom w:val="single" w:sz="8" w:color="A6A6A6"/>
            </w:tcBorders>
          </w:tcPr>
          <w:p>
            <w:pPr>
              <w:spacing w:after="0"/>
              <w:rPr>
                <w:sz w:val="5"/>
                <w:szCs w:val="5"/>
                <w:color w:val="auto"/>
              </w:rPr>
            </w:pPr>
          </w:p>
        </w:tc>
      </w:tr>
      <w:tr>
        <w:trPr>
          <w:trHeight w:val="339"/>
        </w:trPr>
        <w:tc>
          <w:tcPr>
            <w:tcW w:w="3220" w:type="dxa"/>
            <w:vAlign w:val="bottom"/>
          </w:tcPr>
          <w:p>
            <w:pPr>
              <w:spacing w:after="0"/>
              <w:rPr>
                <w:sz w:val="20"/>
                <w:szCs w:val="20"/>
                <w:color w:val="auto"/>
              </w:rPr>
            </w:pPr>
            <w:r>
              <w:rPr>
                <w:rFonts w:ascii="Arial Narrow" w:cs="Arial Narrow" w:eastAsia="Arial Narrow" w:hAnsi="Arial Narrow"/>
                <w:sz w:val="20"/>
                <w:szCs w:val="20"/>
                <w:b w:val="1"/>
                <w:bCs w:val="1"/>
                <w:color w:val="43A8B4"/>
              </w:rPr>
              <w:t xml:space="preserve">Western Pennsylvania </w:t>
            </w:r>
            <w:r>
              <w:rPr>
                <w:rFonts w:ascii="Arial Narrow" w:cs="Arial Narrow" w:eastAsia="Arial Narrow" w:hAnsi="Arial Narrow"/>
                <w:sz w:val="13"/>
                <w:szCs w:val="13"/>
                <w:b w:val="1"/>
                <w:bCs w:val="1"/>
                <w:color w:val="43A8B4"/>
              </w:rPr>
              <w:t>(2)</w:t>
            </w:r>
          </w:p>
        </w:tc>
        <w:tc>
          <w:tcPr>
            <w:tcW w:w="1880" w:type="dxa"/>
            <w:vAlign w:val="bottom"/>
          </w:tcPr>
          <w:p>
            <w:pPr>
              <w:jc w:val="right"/>
              <w:ind w:right="21"/>
              <w:spacing w:after="0"/>
              <w:rPr>
                <w:sz w:val="20"/>
                <w:szCs w:val="20"/>
                <w:color w:val="auto"/>
              </w:rPr>
            </w:pPr>
            <w:r>
              <w:rPr>
                <w:rFonts w:ascii="Arial Narrow" w:cs="Arial Narrow" w:eastAsia="Arial Narrow" w:hAnsi="Arial Narrow"/>
                <w:sz w:val="20"/>
                <w:szCs w:val="20"/>
                <w:color w:val="auto"/>
              </w:rPr>
              <w:t>1,600</w:t>
            </w:r>
          </w:p>
        </w:tc>
        <w:tc>
          <w:tcPr>
            <w:tcW w:w="2140" w:type="dxa"/>
            <w:vAlign w:val="bottom"/>
            <w:gridSpan w:val="2"/>
          </w:tcPr>
          <w:p>
            <w:pPr>
              <w:jc w:val="right"/>
              <w:ind w:right="30"/>
              <w:spacing w:after="0"/>
              <w:rPr>
                <w:sz w:val="20"/>
                <w:szCs w:val="20"/>
                <w:color w:val="auto"/>
              </w:rPr>
            </w:pPr>
            <w:r>
              <w:rPr>
                <w:rFonts w:ascii="Arial Narrow" w:cs="Arial Narrow" w:eastAsia="Arial Narrow" w:hAnsi="Arial Narrow"/>
                <w:sz w:val="20"/>
                <w:szCs w:val="20"/>
                <w:color w:val="auto"/>
              </w:rPr>
              <w:t>360</w:t>
            </w:r>
          </w:p>
        </w:tc>
        <w:tc>
          <w:tcPr>
            <w:tcW w:w="26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r>
      <w:tr>
        <w:trPr>
          <w:trHeight w:val="90"/>
        </w:trPr>
        <w:tc>
          <w:tcPr>
            <w:tcW w:w="3220" w:type="dxa"/>
            <w:vAlign w:val="bottom"/>
            <w:tcBorders>
              <w:bottom w:val="single" w:sz="8" w:color="A6A6A6"/>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860" w:type="dxa"/>
            <w:vAlign w:val="bottom"/>
            <w:tcBorders>
              <w:bottom w:val="single" w:sz="8" w:color="auto"/>
            </w:tcBorders>
          </w:tcPr>
          <w:p>
            <w:pPr>
              <w:spacing w:after="0"/>
              <w:rPr>
                <w:sz w:val="7"/>
                <w:szCs w:val="7"/>
                <w:color w:val="auto"/>
              </w:rPr>
            </w:pPr>
          </w:p>
        </w:tc>
      </w:tr>
      <w:tr>
        <w:trPr>
          <w:trHeight w:val="344"/>
        </w:trPr>
        <w:tc>
          <w:tcPr>
            <w:tcW w:w="3220" w:type="dxa"/>
            <w:vAlign w:val="bottom"/>
          </w:tcPr>
          <w:p>
            <w:pPr>
              <w:spacing w:after="0"/>
              <w:rPr>
                <w:sz w:val="24"/>
                <w:szCs w:val="24"/>
                <w:color w:val="auto"/>
              </w:rPr>
            </w:pPr>
          </w:p>
        </w:tc>
        <w:tc>
          <w:tcPr>
            <w:tcW w:w="1880" w:type="dxa"/>
            <w:vAlign w:val="bottom"/>
          </w:tcPr>
          <w:p>
            <w:pPr>
              <w:jc w:val="right"/>
              <w:ind w:right="21"/>
              <w:spacing w:after="0"/>
              <w:rPr>
                <w:sz w:val="20"/>
                <w:szCs w:val="20"/>
                <w:color w:val="auto"/>
              </w:rPr>
            </w:pPr>
            <w:r>
              <w:rPr>
                <w:rFonts w:ascii="Arial Narrow" w:cs="Arial Narrow" w:eastAsia="Arial Narrow" w:hAnsi="Arial Narrow"/>
                <w:sz w:val="20"/>
                <w:szCs w:val="20"/>
                <w:b w:val="1"/>
                <w:bCs w:val="1"/>
                <w:color w:val="auto"/>
              </w:rPr>
              <w:t>7,230</w:t>
            </w:r>
          </w:p>
        </w:tc>
        <w:tc>
          <w:tcPr>
            <w:tcW w:w="2140" w:type="dxa"/>
            <w:vAlign w:val="bottom"/>
            <w:gridSpan w:val="2"/>
          </w:tcPr>
          <w:p>
            <w:pPr>
              <w:jc w:val="right"/>
              <w:ind w:right="30"/>
              <w:spacing w:after="0"/>
              <w:rPr>
                <w:sz w:val="20"/>
                <w:szCs w:val="20"/>
                <w:color w:val="auto"/>
              </w:rPr>
            </w:pPr>
            <w:r>
              <w:rPr>
                <w:rFonts w:ascii="Arial Narrow" w:cs="Arial Narrow" w:eastAsia="Arial Narrow" w:hAnsi="Arial Narrow"/>
                <w:sz w:val="20"/>
                <w:szCs w:val="20"/>
                <w:b w:val="1"/>
                <w:bCs w:val="1"/>
                <w:color w:val="auto"/>
              </w:rPr>
              <w:t>5,150</w:t>
            </w:r>
          </w:p>
        </w:tc>
        <w:tc>
          <w:tcPr>
            <w:tcW w:w="2120" w:type="dxa"/>
            <w:vAlign w:val="bottom"/>
            <w:gridSpan w:val="2"/>
          </w:tcPr>
          <w:p>
            <w:pPr>
              <w:jc w:val="right"/>
              <w:spacing w:after="0"/>
              <w:rPr>
                <w:sz w:val="20"/>
                <w:szCs w:val="20"/>
                <w:color w:val="auto"/>
              </w:rPr>
            </w:pPr>
            <w:r>
              <w:rPr>
                <w:rFonts w:ascii="Arial Narrow" w:cs="Arial Narrow" w:eastAsia="Arial Narrow" w:hAnsi="Arial Narrow"/>
                <w:sz w:val="20"/>
                <w:szCs w:val="20"/>
                <w:b w:val="1"/>
                <w:bCs w:val="1"/>
                <w:color w:val="auto"/>
              </w:rPr>
              <w:t>5,270</w:t>
            </w:r>
          </w:p>
        </w:tc>
      </w:tr>
      <w:tr>
        <w:trPr>
          <w:trHeight w:val="65"/>
        </w:trPr>
        <w:tc>
          <w:tcPr>
            <w:tcW w:w="3220" w:type="dxa"/>
            <w:vAlign w:val="bottom"/>
          </w:tcPr>
          <w:p>
            <w:pPr>
              <w:spacing w:after="0"/>
              <w:rPr>
                <w:sz w:val="5"/>
                <w:szCs w:val="5"/>
                <w:color w:val="auto"/>
              </w:rPr>
            </w:pPr>
          </w:p>
        </w:tc>
        <w:tc>
          <w:tcPr>
            <w:tcW w:w="188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88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860" w:type="dxa"/>
            <w:vAlign w:val="bottom"/>
            <w:tcBorders>
              <w:bottom w:val="single" w:sz="8" w:color="auto"/>
            </w:tcBorders>
          </w:tcPr>
          <w:p>
            <w:pPr>
              <w:spacing w:after="0"/>
              <w:rPr>
                <w:sz w:val="5"/>
                <w:szCs w:val="5"/>
                <w:color w:val="auto"/>
              </w:rPr>
            </w:pPr>
          </w:p>
        </w:tc>
      </w:tr>
      <w:tr>
        <w:trPr>
          <w:trHeight w:val="20"/>
        </w:trPr>
        <w:tc>
          <w:tcPr>
            <w:tcW w:w="322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ind w:left="180" w:hanging="180"/>
        <w:spacing w:after="0"/>
        <w:tabs>
          <w:tab w:leader="none" w:pos="180" w:val="left"/>
        </w:tabs>
        <w:numPr>
          <w:ilvl w:val="0"/>
          <w:numId w:val="23"/>
        </w:numPr>
        <w:rPr>
          <w:rFonts w:ascii="Arial" w:cs="Arial" w:eastAsia="Arial" w:hAnsi="Arial"/>
          <w:sz w:val="10"/>
          <w:szCs w:val="10"/>
          <w:color w:val="auto"/>
        </w:rPr>
      </w:pPr>
      <w:r>
        <w:rPr>
          <w:rFonts w:ascii="Arial" w:cs="Arial" w:eastAsia="Arial" w:hAnsi="Arial"/>
          <w:sz w:val="16"/>
          <w:szCs w:val="16"/>
          <w:color w:val="auto"/>
        </w:rPr>
        <w:t>The Company is currently not operating its aggregate facility in the Kansas City area.</w:t>
      </w:r>
    </w:p>
    <w:p>
      <w:pPr>
        <w:ind w:left="180" w:hanging="180"/>
        <w:spacing w:after="0"/>
        <w:tabs>
          <w:tab w:leader="none" w:pos="180" w:val="left"/>
        </w:tabs>
        <w:numPr>
          <w:ilvl w:val="0"/>
          <w:numId w:val="23"/>
        </w:numPr>
        <w:rPr>
          <w:rFonts w:ascii="Arial" w:cs="Arial" w:eastAsia="Arial" w:hAnsi="Arial"/>
          <w:sz w:val="10"/>
          <w:szCs w:val="10"/>
          <w:color w:val="auto"/>
        </w:rPr>
      </w:pPr>
      <w:r>
        <w:rPr>
          <w:rFonts w:ascii="Arial" w:cs="Arial" w:eastAsia="Arial" w:hAnsi="Arial"/>
          <w:sz w:val="16"/>
          <w:szCs w:val="16"/>
          <w:color w:val="auto"/>
        </w:rPr>
        <w:t>This mine was acquired on January 7, 2025. The tons mined in fiscal 2025 are from this date through March 31, 2025.</w:t>
      </w: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b w:val="1"/>
          <w:bCs w:val="1"/>
          <w:color w:val="5F7D1D"/>
        </w:rPr>
        <w:t>Gypsum Mining Properties</w:t>
      </w:r>
    </w:p>
    <w:p>
      <w:pPr>
        <w:spacing w:after="0" w:line="163" w:lineRule="exact"/>
        <w:rPr>
          <w:sz w:val="20"/>
          <w:szCs w:val="20"/>
          <w:color w:val="auto"/>
        </w:rPr>
      </w:pPr>
    </w:p>
    <w:p>
      <w:pPr>
        <w:ind w:right="140"/>
        <w:spacing w:after="0" w:line="292" w:lineRule="auto"/>
        <w:rPr>
          <w:sz w:val="20"/>
          <w:szCs w:val="20"/>
          <w:color w:val="auto"/>
        </w:rPr>
      </w:pPr>
      <w:r>
        <w:rPr>
          <w:rFonts w:ascii="Arial" w:cs="Arial" w:eastAsia="Arial" w:hAnsi="Arial"/>
          <w:sz w:val="20"/>
          <w:szCs w:val="20"/>
          <w:color w:val="auto"/>
        </w:rPr>
        <w:t>We have adequate access to all our gypsum quarries. Mining at all our quarries is done by Company personnel, and all our mines are in the production stage. Mineral resources and mineral reserves for our Gypsum Wallboard business are defined similarly to how they are defined for our Cement business. See the Limestone Resources and Reserves section in the Cement segment discussion above for a more detailed description of how we define mineral resources and reserves.</w:t>
      </w:r>
    </w:p>
    <w:p>
      <w:pPr>
        <w:spacing w:after="0" w:line="71" w:lineRule="exact"/>
        <w:rPr>
          <w:sz w:val="20"/>
          <w:szCs w:val="20"/>
          <w:color w:val="auto"/>
        </w:rPr>
      </w:pPr>
    </w:p>
    <w:p>
      <w:pPr>
        <w:ind w:right="140"/>
        <w:spacing w:after="0" w:line="303" w:lineRule="auto"/>
        <w:rPr>
          <w:sz w:val="20"/>
          <w:szCs w:val="20"/>
          <w:color w:val="auto"/>
        </w:rPr>
      </w:pPr>
      <w:r>
        <w:rPr>
          <w:rFonts w:ascii="Arial" w:cs="Arial" w:eastAsia="Arial" w:hAnsi="Arial"/>
          <w:sz w:val="20"/>
          <w:szCs w:val="20"/>
          <w:color w:val="auto"/>
        </w:rPr>
        <w:t>As of March 31, 2026, we had 65.5 million tons of proven and probable gypsum reserves, and 149.7 million tons of measured and indicated gypsum resources, exclusive of gypsum reserves. Approximately 40% of our reserves are owned, with the rest leased.</w:t>
      </w:r>
    </w:p>
    <w:p>
      <w:pPr>
        <w:sectPr>
          <w:pgSz w:w="11880" w:h="15480" w:orient="portrait"/>
          <w:cols w:equalWidth="0" w:num="1">
            <w:col w:w="9360"/>
          </w:cols>
          <w:pgMar w:left="1260" w:top="1267"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44</w:t>
      </w:r>
    </w:p>
    <w:p>
      <w:pPr>
        <w:sectPr>
          <w:pgSz w:w="11880" w:h="15480" w:orient="portrait"/>
          <w:cols w:equalWidth="0" w:num="1">
            <w:col w:w="9360"/>
          </w:cols>
          <w:pgMar w:left="1260" w:top="1267" w:right="1260" w:bottom="0" w:gutter="0" w:footer="0" w:header="0"/>
          <w:type w:val="continuous"/>
        </w:sectPr>
      </w:pPr>
    </w:p>
    <w:bookmarkStart w:id="52" w:name="page53"/>
    <w:bookmarkEnd w:id="52"/>
    <w:p>
      <w:pPr>
        <w:ind w:right="460"/>
        <w:spacing w:after="0" w:line="325" w:lineRule="auto"/>
        <w:rPr>
          <w:sz w:val="20"/>
          <w:szCs w:val="20"/>
          <w:color w:val="auto"/>
        </w:rPr>
      </w:pPr>
      <w:r>
        <w:rPr>
          <w:rFonts w:ascii="Arial" w:cs="Arial" w:eastAsia="Arial" w:hAnsi="Arial"/>
          <w:sz w:val="20"/>
          <w:szCs w:val="20"/>
          <w:color w:val="auto"/>
        </w:rPr>
        <w:t>The following table sets forth certain information regarding our gypsum wallboard plants and gypsum resources, exclusive of gypsum reserves, at March 31, 2026.</w:t>
      </w:r>
    </w:p>
    <w:p>
      <w:pPr>
        <w:spacing w:after="0" w:line="199" w:lineRule="exact"/>
        <w:rPr>
          <w:sz w:val="20"/>
          <w:szCs w:val="20"/>
          <w:color w:val="auto"/>
        </w:rPr>
      </w:pPr>
    </w:p>
    <w:p>
      <w:pPr>
        <w:ind w:left="5680"/>
        <w:spacing w:after="0"/>
        <w:rPr>
          <w:sz w:val="20"/>
          <w:szCs w:val="20"/>
          <w:color w:val="auto"/>
        </w:rPr>
      </w:pPr>
      <w:r>
        <w:rPr>
          <w:rFonts w:ascii="Arial Narrow" w:cs="Arial Narrow" w:eastAsia="Arial Narrow" w:hAnsi="Arial Narrow"/>
          <w:sz w:val="18"/>
          <w:szCs w:val="18"/>
          <w:b w:val="1"/>
          <w:bCs w:val="1"/>
          <w:color w:val="auto"/>
        </w:rPr>
        <w:t xml:space="preserve">Gypsum Resources </w:t>
      </w:r>
      <w:r>
        <w:rPr>
          <w:rFonts w:ascii="Arial Narrow" w:cs="Arial Narrow" w:eastAsia="Arial Narrow" w:hAnsi="Arial Narrow"/>
          <w:sz w:val="24"/>
          <w:szCs w:val="24"/>
          <w:b w:val="1"/>
          <w:bCs w:val="1"/>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2390775</wp:posOffset>
            </wp:positionH>
            <wp:positionV relativeFrom="paragraph">
              <wp:posOffset>0</wp:posOffset>
            </wp:positionV>
            <wp:extent cx="3552825" cy="95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1">
                      <a:extLst>
                        <a:ext uri="{28A0092B-C50C-407E-A947-70E740481C1C}"/>
                      </a:extLst>
                    </a:blip>
                    <a:srcRect/>
                    <a:stretch>
                      <a:fillRect/>
                    </a:stretch>
                  </pic:blipFill>
                  <pic:spPr bwMode="auto">
                    <a:xfrm>
                      <a:off x="0" y="0"/>
                      <a:ext cx="3552825" cy="9525"/>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20" w:type="dxa"/>
            <w:vAlign w:val="bottom"/>
            <w:gridSpan w:val="3"/>
          </w:tcPr>
          <w:p>
            <w:pPr>
              <w:jc w:val="right"/>
              <w:ind w:right="746"/>
              <w:spacing w:after="0"/>
              <w:rPr>
                <w:sz w:val="20"/>
                <w:szCs w:val="20"/>
                <w:color w:val="auto"/>
              </w:rPr>
            </w:pPr>
            <w:r>
              <w:rPr>
                <w:rFonts w:ascii="Arial Narrow" w:cs="Arial Narrow" w:eastAsia="Arial Narrow" w:hAnsi="Arial Narrow"/>
                <w:sz w:val="16"/>
                <w:szCs w:val="16"/>
                <w:color w:val="auto"/>
              </w:rPr>
              <w:t>(tons in thousands)</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12"/>
        </w:trPr>
        <w:tc>
          <w:tcPr>
            <w:tcW w:w="37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6"/>
              <w:spacing w:after="0"/>
              <w:rPr>
                <w:sz w:val="20"/>
                <w:szCs w:val="20"/>
                <w:color w:val="auto"/>
              </w:rPr>
            </w:pPr>
            <w:r>
              <w:rPr>
                <w:rFonts w:ascii="Arial Narrow" w:cs="Arial Narrow" w:eastAsia="Arial Narrow" w:hAnsi="Arial Narrow"/>
                <w:sz w:val="18"/>
                <w:szCs w:val="18"/>
                <w:b w:val="1"/>
                <w:bCs w:val="1"/>
                <w:color w:val="auto"/>
              </w:rPr>
              <w:t>Total</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07"/>
        </w:trPr>
        <w:tc>
          <w:tcPr>
            <w:tcW w:w="37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6"/>
              <w:spacing w:after="0"/>
              <w:rPr>
                <w:sz w:val="20"/>
                <w:szCs w:val="20"/>
                <w:color w:val="auto"/>
              </w:rPr>
            </w:pPr>
            <w:r>
              <w:rPr>
                <w:rFonts w:ascii="Arial Narrow" w:cs="Arial Narrow" w:eastAsia="Arial Narrow" w:hAnsi="Arial Narrow"/>
                <w:sz w:val="18"/>
                <w:szCs w:val="18"/>
                <w:b w:val="1"/>
                <w:bCs w:val="1"/>
                <w:color w:val="auto"/>
              </w:rPr>
              <w:t>Measured &amp;</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54"/>
        </w:trPr>
        <w:tc>
          <w:tcPr>
            <w:tcW w:w="3760" w:type="dxa"/>
            <w:vAlign w:val="bottom"/>
          </w:tcPr>
          <w:p>
            <w:pPr>
              <w:spacing w:after="0"/>
              <w:rPr>
                <w:sz w:val="20"/>
                <w:szCs w:val="20"/>
                <w:color w:val="auto"/>
              </w:rPr>
            </w:pPr>
            <w:r>
              <w:rPr>
                <w:rFonts w:ascii="Arial Narrow" w:cs="Arial Narrow" w:eastAsia="Arial Narrow" w:hAnsi="Arial Narrow"/>
                <w:sz w:val="18"/>
                <w:szCs w:val="18"/>
                <w:b w:val="1"/>
                <w:bCs w:val="1"/>
                <w:color w:val="auto"/>
              </w:rPr>
              <w:t>Location</w:t>
            </w:r>
          </w:p>
        </w:tc>
        <w:tc>
          <w:tcPr>
            <w:tcW w:w="1280" w:type="dxa"/>
            <w:vAlign w:val="bottom"/>
          </w:tcPr>
          <w:p>
            <w:pPr>
              <w:jc w:val="right"/>
              <w:ind w:right="1"/>
              <w:spacing w:after="0"/>
              <w:rPr>
                <w:sz w:val="20"/>
                <w:szCs w:val="20"/>
                <w:color w:val="auto"/>
              </w:rPr>
            </w:pPr>
            <w:r>
              <w:rPr>
                <w:rFonts w:ascii="Arial Narrow" w:cs="Arial Narrow" w:eastAsia="Arial Narrow" w:hAnsi="Arial Narrow"/>
                <w:sz w:val="18"/>
                <w:szCs w:val="18"/>
                <w:b w:val="1"/>
                <w:bCs w:val="1"/>
                <w:color w:val="auto"/>
              </w:rPr>
              <w:t>Measured</w:t>
            </w:r>
          </w:p>
        </w:tc>
        <w:tc>
          <w:tcPr>
            <w:tcW w:w="160" w:type="dxa"/>
            <w:vAlign w:val="bottom"/>
          </w:tcPr>
          <w:p>
            <w:pPr>
              <w:spacing w:after="0"/>
              <w:rPr>
                <w:sz w:val="22"/>
                <w:szCs w:val="22"/>
                <w:color w:val="auto"/>
              </w:rPr>
            </w:pPr>
          </w:p>
        </w:tc>
        <w:tc>
          <w:tcPr>
            <w:tcW w:w="1280" w:type="dxa"/>
            <w:vAlign w:val="bottom"/>
          </w:tcPr>
          <w:p>
            <w:pPr>
              <w:jc w:val="right"/>
              <w:ind w:right="8"/>
              <w:spacing w:after="0"/>
              <w:rPr>
                <w:sz w:val="20"/>
                <w:szCs w:val="20"/>
                <w:color w:val="auto"/>
              </w:rPr>
            </w:pPr>
            <w:r>
              <w:rPr>
                <w:rFonts w:ascii="Arial Narrow" w:cs="Arial Narrow" w:eastAsia="Arial Narrow" w:hAnsi="Arial Narrow"/>
                <w:sz w:val="18"/>
                <w:szCs w:val="18"/>
                <w:b w:val="1"/>
                <w:bCs w:val="1"/>
                <w:color w:val="auto"/>
              </w:rPr>
              <w:t>Indicated</w:t>
            </w:r>
          </w:p>
        </w:tc>
        <w:tc>
          <w:tcPr>
            <w:tcW w:w="160" w:type="dxa"/>
            <w:vAlign w:val="bottom"/>
          </w:tcPr>
          <w:p>
            <w:pPr>
              <w:spacing w:after="0"/>
              <w:rPr>
                <w:sz w:val="22"/>
                <w:szCs w:val="22"/>
                <w:color w:val="auto"/>
              </w:rPr>
            </w:pPr>
          </w:p>
        </w:tc>
        <w:tc>
          <w:tcPr>
            <w:tcW w:w="1280" w:type="dxa"/>
            <w:vAlign w:val="bottom"/>
          </w:tcPr>
          <w:p>
            <w:pPr>
              <w:jc w:val="right"/>
              <w:ind w:right="6"/>
              <w:spacing w:after="0"/>
              <w:rPr>
                <w:sz w:val="20"/>
                <w:szCs w:val="20"/>
                <w:color w:val="auto"/>
              </w:rPr>
            </w:pPr>
            <w:r>
              <w:rPr>
                <w:rFonts w:ascii="Arial Narrow" w:cs="Arial Narrow" w:eastAsia="Arial Narrow" w:hAnsi="Arial Narrow"/>
                <w:sz w:val="18"/>
                <w:szCs w:val="18"/>
                <w:b w:val="1"/>
                <w:bCs w:val="1"/>
                <w:color w:val="auto"/>
              </w:rPr>
              <w:t>Indicated</w:t>
            </w:r>
          </w:p>
        </w:tc>
        <w:tc>
          <w:tcPr>
            <w:tcW w:w="180" w:type="dxa"/>
            <w:vAlign w:val="bottom"/>
          </w:tcPr>
          <w:p>
            <w:pPr>
              <w:spacing w:after="0"/>
              <w:rPr>
                <w:sz w:val="22"/>
                <w:szCs w:val="22"/>
                <w:color w:val="auto"/>
              </w:rPr>
            </w:pPr>
          </w:p>
        </w:tc>
        <w:tc>
          <w:tcPr>
            <w:tcW w:w="1260" w:type="dxa"/>
            <w:vAlign w:val="bottom"/>
          </w:tcPr>
          <w:p>
            <w:pPr>
              <w:jc w:val="right"/>
              <w:ind w:right="3"/>
              <w:spacing w:after="0"/>
              <w:rPr>
                <w:sz w:val="20"/>
                <w:szCs w:val="20"/>
                <w:color w:val="auto"/>
              </w:rPr>
            </w:pPr>
            <w:r>
              <w:rPr>
                <w:rFonts w:ascii="Arial Narrow" w:cs="Arial Narrow" w:eastAsia="Arial Narrow" w:hAnsi="Arial Narrow"/>
                <w:sz w:val="18"/>
                <w:szCs w:val="18"/>
                <w:b w:val="1"/>
                <w:bCs w:val="1"/>
                <w:color w:val="auto"/>
              </w:rPr>
              <w:t>Inferred</w:t>
            </w:r>
          </w:p>
        </w:tc>
      </w:tr>
      <w:tr>
        <w:trPr>
          <w:trHeight w:val="46"/>
        </w:trPr>
        <w:tc>
          <w:tcPr>
            <w:tcW w:w="37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2"/>
          </w:tcPr>
          <w:p>
            <w:pPr>
              <w:spacing w:after="0"/>
              <w:rPr>
                <w:sz w:val="3"/>
                <w:szCs w:val="3"/>
                <w:color w:val="auto"/>
              </w:rPr>
            </w:pPr>
          </w:p>
        </w:tc>
        <w:tc>
          <w:tcPr>
            <w:tcW w:w="1440" w:type="dxa"/>
            <w:vAlign w:val="bottom"/>
            <w:tcBorders>
              <w:bottom w:val="single" w:sz="8" w:color="auto"/>
            </w:tcBorders>
            <w:gridSpan w:val="2"/>
          </w:tcPr>
          <w:p>
            <w:pPr>
              <w:spacing w:after="0"/>
              <w:rPr>
                <w:sz w:val="3"/>
                <w:szCs w:val="3"/>
                <w:color w:val="auto"/>
              </w:rPr>
            </w:pPr>
          </w:p>
        </w:tc>
        <w:tc>
          <w:tcPr>
            <w:tcW w:w="1440" w:type="dxa"/>
            <w:vAlign w:val="bottom"/>
            <w:tcBorders>
              <w:bottom w:val="single" w:sz="8" w:color="auto"/>
            </w:tcBorders>
            <w:gridSpan w:val="2"/>
          </w:tcPr>
          <w:p>
            <w:pPr>
              <w:spacing w:after="0"/>
              <w:rPr>
                <w:sz w:val="3"/>
                <w:szCs w:val="3"/>
                <w:color w:val="auto"/>
              </w:rPr>
            </w:pPr>
          </w:p>
        </w:tc>
      </w:tr>
      <w:tr>
        <w:trPr>
          <w:trHeight w:val="344"/>
        </w:trPr>
        <w:tc>
          <w:tcPr>
            <w:tcW w:w="3760" w:type="dxa"/>
            <w:vAlign w:val="bottom"/>
          </w:tcPr>
          <w:p>
            <w:pPr>
              <w:spacing w:after="0"/>
              <w:rPr>
                <w:sz w:val="20"/>
                <w:szCs w:val="20"/>
                <w:color w:val="auto"/>
              </w:rPr>
            </w:pPr>
            <w:r>
              <w:rPr>
                <w:rFonts w:ascii="Arial Narrow" w:cs="Arial Narrow" w:eastAsia="Arial Narrow" w:hAnsi="Arial Narrow"/>
                <w:sz w:val="20"/>
                <w:szCs w:val="20"/>
                <w:b w:val="1"/>
                <w:bCs w:val="1"/>
                <w:color w:val="5F7D1D"/>
              </w:rPr>
              <w:t>Albuquerque, New Mexico</w:t>
            </w:r>
          </w:p>
        </w:tc>
        <w:tc>
          <w:tcPr>
            <w:tcW w:w="1280" w:type="dxa"/>
            <w:vAlign w:val="bottom"/>
          </w:tcPr>
          <w:p>
            <w:pPr>
              <w:jc w:val="right"/>
              <w:ind w:right="1"/>
              <w:spacing w:after="0"/>
              <w:rPr>
                <w:sz w:val="20"/>
                <w:szCs w:val="20"/>
                <w:color w:val="auto"/>
              </w:rPr>
            </w:pPr>
            <w:r>
              <w:rPr>
                <w:rFonts w:ascii="Arial Narrow" w:cs="Arial Narrow" w:eastAsia="Arial Narrow" w:hAnsi="Arial Narrow"/>
                <w:sz w:val="20"/>
                <w:szCs w:val="20"/>
                <w:color w:val="auto"/>
              </w:rPr>
              <w:t>41,200</w:t>
            </w:r>
          </w:p>
        </w:tc>
        <w:tc>
          <w:tcPr>
            <w:tcW w:w="1440" w:type="dxa"/>
            <w:vAlign w:val="bottom"/>
            <w:gridSpan w:val="2"/>
          </w:tcPr>
          <w:p>
            <w:pPr>
              <w:jc w:val="right"/>
              <w:ind w:right="8"/>
              <w:spacing w:after="0"/>
              <w:rPr>
                <w:sz w:val="20"/>
                <w:szCs w:val="20"/>
                <w:color w:val="auto"/>
              </w:rPr>
            </w:pPr>
            <w:r>
              <w:rPr>
                <w:rFonts w:ascii="Arial Narrow" w:cs="Arial Narrow" w:eastAsia="Arial Narrow" w:hAnsi="Arial Narrow"/>
                <w:sz w:val="20"/>
                <w:szCs w:val="20"/>
                <w:color w:val="auto"/>
              </w:rPr>
              <w:t>15,600</w:t>
            </w:r>
          </w:p>
        </w:tc>
        <w:tc>
          <w:tcPr>
            <w:tcW w:w="1440" w:type="dxa"/>
            <w:vAlign w:val="bottom"/>
            <w:gridSpan w:val="2"/>
          </w:tcPr>
          <w:p>
            <w:pPr>
              <w:jc w:val="right"/>
              <w:ind w:right="6"/>
              <w:spacing w:after="0"/>
              <w:rPr>
                <w:sz w:val="20"/>
                <w:szCs w:val="20"/>
                <w:color w:val="auto"/>
              </w:rPr>
            </w:pPr>
            <w:r>
              <w:rPr>
                <w:rFonts w:ascii="Arial Narrow" w:cs="Arial Narrow" w:eastAsia="Arial Narrow" w:hAnsi="Arial Narrow"/>
                <w:sz w:val="20"/>
                <w:szCs w:val="20"/>
                <w:color w:val="auto"/>
              </w:rPr>
              <w:t>56,800</w:t>
            </w:r>
          </w:p>
        </w:tc>
        <w:tc>
          <w:tcPr>
            <w:tcW w:w="1440" w:type="dxa"/>
            <w:vAlign w:val="bottom"/>
            <w:gridSpan w:val="2"/>
          </w:tcPr>
          <w:p>
            <w:pPr>
              <w:jc w:val="right"/>
              <w:ind w:right="3"/>
              <w:spacing w:after="0"/>
              <w:rPr>
                <w:sz w:val="20"/>
                <w:szCs w:val="20"/>
                <w:color w:val="auto"/>
              </w:rPr>
            </w:pPr>
            <w:r>
              <w:rPr>
                <w:rFonts w:ascii="Arial Narrow" w:cs="Arial Narrow" w:eastAsia="Arial Narrow" w:hAnsi="Arial Narrow"/>
                <w:sz w:val="20"/>
                <w:szCs w:val="20"/>
                <w:color w:val="auto"/>
              </w:rPr>
              <w:t>6,300</w:t>
            </w:r>
          </w:p>
        </w:tc>
      </w:tr>
      <w:tr>
        <w:trPr>
          <w:trHeight w:val="65"/>
        </w:trPr>
        <w:tc>
          <w:tcPr>
            <w:tcW w:w="3760" w:type="dxa"/>
            <w:vAlign w:val="bottom"/>
            <w:tcBorders>
              <w:bottom w:val="single" w:sz="8" w:color="A6A6A6"/>
            </w:tcBorders>
          </w:tcPr>
          <w:p>
            <w:pPr>
              <w:spacing w:after="0"/>
              <w:rPr>
                <w:sz w:val="5"/>
                <w:szCs w:val="5"/>
                <w:color w:val="auto"/>
              </w:rPr>
            </w:pPr>
          </w:p>
        </w:tc>
        <w:tc>
          <w:tcPr>
            <w:tcW w:w="128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128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128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1260" w:type="dxa"/>
            <w:vAlign w:val="bottom"/>
            <w:tcBorders>
              <w:bottom w:val="single" w:sz="8" w:color="A6A6A6"/>
            </w:tcBorders>
          </w:tcPr>
          <w:p>
            <w:pPr>
              <w:spacing w:after="0"/>
              <w:rPr>
                <w:sz w:val="5"/>
                <w:szCs w:val="5"/>
                <w:color w:val="auto"/>
              </w:rPr>
            </w:pPr>
          </w:p>
        </w:tc>
      </w:tr>
      <w:tr>
        <w:trPr>
          <w:trHeight w:val="339"/>
        </w:trPr>
        <w:tc>
          <w:tcPr>
            <w:tcW w:w="3760" w:type="dxa"/>
            <w:vAlign w:val="bottom"/>
          </w:tcPr>
          <w:p>
            <w:pPr>
              <w:spacing w:after="0"/>
              <w:rPr>
                <w:sz w:val="20"/>
                <w:szCs w:val="20"/>
                <w:color w:val="auto"/>
              </w:rPr>
            </w:pPr>
            <w:r>
              <w:rPr>
                <w:rFonts w:ascii="Arial Narrow" w:cs="Arial Narrow" w:eastAsia="Arial Narrow" w:hAnsi="Arial Narrow"/>
                <w:sz w:val="20"/>
                <w:szCs w:val="20"/>
                <w:b w:val="1"/>
                <w:bCs w:val="1"/>
                <w:color w:val="5F7D1D"/>
              </w:rPr>
              <w:t xml:space="preserve">Bernalillo, New Mexico </w:t>
            </w:r>
            <w:r>
              <w:rPr>
                <w:rFonts w:ascii="Arial Narrow" w:cs="Arial Narrow" w:eastAsia="Arial Narrow" w:hAnsi="Arial Narrow"/>
                <w:sz w:val="13"/>
                <w:szCs w:val="13"/>
                <w:b w:val="1"/>
                <w:bCs w:val="1"/>
                <w:color w:val="5F7D1D"/>
              </w:rPr>
              <w:t>(3)</w:t>
            </w:r>
          </w:p>
        </w:tc>
        <w:tc>
          <w:tcPr>
            <w:tcW w:w="1280" w:type="dxa"/>
            <w:vAlign w:val="bottom"/>
          </w:tcPr>
          <w:p>
            <w:pPr>
              <w:jc w:val="right"/>
              <w:ind w:right="1"/>
              <w:spacing w:after="0"/>
              <w:rPr>
                <w:sz w:val="20"/>
                <w:szCs w:val="20"/>
                <w:color w:val="auto"/>
              </w:rPr>
            </w:pPr>
            <w:r>
              <w:rPr>
                <w:rFonts w:ascii="Arial Narrow" w:cs="Arial Narrow" w:eastAsia="Arial Narrow" w:hAnsi="Arial Narrow"/>
                <w:sz w:val="20"/>
                <w:szCs w:val="20"/>
                <w:color w:val="auto"/>
              </w:rPr>
              <w:t>n/a</w:t>
            </w:r>
          </w:p>
        </w:tc>
        <w:tc>
          <w:tcPr>
            <w:tcW w:w="160" w:type="dxa"/>
            <w:vAlign w:val="bottom"/>
          </w:tcPr>
          <w:p>
            <w:pPr>
              <w:spacing w:after="0"/>
              <w:rPr>
                <w:sz w:val="24"/>
                <w:szCs w:val="24"/>
                <w:color w:val="auto"/>
              </w:rPr>
            </w:pPr>
          </w:p>
        </w:tc>
        <w:tc>
          <w:tcPr>
            <w:tcW w:w="1280" w:type="dxa"/>
            <w:vAlign w:val="bottom"/>
          </w:tcPr>
          <w:p>
            <w:pPr>
              <w:jc w:val="right"/>
              <w:ind w:right="8"/>
              <w:spacing w:after="0"/>
              <w:rPr>
                <w:sz w:val="20"/>
                <w:szCs w:val="20"/>
                <w:color w:val="auto"/>
              </w:rPr>
            </w:pPr>
            <w:r>
              <w:rPr>
                <w:rFonts w:ascii="Arial Narrow" w:cs="Arial Narrow" w:eastAsia="Arial Narrow" w:hAnsi="Arial Narrow"/>
                <w:sz w:val="20"/>
                <w:szCs w:val="20"/>
                <w:color w:val="auto"/>
              </w:rPr>
              <w:t>n/a</w:t>
            </w:r>
          </w:p>
        </w:tc>
        <w:tc>
          <w:tcPr>
            <w:tcW w:w="160" w:type="dxa"/>
            <w:vAlign w:val="bottom"/>
          </w:tcPr>
          <w:p>
            <w:pPr>
              <w:spacing w:after="0"/>
              <w:rPr>
                <w:sz w:val="24"/>
                <w:szCs w:val="24"/>
                <w:color w:val="auto"/>
              </w:rPr>
            </w:pPr>
          </w:p>
        </w:tc>
        <w:tc>
          <w:tcPr>
            <w:tcW w:w="1280" w:type="dxa"/>
            <w:vAlign w:val="bottom"/>
          </w:tcPr>
          <w:p>
            <w:pPr>
              <w:jc w:val="right"/>
              <w:ind w:right="6"/>
              <w:spacing w:after="0"/>
              <w:rPr>
                <w:sz w:val="20"/>
                <w:szCs w:val="20"/>
                <w:color w:val="auto"/>
              </w:rPr>
            </w:pPr>
            <w:r>
              <w:rPr>
                <w:rFonts w:ascii="Arial Narrow" w:cs="Arial Narrow" w:eastAsia="Arial Narrow" w:hAnsi="Arial Narrow"/>
                <w:sz w:val="20"/>
                <w:szCs w:val="20"/>
                <w:color w:val="auto"/>
              </w:rPr>
              <w:t>n/a</w:t>
            </w:r>
          </w:p>
        </w:tc>
        <w:tc>
          <w:tcPr>
            <w:tcW w:w="180" w:type="dxa"/>
            <w:vAlign w:val="bottom"/>
          </w:tcPr>
          <w:p>
            <w:pPr>
              <w:spacing w:after="0"/>
              <w:rPr>
                <w:sz w:val="24"/>
                <w:szCs w:val="24"/>
                <w:color w:val="auto"/>
              </w:rPr>
            </w:pPr>
          </w:p>
        </w:tc>
        <w:tc>
          <w:tcPr>
            <w:tcW w:w="1260" w:type="dxa"/>
            <w:vAlign w:val="bottom"/>
          </w:tcPr>
          <w:p>
            <w:pPr>
              <w:jc w:val="right"/>
              <w:ind w:right="3"/>
              <w:spacing w:after="0"/>
              <w:rPr>
                <w:sz w:val="20"/>
                <w:szCs w:val="20"/>
                <w:color w:val="auto"/>
              </w:rPr>
            </w:pPr>
            <w:r>
              <w:rPr>
                <w:rFonts w:ascii="Arial Narrow" w:cs="Arial Narrow" w:eastAsia="Arial Narrow" w:hAnsi="Arial Narrow"/>
                <w:sz w:val="20"/>
                <w:szCs w:val="20"/>
                <w:color w:val="auto"/>
              </w:rPr>
              <w:t>n/a</w:t>
            </w:r>
          </w:p>
        </w:tc>
      </w:tr>
      <w:tr>
        <w:trPr>
          <w:trHeight w:val="65"/>
        </w:trPr>
        <w:tc>
          <w:tcPr>
            <w:tcW w:w="3760" w:type="dxa"/>
            <w:vAlign w:val="bottom"/>
            <w:tcBorders>
              <w:bottom w:val="single" w:sz="8" w:color="A6A6A6"/>
            </w:tcBorders>
          </w:tcPr>
          <w:p>
            <w:pPr>
              <w:spacing w:after="0"/>
              <w:rPr>
                <w:sz w:val="5"/>
                <w:szCs w:val="5"/>
                <w:color w:val="auto"/>
              </w:rPr>
            </w:pPr>
          </w:p>
        </w:tc>
        <w:tc>
          <w:tcPr>
            <w:tcW w:w="128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128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128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1260" w:type="dxa"/>
            <w:vAlign w:val="bottom"/>
            <w:tcBorders>
              <w:bottom w:val="single" w:sz="8" w:color="A6A6A6"/>
            </w:tcBorders>
          </w:tcPr>
          <w:p>
            <w:pPr>
              <w:spacing w:after="0"/>
              <w:rPr>
                <w:sz w:val="5"/>
                <w:szCs w:val="5"/>
                <w:color w:val="auto"/>
              </w:rPr>
            </w:pPr>
          </w:p>
        </w:tc>
      </w:tr>
      <w:tr>
        <w:trPr>
          <w:trHeight w:val="339"/>
        </w:trPr>
        <w:tc>
          <w:tcPr>
            <w:tcW w:w="3760" w:type="dxa"/>
            <w:vAlign w:val="bottom"/>
          </w:tcPr>
          <w:p>
            <w:pPr>
              <w:spacing w:after="0"/>
              <w:rPr>
                <w:sz w:val="20"/>
                <w:szCs w:val="20"/>
                <w:color w:val="auto"/>
              </w:rPr>
            </w:pPr>
            <w:r>
              <w:rPr>
                <w:rFonts w:ascii="Arial Narrow" w:cs="Arial Narrow" w:eastAsia="Arial Narrow" w:hAnsi="Arial Narrow"/>
                <w:sz w:val="20"/>
                <w:szCs w:val="20"/>
                <w:b w:val="1"/>
                <w:bCs w:val="1"/>
                <w:color w:val="5F7D1D"/>
              </w:rPr>
              <w:t>Gypsum, Colorado</w:t>
            </w:r>
          </w:p>
        </w:tc>
        <w:tc>
          <w:tcPr>
            <w:tcW w:w="1280" w:type="dxa"/>
            <w:vAlign w:val="bottom"/>
          </w:tcPr>
          <w:p>
            <w:pPr>
              <w:jc w:val="right"/>
              <w:ind w:right="1"/>
              <w:spacing w:after="0"/>
              <w:rPr>
                <w:sz w:val="20"/>
                <w:szCs w:val="20"/>
                <w:color w:val="auto"/>
              </w:rPr>
            </w:pPr>
            <w:r>
              <w:rPr>
                <w:rFonts w:ascii="Arial Narrow" w:cs="Arial Narrow" w:eastAsia="Arial Narrow" w:hAnsi="Arial Narrow"/>
                <w:sz w:val="20"/>
                <w:szCs w:val="20"/>
                <w:color w:val="auto"/>
              </w:rPr>
              <w:t>19,560</w:t>
            </w:r>
          </w:p>
        </w:tc>
        <w:tc>
          <w:tcPr>
            <w:tcW w:w="1440" w:type="dxa"/>
            <w:vAlign w:val="bottom"/>
            <w:gridSpan w:val="2"/>
          </w:tcPr>
          <w:p>
            <w:pPr>
              <w:jc w:val="right"/>
              <w:ind w:right="8"/>
              <w:spacing w:after="0"/>
              <w:rPr>
                <w:sz w:val="20"/>
                <w:szCs w:val="20"/>
                <w:color w:val="auto"/>
              </w:rPr>
            </w:pPr>
            <w:r>
              <w:rPr>
                <w:rFonts w:ascii="Arial Narrow" w:cs="Arial Narrow" w:eastAsia="Arial Narrow" w:hAnsi="Arial Narrow"/>
                <w:sz w:val="20"/>
                <w:szCs w:val="20"/>
                <w:color w:val="auto"/>
              </w:rPr>
              <w:t>2,620</w:t>
            </w:r>
          </w:p>
        </w:tc>
        <w:tc>
          <w:tcPr>
            <w:tcW w:w="1440" w:type="dxa"/>
            <w:vAlign w:val="bottom"/>
            <w:gridSpan w:val="2"/>
          </w:tcPr>
          <w:p>
            <w:pPr>
              <w:jc w:val="right"/>
              <w:ind w:right="6"/>
              <w:spacing w:after="0"/>
              <w:rPr>
                <w:sz w:val="20"/>
                <w:szCs w:val="20"/>
                <w:color w:val="auto"/>
              </w:rPr>
            </w:pPr>
            <w:r>
              <w:rPr>
                <w:rFonts w:ascii="Arial Narrow" w:cs="Arial Narrow" w:eastAsia="Arial Narrow" w:hAnsi="Arial Narrow"/>
                <w:sz w:val="20"/>
                <w:szCs w:val="20"/>
                <w:color w:val="auto"/>
              </w:rPr>
              <w:t>22,180</w:t>
            </w:r>
          </w:p>
        </w:tc>
        <w:tc>
          <w:tcPr>
            <w:tcW w:w="180" w:type="dxa"/>
            <w:vAlign w:val="bottom"/>
          </w:tcPr>
          <w:p>
            <w:pPr>
              <w:spacing w:after="0"/>
              <w:rPr>
                <w:sz w:val="24"/>
                <w:szCs w:val="24"/>
                <w:color w:val="auto"/>
              </w:rPr>
            </w:pPr>
          </w:p>
        </w:tc>
        <w:tc>
          <w:tcPr>
            <w:tcW w:w="1260" w:type="dxa"/>
            <w:vAlign w:val="bottom"/>
          </w:tcPr>
          <w:p>
            <w:pPr>
              <w:jc w:val="right"/>
              <w:ind w:right="3"/>
              <w:spacing w:after="0"/>
              <w:rPr>
                <w:sz w:val="20"/>
                <w:szCs w:val="20"/>
                <w:color w:val="auto"/>
              </w:rPr>
            </w:pPr>
            <w:r>
              <w:rPr>
                <w:rFonts w:ascii="Arial Narrow" w:cs="Arial Narrow" w:eastAsia="Arial Narrow" w:hAnsi="Arial Narrow"/>
                <w:sz w:val="20"/>
                <w:szCs w:val="20"/>
                <w:color w:val="auto"/>
              </w:rPr>
              <w:t>—</w:t>
            </w:r>
          </w:p>
        </w:tc>
      </w:tr>
      <w:tr>
        <w:trPr>
          <w:trHeight w:val="65"/>
        </w:trPr>
        <w:tc>
          <w:tcPr>
            <w:tcW w:w="3760" w:type="dxa"/>
            <w:vAlign w:val="bottom"/>
            <w:tcBorders>
              <w:bottom w:val="single" w:sz="8" w:color="A6A6A6"/>
            </w:tcBorders>
          </w:tcPr>
          <w:p>
            <w:pPr>
              <w:spacing w:after="0"/>
              <w:rPr>
                <w:sz w:val="5"/>
                <w:szCs w:val="5"/>
                <w:color w:val="auto"/>
              </w:rPr>
            </w:pPr>
          </w:p>
        </w:tc>
        <w:tc>
          <w:tcPr>
            <w:tcW w:w="128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128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128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1260" w:type="dxa"/>
            <w:vAlign w:val="bottom"/>
            <w:tcBorders>
              <w:bottom w:val="single" w:sz="8" w:color="A6A6A6"/>
            </w:tcBorders>
          </w:tcPr>
          <w:p>
            <w:pPr>
              <w:spacing w:after="0"/>
              <w:rPr>
                <w:sz w:val="5"/>
                <w:szCs w:val="5"/>
                <w:color w:val="auto"/>
              </w:rPr>
            </w:pPr>
          </w:p>
        </w:tc>
      </w:tr>
      <w:tr>
        <w:trPr>
          <w:trHeight w:val="339"/>
        </w:trPr>
        <w:tc>
          <w:tcPr>
            <w:tcW w:w="3760" w:type="dxa"/>
            <w:vAlign w:val="bottom"/>
          </w:tcPr>
          <w:p>
            <w:pPr>
              <w:spacing w:after="0"/>
              <w:rPr>
                <w:sz w:val="20"/>
                <w:szCs w:val="20"/>
                <w:color w:val="auto"/>
              </w:rPr>
            </w:pPr>
            <w:r>
              <w:rPr>
                <w:rFonts w:ascii="Arial Narrow" w:cs="Arial Narrow" w:eastAsia="Arial Narrow" w:hAnsi="Arial Narrow"/>
                <w:sz w:val="20"/>
                <w:szCs w:val="20"/>
                <w:b w:val="1"/>
                <w:bCs w:val="1"/>
                <w:color w:val="5F7D1D"/>
              </w:rPr>
              <w:t>Duke, Oklahoma</w:t>
            </w:r>
          </w:p>
        </w:tc>
        <w:tc>
          <w:tcPr>
            <w:tcW w:w="1280" w:type="dxa"/>
            <w:vAlign w:val="bottom"/>
          </w:tcPr>
          <w:p>
            <w:pPr>
              <w:jc w:val="right"/>
              <w:ind w:right="1"/>
              <w:spacing w:after="0"/>
              <w:rPr>
                <w:sz w:val="20"/>
                <w:szCs w:val="20"/>
                <w:color w:val="auto"/>
              </w:rPr>
            </w:pPr>
            <w:r>
              <w:rPr>
                <w:rFonts w:ascii="Arial Narrow" w:cs="Arial Narrow" w:eastAsia="Arial Narrow" w:hAnsi="Arial Narrow"/>
                <w:sz w:val="20"/>
                <w:szCs w:val="20"/>
                <w:color w:val="auto"/>
              </w:rPr>
              <w:t>27,950</w:t>
            </w:r>
          </w:p>
        </w:tc>
        <w:tc>
          <w:tcPr>
            <w:tcW w:w="1440" w:type="dxa"/>
            <w:vAlign w:val="bottom"/>
            <w:gridSpan w:val="2"/>
          </w:tcPr>
          <w:p>
            <w:pPr>
              <w:jc w:val="right"/>
              <w:ind w:right="8"/>
              <w:spacing w:after="0"/>
              <w:rPr>
                <w:sz w:val="20"/>
                <w:szCs w:val="20"/>
                <w:color w:val="auto"/>
              </w:rPr>
            </w:pPr>
            <w:r>
              <w:rPr>
                <w:rFonts w:ascii="Arial Narrow" w:cs="Arial Narrow" w:eastAsia="Arial Narrow" w:hAnsi="Arial Narrow"/>
                <w:sz w:val="20"/>
                <w:szCs w:val="20"/>
                <w:color w:val="auto"/>
              </w:rPr>
              <w:t>42,720</w:t>
            </w:r>
          </w:p>
        </w:tc>
        <w:tc>
          <w:tcPr>
            <w:tcW w:w="1440" w:type="dxa"/>
            <w:vAlign w:val="bottom"/>
            <w:gridSpan w:val="2"/>
          </w:tcPr>
          <w:p>
            <w:pPr>
              <w:jc w:val="right"/>
              <w:ind w:right="6"/>
              <w:spacing w:after="0"/>
              <w:rPr>
                <w:sz w:val="20"/>
                <w:szCs w:val="20"/>
                <w:color w:val="auto"/>
              </w:rPr>
            </w:pPr>
            <w:r>
              <w:rPr>
                <w:rFonts w:ascii="Arial Narrow" w:cs="Arial Narrow" w:eastAsia="Arial Narrow" w:hAnsi="Arial Narrow"/>
                <w:sz w:val="20"/>
                <w:szCs w:val="20"/>
                <w:color w:val="auto"/>
              </w:rPr>
              <w:t>70,670</w:t>
            </w:r>
          </w:p>
        </w:tc>
        <w:tc>
          <w:tcPr>
            <w:tcW w:w="1440" w:type="dxa"/>
            <w:vAlign w:val="bottom"/>
            <w:gridSpan w:val="2"/>
          </w:tcPr>
          <w:p>
            <w:pPr>
              <w:jc w:val="right"/>
              <w:ind w:right="3"/>
              <w:spacing w:after="0"/>
              <w:rPr>
                <w:sz w:val="20"/>
                <w:szCs w:val="20"/>
                <w:color w:val="auto"/>
              </w:rPr>
            </w:pPr>
            <w:r>
              <w:rPr>
                <w:rFonts w:ascii="Arial Narrow" w:cs="Arial Narrow" w:eastAsia="Arial Narrow" w:hAnsi="Arial Narrow"/>
                <w:sz w:val="20"/>
                <w:szCs w:val="20"/>
                <w:color w:val="auto"/>
              </w:rPr>
              <w:t>59,000</w:t>
            </w:r>
          </w:p>
        </w:tc>
      </w:tr>
      <w:tr>
        <w:trPr>
          <w:trHeight w:val="65"/>
        </w:trPr>
        <w:tc>
          <w:tcPr>
            <w:tcW w:w="3760" w:type="dxa"/>
            <w:vAlign w:val="bottom"/>
            <w:tcBorders>
              <w:bottom w:val="single" w:sz="8" w:color="A6A6A6"/>
            </w:tcBorders>
          </w:tcPr>
          <w:p>
            <w:pPr>
              <w:spacing w:after="0"/>
              <w:rPr>
                <w:sz w:val="5"/>
                <w:szCs w:val="5"/>
                <w:color w:val="auto"/>
              </w:rPr>
            </w:pPr>
          </w:p>
        </w:tc>
        <w:tc>
          <w:tcPr>
            <w:tcW w:w="128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128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128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1260" w:type="dxa"/>
            <w:vAlign w:val="bottom"/>
            <w:tcBorders>
              <w:bottom w:val="single" w:sz="8" w:color="A6A6A6"/>
            </w:tcBorders>
          </w:tcPr>
          <w:p>
            <w:pPr>
              <w:spacing w:after="0"/>
              <w:rPr>
                <w:sz w:val="5"/>
                <w:szCs w:val="5"/>
                <w:color w:val="auto"/>
              </w:rPr>
            </w:pPr>
          </w:p>
        </w:tc>
      </w:tr>
      <w:tr>
        <w:trPr>
          <w:trHeight w:val="339"/>
        </w:trPr>
        <w:tc>
          <w:tcPr>
            <w:tcW w:w="3760" w:type="dxa"/>
            <w:vAlign w:val="bottom"/>
          </w:tcPr>
          <w:p>
            <w:pPr>
              <w:spacing w:after="0"/>
              <w:rPr>
                <w:sz w:val="20"/>
                <w:szCs w:val="20"/>
                <w:color w:val="auto"/>
              </w:rPr>
            </w:pPr>
            <w:r>
              <w:rPr>
                <w:rFonts w:ascii="Arial Narrow" w:cs="Arial Narrow" w:eastAsia="Arial Narrow" w:hAnsi="Arial Narrow"/>
                <w:sz w:val="20"/>
                <w:szCs w:val="20"/>
                <w:b w:val="1"/>
                <w:bCs w:val="1"/>
                <w:color w:val="5F7D1D"/>
              </w:rPr>
              <w:t xml:space="preserve">Georgetown, South Carolina </w:t>
            </w:r>
            <w:r>
              <w:rPr>
                <w:rFonts w:ascii="Arial Narrow" w:cs="Arial Narrow" w:eastAsia="Arial Narrow" w:hAnsi="Arial Narrow"/>
                <w:sz w:val="13"/>
                <w:szCs w:val="13"/>
                <w:b w:val="1"/>
                <w:bCs w:val="1"/>
                <w:color w:val="5F7D1D"/>
              </w:rPr>
              <w:t>(4)</w:t>
            </w:r>
          </w:p>
        </w:tc>
        <w:tc>
          <w:tcPr>
            <w:tcW w:w="1280" w:type="dxa"/>
            <w:vAlign w:val="bottom"/>
          </w:tcPr>
          <w:p>
            <w:pPr>
              <w:jc w:val="right"/>
              <w:ind w:right="1"/>
              <w:spacing w:after="0"/>
              <w:rPr>
                <w:sz w:val="20"/>
                <w:szCs w:val="20"/>
                <w:color w:val="auto"/>
              </w:rPr>
            </w:pPr>
            <w:r>
              <w:rPr>
                <w:rFonts w:ascii="Arial Narrow" w:cs="Arial Narrow" w:eastAsia="Arial Narrow" w:hAnsi="Arial Narrow"/>
                <w:sz w:val="20"/>
                <w:szCs w:val="20"/>
                <w:color w:val="auto"/>
              </w:rPr>
              <w:t>n/a</w:t>
            </w:r>
          </w:p>
        </w:tc>
        <w:tc>
          <w:tcPr>
            <w:tcW w:w="160" w:type="dxa"/>
            <w:vAlign w:val="bottom"/>
          </w:tcPr>
          <w:p>
            <w:pPr>
              <w:spacing w:after="0"/>
              <w:rPr>
                <w:sz w:val="24"/>
                <w:szCs w:val="24"/>
                <w:color w:val="auto"/>
              </w:rPr>
            </w:pPr>
          </w:p>
        </w:tc>
        <w:tc>
          <w:tcPr>
            <w:tcW w:w="1280" w:type="dxa"/>
            <w:vAlign w:val="bottom"/>
          </w:tcPr>
          <w:p>
            <w:pPr>
              <w:jc w:val="right"/>
              <w:ind w:right="8"/>
              <w:spacing w:after="0"/>
              <w:rPr>
                <w:sz w:val="20"/>
                <w:szCs w:val="20"/>
                <w:color w:val="auto"/>
              </w:rPr>
            </w:pPr>
            <w:r>
              <w:rPr>
                <w:rFonts w:ascii="Arial Narrow" w:cs="Arial Narrow" w:eastAsia="Arial Narrow" w:hAnsi="Arial Narrow"/>
                <w:sz w:val="20"/>
                <w:szCs w:val="20"/>
                <w:color w:val="auto"/>
              </w:rPr>
              <w:t>n/a</w:t>
            </w:r>
          </w:p>
        </w:tc>
        <w:tc>
          <w:tcPr>
            <w:tcW w:w="160" w:type="dxa"/>
            <w:vAlign w:val="bottom"/>
          </w:tcPr>
          <w:p>
            <w:pPr>
              <w:spacing w:after="0"/>
              <w:rPr>
                <w:sz w:val="24"/>
                <w:szCs w:val="24"/>
                <w:color w:val="auto"/>
              </w:rPr>
            </w:pPr>
          </w:p>
        </w:tc>
        <w:tc>
          <w:tcPr>
            <w:tcW w:w="1280" w:type="dxa"/>
            <w:vAlign w:val="bottom"/>
          </w:tcPr>
          <w:p>
            <w:pPr>
              <w:jc w:val="right"/>
              <w:ind w:right="6"/>
              <w:spacing w:after="0"/>
              <w:rPr>
                <w:sz w:val="20"/>
                <w:szCs w:val="20"/>
                <w:color w:val="auto"/>
              </w:rPr>
            </w:pPr>
            <w:r>
              <w:rPr>
                <w:rFonts w:ascii="Arial Narrow" w:cs="Arial Narrow" w:eastAsia="Arial Narrow" w:hAnsi="Arial Narrow"/>
                <w:sz w:val="20"/>
                <w:szCs w:val="20"/>
                <w:color w:val="auto"/>
              </w:rPr>
              <w:t>n/a</w:t>
            </w:r>
          </w:p>
        </w:tc>
        <w:tc>
          <w:tcPr>
            <w:tcW w:w="180" w:type="dxa"/>
            <w:vAlign w:val="bottom"/>
          </w:tcPr>
          <w:p>
            <w:pPr>
              <w:spacing w:after="0"/>
              <w:rPr>
                <w:sz w:val="24"/>
                <w:szCs w:val="24"/>
                <w:color w:val="auto"/>
              </w:rPr>
            </w:pPr>
          </w:p>
        </w:tc>
        <w:tc>
          <w:tcPr>
            <w:tcW w:w="1260" w:type="dxa"/>
            <w:vAlign w:val="bottom"/>
          </w:tcPr>
          <w:p>
            <w:pPr>
              <w:jc w:val="right"/>
              <w:ind w:right="3"/>
              <w:spacing w:after="0"/>
              <w:rPr>
                <w:sz w:val="20"/>
                <w:szCs w:val="20"/>
                <w:color w:val="auto"/>
              </w:rPr>
            </w:pPr>
            <w:r>
              <w:rPr>
                <w:rFonts w:ascii="Arial Narrow" w:cs="Arial Narrow" w:eastAsia="Arial Narrow" w:hAnsi="Arial Narrow"/>
                <w:sz w:val="20"/>
                <w:szCs w:val="20"/>
                <w:color w:val="auto"/>
              </w:rPr>
              <w:t>n/a</w:t>
            </w:r>
          </w:p>
        </w:tc>
      </w:tr>
      <w:tr>
        <w:trPr>
          <w:trHeight w:val="90"/>
        </w:trPr>
        <w:tc>
          <w:tcPr>
            <w:tcW w:w="3760" w:type="dxa"/>
            <w:vAlign w:val="bottom"/>
            <w:tcBorders>
              <w:bottom w:val="single" w:sz="8" w:color="A6A6A6"/>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r>
      <w:tr>
        <w:trPr>
          <w:trHeight w:val="344"/>
        </w:trPr>
        <w:tc>
          <w:tcPr>
            <w:tcW w:w="3760" w:type="dxa"/>
            <w:vAlign w:val="bottom"/>
          </w:tcPr>
          <w:p>
            <w:pPr>
              <w:ind w:left="200"/>
              <w:spacing w:after="0"/>
              <w:rPr>
                <w:sz w:val="20"/>
                <w:szCs w:val="20"/>
                <w:color w:val="auto"/>
              </w:rPr>
            </w:pPr>
            <w:r>
              <w:rPr>
                <w:rFonts w:ascii="Arial Narrow" w:cs="Arial Narrow" w:eastAsia="Arial Narrow" w:hAnsi="Arial Narrow"/>
                <w:sz w:val="20"/>
                <w:szCs w:val="20"/>
                <w:b w:val="1"/>
                <w:bCs w:val="1"/>
                <w:color w:val="auto"/>
              </w:rPr>
              <w:t>Total</w:t>
            </w:r>
          </w:p>
        </w:tc>
        <w:tc>
          <w:tcPr>
            <w:tcW w:w="1280" w:type="dxa"/>
            <w:vAlign w:val="bottom"/>
          </w:tcPr>
          <w:p>
            <w:pPr>
              <w:jc w:val="right"/>
              <w:ind w:right="1"/>
              <w:spacing w:after="0"/>
              <w:rPr>
                <w:sz w:val="20"/>
                <w:szCs w:val="20"/>
                <w:color w:val="auto"/>
              </w:rPr>
            </w:pPr>
            <w:r>
              <w:rPr>
                <w:rFonts w:ascii="Arial Narrow" w:cs="Arial Narrow" w:eastAsia="Arial Narrow" w:hAnsi="Arial Narrow"/>
                <w:sz w:val="20"/>
                <w:szCs w:val="20"/>
                <w:b w:val="1"/>
                <w:bCs w:val="1"/>
                <w:color w:val="auto"/>
              </w:rPr>
              <w:t>88,710</w:t>
            </w:r>
          </w:p>
        </w:tc>
        <w:tc>
          <w:tcPr>
            <w:tcW w:w="1440" w:type="dxa"/>
            <w:vAlign w:val="bottom"/>
            <w:gridSpan w:val="2"/>
          </w:tcPr>
          <w:p>
            <w:pPr>
              <w:jc w:val="right"/>
              <w:ind w:right="8"/>
              <w:spacing w:after="0"/>
              <w:rPr>
                <w:sz w:val="20"/>
                <w:szCs w:val="20"/>
                <w:color w:val="auto"/>
              </w:rPr>
            </w:pPr>
            <w:r>
              <w:rPr>
                <w:rFonts w:ascii="Arial Narrow" w:cs="Arial Narrow" w:eastAsia="Arial Narrow" w:hAnsi="Arial Narrow"/>
                <w:sz w:val="20"/>
                <w:szCs w:val="20"/>
                <w:b w:val="1"/>
                <w:bCs w:val="1"/>
                <w:color w:val="auto"/>
              </w:rPr>
              <w:t>60,940</w:t>
            </w:r>
          </w:p>
        </w:tc>
        <w:tc>
          <w:tcPr>
            <w:tcW w:w="1440" w:type="dxa"/>
            <w:vAlign w:val="bottom"/>
            <w:gridSpan w:val="2"/>
          </w:tcPr>
          <w:p>
            <w:pPr>
              <w:jc w:val="right"/>
              <w:ind w:right="6"/>
              <w:spacing w:after="0"/>
              <w:rPr>
                <w:sz w:val="20"/>
                <w:szCs w:val="20"/>
                <w:color w:val="auto"/>
              </w:rPr>
            </w:pPr>
            <w:r>
              <w:rPr>
                <w:rFonts w:ascii="Arial Narrow" w:cs="Arial Narrow" w:eastAsia="Arial Narrow" w:hAnsi="Arial Narrow"/>
                <w:sz w:val="20"/>
                <w:szCs w:val="20"/>
                <w:b w:val="1"/>
                <w:bCs w:val="1"/>
                <w:color w:val="auto"/>
              </w:rPr>
              <w:t>149,650</w:t>
            </w:r>
          </w:p>
        </w:tc>
        <w:tc>
          <w:tcPr>
            <w:tcW w:w="1440" w:type="dxa"/>
            <w:vAlign w:val="bottom"/>
            <w:gridSpan w:val="2"/>
          </w:tcPr>
          <w:p>
            <w:pPr>
              <w:jc w:val="right"/>
              <w:ind w:right="3"/>
              <w:spacing w:after="0"/>
              <w:rPr>
                <w:sz w:val="20"/>
                <w:szCs w:val="20"/>
                <w:color w:val="auto"/>
              </w:rPr>
            </w:pPr>
            <w:r>
              <w:rPr>
                <w:rFonts w:ascii="Arial Narrow" w:cs="Arial Narrow" w:eastAsia="Arial Narrow" w:hAnsi="Arial Narrow"/>
                <w:sz w:val="20"/>
                <w:szCs w:val="20"/>
                <w:b w:val="1"/>
                <w:bCs w:val="1"/>
                <w:color w:val="auto"/>
              </w:rPr>
              <w:t>65,300</w:t>
            </w:r>
          </w:p>
        </w:tc>
      </w:tr>
      <w:tr>
        <w:trPr>
          <w:trHeight w:val="65"/>
        </w:trPr>
        <w:tc>
          <w:tcPr>
            <w:tcW w:w="3760" w:type="dxa"/>
            <w:vAlign w:val="bottom"/>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r>
      <w:tr>
        <w:trPr>
          <w:trHeight w:val="20"/>
        </w:trPr>
        <w:tc>
          <w:tcPr>
            <w:tcW w:w="37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ind w:left="180" w:hanging="180"/>
        <w:spacing w:after="0"/>
        <w:tabs>
          <w:tab w:leader="none" w:pos="180" w:val="left"/>
        </w:tabs>
        <w:numPr>
          <w:ilvl w:val="0"/>
          <w:numId w:val="24"/>
        </w:numPr>
        <w:rPr>
          <w:rFonts w:ascii="Arial" w:cs="Arial" w:eastAsia="Arial" w:hAnsi="Arial"/>
          <w:sz w:val="10"/>
          <w:szCs w:val="10"/>
          <w:color w:val="auto"/>
        </w:rPr>
      </w:pPr>
      <w:r>
        <w:rPr>
          <w:rFonts w:ascii="Arial" w:cs="Arial" w:eastAsia="Arial" w:hAnsi="Arial"/>
          <w:sz w:val="16"/>
          <w:szCs w:val="16"/>
          <w:color w:val="auto"/>
        </w:rPr>
        <w:t>Gypsum resources are shown on an in situ basis.</w:t>
      </w:r>
    </w:p>
    <w:p>
      <w:pPr>
        <w:ind w:left="180" w:right="580" w:hanging="180"/>
        <w:spacing w:after="0"/>
        <w:tabs>
          <w:tab w:leader="none" w:pos="180" w:val="left"/>
        </w:tabs>
        <w:numPr>
          <w:ilvl w:val="0"/>
          <w:numId w:val="24"/>
        </w:numPr>
        <w:rPr>
          <w:rFonts w:ascii="Arial" w:cs="Arial" w:eastAsia="Arial" w:hAnsi="Arial"/>
          <w:sz w:val="10"/>
          <w:szCs w:val="10"/>
          <w:color w:val="auto"/>
        </w:rPr>
      </w:pPr>
      <w:r>
        <w:rPr>
          <w:rFonts w:ascii="Arial" w:cs="Arial" w:eastAsia="Arial" w:hAnsi="Arial"/>
          <w:sz w:val="16"/>
          <w:szCs w:val="16"/>
          <w:color w:val="auto"/>
        </w:rPr>
        <w:t>Measured, Indicated and Inferred resources were based on an initial assessment using average selling price assumptions ranging from $17.83 to $19.33 per ton, depending on location and market.</w:t>
      </w:r>
    </w:p>
    <w:p>
      <w:pPr>
        <w:ind w:left="180" w:hanging="180"/>
        <w:spacing w:after="0"/>
        <w:tabs>
          <w:tab w:leader="none" w:pos="180" w:val="left"/>
        </w:tabs>
        <w:numPr>
          <w:ilvl w:val="0"/>
          <w:numId w:val="24"/>
        </w:numPr>
        <w:rPr>
          <w:rFonts w:ascii="Arial" w:cs="Arial" w:eastAsia="Arial" w:hAnsi="Arial"/>
          <w:sz w:val="10"/>
          <w:szCs w:val="10"/>
          <w:color w:val="auto"/>
        </w:rPr>
      </w:pPr>
      <w:r>
        <w:rPr>
          <w:rFonts w:ascii="Arial" w:cs="Arial" w:eastAsia="Arial" w:hAnsi="Arial"/>
          <w:sz w:val="16"/>
          <w:szCs w:val="16"/>
          <w:color w:val="auto"/>
        </w:rPr>
        <w:t>The same resources serve both New Mexico plants.</w:t>
      </w:r>
    </w:p>
    <w:p>
      <w:pPr>
        <w:ind w:left="180" w:hanging="180"/>
        <w:spacing w:after="0"/>
        <w:tabs>
          <w:tab w:leader="none" w:pos="180" w:val="left"/>
        </w:tabs>
        <w:numPr>
          <w:ilvl w:val="0"/>
          <w:numId w:val="24"/>
        </w:numPr>
        <w:rPr>
          <w:rFonts w:ascii="Arial" w:cs="Arial" w:eastAsia="Arial" w:hAnsi="Arial"/>
          <w:sz w:val="10"/>
          <w:szCs w:val="10"/>
          <w:color w:val="auto"/>
        </w:rPr>
      </w:pPr>
      <w:r>
        <w:rPr>
          <w:rFonts w:ascii="Arial" w:cs="Arial" w:eastAsia="Arial" w:hAnsi="Arial"/>
          <w:sz w:val="16"/>
          <w:szCs w:val="16"/>
          <w:color w:val="auto"/>
        </w:rPr>
        <w:t>In 2006, we signed a 60-year supply agreement for synthetic gypsum with Santee Cooper that expires in 2069.</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sets forth certain information regarding gypsum reserves at March 31, 2026.</w:t>
      </w:r>
    </w:p>
    <w:p>
      <w:pPr>
        <w:spacing w:after="0" w:line="270" w:lineRule="exact"/>
        <w:rPr>
          <w:sz w:val="20"/>
          <w:szCs w:val="20"/>
          <w:color w:val="auto"/>
        </w:rPr>
      </w:pPr>
    </w:p>
    <w:p>
      <w:pPr>
        <w:ind w:left="6080"/>
        <w:spacing w:after="0"/>
        <w:rPr>
          <w:sz w:val="20"/>
          <w:szCs w:val="20"/>
          <w:color w:val="auto"/>
        </w:rPr>
      </w:pPr>
      <w:r>
        <w:rPr>
          <w:rFonts w:ascii="Arial Narrow" w:cs="Arial Narrow" w:eastAsia="Arial Narrow" w:hAnsi="Arial Narrow"/>
          <w:sz w:val="18"/>
          <w:szCs w:val="18"/>
          <w:b w:val="1"/>
          <w:bCs w:val="1"/>
          <w:color w:val="auto"/>
        </w:rPr>
        <w:t xml:space="preserve">Gypsum Reserves </w:t>
      </w:r>
      <w:r>
        <w:rPr>
          <w:rFonts w:ascii="Arial Narrow" w:cs="Arial Narrow" w:eastAsia="Arial Narrow" w:hAnsi="Arial Narrow"/>
          <w:sz w:val="24"/>
          <w:szCs w:val="24"/>
          <w:b w:val="1"/>
          <w:bCs w:val="1"/>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0</wp:posOffset>
            </wp:positionV>
            <wp:extent cx="3108325" cy="95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2">
                      <a:extLst>
                        <a:ext uri="{28A0092B-C50C-407E-A947-70E740481C1C}"/>
                      </a:extLst>
                    </a:blip>
                    <a:srcRect/>
                    <a:stretch>
                      <a:fillRect/>
                    </a:stretch>
                  </pic:blipFill>
                  <pic:spPr bwMode="auto">
                    <a:xfrm>
                      <a:off x="0" y="0"/>
                      <a:ext cx="3108325" cy="9525"/>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ind w:right="168"/>
              <w:spacing w:after="0"/>
              <w:rPr>
                <w:sz w:val="20"/>
                <w:szCs w:val="20"/>
                <w:color w:val="auto"/>
              </w:rPr>
            </w:pPr>
            <w:r>
              <w:rPr>
                <w:rFonts w:ascii="Arial Narrow" w:cs="Arial Narrow" w:eastAsia="Arial Narrow" w:hAnsi="Arial Narrow"/>
                <w:sz w:val="16"/>
                <w:szCs w:val="16"/>
                <w:color w:val="auto"/>
              </w:rPr>
              <w:t>(tons in thousands)</w:t>
            </w: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12"/>
        </w:trPr>
        <w:tc>
          <w:tcPr>
            <w:tcW w:w="4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ind w:right="5"/>
              <w:spacing w:after="0"/>
              <w:rPr>
                <w:sz w:val="20"/>
                <w:szCs w:val="20"/>
                <w:color w:val="auto"/>
              </w:rPr>
            </w:pPr>
            <w:r>
              <w:rPr>
                <w:rFonts w:ascii="Arial Narrow" w:cs="Arial Narrow" w:eastAsia="Arial Narrow" w:hAnsi="Arial Narrow"/>
                <w:sz w:val="18"/>
                <w:szCs w:val="18"/>
                <w:b w:val="1"/>
                <w:bCs w:val="1"/>
                <w:color w:val="auto"/>
              </w:rPr>
              <w:t>Total Proven &amp;</w:t>
            </w:r>
          </w:p>
        </w:tc>
      </w:tr>
      <w:tr>
        <w:trPr>
          <w:trHeight w:val="254"/>
        </w:trPr>
        <w:tc>
          <w:tcPr>
            <w:tcW w:w="4460" w:type="dxa"/>
            <w:vAlign w:val="bottom"/>
          </w:tcPr>
          <w:p>
            <w:pPr>
              <w:spacing w:after="0"/>
              <w:rPr>
                <w:sz w:val="20"/>
                <w:szCs w:val="20"/>
                <w:color w:val="auto"/>
              </w:rPr>
            </w:pPr>
            <w:r>
              <w:rPr>
                <w:rFonts w:ascii="Arial Narrow" w:cs="Arial Narrow" w:eastAsia="Arial Narrow" w:hAnsi="Arial Narrow"/>
                <w:sz w:val="18"/>
                <w:szCs w:val="18"/>
                <w:b w:val="1"/>
                <w:bCs w:val="1"/>
                <w:color w:val="auto"/>
              </w:rPr>
              <w:t>Location</w:t>
            </w:r>
          </w:p>
        </w:tc>
        <w:tc>
          <w:tcPr>
            <w:tcW w:w="1520" w:type="dxa"/>
            <w:vAlign w:val="bottom"/>
          </w:tcPr>
          <w:p>
            <w:pPr>
              <w:jc w:val="right"/>
              <w:ind w:right="21"/>
              <w:spacing w:after="0"/>
              <w:rPr>
                <w:sz w:val="20"/>
                <w:szCs w:val="20"/>
                <w:color w:val="auto"/>
              </w:rPr>
            </w:pPr>
            <w:r>
              <w:rPr>
                <w:rFonts w:ascii="Arial Narrow" w:cs="Arial Narrow" w:eastAsia="Arial Narrow" w:hAnsi="Arial Narrow"/>
                <w:sz w:val="18"/>
                <w:szCs w:val="18"/>
                <w:b w:val="1"/>
                <w:bCs w:val="1"/>
                <w:color w:val="auto"/>
              </w:rPr>
              <w:t>Proven</w:t>
            </w:r>
          </w:p>
        </w:tc>
        <w:tc>
          <w:tcPr>
            <w:tcW w:w="18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Narrow" w:cs="Arial Narrow" w:eastAsia="Arial Narrow" w:hAnsi="Arial Narrow"/>
                <w:sz w:val="18"/>
                <w:szCs w:val="18"/>
                <w:b w:val="1"/>
                <w:bCs w:val="1"/>
                <w:color w:val="auto"/>
              </w:rPr>
              <w:t>Probable</w:t>
            </w:r>
          </w:p>
        </w:tc>
        <w:tc>
          <w:tcPr>
            <w:tcW w:w="180" w:type="dxa"/>
            <w:vAlign w:val="bottom"/>
          </w:tcPr>
          <w:p>
            <w:pPr>
              <w:spacing w:after="0"/>
              <w:rPr>
                <w:sz w:val="22"/>
                <w:szCs w:val="22"/>
                <w:color w:val="auto"/>
              </w:rPr>
            </w:pPr>
          </w:p>
        </w:tc>
        <w:tc>
          <w:tcPr>
            <w:tcW w:w="1500" w:type="dxa"/>
            <w:vAlign w:val="bottom"/>
          </w:tcPr>
          <w:p>
            <w:pPr>
              <w:jc w:val="right"/>
              <w:ind w:right="5"/>
              <w:spacing w:after="0"/>
              <w:rPr>
                <w:sz w:val="20"/>
                <w:szCs w:val="20"/>
                <w:color w:val="auto"/>
              </w:rPr>
            </w:pPr>
            <w:r>
              <w:rPr>
                <w:rFonts w:ascii="Arial Narrow" w:cs="Arial Narrow" w:eastAsia="Arial Narrow" w:hAnsi="Arial Narrow"/>
                <w:sz w:val="18"/>
                <w:szCs w:val="18"/>
                <w:b w:val="1"/>
                <w:bCs w:val="1"/>
                <w:color w:val="auto"/>
              </w:rPr>
              <w:t>Probable</w:t>
            </w:r>
          </w:p>
        </w:tc>
      </w:tr>
      <w:tr>
        <w:trPr>
          <w:trHeight w:val="46"/>
        </w:trPr>
        <w:tc>
          <w:tcPr>
            <w:tcW w:w="446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gridSpan w:val="2"/>
          </w:tcPr>
          <w:p>
            <w:pPr>
              <w:spacing w:after="0"/>
              <w:rPr>
                <w:sz w:val="3"/>
                <w:szCs w:val="3"/>
                <w:color w:val="auto"/>
              </w:rPr>
            </w:pPr>
          </w:p>
        </w:tc>
        <w:tc>
          <w:tcPr>
            <w:tcW w:w="1680" w:type="dxa"/>
            <w:vAlign w:val="bottom"/>
            <w:tcBorders>
              <w:bottom w:val="single" w:sz="8" w:color="auto"/>
            </w:tcBorders>
            <w:gridSpan w:val="2"/>
          </w:tcPr>
          <w:p>
            <w:pPr>
              <w:spacing w:after="0"/>
              <w:rPr>
                <w:sz w:val="3"/>
                <w:szCs w:val="3"/>
                <w:color w:val="auto"/>
              </w:rPr>
            </w:pPr>
          </w:p>
        </w:tc>
      </w:tr>
      <w:tr>
        <w:trPr>
          <w:trHeight w:val="367"/>
        </w:trPr>
        <w:tc>
          <w:tcPr>
            <w:tcW w:w="4460" w:type="dxa"/>
            <w:vAlign w:val="bottom"/>
          </w:tcPr>
          <w:p>
            <w:pPr>
              <w:spacing w:after="0"/>
              <w:rPr>
                <w:sz w:val="20"/>
                <w:szCs w:val="20"/>
                <w:color w:val="auto"/>
              </w:rPr>
            </w:pPr>
            <w:r>
              <w:rPr>
                <w:rFonts w:ascii="Arial Narrow" w:cs="Arial Narrow" w:eastAsia="Arial Narrow" w:hAnsi="Arial Narrow"/>
                <w:sz w:val="20"/>
                <w:szCs w:val="20"/>
                <w:b w:val="1"/>
                <w:bCs w:val="1"/>
                <w:color w:val="5F7D1D"/>
              </w:rPr>
              <w:t>Albuquerque, New Mexico</w:t>
            </w:r>
          </w:p>
        </w:tc>
        <w:tc>
          <w:tcPr>
            <w:tcW w:w="1520" w:type="dxa"/>
            <w:vAlign w:val="bottom"/>
          </w:tcPr>
          <w:p>
            <w:pPr>
              <w:jc w:val="right"/>
              <w:ind w:right="21"/>
              <w:spacing w:after="0"/>
              <w:rPr>
                <w:sz w:val="20"/>
                <w:szCs w:val="20"/>
                <w:color w:val="auto"/>
              </w:rPr>
            </w:pPr>
            <w:r>
              <w:rPr>
                <w:rFonts w:ascii="Arial Narrow" w:cs="Arial Narrow" w:eastAsia="Arial Narrow" w:hAnsi="Arial Narrow"/>
                <w:sz w:val="20"/>
                <w:szCs w:val="20"/>
                <w:color w:val="auto"/>
              </w:rPr>
              <w:t>19,970</w:t>
            </w:r>
          </w:p>
        </w:tc>
        <w:tc>
          <w:tcPr>
            <w:tcW w:w="1700" w:type="dxa"/>
            <w:vAlign w:val="bottom"/>
            <w:gridSpan w:val="2"/>
          </w:tcPr>
          <w:p>
            <w:pPr>
              <w:jc w:val="right"/>
              <w:ind w:right="28"/>
              <w:spacing w:after="0"/>
              <w:rPr>
                <w:sz w:val="20"/>
                <w:szCs w:val="20"/>
                <w:color w:val="auto"/>
              </w:rPr>
            </w:pPr>
            <w:r>
              <w:rPr>
                <w:rFonts w:ascii="Arial Narrow" w:cs="Arial Narrow" w:eastAsia="Arial Narrow" w:hAnsi="Arial Narrow"/>
                <w:sz w:val="20"/>
                <w:szCs w:val="20"/>
                <w:color w:val="auto"/>
              </w:rPr>
              <w:t>3,600</w:t>
            </w:r>
          </w:p>
        </w:tc>
        <w:tc>
          <w:tcPr>
            <w:tcW w:w="1680" w:type="dxa"/>
            <w:vAlign w:val="bottom"/>
            <w:gridSpan w:val="2"/>
          </w:tcPr>
          <w:p>
            <w:pPr>
              <w:jc w:val="right"/>
              <w:ind w:right="5"/>
              <w:spacing w:after="0"/>
              <w:rPr>
                <w:sz w:val="20"/>
                <w:szCs w:val="20"/>
                <w:color w:val="auto"/>
              </w:rPr>
            </w:pPr>
            <w:r>
              <w:rPr>
                <w:rFonts w:ascii="Arial Narrow" w:cs="Arial Narrow" w:eastAsia="Arial Narrow" w:hAnsi="Arial Narrow"/>
                <w:sz w:val="20"/>
                <w:szCs w:val="20"/>
                <w:color w:val="auto"/>
              </w:rPr>
              <w:t>23,570</w:t>
            </w:r>
          </w:p>
        </w:tc>
      </w:tr>
      <w:tr>
        <w:trPr>
          <w:trHeight w:val="88"/>
        </w:trPr>
        <w:tc>
          <w:tcPr>
            <w:tcW w:w="4460" w:type="dxa"/>
            <w:vAlign w:val="bottom"/>
            <w:tcBorders>
              <w:bottom w:val="single" w:sz="8" w:color="A6A6A6"/>
            </w:tcBorders>
          </w:tcPr>
          <w:p>
            <w:pPr>
              <w:spacing w:after="0"/>
              <w:rPr>
                <w:sz w:val="7"/>
                <w:szCs w:val="7"/>
                <w:color w:val="auto"/>
              </w:rPr>
            </w:pPr>
          </w:p>
        </w:tc>
        <w:tc>
          <w:tcPr>
            <w:tcW w:w="1520" w:type="dxa"/>
            <w:vAlign w:val="bottom"/>
            <w:tcBorders>
              <w:bottom w:val="single" w:sz="8" w:color="A6A6A6"/>
            </w:tcBorders>
          </w:tcPr>
          <w:p>
            <w:pPr>
              <w:spacing w:after="0"/>
              <w:rPr>
                <w:sz w:val="7"/>
                <w:szCs w:val="7"/>
                <w:color w:val="auto"/>
              </w:rPr>
            </w:pPr>
          </w:p>
        </w:tc>
        <w:tc>
          <w:tcPr>
            <w:tcW w:w="180" w:type="dxa"/>
            <w:vAlign w:val="bottom"/>
            <w:tcBorders>
              <w:bottom w:val="single" w:sz="8" w:color="A6A6A6"/>
            </w:tcBorders>
          </w:tcPr>
          <w:p>
            <w:pPr>
              <w:spacing w:after="0"/>
              <w:rPr>
                <w:sz w:val="7"/>
                <w:szCs w:val="7"/>
                <w:color w:val="auto"/>
              </w:rPr>
            </w:pPr>
          </w:p>
        </w:tc>
        <w:tc>
          <w:tcPr>
            <w:tcW w:w="1520" w:type="dxa"/>
            <w:vAlign w:val="bottom"/>
            <w:tcBorders>
              <w:bottom w:val="single" w:sz="8" w:color="A6A6A6"/>
            </w:tcBorders>
          </w:tcPr>
          <w:p>
            <w:pPr>
              <w:spacing w:after="0"/>
              <w:rPr>
                <w:sz w:val="7"/>
                <w:szCs w:val="7"/>
                <w:color w:val="auto"/>
              </w:rPr>
            </w:pPr>
          </w:p>
        </w:tc>
        <w:tc>
          <w:tcPr>
            <w:tcW w:w="180" w:type="dxa"/>
            <w:vAlign w:val="bottom"/>
            <w:tcBorders>
              <w:bottom w:val="single" w:sz="8" w:color="A6A6A6"/>
            </w:tcBorders>
          </w:tcPr>
          <w:p>
            <w:pPr>
              <w:spacing w:after="0"/>
              <w:rPr>
                <w:sz w:val="7"/>
                <w:szCs w:val="7"/>
                <w:color w:val="auto"/>
              </w:rPr>
            </w:pPr>
          </w:p>
        </w:tc>
        <w:tc>
          <w:tcPr>
            <w:tcW w:w="1500" w:type="dxa"/>
            <w:vAlign w:val="bottom"/>
            <w:tcBorders>
              <w:bottom w:val="single" w:sz="8" w:color="A6A6A6"/>
            </w:tcBorders>
          </w:tcPr>
          <w:p>
            <w:pPr>
              <w:spacing w:after="0"/>
              <w:rPr>
                <w:sz w:val="7"/>
                <w:szCs w:val="7"/>
                <w:color w:val="auto"/>
              </w:rPr>
            </w:pPr>
          </w:p>
        </w:tc>
      </w:tr>
      <w:tr>
        <w:trPr>
          <w:trHeight w:val="362"/>
        </w:trPr>
        <w:tc>
          <w:tcPr>
            <w:tcW w:w="4460" w:type="dxa"/>
            <w:vAlign w:val="bottom"/>
          </w:tcPr>
          <w:p>
            <w:pPr>
              <w:spacing w:after="0"/>
              <w:rPr>
                <w:sz w:val="20"/>
                <w:szCs w:val="20"/>
                <w:color w:val="auto"/>
              </w:rPr>
            </w:pPr>
            <w:r>
              <w:rPr>
                <w:rFonts w:ascii="Arial Narrow" w:cs="Arial Narrow" w:eastAsia="Arial Narrow" w:hAnsi="Arial Narrow"/>
                <w:sz w:val="20"/>
                <w:szCs w:val="20"/>
                <w:b w:val="1"/>
                <w:bCs w:val="1"/>
                <w:color w:val="5F7D1D"/>
              </w:rPr>
              <w:t xml:space="preserve">Bernalillo, New Mexico </w:t>
            </w:r>
            <w:r>
              <w:rPr>
                <w:rFonts w:ascii="Arial Narrow" w:cs="Arial Narrow" w:eastAsia="Arial Narrow" w:hAnsi="Arial Narrow"/>
                <w:sz w:val="13"/>
                <w:szCs w:val="13"/>
                <w:b w:val="1"/>
                <w:bCs w:val="1"/>
                <w:color w:val="5F7D1D"/>
              </w:rPr>
              <w:t>(3)</w:t>
            </w:r>
          </w:p>
        </w:tc>
        <w:tc>
          <w:tcPr>
            <w:tcW w:w="1520" w:type="dxa"/>
            <w:vAlign w:val="bottom"/>
          </w:tcPr>
          <w:p>
            <w:pPr>
              <w:jc w:val="right"/>
              <w:ind w:right="21"/>
              <w:spacing w:after="0"/>
              <w:rPr>
                <w:sz w:val="20"/>
                <w:szCs w:val="20"/>
                <w:color w:val="auto"/>
              </w:rPr>
            </w:pPr>
            <w:r>
              <w:rPr>
                <w:rFonts w:ascii="Arial Narrow" w:cs="Arial Narrow" w:eastAsia="Arial Narrow" w:hAnsi="Arial Narrow"/>
                <w:sz w:val="20"/>
                <w:szCs w:val="20"/>
                <w:color w:val="auto"/>
              </w:rPr>
              <w:t>n/a</w:t>
            </w:r>
          </w:p>
        </w:tc>
        <w:tc>
          <w:tcPr>
            <w:tcW w:w="180" w:type="dxa"/>
            <w:vAlign w:val="bottom"/>
          </w:tcPr>
          <w:p>
            <w:pPr>
              <w:spacing w:after="0"/>
              <w:rPr>
                <w:sz w:val="24"/>
                <w:szCs w:val="24"/>
                <w:color w:val="auto"/>
              </w:rPr>
            </w:pPr>
          </w:p>
        </w:tc>
        <w:tc>
          <w:tcPr>
            <w:tcW w:w="1520" w:type="dxa"/>
            <w:vAlign w:val="bottom"/>
          </w:tcPr>
          <w:p>
            <w:pPr>
              <w:jc w:val="right"/>
              <w:ind w:right="28"/>
              <w:spacing w:after="0"/>
              <w:rPr>
                <w:sz w:val="20"/>
                <w:szCs w:val="20"/>
                <w:color w:val="auto"/>
              </w:rPr>
            </w:pPr>
            <w:r>
              <w:rPr>
                <w:rFonts w:ascii="Arial Narrow" w:cs="Arial Narrow" w:eastAsia="Arial Narrow" w:hAnsi="Arial Narrow"/>
                <w:sz w:val="20"/>
                <w:szCs w:val="20"/>
                <w:color w:val="auto"/>
              </w:rPr>
              <w:t>n/a</w:t>
            </w:r>
          </w:p>
        </w:tc>
        <w:tc>
          <w:tcPr>
            <w:tcW w:w="180" w:type="dxa"/>
            <w:vAlign w:val="bottom"/>
          </w:tcPr>
          <w:p>
            <w:pPr>
              <w:spacing w:after="0"/>
              <w:rPr>
                <w:sz w:val="24"/>
                <w:szCs w:val="24"/>
                <w:color w:val="auto"/>
              </w:rPr>
            </w:pPr>
          </w:p>
        </w:tc>
        <w:tc>
          <w:tcPr>
            <w:tcW w:w="1500" w:type="dxa"/>
            <w:vAlign w:val="bottom"/>
          </w:tcPr>
          <w:p>
            <w:pPr>
              <w:jc w:val="right"/>
              <w:ind w:right="5"/>
              <w:spacing w:after="0"/>
              <w:rPr>
                <w:sz w:val="20"/>
                <w:szCs w:val="20"/>
                <w:color w:val="auto"/>
              </w:rPr>
            </w:pPr>
            <w:r>
              <w:rPr>
                <w:rFonts w:ascii="Arial Narrow" w:cs="Arial Narrow" w:eastAsia="Arial Narrow" w:hAnsi="Arial Narrow"/>
                <w:sz w:val="20"/>
                <w:szCs w:val="20"/>
                <w:color w:val="auto"/>
              </w:rPr>
              <w:t>n/a</w:t>
            </w:r>
          </w:p>
        </w:tc>
      </w:tr>
      <w:tr>
        <w:trPr>
          <w:trHeight w:val="88"/>
        </w:trPr>
        <w:tc>
          <w:tcPr>
            <w:tcW w:w="4460" w:type="dxa"/>
            <w:vAlign w:val="bottom"/>
            <w:tcBorders>
              <w:bottom w:val="single" w:sz="8" w:color="A6A6A6"/>
            </w:tcBorders>
          </w:tcPr>
          <w:p>
            <w:pPr>
              <w:spacing w:after="0"/>
              <w:rPr>
                <w:sz w:val="7"/>
                <w:szCs w:val="7"/>
                <w:color w:val="auto"/>
              </w:rPr>
            </w:pPr>
          </w:p>
        </w:tc>
        <w:tc>
          <w:tcPr>
            <w:tcW w:w="1520" w:type="dxa"/>
            <w:vAlign w:val="bottom"/>
            <w:tcBorders>
              <w:bottom w:val="single" w:sz="8" w:color="A6A6A6"/>
            </w:tcBorders>
          </w:tcPr>
          <w:p>
            <w:pPr>
              <w:spacing w:after="0"/>
              <w:rPr>
                <w:sz w:val="7"/>
                <w:szCs w:val="7"/>
                <w:color w:val="auto"/>
              </w:rPr>
            </w:pPr>
          </w:p>
        </w:tc>
        <w:tc>
          <w:tcPr>
            <w:tcW w:w="180" w:type="dxa"/>
            <w:vAlign w:val="bottom"/>
            <w:tcBorders>
              <w:bottom w:val="single" w:sz="8" w:color="A6A6A6"/>
            </w:tcBorders>
          </w:tcPr>
          <w:p>
            <w:pPr>
              <w:spacing w:after="0"/>
              <w:rPr>
                <w:sz w:val="7"/>
                <w:szCs w:val="7"/>
                <w:color w:val="auto"/>
              </w:rPr>
            </w:pPr>
          </w:p>
        </w:tc>
        <w:tc>
          <w:tcPr>
            <w:tcW w:w="1520" w:type="dxa"/>
            <w:vAlign w:val="bottom"/>
            <w:tcBorders>
              <w:bottom w:val="single" w:sz="8" w:color="A6A6A6"/>
            </w:tcBorders>
          </w:tcPr>
          <w:p>
            <w:pPr>
              <w:spacing w:after="0"/>
              <w:rPr>
                <w:sz w:val="7"/>
                <w:szCs w:val="7"/>
                <w:color w:val="auto"/>
              </w:rPr>
            </w:pPr>
          </w:p>
        </w:tc>
        <w:tc>
          <w:tcPr>
            <w:tcW w:w="180" w:type="dxa"/>
            <w:vAlign w:val="bottom"/>
            <w:tcBorders>
              <w:bottom w:val="single" w:sz="8" w:color="A6A6A6"/>
            </w:tcBorders>
          </w:tcPr>
          <w:p>
            <w:pPr>
              <w:spacing w:after="0"/>
              <w:rPr>
                <w:sz w:val="7"/>
                <w:szCs w:val="7"/>
                <w:color w:val="auto"/>
              </w:rPr>
            </w:pPr>
          </w:p>
        </w:tc>
        <w:tc>
          <w:tcPr>
            <w:tcW w:w="1500" w:type="dxa"/>
            <w:vAlign w:val="bottom"/>
            <w:tcBorders>
              <w:bottom w:val="single" w:sz="8" w:color="A6A6A6"/>
            </w:tcBorders>
          </w:tcPr>
          <w:p>
            <w:pPr>
              <w:spacing w:after="0"/>
              <w:rPr>
                <w:sz w:val="7"/>
                <w:szCs w:val="7"/>
                <w:color w:val="auto"/>
              </w:rPr>
            </w:pPr>
          </w:p>
        </w:tc>
      </w:tr>
      <w:tr>
        <w:trPr>
          <w:trHeight w:val="362"/>
        </w:trPr>
        <w:tc>
          <w:tcPr>
            <w:tcW w:w="4460" w:type="dxa"/>
            <w:vAlign w:val="bottom"/>
          </w:tcPr>
          <w:p>
            <w:pPr>
              <w:spacing w:after="0"/>
              <w:rPr>
                <w:sz w:val="20"/>
                <w:szCs w:val="20"/>
                <w:color w:val="auto"/>
              </w:rPr>
            </w:pPr>
            <w:r>
              <w:rPr>
                <w:rFonts w:ascii="Arial Narrow" w:cs="Arial Narrow" w:eastAsia="Arial Narrow" w:hAnsi="Arial Narrow"/>
                <w:sz w:val="20"/>
                <w:szCs w:val="20"/>
                <w:b w:val="1"/>
                <w:bCs w:val="1"/>
                <w:color w:val="5F7D1D"/>
              </w:rPr>
              <w:t>Gypsum, Colorado</w:t>
            </w:r>
          </w:p>
        </w:tc>
        <w:tc>
          <w:tcPr>
            <w:tcW w:w="1520" w:type="dxa"/>
            <w:vAlign w:val="bottom"/>
          </w:tcPr>
          <w:p>
            <w:pPr>
              <w:jc w:val="right"/>
              <w:ind w:right="21"/>
              <w:spacing w:after="0"/>
              <w:rPr>
                <w:sz w:val="20"/>
                <w:szCs w:val="20"/>
                <w:color w:val="auto"/>
              </w:rPr>
            </w:pPr>
            <w:r>
              <w:rPr>
                <w:rFonts w:ascii="Arial Narrow" w:cs="Arial Narrow" w:eastAsia="Arial Narrow" w:hAnsi="Arial Narrow"/>
                <w:sz w:val="20"/>
                <w:szCs w:val="20"/>
                <w:color w:val="auto"/>
              </w:rPr>
              <w:t>16,860</w:t>
            </w:r>
          </w:p>
        </w:tc>
        <w:tc>
          <w:tcPr>
            <w:tcW w:w="1700" w:type="dxa"/>
            <w:vAlign w:val="bottom"/>
            <w:gridSpan w:val="2"/>
          </w:tcPr>
          <w:p>
            <w:pPr>
              <w:jc w:val="right"/>
              <w:ind w:right="28"/>
              <w:spacing w:after="0"/>
              <w:rPr>
                <w:sz w:val="20"/>
                <w:szCs w:val="20"/>
                <w:color w:val="auto"/>
              </w:rPr>
            </w:pPr>
            <w:r>
              <w:rPr>
                <w:rFonts w:ascii="Arial Narrow" w:cs="Arial Narrow" w:eastAsia="Arial Narrow" w:hAnsi="Arial Narrow"/>
                <w:sz w:val="20"/>
                <w:szCs w:val="20"/>
                <w:color w:val="auto"/>
              </w:rPr>
              <w:t>2,420</w:t>
            </w:r>
          </w:p>
        </w:tc>
        <w:tc>
          <w:tcPr>
            <w:tcW w:w="1680" w:type="dxa"/>
            <w:vAlign w:val="bottom"/>
            <w:gridSpan w:val="2"/>
          </w:tcPr>
          <w:p>
            <w:pPr>
              <w:jc w:val="right"/>
              <w:ind w:right="5"/>
              <w:spacing w:after="0"/>
              <w:rPr>
                <w:sz w:val="20"/>
                <w:szCs w:val="20"/>
                <w:color w:val="auto"/>
              </w:rPr>
            </w:pPr>
            <w:r>
              <w:rPr>
                <w:rFonts w:ascii="Arial Narrow" w:cs="Arial Narrow" w:eastAsia="Arial Narrow" w:hAnsi="Arial Narrow"/>
                <w:sz w:val="20"/>
                <w:szCs w:val="20"/>
                <w:color w:val="auto"/>
              </w:rPr>
              <w:t>19,280</w:t>
            </w:r>
          </w:p>
        </w:tc>
      </w:tr>
      <w:tr>
        <w:trPr>
          <w:trHeight w:val="88"/>
        </w:trPr>
        <w:tc>
          <w:tcPr>
            <w:tcW w:w="4460" w:type="dxa"/>
            <w:vAlign w:val="bottom"/>
            <w:tcBorders>
              <w:bottom w:val="single" w:sz="8" w:color="A6A6A6"/>
            </w:tcBorders>
          </w:tcPr>
          <w:p>
            <w:pPr>
              <w:spacing w:after="0"/>
              <w:rPr>
                <w:sz w:val="7"/>
                <w:szCs w:val="7"/>
                <w:color w:val="auto"/>
              </w:rPr>
            </w:pPr>
          </w:p>
        </w:tc>
        <w:tc>
          <w:tcPr>
            <w:tcW w:w="1520" w:type="dxa"/>
            <w:vAlign w:val="bottom"/>
            <w:tcBorders>
              <w:bottom w:val="single" w:sz="8" w:color="A6A6A6"/>
            </w:tcBorders>
          </w:tcPr>
          <w:p>
            <w:pPr>
              <w:spacing w:after="0"/>
              <w:rPr>
                <w:sz w:val="7"/>
                <w:szCs w:val="7"/>
                <w:color w:val="auto"/>
              </w:rPr>
            </w:pPr>
          </w:p>
        </w:tc>
        <w:tc>
          <w:tcPr>
            <w:tcW w:w="180" w:type="dxa"/>
            <w:vAlign w:val="bottom"/>
            <w:tcBorders>
              <w:bottom w:val="single" w:sz="8" w:color="A6A6A6"/>
            </w:tcBorders>
          </w:tcPr>
          <w:p>
            <w:pPr>
              <w:spacing w:after="0"/>
              <w:rPr>
                <w:sz w:val="7"/>
                <w:szCs w:val="7"/>
                <w:color w:val="auto"/>
              </w:rPr>
            </w:pPr>
          </w:p>
        </w:tc>
        <w:tc>
          <w:tcPr>
            <w:tcW w:w="1520" w:type="dxa"/>
            <w:vAlign w:val="bottom"/>
            <w:tcBorders>
              <w:bottom w:val="single" w:sz="8" w:color="A6A6A6"/>
            </w:tcBorders>
          </w:tcPr>
          <w:p>
            <w:pPr>
              <w:spacing w:after="0"/>
              <w:rPr>
                <w:sz w:val="7"/>
                <w:szCs w:val="7"/>
                <w:color w:val="auto"/>
              </w:rPr>
            </w:pPr>
          </w:p>
        </w:tc>
        <w:tc>
          <w:tcPr>
            <w:tcW w:w="180" w:type="dxa"/>
            <w:vAlign w:val="bottom"/>
            <w:tcBorders>
              <w:bottom w:val="single" w:sz="8" w:color="A6A6A6"/>
            </w:tcBorders>
          </w:tcPr>
          <w:p>
            <w:pPr>
              <w:spacing w:after="0"/>
              <w:rPr>
                <w:sz w:val="7"/>
                <w:szCs w:val="7"/>
                <w:color w:val="auto"/>
              </w:rPr>
            </w:pPr>
          </w:p>
        </w:tc>
        <w:tc>
          <w:tcPr>
            <w:tcW w:w="1500" w:type="dxa"/>
            <w:vAlign w:val="bottom"/>
            <w:tcBorders>
              <w:bottom w:val="single" w:sz="8" w:color="A6A6A6"/>
            </w:tcBorders>
          </w:tcPr>
          <w:p>
            <w:pPr>
              <w:spacing w:after="0"/>
              <w:rPr>
                <w:sz w:val="7"/>
                <w:szCs w:val="7"/>
                <w:color w:val="auto"/>
              </w:rPr>
            </w:pPr>
          </w:p>
        </w:tc>
      </w:tr>
      <w:tr>
        <w:trPr>
          <w:trHeight w:val="362"/>
        </w:trPr>
        <w:tc>
          <w:tcPr>
            <w:tcW w:w="4460" w:type="dxa"/>
            <w:vAlign w:val="bottom"/>
          </w:tcPr>
          <w:p>
            <w:pPr>
              <w:spacing w:after="0"/>
              <w:rPr>
                <w:sz w:val="20"/>
                <w:szCs w:val="20"/>
                <w:color w:val="auto"/>
              </w:rPr>
            </w:pPr>
            <w:r>
              <w:rPr>
                <w:rFonts w:ascii="Arial Narrow" w:cs="Arial Narrow" w:eastAsia="Arial Narrow" w:hAnsi="Arial Narrow"/>
                <w:sz w:val="20"/>
                <w:szCs w:val="20"/>
                <w:b w:val="1"/>
                <w:bCs w:val="1"/>
                <w:color w:val="5F7D1D"/>
              </w:rPr>
              <w:t>Duke, Oklahoma</w:t>
            </w:r>
          </w:p>
        </w:tc>
        <w:tc>
          <w:tcPr>
            <w:tcW w:w="1520" w:type="dxa"/>
            <w:vAlign w:val="bottom"/>
          </w:tcPr>
          <w:p>
            <w:pPr>
              <w:jc w:val="right"/>
              <w:ind w:right="21"/>
              <w:spacing w:after="0"/>
              <w:rPr>
                <w:sz w:val="20"/>
                <w:szCs w:val="20"/>
                <w:color w:val="auto"/>
              </w:rPr>
            </w:pPr>
            <w:r>
              <w:rPr>
                <w:rFonts w:ascii="Arial Narrow" w:cs="Arial Narrow" w:eastAsia="Arial Narrow" w:hAnsi="Arial Narrow"/>
                <w:sz w:val="20"/>
                <w:szCs w:val="20"/>
                <w:color w:val="auto"/>
              </w:rPr>
              <w:t>4,305</w:t>
            </w:r>
          </w:p>
        </w:tc>
        <w:tc>
          <w:tcPr>
            <w:tcW w:w="1700" w:type="dxa"/>
            <w:vAlign w:val="bottom"/>
            <w:gridSpan w:val="2"/>
          </w:tcPr>
          <w:p>
            <w:pPr>
              <w:jc w:val="right"/>
              <w:ind w:right="28"/>
              <w:spacing w:after="0"/>
              <w:rPr>
                <w:sz w:val="20"/>
                <w:szCs w:val="20"/>
                <w:color w:val="auto"/>
              </w:rPr>
            </w:pPr>
            <w:r>
              <w:rPr>
                <w:rFonts w:ascii="Arial Narrow" w:cs="Arial Narrow" w:eastAsia="Arial Narrow" w:hAnsi="Arial Narrow"/>
                <w:sz w:val="20"/>
                <w:szCs w:val="20"/>
                <w:color w:val="auto"/>
              </w:rPr>
              <w:t>18,350</w:t>
            </w:r>
          </w:p>
        </w:tc>
        <w:tc>
          <w:tcPr>
            <w:tcW w:w="1680" w:type="dxa"/>
            <w:vAlign w:val="bottom"/>
            <w:gridSpan w:val="2"/>
          </w:tcPr>
          <w:p>
            <w:pPr>
              <w:jc w:val="right"/>
              <w:ind w:right="5"/>
              <w:spacing w:after="0"/>
              <w:rPr>
                <w:sz w:val="20"/>
                <w:szCs w:val="20"/>
                <w:color w:val="auto"/>
              </w:rPr>
            </w:pPr>
            <w:r>
              <w:rPr>
                <w:rFonts w:ascii="Arial Narrow" w:cs="Arial Narrow" w:eastAsia="Arial Narrow" w:hAnsi="Arial Narrow"/>
                <w:sz w:val="20"/>
                <w:szCs w:val="20"/>
                <w:color w:val="auto"/>
              </w:rPr>
              <w:t>22,655</w:t>
            </w:r>
          </w:p>
        </w:tc>
      </w:tr>
      <w:tr>
        <w:trPr>
          <w:trHeight w:val="88"/>
        </w:trPr>
        <w:tc>
          <w:tcPr>
            <w:tcW w:w="4460" w:type="dxa"/>
            <w:vAlign w:val="bottom"/>
            <w:tcBorders>
              <w:bottom w:val="single" w:sz="8" w:color="A6A6A6"/>
            </w:tcBorders>
          </w:tcPr>
          <w:p>
            <w:pPr>
              <w:spacing w:after="0"/>
              <w:rPr>
                <w:sz w:val="7"/>
                <w:szCs w:val="7"/>
                <w:color w:val="auto"/>
              </w:rPr>
            </w:pPr>
          </w:p>
        </w:tc>
        <w:tc>
          <w:tcPr>
            <w:tcW w:w="1520" w:type="dxa"/>
            <w:vAlign w:val="bottom"/>
            <w:tcBorders>
              <w:bottom w:val="single" w:sz="8" w:color="A6A6A6"/>
            </w:tcBorders>
          </w:tcPr>
          <w:p>
            <w:pPr>
              <w:spacing w:after="0"/>
              <w:rPr>
                <w:sz w:val="7"/>
                <w:szCs w:val="7"/>
                <w:color w:val="auto"/>
              </w:rPr>
            </w:pPr>
          </w:p>
        </w:tc>
        <w:tc>
          <w:tcPr>
            <w:tcW w:w="180" w:type="dxa"/>
            <w:vAlign w:val="bottom"/>
            <w:tcBorders>
              <w:bottom w:val="single" w:sz="8" w:color="A6A6A6"/>
            </w:tcBorders>
          </w:tcPr>
          <w:p>
            <w:pPr>
              <w:spacing w:after="0"/>
              <w:rPr>
                <w:sz w:val="7"/>
                <w:szCs w:val="7"/>
                <w:color w:val="auto"/>
              </w:rPr>
            </w:pPr>
          </w:p>
        </w:tc>
        <w:tc>
          <w:tcPr>
            <w:tcW w:w="1520" w:type="dxa"/>
            <w:vAlign w:val="bottom"/>
            <w:tcBorders>
              <w:bottom w:val="single" w:sz="8" w:color="A6A6A6"/>
            </w:tcBorders>
          </w:tcPr>
          <w:p>
            <w:pPr>
              <w:spacing w:after="0"/>
              <w:rPr>
                <w:sz w:val="7"/>
                <w:szCs w:val="7"/>
                <w:color w:val="auto"/>
              </w:rPr>
            </w:pPr>
          </w:p>
        </w:tc>
        <w:tc>
          <w:tcPr>
            <w:tcW w:w="180" w:type="dxa"/>
            <w:vAlign w:val="bottom"/>
            <w:tcBorders>
              <w:bottom w:val="single" w:sz="8" w:color="A6A6A6"/>
            </w:tcBorders>
          </w:tcPr>
          <w:p>
            <w:pPr>
              <w:spacing w:after="0"/>
              <w:rPr>
                <w:sz w:val="7"/>
                <w:szCs w:val="7"/>
                <w:color w:val="auto"/>
              </w:rPr>
            </w:pPr>
          </w:p>
        </w:tc>
        <w:tc>
          <w:tcPr>
            <w:tcW w:w="1500" w:type="dxa"/>
            <w:vAlign w:val="bottom"/>
            <w:tcBorders>
              <w:bottom w:val="single" w:sz="8" w:color="A6A6A6"/>
            </w:tcBorders>
          </w:tcPr>
          <w:p>
            <w:pPr>
              <w:spacing w:after="0"/>
              <w:rPr>
                <w:sz w:val="7"/>
                <w:szCs w:val="7"/>
                <w:color w:val="auto"/>
              </w:rPr>
            </w:pPr>
          </w:p>
        </w:tc>
      </w:tr>
      <w:tr>
        <w:trPr>
          <w:trHeight w:val="362"/>
        </w:trPr>
        <w:tc>
          <w:tcPr>
            <w:tcW w:w="4460" w:type="dxa"/>
            <w:vAlign w:val="bottom"/>
          </w:tcPr>
          <w:p>
            <w:pPr>
              <w:spacing w:after="0"/>
              <w:rPr>
                <w:sz w:val="20"/>
                <w:szCs w:val="20"/>
                <w:color w:val="auto"/>
              </w:rPr>
            </w:pPr>
            <w:r>
              <w:rPr>
                <w:rFonts w:ascii="Arial Narrow" w:cs="Arial Narrow" w:eastAsia="Arial Narrow" w:hAnsi="Arial Narrow"/>
                <w:sz w:val="20"/>
                <w:szCs w:val="20"/>
                <w:b w:val="1"/>
                <w:bCs w:val="1"/>
                <w:color w:val="5F7D1D"/>
              </w:rPr>
              <w:t xml:space="preserve">Georgetown, South Carolina </w:t>
            </w:r>
            <w:r>
              <w:rPr>
                <w:rFonts w:ascii="Arial Narrow" w:cs="Arial Narrow" w:eastAsia="Arial Narrow" w:hAnsi="Arial Narrow"/>
                <w:sz w:val="13"/>
                <w:szCs w:val="13"/>
                <w:b w:val="1"/>
                <w:bCs w:val="1"/>
                <w:color w:val="5F7D1D"/>
              </w:rPr>
              <w:t>(4)</w:t>
            </w:r>
          </w:p>
        </w:tc>
        <w:tc>
          <w:tcPr>
            <w:tcW w:w="1520" w:type="dxa"/>
            <w:vAlign w:val="bottom"/>
          </w:tcPr>
          <w:p>
            <w:pPr>
              <w:jc w:val="right"/>
              <w:ind w:right="21"/>
              <w:spacing w:after="0"/>
              <w:rPr>
                <w:sz w:val="20"/>
                <w:szCs w:val="20"/>
                <w:color w:val="auto"/>
              </w:rPr>
            </w:pPr>
            <w:r>
              <w:rPr>
                <w:rFonts w:ascii="Arial Narrow" w:cs="Arial Narrow" w:eastAsia="Arial Narrow" w:hAnsi="Arial Narrow"/>
                <w:sz w:val="20"/>
                <w:szCs w:val="20"/>
                <w:color w:val="auto"/>
              </w:rPr>
              <w:t>n/a</w:t>
            </w:r>
          </w:p>
        </w:tc>
        <w:tc>
          <w:tcPr>
            <w:tcW w:w="180" w:type="dxa"/>
            <w:vAlign w:val="bottom"/>
          </w:tcPr>
          <w:p>
            <w:pPr>
              <w:spacing w:after="0"/>
              <w:rPr>
                <w:sz w:val="24"/>
                <w:szCs w:val="24"/>
                <w:color w:val="auto"/>
              </w:rPr>
            </w:pPr>
          </w:p>
        </w:tc>
        <w:tc>
          <w:tcPr>
            <w:tcW w:w="1520" w:type="dxa"/>
            <w:vAlign w:val="bottom"/>
          </w:tcPr>
          <w:p>
            <w:pPr>
              <w:jc w:val="right"/>
              <w:ind w:right="28"/>
              <w:spacing w:after="0"/>
              <w:rPr>
                <w:sz w:val="20"/>
                <w:szCs w:val="20"/>
                <w:color w:val="auto"/>
              </w:rPr>
            </w:pPr>
            <w:r>
              <w:rPr>
                <w:rFonts w:ascii="Arial Narrow" w:cs="Arial Narrow" w:eastAsia="Arial Narrow" w:hAnsi="Arial Narrow"/>
                <w:sz w:val="20"/>
                <w:szCs w:val="20"/>
                <w:color w:val="auto"/>
              </w:rPr>
              <w:t>n/a</w:t>
            </w:r>
          </w:p>
        </w:tc>
        <w:tc>
          <w:tcPr>
            <w:tcW w:w="180" w:type="dxa"/>
            <w:vAlign w:val="bottom"/>
          </w:tcPr>
          <w:p>
            <w:pPr>
              <w:spacing w:after="0"/>
              <w:rPr>
                <w:sz w:val="24"/>
                <w:szCs w:val="24"/>
                <w:color w:val="auto"/>
              </w:rPr>
            </w:pPr>
          </w:p>
        </w:tc>
        <w:tc>
          <w:tcPr>
            <w:tcW w:w="1500" w:type="dxa"/>
            <w:vAlign w:val="bottom"/>
          </w:tcPr>
          <w:p>
            <w:pPr>
              <w:jc w:val="right"/>
              <w:ind w:right="5"/>
              <w:spacing w:after="0"/>
              <w:rPr>
                <w:sz w:val="20"/>
                <w:szCs w:val="20"/>
                <w:color w:val="auto"/>
              </w:rPr>
            </w:pPr>
            <w:r>
              <w:rPr>
                <w:rFonts w:ascii="Arial Narrow" w:cs="Arial Narrow" w:eastAsia="Arial Narrow" w:hAnsi="Arial Narrow"/>
                <w:sz w:val="20"/>
                <w:szCs w:val="20"/>
                <w:color w:val="auto"/>
              </w:rPr>
              <w:t>n/a</w:t>
            </w:r>
          </w:p>
        </w:tc>
      </w:tr>
      <w:tr>
        <w:trPr>
          <w:trHeight w:val="113"/>
        </w:trPr>
        <w:tc>
          <w:tcPr>
            <w:tcW w:w="4460" w:type="dxa"/>
            <w:vAlign w:val="bottom"/>
            <w:tcBorders>
              <w:bottom w:val="single" w:sz="8" w:color="A6A6A6"/>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r>
      <w:tr>
        <w:trPr>
          <w:trHeight w:val="367"/>
        </w:trPr>
        <w:tc>
          <w:tcPr>
            <w:tcW w:w="4460" w:type="dxa"/>
            <w:vAlign w:val="bottom"/>
          </w:tcPr>
          <w:p>
            <w:pPr>
              <w:ind w:left="200"/>
              <w:spacing w:after="0"/>
              <w:rPr>
                <w:sz w:val="20"/>
                <w:szCs w:val="20"/>
                <w:color w:val="auto"/>
              </w:rPr>
            </w:pPr>
            <w:r>
              <w:rPr>
                <w:rFonts w:ascii="Arial Narrow" w:cs="Arial Narrow" w:eastAsia="Arial Narrow" w:hAnsi="Arial Narrow"/>
                <w:sz w:val="20"/>
                <w:szCs w:val="20"/>
                <w:b w:val="1"/>
                <w:bCs w:val="1"/>
                <w:color w:val="auto"/>
              </w:rPr>
              <w:t>Total</w:t>
            </w:r>
          </w:p>
        </w:tc>
        <w:tc>
          <w:tcPr>
            <w:tcW w:w="1520" w:type="dxa"/>
            <w:vAlign w:val="bottom"/>
          </w:tcPr>
          <w:p>
            <w:pPr>
              <w:jc w:val="right"/>
              <w:ind w:right="21"/>
              <w:spacing w:after="0"/>
              <w:rPr>
                <w:sz w:val="20"/>
                <w:szCs w:val="20"/>
                <w:color w:val="auto"/>
              </w:rPr>
            </w:pPr>
            <w:r>
              <w:rPr>
                <w:rFonts w:ascii="Arial Narrow" w:cs="Arial Narrow" w:eastAsia="Arial Narrow" w:hAnsi="Arial Narrow"/>
                <w:sz w:val="20"/>
                <w:szCs w:val="20"/>
                <w:b w:val="1"/>
                <w:bCs w:val="1"/>
                <w:color w:val="auto"/>
              </w:rPr>
              <w:t>41,135</w:t>
            </w:r>
          </w:p>
        </w:tc>
        <w:tc>
          <w:tcPr>
            <w:tcW w:w="1700" w:type="dxa"/>
            <w:vAlign w:val="bottom"/>
            <w:gridSpan w:val="2"/>
          </w:tcPr>
          <w:p>
            <w:pPr>
              <w:jc w:val="right"/>
              <w:ind w:right="28"/>
              <w:spacing w:after="0"/>
              <w:rPr>
                <w:sz w:val="20"/>
                <w:szCs w:val="20"/>
                <w:color w:val="auto"/>
              </w:rPr>
            </w:pPr>
            <w:r>
              <w:rPr>
                <w:rFonts w:ascii="Arial Narrow" w:cs="Arial Narrow" w:eastAsia="Arial Narrow" w:hAnsi="Arial Narrow"/>
                <w:sz w:val="20"/>
                <w:szCs w:val="20"/>
                <w:b w:val="1"/>
                <w:bCs w:val="1"/>
                <w:color w:val="auto"/>
              </w:rPr>
              <w:t>24,370</w:t>
            </w:r>
          </w:p>
        </w:tc>
        <w:tc>
          <w:tcPr>
            <w:tcW w:w="1680" w:type="dxa"/>
            <w:vAlign w:val="bottom"/>
            <w:gridSpan w:val="2"/>
          </w:tcPr>
          <w:p>
            <w:pPr>
              <w:jc w:val="right"/>
              <w:ind w:right="5"/>
              <w:spacing w:after="0"/>
              <w:rPr>
                <w:sz w:val="20"/>
                <w:szCs w:val="20"/>
                <w:color w:val="auto"/>
              </w:rPr>
            </w:pPr>
            <w:r>
              <w:rPr>
                <w:rFonts w:ascii="Arial Narrow" w:cs="Arial Narrow" w:eastAsia="Arial Narrow" w:hAnsi="Arial Narrow"/>
                <w:sz w:val="20"/>
                <w:szCs w:val="20"/>
                <w:b w:val="1"/>
                <w:bCs w:val="1"/>
                <w:color w:val="auto"/>
              </w:rPr>
              <w:t>65,505</w:t>
            </w:r>
          </w:p>
        </w:tc>
      </w:tr>
      <w:tr>
        <w:trPr>
          <w:trHeight w:val="88"/>
        </w:trPr>
        <w:tc>
          <w:tcPr>
            <w:tcW w:w="4460" w:type="dxa"/>
            <w:vAlign w:val="bottom"/>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r>
      <w:tr>
        <w:trPr>
          <w:trHeight w:val="20"/>
        </w:trPr>
        <w:tc>
          <w:tcPr>
            <w:tcW w:w="44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180" w:hanging="180"/>
        <w:spacing w:after="0"/>
        <w:tabs>
          <w:tab w:leader="none" w:pos="180" w:val="left"/>
        </w:tabs>
        <w:numPr>
          <w:ilvl w:val="0"/>
          <w:numId w:val="25"/>
        </w:numPr>
        <w:rPr>
          <w:rFonts w:ascii="Arial" w:cs="Arial" w:eastAsia="Arial" w:hAnsi="Arial"/>
          <w:sz w:val="10"/>
          <w:szCs w:val="10"/>
          <w:color w:val="auto"/>
        </w:rPr>
      </w:pPr>
      <w:r>
        <w:rPr>
          <w:rFonts w:ascii="Arial" w:cs="Arial" w:eastAsia="Arial" w:hAnsi="Arial"/>
          <w:sz w:val="16"/>
          <w:szCs w:val="16"/>
          <w:color w:val="auto"/>
        </w:rPr>
        <w:t>Gypsum reserves are shown on a recoverable basis.</w:t>
      </w:r>
    </w:p>
    <w:p>
      <w:pPr>
        <w:ind w:left="180" w:right="420" w:hanging="180"/>
        <w:spacing w:after="0"/>
        <w:tabs>
          <w:tab w:leader="none" w:pos="180" w:val="left"/>
        </w:tabs>
        <w:numPr>
          <w:ilvl w:val="0"/>
          <w:numId w:val="25"/>
        </w:numPr>
        <w:rPr>
          <w:rFonts w:ascii="Arial" w:cs="Arial" w:eastAsia="Arial" w:hAnsi="Arial"/>
          <w:sz w:val="10"/>
          <w:szCs w:val="10"/>
          <w:color w:val="auto"/>
        </w:rPr>
      </w:pPr>
      <w:r>
        <w:rPr>
          <w:rFonts w:ascii="Arial" w:cs="Arial" w:eastAsia="Arial" w:hAnsi="Arial"/>
          <w:sz w:val="16"/>
          <w:szCs w:val="16"/>
          <w:color w:val="auto"/>
        </w:rPr>
        <w:t>The economic viability of our reserves was determined using average gypsum prices ranging from $17.83 to $19.33 per ton, depending on location and market.</w:t>
      </w:r>
    </w:p>
    <w:p>
      <w:pPr>
        <w:ind w:left="180" w:hanging="180"/>
        <w:spacing w:after="0"/>
        <w:tabs>
          <w:tab w:leader="none" w:pos="180" w:val="left"/>
        </w:tabs>
        <w:numPr>
          <w:ilvl w:val="0"/>
          <w:numId w:val="25"/>
        </w:numPr>
        <w:rPr>
          <w:rFonts w:ascii="Arial" w:cs="Arial" w:eastAsia="Arial" w:hAnsi="Arial"/>
          <w:sz w:val="10"/>
          <w:szCs w:val="10"/>
          <w:color w:val="auto"/>
        </w:rPr>
      </w:pPr>
      <w:r>
        <w:rPr>
          <w:rFonts w:ascii="Arial" w:cs="Arial" w:eastAsia="Arial" w:hAnsi="Arial"/>
          <w:sz w:val="16"/>
          <w:szCs w:val="16"/>
          <w:color w:val="auto"/>
        </w:rPr>
        <w:t>The same reserves serve both New Mexico plants.</w:t>
      </w:r>
    </w:p>
    <w:p>
      <w:pPr>
        <w:ind w:left="180" w:hanging="180"/>
        <w:spacing w:after="0"/>
        <w:tabs>
          <w:tab w:leader="none" w:pos="180" w:val="left"/>
        </w:tabs>
        <w:numPr>
          <w:ilvl w:val="0"/>
          <w:numId w:val="25"/>
        </w:numPr>
        <w:rPr>
          <w:rFonts w:ascii="Arial" w:cs="Arial" w:eastAsia="Arial" w:hAnsi="Arial"/>
          <w:sz w:val="10"/>
          <w:szCs w:val="10"/>
          <w:color w:val="auto"/>
        </w:rPr>
      </w:pPr>
      <w:r>
        <w:rPr>
          <w:rFonts w:ascii="Arial" w:cs="Arial" w:eastAsia="Arial" w:hAnsi="Arial"/>
          <w:sz w:val="16"/>
          <w:szCs w:val="16"/>
          <w:color w:val="auto"/>
        </w:rPr>
        <w:t>In 2006, we signed a 60-year supply agreement for synthetic gypsum with Santee Cooper that expires in 2069.</w:t>
      </w:r>
    </w:p>
    <w:p>
      <w:pPr>
        <w:sectPr>
          <w:pgSz w:w="11880" w:h="15480" w:orient="portrait"/>
          <w:cols w:equalWidth="0" w:num="1">
            <w:col w:w="9360"/>
          </w:cols>
          <w:pgMar w:left="1260" w:top="1267"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45</w:t>
      </w:r>
    </w:p>
    <w:p>
      <w:pPr>
        <w:sectPr>
          <w:pgSz w:w="11880" w:h="15480" w:orient="portrait"/>
          <w:cols w:equalWidth="0" w:num="1">
            <w:col w:w="9360"/>
          </w:cols>
          <w:pgMar w:left="1260" w:top="1267" w:right="1260" w:bottom="0" w:gutter="0" w:footer="0" w:header="0"/>
          <w:type w:val="continuous"/>
        </w:sectPr>
      </w:pPr>
    </w:p>
    <w:bookmarkStart w:id="53" w:name="page54"/>
    <w:bookmarkEnd w:id="53"/>
    <w:p>
      <w:pPr>
        <w:ind w:right="500"/>
        <w:spacing w:after="0" w:line="296" w:lineRule="auto"/>
        <w:rPr>
          <w:sz w:val="20"/>
          <w:szCs w:val="20"/>
          <w:color w:val="auto"/>
        </w:rPr>
      </w:pPr>
      <w:r>
        <w:rPr>
          <w:rFonts w:ascii="Arial" w:cs="Arial" w:eastAsia="Arial" w:hAnsi="Arial"/>
          <w:sz w:val="20"/>
          <w:szCs w:val="20"/>
          <w:color w:val="auto"/>
        </w:rPr>
        <w:t>Our total measured and indicated gypsum resources were 149.7 million tons at March 31, 2026, and 149.7 million tons March 31, 2025. Our total proven and probable reserves were 65.5 million tons at March 31, 2026, compared with 67.2 million tons at March 31, 2025. The decrease in proven and probable reserves was primarily due to mined gypsum during fiscal 2026.</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color w:val="auto"/>
        </w:rPr>
        <w:t>Below is a summary of the annual production volumes from our gypsum quarries.</w:t>
      </w:r>
    </w:p>
    <w:p>
      <w:pPr>
        <w:spacing w:after="0" w:line="200" w:lineRule="exact"/>
        <w:rPr>
          <w:sz w:val="20"/>
          <w:szCs w:val="20"/>
          <w:color w:val="auto"/>
        </w:rPr>
      </w:pPr>
    </w:p>
    <w:p>
      <w:pPr>
        <w:spacing w:after="0" w:line="242" w:lineRule="exact"/>
        <w:rPr>
          <w:sz w:val="20"/>
          <w:szCs w:val="20"/>
          <w:color w:val="auto"/>
        </w:rPr>
      </w:pPr>
    </w:p>
    <w:p>
      <w:pPr>
        <w:ind w:left="6100"/>
        <w:spacing w:after="0"/>
        <w:rPr>
          <w:sz w:val="20"/>
          <w:szCs w:val="20"/>
          <w:color w:val="auto"/>
        </w:rPr>
      </w:pPr>
      <w:r>
        <w:rPr>
          <w:rFonts w:ascii="Arial Narrow" w:cs="Arial Narrow" w:eastAsia="Arial Narrow" w:hAnsi="Arial Narrow"/>
          <w:sz w:val="18"/>
          <w:szCs w:val="18"/>
          <w:b w:val="1"/>
          <w:bCs w:val="1"/>
          <w:color w:val="auto"/>
        </w:rPr>
        <w:t>Tons Mined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43180</wp:posOffset>
            </wp:positionV>
            <wp:extent cx="3108325" cy="95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3">
                      <a:extLst>
                        <a:ext uri="{28A0092B-C50C-407E-A947-70E740481C1C}"/>
                      </a:extLst>
                    </a:blip>
                    <a:srcRect/>
                    <a:stretch>
                      <a:fillRect/>
                    </a:stretch>
                  </pic:blipFill>
                  <pic:spPr bwMode="auto">
                    <a:xfrm>
                      <a:off x="0" y="0"/>
                      <a:ext cx="3108325" cy="9525"/>
                    </a:xfrm>
                    <a:prstGeom prst="rect">
                      <a:avLst/>
                    </a:prstGeom>
                    <a:noFill/>
                  </pic:spPr>
                </pic:pic>
              </a:graphicData>
            </a:graphic>
          </wp:anchor>
        </w:drawing>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ind w:right="170"/>
              <w:spacing w:after="0"/>
              <w:rPr>
                <w:sz w:val="20"/>
                <w:szCs w:val="20"/>
                <w:color w:val="auto"/>
              </w:rPr>
            </w:pPr>
            <w:r>
              <w:rPr>
                <w:rFonts w:ascii="Arial Narrow" w:cs="Arial Narrow" w:eastAsia="Arial Narrow" w:hAnsi="Arial Narrow"/>
                <w:sz w:val="16"/>
                <w:szCs w:val="16"/>
                <w:color w:val="auto"/>
              </w:rPr>
              <w:t>(tons in thousands)</w:t>
            </w: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59"/>
        </w:trPr>
        <w:tc>
          <w:tcPr>
            <w:tcW w:w="4460" w:type="dxa"/>
            <w:vAlign w:val="bottom"/>
          </w:tcPr>
          <w:p>
            <w:pPr>
              <w:spacing w:after="0"/>
              <w:rPr>
                <w:sz w:val="20"/>
                <w:szCs w:val="20"/>
                <w:color w:val="auto"/>
              </w:rPr>
            </w:pPr>
            <w:r>
              <w:rPr>
                <w:rFonts w:ascii="Arial Narrow" w:cs="Arial Narrow" w:eastAsia="Arial Narrow" w:hAnsi="Arial Narrow"/>
                <w:sz w:val="18"/>
                <w:szCs w:val="18"/>
                <w:b w:val="1"/>
                <w:bCs w:val="1"/>
                <w:color w:val="auto"/>
              </w:rPr>
              <w:t>Location</w:t>
            </w:r>
          </w:p>
        </w:tc>
        <w:tc>
          <w:tcPr>
            <w:tcW w:w="1520" w:type="dxa"/>
            <w:vAlign w:val="bottom"/>
          </w:tcPr>
          <w:p>
            <w:pPr>
              <w:jc w:val="right"/>
              <w:ind w:right="22"/>
              <w:spacing w:after="0"/>
              <w:rPr>
                <w:sz w:val="20"/>
                <w:szCs w:val="20"/>
                <w:color w:val="auto"/>
              </w:rPr>
            </w:pPr>
            <w:r>
              <w:rPr>
                <w:rFonts w:ascii="Arial Narrow" w:cs="Arial Narrow" w:eastAsia="Arial Narrow" w:hAnsi="Arial Narrow"/>
                <w:sz w:val="18"/>
                <w:szCs w:val="18"/>
                <w:b w:val="1"/>
                <w:bCs w:val="1"/>
                <w:color w:val="auto"/>
              </w:rPr>
              <w:t>2026</w:t>
            </w:r>
          </w:p>
        </w:tc>
        <w:tc>
          <w:tcPr>
            <w:tcW w:w="1700" w:type="dxa"/>
            <w:vAlign w:val="bottom"/>
            <w:gridSpan w:val="2"/>
          </w:tcPr>
          <w:p>
            <w:pPr>
              <w:jc w:val="right"/>
              <w:ind w:right="30"/>
              <w:spacing w:after="0"/>
              <w:rPr>
                <w:sz w:val="20"/>
                <w:szCs w:val="20"/>
                <w:color w:val="auto"/>
              </w:rPr>
            </w:pPr>
            <w:r>
              <w:rPr>
                <w:rFonts w:ascii="Arial Narrow" w:cs="Arial Narrow" w:eastAsia="Arial Narrow" w:hAnsi="Arial Narrow"/>
                <w:sz w:val="18"/>
                <w:szCs w:val="18"/>
                <w:b w:val="1"/>
                <w:bCs w:val="1"/>
                <w:color w:val="auto"/>
              </w:rPr>
              <w:t>2025</w:t>
            </w:r>
          </w:p>
        </w:tc>
        <w:tc>
          <w:tcPr>
            <w:tcW w:w="1680" w:type="dxa"/>
            <w:vAlign w:val="bottom"/>
            <w:gridSpan w:val="2"/>
          </w:tcPr>
          <w:p>
            <w:pPr>
              <w:jc w:val="right"/>
              <w:spacing w:after="0"/>
              <w:rPr>
                <w:sz w:val="20"/>
                <w:szCs w:val="20"/>
                <w:color w:val="auto"/>
              </w:rPr>
            </w:pPr>
            <w:r>
              <w:rPr>
                <w:rFonts w:ascii="Arial Narrow" w:cs="Arial Narrow" w:eastAsia="Arial Narrow" w:hAnsi="Arial Narrow"/>
                <w:sz w:val="18"/>
                <w:szCs w:val="18"/>
                <w:b w:val="1"/>
                <w:bCs w:val="1"/>
                <w:color w:val="auto"/>
              </w:rPr>
              <w:t>2024</w:t>
            </w:r>
          </w:p>
        </w:tc>
      </w:tr>
      <w:tr>
        <w:trPr>
          <w:trHeight w:val="46"/>
        </w:trPr>
        <w:tc>
          <w:tcPr>
            <w:tcW w:w="446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gridSpan w:val="2"/>
          </w:tcPr>
          <w:p>
            <w:pPr>
              <w:spacing w:after="0"/>
              <w:rPr>
                <w:sz w:val="3"/>
                <w:szCs w:val="3"/>
                <w:color w:val="auto"/>
              </w:rPr>
            </w:pPr>
          </w:p>
        </w:tc>
        <w:tc>
          <w:tcPr>
            <w:tcW w:w="1680" w:type="dxa"/>
            <w:vAlign w:val="bottom"/>
            <w:tcBorders>
              <w:bottom w:val="single" w:sz="8" w:color="auto"/>
            </w:tcBorders>
            <w:gridSpan w:val="2"/>
          </w:tcPr>
          <w:p>
            <w:pPr>
              <w:spacing w:after="0"/>
              <w:rPr>
                <w:sz w:val="3"/>
                <w:szCs w:val="3"/>
                <w:color w:val="auto"/>
              </w:rPr>
            </w:pPr>
          </w:p>
        </w:tc>
      </w:tr>
      <w:tr>
        <w:trPr>
          <w:trHeight w:val="367"/>
        </w:trPr>
        <w:tc>
          <w:tcPr>
            <w:tcW w:w="4460" w:type="dxa"/>
            <w:vAlign w:val="bottom"/>
          </w:tcPr>
          <w:p>
            <w:pPr>
              <w:spacing w:after="0"/>
              <w:rPr>
                <w:sz w:val="20"/>
                <w:szCs w:val="20"/>
                <w:color w:val="auto"/>
              </w:rPr>
            </w:pPr>
            <w:r>
              <w:rPr>
                <w:rFonts w:ascii="Arial Narrow" w:cs="Arial Narrow" w:eastAsia="Arial Narrow" w:hAnsi="Arial Narrow"/>
                <w:sz w:val="20"/>
                <w:szCs w:val="20"/>
                <w:b w:val="1"/>
                <w:bCs w:val="1"/>
                <w:color w:val="5F7D1D"/>
              </w:rPr>
              <w:t>Albuquerque, New Mexico</w:t>
            </w:r>
          </w:p>
        </w:tc>
        <w:tc>
          <w:tcPr>
            <w:tcW w:w="1520" w:type="dxa"/>
            <w:vAlign w:val="bottom"/>
          </w:tcPr>
          <w:p>
            <w:pPr>
              <w:jc w:val="right"/>
              <w:ind w:right="22"/>
              <w:spacing w:after="0"/>
              <w:rPr>
                <w:sz w:val="20"/>
                <w:szCs w:val="20"/>
                <w:color w:val="auto"/>
              </w:rPr>
            </w:pPr>
            <w:r>
              <w:rPr>
                <w:rFonts w:ascii="Arial Narrow" w:cs="Arial Narrow" w:eastAsia="Arial Narrow" w:hAnsi="Arial Narrow"/>
                <w:sz w:val="20"/>
                <w:szCs w:val="20"/>
                <w:color w:val="auto"/>
              </w:rPr>
              <w:t>450</w:t>
            </w:r>
          </w:p>
        </w:tc>
        <w:tc>
          <w:tcPr>
            <w:tcW w:w="1700" w:type="dxa"/>
            <w:vAlign w:val="bottom"/>
            <w:gridSpan w:val="2"/>
          </w:tcPr>
          <w:p>
            <w:pPr>
              <w:jc w:val="right"/>
              <w:ind w:right="30"/>
              <w:spacing w:after="0"/>
              <w:rPr>
                <w:sz w:val="20"/>
                <w:szCs w:val="20"/>
                <w:color w:val="auto"/>
              </w:rPr>
            </w:pPr>
            <w:r>
              <w:rPr>
                <w:rFonts w:ascii="Arial Narrow" w:cs="Arial Narrow" w:eastAsia="Arial Narrow" w:hAnsi="Arial Narrow"/>
                <w:sz w:val="20"/>
                <w:szCs w:val="20"/>
                <w:color w:val="auto"/>
              </w:rPr>
              <w:t>540</w:t>
            </w:r>
          </w:p>
        </w:tc>
        <w:tc>
          <w:tcPr>
            <w:tcW w:w="1680" w:type="dxa"/>
            <w:vAlign w:val="bottom"/>
            <w:gridSpan w:val="2"/>
          </w:tcPr>
          <w:p>
            <w:pPr>
              <w:jc w:val="right"/>
              <w:spacing w:after="0"/>
              <w:rPr>
                <w:sz w:val="20"/>
                <w:szCs w:val="20"/>
                <w:color w:val="auto"/>
              </w:rPr>
            </w:pPr>
            <w:r>
              <w:rPr>
                <w:rFonts w:ascii="Arial Narrow" w:cs="Arial Narrow" w:eastAsia="Arial Narrow" w:hAnsi="Arial Narrow"/>
                <w:sz w:val="20"/>
                <w:szCs w:val="20"/>
                <w:color w:val="auto"/>
              </w:rPr>
              <w:t>560</w:t>
            </w:r>
          </w:p>
        </w:tc>
      </w:tr>
      <w:tr>
        <w:trPr>
          <w:trHeight w:val="88"/>
        </w:trPr>
        <w:tc>
          <w:tcPr>
            <w:tcW w:w="4460" w:type="dxa"/>
            <w:vAlign w:val="bottom"/>
            <w:tcBorders>
              <w:bottom w:val="single" w:sz="8" w:color="A6A6A6"/>
            </w:tcBorders>
          </w:tcPr>
          <w:p>
            <w:pPr>
              <w:spacing w:after="0"/>
              <w:rPr>
                <w:sz w:val="7"/>
                <w:szCs w:val="7"/>
                <w:color w:val="auto"/>
              </w:rPr>
            </w:pPr>
          </w:p>
        </w:tc>
        <w:tc>
          <w:tcPr>
            <w:tcW w:w="1520" w:type="dxa"/>
            <w:vAlign w:val="bottom"/>
            <w:tcBorders>
              <w:bottom w:val="single" w:sz="8" w:color="A6A6A6"/>
            </w:tcBorders>
          </w:tcPr>
          <w:p>
            <w:pPr>
              <w:spacing w:after="0"/>
              <w:rPr>
                <w:sz w:val="7"/>
                <w:szCs w:val="7"/>
                <w:color w:val="auto"/>
              </w:rPr>
            </w:pPr>
          </w:p>
        </w:tc>
        <w:tc>
          <w:tcPr>
            <w:tcW w:w="180" w:type="dxa"/>
            <w:vAlign w:val="bottom"/>
            <w:tcBorders>
              <w:bottom w:val="single" w:sz="8" w:color="A6A6A6"/>
            </w:tcBorders>
          </w:tcPr>
          <w:p>
            <w:pPr>
              <w:spacing w:after="0"/>
              <w:rPr>
                <w:sz w:val="7"/>
                <w:szCs w:val="7"/>
                <w:color w:val="auto"/>
              </w:rPr>
            </w:pPr>
          </w:p>
        </w:tc>
        <w:tc>
          <w:tcPr>
            <w:tcW w:w="1520" w:type="dxa"/>
            <w:vAlign w:val="bottom"/>
            <w:tcBorders>
              <w:bottom w:val="single" w:sz="8" w:color="A6A6A6"/>
            </w:tcBorders>
          </w:tcPr>
          <w:p>
            <w:pPr>
              <w:spacing w:after="0"/>
              <w:rPr>
                <w:sz w:val="7"/>
                <w:szCs w:val="7"/>
                <w:color w:val="auto"/>
              </w:rPr>
            </w:pPr>
          </w:p>
        </w:tc>
        <w:tc>
          <w:tcPr>
            <w:tcW w:w="180" w:type="dxa"/>
            <w:vAlign w:val="bottom"/>
            <w:tcBorders>
              <w:bottom w:val="single" w:sz="8" w:color="A6A6A6"/>
            </w:tcBorders>
          </w:tcPr>
          <w:p>
            <w:pPr>
              <w:spacing w:after="0"/>
              <w:rPr>
                <w:sz w:val="7"/>
                <w:szCs w:val="7"/>
                <w:color w:val="auto"/>
              </w:rPr>
            </w:pPr>
          </w:p>
        </w:tc>
        <w:tc>
          <w:tcPr>
            <w:tcW w:w="1500" w:type="dxa"/>
            <w:vAlign w:val="bottom"/>
            <w:tcBorders>
              <w:bottom w:val="single" w:sz="8" w:color="A6A6A6"/>
            </w:tcBorders>
          </w:tcPr>
          <w:p>
            <w:pPr>
              <w:spacing w:after="0"/>
              <w:rPr>
                <w:sz w:val="7"/>
                <w:szCs w:val="7"/>
                <w:color w:val="auto"/>
              </w:rPr>
            </w:pPr>
          </w:p>
        </w:tc>
      </w:tr>
      <w:tr>
        <w:trPr>
          <w:trHeight w:val="362"/>
        </w:trPr>
        <w:tc>
          <w:tcPr>
            <w:tcW w:w="4460" w:type="dxa"/>
            <w:vAlign w:val="bottom"/>
          </w:tcPr>
          <w:p>
            <w:pPr>
              <w:spacing w:after="0"/>
              <w:rPr>
                <w:sz w:val="20"/>
                <w:szCs w:val="20"/>
                <w:color w:val="auto"/>
              </w:rPr>
            </w:pPr>
            <w:r>
              <w:rPr>
                <w:rFonts w:ascii="Arial Narrow" w:cs="Arial Narrow" w:eastAsia="Arial Narrow" w:hAnsi="Arial Narrow"/>
                <w:sz w:val="20"/>
                <w:szCs w:val="20"/>
                <w:b w:val="1"/>
                <w:bCs w:val="1"/>
                <w:color w:val="5F7D1D"/>
              </w:rPr>
              <w:t xml:space="preserve">Bernalillo, New Mexico </w:t>
            </w:r>
            <w:r>
              <w:rPr>
                <w:rFonts w:ascii="Arial Narrow" w:cs="Arial Narrow" w:eastAsia="Arial Narrow" w:hAnsi="Arial Narrow"/>
                <w:sz w:val="13"/>
                <w:szCs w:val="13"/>
                <w:b w:val="1"/>
                <w:bCs w:val="1"/>
                <w:color w:val="5F7D1D"/>
              </w:rPr>
              <w:t>(1)</w:t>
            </w:r>
          </w:p>
        </w:tc>
        <w:tc>
          <w:tcPr>
            <w:tcW w:w="1520" w:type="dxa"/>
            <w:vAlign w:val="bottom"/>
          </w:tcPr>
          <w:p>
            <w:pPr>
              <w:jc w:val="right"/>
              <w:ind w:right="22"/>
              <w:spacing w:after="0"/>
              <w:rPr>
                <w:sz w:val="20"/>
                <w:szCs w:val="20"/>
                <w:color w:val="auto"/>
              </w:rPr>
            </w:pPr>
            <w:r>
              <w:rPr>
                <w:rFonts w:ascii="Arial Narrow" w:cs="Arial Narrow" w:eastAsia="Arial Narrow" w:hAnsi="Arial Narrow"/>
                <w:sz w:val="20"/>
                <w:szCs w:val="20"/>
                <w:color w:val="auto"/>
              </w:rPr>
              <w:t>n/a</w:t>
            </w:r>
          </w:p>
        </w:tc>
        <w:tc>
          <w:tcPr>
            <w:tcW w:w="180" w:type="dxa"/>
            <w:vAlign w:val="bottom"/>
          </w:tcPr>
          <w:p>
            <w:pPr>
              <w:spacing w:after="0"/>
              <w:rPr>
                <w:sz w:val="24"/>
                <w:szCs w:val="24"/>
                <w:color w:val="auto"/>
              </w:rPr>
            </w:pPr>
          </w:p>
        </w:tc>
        <w:tc>
          <w:tcPr>
            <w:tcW w:w="1520" w:type="dxa"/>
            <w:vAlign w:val="bottom"/>
          </w:tcPr>
          <w:p>
            <w:pPr>
              <w:jc w:val="right"/>
              <w:ind w:right="30"/>
              <w:spacing w:after="0"/>
              <w:rPr>
                <w:sz w:val="20"/>
                <w:szCs w:val="20"/>
                <w:color w:val="auto"/>
              </w:rPr>
            </w:pPr>
            <w:r>
              <w:rPr>
                <w:rFonts w:ascii="Arial Narrow" w:cs="Arial Narrow" w:eastAsia="Arial Narrow" w:hAnsi="Arial Narrow"/>
                <w:sz w:val="20"/>
                <w:szCs w:val="20"/>
                <w:color w:val="auto"/>
              </w:rPr>
              <w:t>n/a</w:t>
            </w:r>
          </w:p>
        </w:tc>
        <w:tc>
          <w:tcPr>
            <w:tcW w:w="1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Narrow" w:cs="Arial Narrow" w:eastAsia="Arial Narrow" w:hAnsi="Arial Narrow"/>
                <w:sz w:val="20"/>
                <w:szCs w:val="20"/>
                <w:color w:val="auto"/>
              </w:rPr>
              <w:t>n/a</w:t>
            </w:r>
          </w:p>
        </w:tc>
      </w:tr>
      <w:tr>
        <w:trPr>
          <w:trHeight w:val="88"/>
        </w:trPr>
        <w:tc>
          <w:tcPr>
            <w:tcW w:w="4460" w:type="dxa"/>
            <w:vAlign w:val="bottom"/>
            <w:tcBorders>
              <w:bottom w:val="single" w:sz="8" w:color="A6A6A6"/>
            </w:tcBorders>
          </w:tcPr>
          <w:p>
            <w:pPr>
              <w:spacing w:after="0"/>
              <w:rPr>
                <w:sz w:val="7"/>
                <w:szCs w:val="7"/>
                <w:color w:val="auto"/>
              </w:rPr>
            </w:pPr>
          </w:p>
        </w:tc>
        <w:tc>
          <w:tcPr>
            <w:tcW w:w="1520" w:type="dxa"/>
            <w:vAlign w:val="bottom"/>
            <w:tcBorders>
              <w:bottom w:val="single" w:sz="8" w:color="A6A6A6"/>
            </w:tcBorders>
          </w:tcPr>
          <w:p>
            <w:pPr>
              <w:spacing w:after="0"/>
              <w:rPr>
                <w:sz w:val="7"/>
                <w:szCs w:val="7"/>
                <w:color w:val="auto"/>
              </w:rPr>
            </w:pPr>
          </w:p>
        </w:tc>
        <w:tc>
          <w:tcPr>
            <w:tcW w:w="180" w:type="dxa"/>
            <w:vAlign w:val="bottom"/>
            <w:tcBorders>
              <w:bottom w:val="single" w:sz="8" w:color="A6A6A6"/>
            </w:tcBorders>
          </w:tcPr>
          <w:p>
            <w:pPr>
              <w:spacing w:after="0"/>
              <w:rPr>
                <w:sz w:val="7"/>
                <w:szCs w:val="7"/>
                <w:color w:val="auto"/>
              </w:rPr>
            </w:pPr>
          </w:p>
        </w:tc>
        <w:tc>
          <w:tcPr>
            <w:tcW w:w="1520" w:type="dxa"/>
            <w:vAlign w:val="bottom"/>
            <w:tcBorders>
              <w:bottom w:val="single" w:sz="8" w:color="A6A6A6"/>
            </w:tcBorders>
          </w:tcPr>
          <w:p>
            <w:pPr>
              <w:spacing w:after="0"/>
              <w:rPr>
                <w:sz w:val="7"/>
                <w:szCs w:val="7"/>
                <w:color w:val="auto"/>
              </w:rPr>
            </w:pPr>
          </w:p>
        </w:tc>
        <w:tc>
          <w:tcPr>
            <w:tcW w:w="180" w:type="dxa"/>
            <w:vAlign w:val="bottom"/>
            <w:tcBorders>
              <w:bottom w:val="single" w:sz="8" w:color="A6A6A6"/>
            </w:tcBorders>
          </w:tcPr>
          <w:p>
            <w:pPr>
              <w:spacing w:after="0"/>
              <w:rPr>
                <w:sz w:val="7"/>
                <w:szCs w:val="7"/>
                <w:color w:val="auto"/>
              </w:rPr>
            </w:pPr>
          </w:p>
        </w:tc>
        <w:tc>
          <w:tcPr>
            <w:tcW w:w="1500" w:type="dxa"/>
            <w:vAlign w:val="bottom"/>
            <w:tcBorders>
              <w:bottom w:val="single" w:sz="8" w:color="A6A6A6"/>
            </w:tcBorders>
          </w:tcPr>
          <w:p>
            <w:pPr>
              <w:spacing w:after="0"/>
              <w:rPr>
                <w:sz w:val="7"/>
                <w:szCs w:val="7"/>
                <w:color w:val="auto"/>
              </w:rPr>
            </w:pPr>
          </w:p>
        </w:tc>
      </w:tr>
      <w:tr>
        <w:trPr>
          <w:trHeight w:val="362"/>
        </w:trPr>
        <w:tc>
          <w:tcPr>
            <w:tcW w:w="4460" w:type="dxa"/>
            <w:vAlign w:val="bottom"/>
          </w:tcPr>
          <w:p>
            <w:pPr>
              <w:spacing w:after="0"/>
              <w:rPr>
                <w:sz w:val="20"/>
                <w:szCs w:val="20"/>
                <w:color w:val="auto"/>
              </w:rPr>
            </w:pPr>
            <w:r>
              <w:rPr>
                <w:rFonts w:ascii="Arial Narrow" w:cs="Arial Narrow" w:eastAsia="Arial Narrow" w:hAnsi="Arial Narrow"/>
                <w:sz w:val="20"/>
                <w:szCs w:val="20"/>
                <w:b w:val="1"/>
                <w:bCs w:val="1"/>
                <w:color w:val="5F7D1D"/>
              </w:rPr>
              <w:t>Gypsum, Colorado</w:t>
            </w:r>
          </w:p>
        </w:tc>
        <w:tc>
          <w:tcPr>
            <w:tcW w:w="1520" w:type="dxa"/>
            <w:vAlign w:val="bottom"/>
          </w:tcPr>
          <w:p>
            <w:pPr>
              <w:jc w:val="right"/>
              <w:ind w:right="22"/>
              <w:spacing w:after="0"/>
              <w:rPr>
                <w:sz w:val="20"/>
                <w:szCs w:val="20"/>
                <w:color w:val="auto"/>
              </w:rPr>
            </w:pPr>
            <w:r>
              <w:rPr>
                <w:rFonts w:ascii="Arial Narrow" w:cs="Arial Narrow" w:eastAsia="Arial Narrow" w:hAnsi="Arial Narrow"/>
                <w:sz w:val="20"/>
                <w:szCs w:val="20"/>
                <w:color w:val="auto"/>
              </w:rPr>
              <w:t>540</w:t>
            </w:r>
          </w:p>
        </w:tc>
        <w:tc>
          <w:tcPr>
            <w:tcW w:w="1700" w:type="dxa"/>
            <w:vAlign w:val="bottom"/>
            <w:gridSpan w:val="2"/>
          </w:tcPr>
          <w:p>
            <w:pPr>
              <w:jc w:val="right"/>
              <w:ind w:right="30"/>
              <w:spacing w:after="0"/>
              <w:rPr>
                <w:sz w:val="20"/>
                <w:szCs w:val="20"/>
                <w:color w:val="auto"/>
              </w:rPr>
            </w:pPr>
            <w:r>
              <w:rPr>
                <w:rFonts w:ascii="Arial Narrow" w:cs="Arial Narrow" w:eastAsia="Arial Narrow" w:hAnsi="Arial Narrow"/>
                <w:sz w:val="20"/>
                <w:szCs w:val="20"/>
                <w:color w:val="auto"/>
              </w:rPr>
              <w:t>560</w:t>
            </w:r>
          </w:p>
        </w:tc>
        <w:tc>
          <w:tcPr>
            <w:tcW w:w="1680" w:type="dxa"/>
            <w:vAlign w:val="bottom"/>
            <w:gridSpan w:val="2"/>
          </w:tcPr>
          <w:p>
            <w:pPr>
              <w:jc w:val="right"/>
              <w:spacing w:after="0"/>
              <w:rPr>
                <w:sz w:val="20"/>
                <w:szCs w:val="20"/>
                <w:color w:val="auto"/>
              </w:rPr>
            </w:pPr>
            <w:r>
              <w:rPr>
                <w:rFonts w:ascii="Arial Narrow" w:cs="Arial Narrow" w:eastAsia="Arial Narrow" w:hAnsi="Arial Narrow"/>
                <w:sz w:val="20"/>
                <w:szCs w:val="20"/>
                <w:color w:val="auto"/>
              </w:rPr>
              <w:t>615</w:t>
            </w:r>
          </w:p>
        </w:tc>
      </w:tr>
      <w:tr>
        <w:trPr>
          <w:trHeight w:val="88"/>
        </w:trPr>
        <w:tc>
          <w:tcPr>
            <w:tcW w:w="4460" w:type="dxa"/>
            <w:vAlign w:val="bottom"/>
            <w:tcBorders>
              <w:bottom w:val="single" w:sz="8" w:color="A6A6A6"/>
            </w:tcBorders>
          </w:tcPr>
          <w:p>
            <w:pPr>
              <w:spacing w:after="0"/>
              <w:rPr>
                <w:sz w:val="7"/>
                <w:szCs w:val="7"/>
                <w:color w:val="auto"/>
              </w:rPr>
            </w:pPr>
          </w:p>
        </w:tc>
        <w:tc>
          <w:tcPr>
            <w:tcW w:w="1520" w:type="dxa"/>
            <w:vAlign w:val="bottom"/>
            <w:tcBorders>
              <w:bottom w:val="single" w:sz="8" w:color="A6A6A6"/>
            </w:tcBorders>
          </w:tcPr>
          <w:p>
            <w:pPr>
              <w:spacing w:after="0"/>
              <w:rPr>
                <w:sz w:val="7"/>
                <w:szCs w:val="7"/>
                <w:color w:val="auto"/>
              </w:rPr>
            </w:pPr>
          </w:p>
        </w:tc>
        <w:tc>
          <w:tcPr>
            <w:tcW w:w="180" w:type="dxa"/>
            <w:vAlign w:val="bottom"/>
            <w:tcBorders>
              <w:bottom w:val="single" w:sz="8" w:color="A6A6A6"/>
            </w:tcBorders>
          </w:tcPr>
          <w:p>
            <w:pPr>
              <w:spacing w:after="0"/>
              <w:rPr>
                <w:sz w:val="7"/>
                <w:szCs w:val="7"/>
                <w:color w:val="auto"/>
              </w:rPr>
            </w:pPr>
          </w:p>
        </w:tc>
        <w:tc>
          <w:tcPr>
            <w:tcW w:w="1520" w:type="dxa"/>
            <w:vAlign w:val="bottom"/>
            <w:tcBorders>
              <w:bottom w:val="single" w:sz="8" w:color="A6A6A6"/>
            </w:tcBorders>
          </w:tcPr>
          <w:p>
            <w:pPr>
              <w:spacing w:after="0"/>
              <w:rPr>
                <w:sz w:val="7"/>
                <w:szCs w:val="7"/>
                <w:color w:val="auto"/>
              </w:rPr>
            </w:pPr>
          </w:p>
        </w:tc>
        <w:tc>
          <w:tcPr>
            <w:tcW w:w="180" w:type="dxa"/>
            <w:vAlign w:val="bottom"/>
            <w:tcBorders>
              <w:bottom w:val="single" w:sz="8" w:color="A6A6A6"/>
            </w:tcBorders>
          </w:tcPr>
          <w:p>
            <w:pPr>
              <w:spacing w:after="0"/>
              <w:rPr>
                <w:sz w:val="7"/>
                <w:szCs w:val="7"/>
                <w:color w:val="auto"/>
              </w:rPr>
            </w:pPr>
          </w:p>
        </w:tc>
        <w:tc>
          <w:tcPr>
            <w:tcW w:w="1500" w:type="dxa"/>
            <w:vAlign w:val="bottom"/>
            <w:tcBorders>
              <w:bottom w:val="single" w:sz="8" w:color="A6A6A6"/>
            </w:tcBorders>
          </w:tcPr>
          <w:p>
            <w:pPr>
              <w:spacing w:after="0"/>
              <w:rPr>
                <w:sz w:val="7"/>
                <w:szCs w:val="7"/>
                <w:color w:val="auto"/>
              </w:rPr>
            </w:pPr>
          </w:p>
        </w:tc>
      </w:tr>
      <w:tr>
        <w:trPr>
          <w:trHeight w:val="362"/>
        </w:trPr>
        <w:tc>
          <w:tcPr>
            <w:tcW w:w="4460" w:type="dxa"/>
            <w:vAlign w:val="bottom"/>
          </w:tcPr>
          <w:p>
            <w:pPr>
              <w:spacing w:after="0"/>
              <w:rPr>
                <w:sz w:val="20"/>
                <w:szCs w:val="20"/>
                <w:color w:val="auto"/>
              </w:rPr>
            </w:pPr>
            <w:r>
              <w:rPr>
                <w:rFonts w:ascii="Arial Narrow" w:cs="Arial Narrow" w:eastAsia="Arial Narrow" w:hAnsi="Arial Narrow"/>
                <w:sz w:val="20"/>
                <w:szCs w:val="20"/>
                <w:b w:val="1"/>
                <w:bCs w:val="1"/>
                <w:color w:val="5F7D1D"/>
              </w:rPr>
              <w:t>Duke, Oklahoma</w:t>
            </w:r>
          </w:p>
        </w:tc>
        <w:tc>
          <w:tcPr>
            <w:tcW w:w="1520" w:type="dxa"/>
            <w:vAlign w:val="bottom"/>
          </w:tcPr>
          <w:p>
            <w:pPr>
              <w:jc w:val="right"/>
              <w:ind w:right="22"/>
              <w:spacing w:after="0"/>
              <w:rPr>
                <w:sz w:val="20"/>
                <w:szCs w:val="20"/>
                <w:color w:val="auto"/>
              </w:rPr>
            </w:pPr>
            <w:r>
              <w:rPr>
                <w:rFonts w:ascii="Arial Narrow" w:cs="Arial Narrow" w:eastAsia="Arial Narrow" w:hAnsi="Arial Narrow"/>
                <w:sz w:val="20"/>
                <w:szCs w:val="20"/>
                <w:color w:val="auto"/>
              </w:rPr>
              <w:t>745</w:t>
            </w:r>
          </w:p>
        </w:tc>
        <w:tc>
          <w:tcPr>
            <w:tcW w:w="1700" w:type="dxa"/>
            <w:vAlign w:val="bottom"/>
            <w:gridSpan w:val="2"/>
          </w:tcPr>
          <w:p>
            <w:pPr>
              <w:jc w:val="right"/>
              <w:ind w:right="30"/>
              <w:spacing w:after="0"/>
              <w:rPr>
                <w:sz w:val="20"/>
                <w:szCs w:val="20"/>
                <w:color w:val="auto"/>
              </w:rPr>
            </w:pPr>
            <w:r>
              <w:rPr>
                <w:rFonts w:ascii="Arial Narrow" w:cs="Arial Narrow" w:eastAsia="Arial Narrow" w:hAnsi="Arial Narrow"/>
                <w:sz w:val="20"/>
                <w:szCs w:val="20"/>
                <w:color w:val="auto"/>
              </w:rPr>
              <w:t>850</w:t>
            </w:r>
          </w:p>
        </w:tc>
        <w:tc>
          <w:tcPr>
            <w:tcW w:w="1680" w:type="dxa"/>
            <w:vAlign w:val="bottom"/>
            <w:gridSpan w:val="2"/>
          </w:tcPr>
          <w:p>
            <w:pPr>
              <w:jc w:val="right"/>
              <w:spacing w:after="0"/>
              <w:rPr>
                <w:sz w:val="20"/>
                <w:szCs w:val="20"/>
                <w:color w:val="auto"/>
              </w:rPr>
            </w:pPr>
            <w:r>
              <w:rPr>
                <w:rFonts w:ascii="Arial Narrow" w:cs="Arial Narrow" w:eastAsia="Arial Narrow" w:hAnsi="Arial Narrow"/>
                <w:sz w:val="20"/>
                <w:szCs w:val="20"/>
                <w:color w:val="auto"/>
              </w:rPr>
              <w:t>740</w:t>
            </w:r>
          </w:p>
        </w:tc>
      </w:tr>
      <w:tr>
        <w:trPr>
          <w:trHeight w:val="113"/>
        </w:trPr>
        <w:tc>
          <w:tcPr>
            <w:tcW w:w="4460" w:type="dxa"/>
            <w:vAlign w:val="bottom"/>
            <w:tcBorders>
              <w:bottom w:val="single" w:sz="8" w:color="A6A6A6"/>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r>
      <w:tr>
        <w:trPr>
          <w:trHeight w:val="367"/>
        </w:trPr>
        <w:tc>
          <w:tcPr>
            <w:tcW w:w="4460" w:type="dxa"/>
            <w:vAlign w:val="bottom"/>
          </w:tcPr>
          <w:p>
            <w:pPr>
              <w:ind w:left="200"/>
              <w:spacing w:after="0"/>
              <w:rPr>
                <w:sz w:val="20"/>
                <w:szCs w:val="20"/>
                <w:color w:val="auto"/>
              </w:rPr>
            </w:pPr>
            <w:r>
              <w:rPr>
                <w:rFonts w:ascii="Arial Narrow" w:cs="Arial Narrow" w:eastAsia="Arial Narrow" w:hAnsi="Arial Narrow"/>
                <w:sz w:val="20"/>
                <w:szCs w:val="20"/>
                <w:b w:val="1"/>
                <w:bCs w:val="1"/>
                <w:color w:val="auto"/>
              </w:rPr>
              <w:t>Total</w:t>
            </w:r>
          </w:p>
        </w:tc>
        <w:tc>
          <w:tcPr>
            <w:tcW w:w="1520" w:type="dxa"/>
            <w:vAlign w:val="bottom"/>
          </w:tcPr>
          <w:p>
            <w:pPr>
              <w:jc w:val="right"/>
              <w:ind w:right="22"/>
              <w:spacing w:after="0"/>
              <w:rPr>
                <w:sz w:val="20"/>
                <w:szCs w:val="20"/>
                <w:color w:val="auto"/>
              </w:rPr>
            </w:pPr>
            <w:r>
              <w:rPr>
                <w:rFonts w:ascii="Arial Narrow" w:cs="Arial Narrow" w:eastAsia="Arial Narrow" w:hAnsi="Arial Narrow"/>
                <w:sz w:val="20"/>
                <w:szCs w:val="20"/>
                <w:b w:val="1"/>
                <w:bCs w:val="1"/>
                <w:color w:val="auto"/>
              </w:rPr>
              <w:t>1,735</w:t>
            </w:r>
          </w:p>
        </w:tc>
        <w:tc>
          <w:tcPr>
            <w:tcW w:w="1700" w:type="dxa"/>
            <w:vAlign w:val="bottom"/>
            <w:gridSpan w:val="2"/>
          </w:tcPr>
          <w:p>
            <w:pPr>
              <w:jc w:val="right"/>
              <w:ind w:right="30"/>
              <w:spacing w:after="0"/>
              <w:rPr>
                <w:sz w:val="20"/>
                <w:szCs w:val="20"/>
                <w:color w:val="auto"/>
              </w:rPr>
            </w:pPr>
            <w:r>
              <w:rPr>
                <w:rFonts w:ascii="Arial Narrow" w:cs="Arial Narrow" w:eastAsia="Arial Narrow" w:hAnsi="Arial Narrow"/>
                <w:sz w:val="20"/>
                <w:szCs w:val="20"/>
                <w:b w:val="1"/>
                <w:bCs w:val="1"/>
                <w:color w:val="auto"/>
              </w:rPr>
              <w:t>1,950</w:t>
            </w:r>
          </w:p>
        </w:tc>
        <w:tc>
          <w:tcPr>
            <w:tcW w:w="1680" w:type="dxa"/>
            <w:vAlign w:val="bottom"/>
            <w:gridSpan w:val="2"/>
          </w:tcPr>
          <w:p>
            <w:pPr>
              <w:jc w:val="right"/>
              <w:spacing w:after="0"/>
              <w:rPr>
                <w:sz w:val="20"/>
                <w:szCs w:val="20"/>
                <w:color w:val="auto"/>
              </w:rPr>
            </w:pPr>
            <w:r>
              <w:rPr>
                <w:rFonts w:ascii="Arial Narrow" w:cs="Arial Narrow" w:eastAsia="Arial Narrow" w:hAnsi="Arial Narrow"/>
                <w:sz w:val="20"/>
                <w:szCs w:val="20"/>
                <w:b w:val="1"/>
                <w:bCs w:val="1"/>
                <w:color w:val="auto"/>
              </w:rPr>
              <w:t>1,915</w:t>
            </w:r>
          </w:p>
        </w:tc>
      </w:tr>
      <w:tr>
        <w:trPr>
          <w:trHeight w:val="88"/>
        </w:trPr>
        <w:tc>
          <w:tcPr>
            <w:tcW w:w="4460" w:type="dxa"/>
            <w:vAlign w:val="bottom"/>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r>
      <w:tr>
        <w:trPr>
          <w:trHeight w:val="20"/>
        </w:trPr>
        <w:tc>
          <w:tcPr>
            <w:tcW w:w="44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180" w:hanging="180"/>
        <w:spacing w:after="0"/>
        <w:tabs>
          <w:tab w:leader="none" w:pos="180" w:val="left"/>
        </w:tabs>
        <w:numPr>
          <w:ilvl w:val="0"/>
          <w:numId w:val="26"/>
        </w:numPr>
        <w:rPr>
          <w:rFonts w:ascii="Arial" w:cs="Arial" w:eastAsia="Arial" w:hAnsi="Arial"/>
          <w:sz w:val="10"/>
          <w:szCs w:val="10"/>
          <w:color w:val="auto"/>
        </w:rPr>
      </w:pPr>
      <w:r>
        <w:rPr>
          <w:rFonts w:ascii="Arial" w:cs="Arial" w:eastAsia="Arial" w:hAnsi="Arial"/>
          <w:sz w:val="16"/>
          <w:szCs w:val="16"/>
          <w:color w:val="auto"/>
        </w:rPr>
        <w:t>The same resources serve both New Mexico plants.</w:t>
      </w: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b w:val="1"/>
          <w:bCs w:val="1"/>
          <w:color w:val="00085E"/>
        </w:rPr>
        <w:t>Internal Controls</w:t>
      </w:r>
    </w:p>
    <w:p>
      <w:pPr>
        <w:spacing w:after="0" w:line="163" w:lineRule="exact"/>
        <w:rPr>
          <w:sz w:val="20"/>
          <w:szCs w:val="20"/>
          <w:color w:val="auto"/>
        </w:rPr>
      </w:pPr>
    </w:p>
    <w:p>
      <w:pPr>
        <w:ind w:right="40"/>
        <w:spacing w:after="0" w:line="286" w:lineRule="auto"/>
        <w:rPr>
          <w:sz w:val="20"/>
          <w:szCs w:val="20"/>
          <w:color w:val="auto"/>
        </w:rPr>
      </w:pPr>
      <w:r>
        <w:rPr>
          <w:rFonts w:ascii="Arial" w:cs="Arial" w:eastAsia="Arial" w:hAnsi="Arial"/>
          <w:sz w:val="20"/>
          <w:szCs w:val="20"/>
          <w:color w:val="auto"/>
        </w:rPr>
        <w:t>We have compiled reserve and resource estimates with the assistance of a third-party QP. In general, the procedure for developing these estimates was a collaboration between site personnel and the QP for each individual site. Past exploration data was field verified, and quality was verified by reviewing on-site lab certification or third-party testing. Third-party resource modeling was developed using verified past exploration data and field observations. Where applicable, site-specific ore density, recovery, and loss parameters were used to calculate reserves. Property ownership, permit status, and lease evaluations were performed by the third-party QP to evaluate the legal right to mine. When evaluating economic viability, past income statements and operating costs were reviewed, as well as future operating and capital cost estimates. Commodity pricing was taken either from published USGS reports or from reasonable expected pricing given site location and haulage rates.</w:t>
      </w:r>
    </w:p>
    <w:p>
      <w:pPr>
        <w:spacing w:after="0" w:line="79" w:lineRule="exact"/>
        <w:rPr>
          <w:sz w:val="20"/>
          <w:szCs w:val="20"/>
          <w:color w:val="auto"/>
        </w:rPr>
      </w:pPr>
    </w:p>
    <w:p>
      <w:pPr>
        <w:ind w:right="60"/>
        <w:spacing w:after="0" w:line="296" w:lineRule="auto"/>
        <w:rPr>
          <w:sz w:val="20"/>
          <w:szCs w:val="20"/>
          <w:color w:val="auto"/>
        </w:rPr>
      </w:pPr>
      <w:r>
        <w:rPr>
          <w:rFonts w:ascii="Arial" w:cs="Arial" w:eastAsia="Arial" w:hAnsi="Arial"/>
          <w:sz w:val="20"/>
          <w:szCs w:val="20"/>
          <w:color w:val="auto"/>
        </w:rPr>
        <w:t>While the mineral reserve and resource classification categories (proven and probable) identify relative confidence of reserve estimates, there is inherent risk associated with such estimates. We base estimates on information known at the time of determination and regularly re-evaluate reserves whenever new information indicates a material change in reserves at one of our sites.</w:t>
      </w:r>
    </w:p>
    <w:p>
      <w:pPr>
        <w:sectPr>
          <w:pgSz w:w="11880" w:h="15480" w:orient="portrait"/>
          <w:cols w:equalWidth="0" w:num="1">
            <w:col w:w="9360"/>
          </w:cols>
          <w:pgMar w:left="1260" w:top="1267"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46</w:t>
      </w:r>
    </w:p>
    <w:p>
      <w:pPr>
        <w:sectPr>
          <w:pgSz w:w="11880" w:h="15480" w:orient="portrait"/>
          <w:cols w:equalWidth="0" w:num="1">
            <w:col w:w="9360"/>
          </w:cols>
          <w:pgMar w:left="1260" w:top="1267" w:right="1260" w:bottom="0" w:gutter="0" w:footer="0" w:header="0"/>
          <w:type w:val="continuous"/>
        </w:sectPr>
      </w:pPr>
    </w:p>
    <w:bookmarkStart w:id="54" w:name="page55"/>
    <w:bookmarkEnd w:id="54"/>
    <w:p>
      <w:pPr>
        <w:spacing w:after="0"/>
        <w:rPr>
          <w:sz w:val="20"/>
          <w:szCs w:val="20"/>
          <w:color w:val="auto"/>
        </w:rPr>
      </w:pPr>
      <w:r>
        <w:rPr>
          <w:rFonts w:ascii="Arial" w:cs="Arial" w:eastAsia="Arial" w:hAnsi="Arial"/>
          <w:sz w:val="26"/>
          <w:szCs w:val="26"/>
          <w:b w:val="1"/>
          <w:bCs w:val="1"/>
          <w:color w:val="auto"/>
        </w:rPr>
        <w:t>ITEM 3. 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5943600" cy="127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4">
                      <a:extLst>
                        <a:ext uri="{28A0092B-C50C-407E-A947-70E740481C1C}"/>
                      </a:extLst>
                    </a:blip>
                    <a:srcRect/>
                    <a:stretch>
                      <a:fillRect/>
                    </a:stretch>
                  </pic:blipFill>
                  <pic:spPr bwMode="auto">
                    <a:xfrm>
                      <a:off x="0" y="0"/>
                      <a:ext cx="5943600" cy="12700"/>
                    </a:xfrm>
                    <a:prstGeom prst="rect">
                      <a:avLst/>
                    </a:prstGeom>
                    <a:noFill/>
                  </pic:spPr>
                </pic:pic>
              </a:graphicData>
            </a:graphic>
          </wp:anchor>
        </w:drawing>
      </w:r>
    </w:p>
    <w:p>
      <w:pPr>
        <w:spacing w:after="0" w:line="178" w:lineRule="exact"/>
        <w:rPr>
          <w:sz w:val="20"/>
          <w:szCs w:val="20"/>
          <w:color w:val="auto"/>
        </w:rPr>
      </w:pPr>
    </w:p>
    <w:p>
      <w:pPr>
        <w:spacing w:after="0" w:line="289" w:lineRule="auto"/>
        <w:rPr>
          <w:sz w:val="20"/>
          <w:szCs w:val="20"/>
          <w:color w:val="auto"/>
        </w:rPr>
      </w:pPr>
      <w:r>
        <w:rPr>
          <w:rFonts w:ascii="Arial" w:cs="Arial" w:eastAsia="Arial" w:hAnsi="Arial"/>
          <w:sz w:val="20"/>
          <w:szCs w:val="20"/>
          <w:color w:val="auto"/>
        </w:rPr>
        <w:t>From time to time we have been and may in the future become involved in litigation or other legal proceedings in the ordinary course of our business activities or in connection with transactions or activities undertaken by us, including claims related to worker safety, worker health, environmental matters, land use rights, taxes, and permits. While the outcome of these proceedings cannot be predicted with certainty, in the opinion of management (based on currently available facts), we do not believe that the ultimate outcome of any currently pending legal proceeding will have a material effect on our consolidated financial condition, results of operations, or liquidity.</w:t>
      </w:r>
    </w:p>
    <w:p>
      <w:pPr>
        <w:spacing w:after="0" w:line="71" w:lineRule="exact"/>
        <w:rPr>
          <w:sz w:val="20"/>
          <w:szCs w:val="20"/>
          <w:color w:val="auto"/>
        </w:rPr>
      </w:pPr>
    </w:p>
    <w:p>
      <w:pPr>
        <w:ind w:right="100"/>
        <w:spacing w:after="0" w:line="308" w:lineRule="auto"/>
        <w:rPr>
          <w:sz w:val="20"/>
          <w:szCs w:val="20"/>
          <w:color w:val="auto"/>
        </w:rPr>
      </w:pPr>
      <w:r>
        <w:rPr>
          <w:rFonts w:ascii="Arial" w:cs="Arial" w:eastAsia="Arial" w:hAnsi="Arial"/>
          <w:sz w:val="19"/>
          <w:szCs w:val="19"/>
          <w:color w:val="auto"/>
        </w:rPr>
        <w:t>Please refer to Item 1. Business – Industry Segment Information, for information regarding certain legal proceedings relating to the disapproval by the EPA in February 2023 of SIPs for the States of Nevada, Oklahoma, and Texas, which addressed the obligations of such states to eliminate significant contributions to non-attainment, or interference with maintenance, of the 2015 ozone NAAQS in other states. In response to the disapproval of the SIPs for such states, we and other third parties commenced litigation against the EPA in April 2023. We are unable to predict the ultimate outcome of these actions.</w:t>
      </w:r>
    </w:p>
    <w:p>
      <w:pPr>
        <w:spacing w:after="0" w:line="29" w:lineRule="exact"/>
        <w:rPr>
          <w:sz w:val="20"/>
          <w:szCs w:val="20"/>
          <w:color w:val="auto"/>
        </w:rPr>
      </w:pPr>
    </w:p>
    <w:p>
      <w:pPr>
        <w:ind w:right="300"/>
        <w:spacing w:after="0" w:line="283" w:lineRule="auto"/>
        <w:rPr>
          <w:sz w:val="20"/>
          <w:szCs w:val="20"/>
          <w:color w:val="auto"/>
        </w:rPr>
      </w:pPr>
      <w:r>
        <w:rPr>
          <w:rFonts w:ascii="Arial" w:cs="Arial" w:eastAsia="Arial" w:hAnsi="Arial"/>
          <w:sz w:val="20"/>
          <w:szCs w:val="20"/>
          <w:color w:val="auto"/>
        </w:rPr>
        <w:t>For additional information regarding claims and other contingent liabilities to which we may be subject, see Footnote (J) in the Audited Consolidated Financial Statements.</w:t>
      </w:r>
    </w:p>
    <w:p>
      <w:pPr>
        <w:spacing w:after="0" w:line="239"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ITEM 4. Mine Safety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5943600" cy="6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5">
                      <a:extLst>
                        <a:ext uri="{28A0092B-C50C-407E-A947-70E740481C1C}"/>
                      </a:extLst>
                    </a:blip>
                    <a:srcRect/>
                    <a:stretch>
                      <a:fillRect/>
                    </a:stretch>
                  </pic:blipFill>
                  <pic:spPr bwMode="auto">
                    <a:xfrm>
                      <a:off x="0" y="0"/>
                      <a:ext cx="5943600" cy="6350"/>
                    </a:xfrm>
                    <a:prstGeom prst="rect">
                      <a:avLst/>
                    </a:prstGeom>
                    <a:noFill/>
                  </pic:spPr>
                </pic:pic>
              </a:graphicData>
            </a:graphic>
          </wp:anchor>
        </w:drawing>
      </w:r>
    </w:p>
    <w:p>
      <w:pPr>
        <w:spacing w:after="0" w:line="288" w:lineRule="exact"/>
        <w:rPr>
          <w:sz w:val="20"/>
          <w:szCs w:val="20"/>
          <w:color w:val="auto"/>
        </w:rPr>
      </w:pPr>
    </w:p>
    <w:p>
      <w:pPr>
        <w:ind w:right="160"/>
        <w:spacing w:after="0" w:line="303" w:lineRule="auto"/>
        <w:rPr>
          <w:sz w:val="20"/>
          <w:szCs w:val="20"/>
          <w:color w:val="auto"/>
        </w:rPr>
      </w:pPr>
      <w:r>
        <w:rPr>
          <w:rFonts w:ascii="Arial" w:cs="Arial" w:eastAsia="Arial" w:hAnsi="Arial"/>
          <w:sz w:val="20"/>
          <w:szCs w:val="20"/>
          <w:color w:val="auto"/>
        </w:rPr>
        <w:t>Information concerning mine safety violations or other regulatory matters required by Section 1503(a) of the Dodd-Frank Wall Street Reform and Consumer Protection Act and Item 104 of Regulation S-K is included in Exhibit 95 to this Annual Report on Form 10-K.</w:t>
      </w:r>
    </w:p>
    <w:p>
      <w:pPr>
        <w:sectPr>
          <w:pgSz w:w="11880" w:h="15480" w:orient="portrait"/>
          <w:cols w:equalWidth="0" w:num="1">
            <w:col w:w="9320"/>
          </w:cols>
          <w:pgMar w:left="1260" w:top="1201"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47</w:t>
      </w:r>
    </w:p>
    <w:p>
      <w:pPr>
        <w:sectPr>
          <w:pgSz w:w="11880" w:h="15480" w:orient="portrait"/>
          <w:cols w:equalWidth="0" w:num="1">
            <w:col w:w="9320"/>
          </w:cols>
          <w:pgMar w:left="1260" w:top="1201" w:right="1300" w:bottom="0" w:gutter="0" w:footer="0" w:header="0"/>
          <w:type w:val="continuous"/>
        </w:sectPr>
      </w:pPr>
    </w:p>
    <w:bookmarkStart w:id="55" w:name="page56"/>
    <w:bookmarkEnd w:id="55"/>
    <w:p>
      <w:pPr>
        <w:spacing w:after="0"/>
        <w:rPr>
          <w:sz w:val="20"/>
          <w:szCs w:val="20"/>
          <w:color w:val="auto"/>
        </w:rPr>
      </w:pPr>
      <w:r>
        <w:rPr>
          <w:rFonts w:ascii="Arial" w:cs="Arial" w:eastAsia="Arial" w:hAnsi="Arial"/>
          <w:sz w:val="26"/>
          <w:szCs w:val="26"/>
          <w:b w:val="1"/>
          <w:bCs w:val="1"/>
          <w:color w:val="00085E"/>
        </w:rPr>
        <w:t>PART II</w:t>
      </w:r>
    </w:p>
    <w:p>
      <w:pPr>
        <w:spacing w:after="0" w:line="200" w:lineRule="exact"/>
        <w:rPr>
          <w:sz w:val="20"/>
          <w:szCs w:val="20"/>
          <w:color w:val="auto"/>
        </w:rPr>
      </w:pPr>
    </w:p>
    <w:p>
      <w:pPr>
        <w:spacing w:after="0" w:line="331" w:lineRule="exact"/>
        <w:rPr>
          <w:sz w:val="20"/>
          <w:szCs w:val="20"/>
          <w:color w:val="auto"/>
        </w:rPr>
      </w:pPr>
    </w:p>
    <w:p>
      <w:pPr>
        <w:ind w:right="820"/>
        <w:spacing w:after="0" w:line="274" w:lineRule="auto"/>
        <w:rPr>
          <w:sz w:val="20"/>
          <w:szCs w:val="20"/>
          <w:color w:val="auto"/>
        </w:rPr>
      </w:pPr>
      <w:r>
        <w:rPr>
          <w:rFonts w:ascii="Arial" w:cs="Arial" w:eastAsia="Arial" w:hAnsi="Arial"/>
          <w:sz w:val="26"/>
          <w:szCs w:val="26"/>
          <w:b w:val="1"/>
          <w:bCs w:val="1"/>
          <w:color w:val="auto"/>
        </w:rPr>
        <w:t>ITEM 5. Market for Registrant’s Common Equity, Related Stockholder Matters and Issuer Purchases of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-40005</wp:posOffset>
            </wp:positionV>
            <wp:extent cx="5943600" cy="127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6">
                      <a:extLst>
                        <a:ext uri="{28A0092B-C50C-407E-A947-70E740481C1C}"/>
                      </a:extLst>
                    </a:blip>
                    <a:srcRect/>
                    <a:stretch>
                      <a:fillRect/>
                    </a:stretch>
                  </pic:blipFill>
                  <pic:spPr bwMode="auto">
                    <a:xfrm>
                      <a:off x="0" y="0"/>
                      <a:ext cx="5943600" cy="12700"/>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00085E"/>
        </w:rPr>
        <w:t>STOCK PRICES AND DIVIDENDS</w:t>
      </w:r>
    </w:p>
    <w:p>
      <w:pPr>
        <w:spacing w:after="0" w:line="163" w:lineRule="exact"/>
        <w:rPr>
          <w:sz w:val="20"/>
          <w:szCs w:val="20"/>
          <w:color w:val="auto"/>
        </w:rPr>
      </w:pPr>
    </w:p>
    <w:p>
      <w:pPr>
        <w:ind w:right="120"/>
        <w:spacing w:after="0" w:line="296" w:lineRule="auto"/>
        <w:rPr>
          <w:sz w:val="20"/>
          <w:szCs w:val="20"/>
          <w:color w:val="auto"/>
        </w:rPr>
      </w:pPr>
      <w:r>
        <w:rPr>
          <w:rFonts w:ascii="Arial" w:cs="Arial" w:eastAsia="Arial" w:hAnsi="Arial"/>
          <w:sz w:val="20"/>
          <w:szCs w:val="20"/>
          <w:color w:val="auto"/>
        </w:rPr>
        <w:t>As of May 15, 2026, there were approximately 985 holders of record of our Common Stock which trades on the New York Stock Exchange under the symbol EXP. Our Common Stock is also listed on the NYSE Texas. See Management's Discussion and Analysis of Financial Condition and Results of Operations - Dividends for details on our dividend policy.</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00085E"/>
        </w:rPr>
        <w:t>SHARE REPURCHASES</w:t>
      </w:r>
    </w:p>
    <w:p>
      <w:pPr>
        <w:spacing w:after="0" w:line="163" w:lineRule="exact"/>
        <w:rPr>
          <w:sz w:val="20"/>
          <w:szCs w:val="20"/>
          <w:color w:val="auto"/>
        </w:rPr>
      </w:pPr>
    </w:p>
    <w:p>
      <w:pPr>
        <w:jc w:val="both"/>
        <w:ind w:right="180"/>
        <w:spacing w:after="0" w:line="325" w:lineRule="auto"/>
        <w:rPr>
          <w:sz w:val="20"/>
          <w:szCs w:val="20"/>
          <w:color w:val="auto"/>
        </w:rPr>
      </w:pPr>
      <w:r>
        <w:rPr>
          <w:rFonts w:ascii="Arial" w:cs="Arial" w:eastAsia="Arial" w:hAnsi="Arial"/>
          <w:sz w:val="19"/>
          <w:szCs w:val="19"/>
          <w:color w:val="auto"/>
        </w:rPr>
        <w:t>On May 17, 2022, the Board authorized the repurchase of an additional 7,500,000 shares. Including this latest authorization, our Board has approved the repurchase in the open market of a cumulative total of approximately 55.9 million shares of our Common Stock since we became publicly held in April 1994.</w:t>
      </w:r>
    </w:p>
    <w:p>
      <w:pPr>
        <w:spacing w:after="0" w:line="42" w:lineRule="exact"/>
        <w:rPr>
          <w:sz w:val="20"/>
          <w:szCs w:val="20"/>
          <w:color w:val="auto"/>
        </w:rPr>
      </w:pPr>
    </w:p>
    <w:p>
      <w:pPr>
        <w:ind w:right="60"/>
        <w:spacing w:after="0" w:line="292" w:lineRule="auto"/>
        <w:rPr>
          <w:sz w:val="20"/>
          <w:szCs w:val="20"/>
          <w:color w:val="auto"/>
        </w:rPr>
      </w:pPr>
      <w:r>
        <w:rPr>
          <w:rFonts w:ascii="Arial" w:cs="Arial" w:eastAsia="Arial" w:hAnsi="Arial"/>
          <w:sz w:val="20"/>
          <w:szCs w:val="20"/>
          <w:color w:val="auto"/>
        </w:rPr>
        <w:t>During fiscal years 2026, 2025, and 2024, we repurchased 1,739,625, 1,214,173, and 1,863,534 shares, respectively, at average prices of $219.48, $245.67, and $184.21, respectively. We have repurchased approximately 52.9 million shares from April 1994 through March 31, 2026. As a result, we have a total of approximately 2.9 million shares that remain available for repurchase as authorized by our Board. The Board did not specify an expiration date for its authorizations.</w:t>
      </w:r>
    </w:p>
    <w:p>
      <w:pPr>
        <w:spacing w:after="0" w:line="71" w:lineRule="exact"/>
        <w:rPr>
          <w:sz w:val="20"/>
          <w:szCs w:val="20"/>
          <w:color w:val="auto"/>
        </w:rPr>
      </w:pPr>
    </w:p>
    <w:p>
      <w:pPr>
        <w:ind w:right="140"/>
        <w:spacing w:after="0" w:line="311" w:lineRule="auto"/>
        <w:rPr>
          <w:sz w:val="20"/>
          <w:szCs w:val="20"/>
          <w:color w:val="auto"/>
        </w:rPr>
      </w:pPr>
      <w:r>
        <w:rPr>
          <w:rFonts w:ascii="Arial" w:cs="Arial" w:eastAsia="Arial" w:hAnsi="Arial"/>
          <w:sz w:val="19"/>
          <w:szCs w:val="19"/>
          <w:color w:val="auto"/>
        </w:rPr>
        <w:t>Share repurchases may be made from time to time in the open market or in privately negotiated transactions. The timing and amount of any repurchases of shares will be determined by the Company’s management, based on its evaluation of market and economic conditions and other factors. In some cases, repurchases may be made pursuant to plans, programs, or directions established occasionally by the Company’s management, including plans to comply with the safe harbor provided by Rule 10b5-1.</w:t>
      </w:r>
    </w:p>
    <w:p>
      <w:pPr>
        <w:spacing w:after="0" w:line="54" w:lineRule="exact"/>
        <w:rPr>
          <w:sz w:val="20"/>
          <w:szCs w:val="20"/>
          <w:color w:val="auto"/>
        </w:rPr>
      </w:pPr>
    </w:p>
    <w:p>
      <w:pPr>
        <w:ind w:right="60"/>
        <w:spacing w:after="0" w:line="303" w:lineRule="auto"/>
        <w:rPr>
          <w:sz w:val="20"/>
          <w:szCs w:val="20"/>
          <w:color w:val="auto"/>
        </w:rPr>
      </w:pPr>
      <w:r>
        <w:rPr>
          <w:rFonts w:ascii="Arial" w:cs="Arial" w:eastAsia="Arial" w:hAnsi="Arial"/>
          <w:sz w:val="20"/>
          <w:szCs w:val="20"/>
          <w:color w:val="auto"/>
        </w:rPr>
        <w:t xml:space="preserve">The </w:t>
      </w:r>
      <w:r>
        <w:rPr>
          <w:rFonts w:ascii="Arial" w:cs="Arial" w:eastAsia="Arial" w:hAnsi="Arial"/>
          <w:sz w:val="20"/>
          <w:szCs w:val="20"/>
          <w:i w:val="1"/>
          <w:iCs w:val="1"/>
          <w:color w:val="auto"/>
        </w:rPr>
        <w:t>Inflation Reduction Act of 2022</w:t>
      </w:r>
      <w:r>
        <w:rPr>
          <w:rFonts w:ascii="Arial" w:cs="Arial" w:eastAsia="Arial" w:hAnsi="Arial"/>
          <w:sz w:val="20"/>
          <w:szCs w:val="20"/>
          <w:color w:val="auto"/>
        </w:rPr>
        <w:t xml:space="preserve"> added a provision imposing a 1% excise tax on the fair value of stock repurchases by companies beginning January 1, 2023. We do not expect taxes due on future repurchases of our shares to have a material effect on our business.</w:t>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color w:val="auto"/>
        </w:rPr>
        <w:t>Purchases of the Company's common stock during the quarter ended March 31, 2026, were as follows.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ind w:right="6"/>
              <w:spacing w:after="0"/>
              <w:rPr>
                <w:sz w:val="20"/>
                <w:szCs w:val="20"/>
                <w:color w:val="auto"/>
              </w:rPr>
            </w:pPr>
            <w:r>
              <w:rPr>
                <w:rFonts w:ascii="Arial Narrow" w:cs="Arial Narrow" w:eastAsia="Arial Narrow" w:hAnsi="Arial Narrow"/>
                <w:sz w:val="18"/>
                <w:szCs w:val="18"/>
                <w:b w:val="1"/>
                <w:bCs w:val="1"/>
                <w:color w:val="auto"/>
              </w:rPr>
              <w:t>Total Number of</w:t>
            </w:r>
          </w:p>
        </w:tc>
        <w:tc>
          <w:tcPr>
            <w:tcW w:w="120" w:type="dxa"/>
            <w:vAlign w:val="bottom"/>
          </w:tcPr>
          <w:p>
            <w:pPr>
              <w:spacing w:after="0"/>
              <w:rPr>
                <w:sz w:val="17"/>
                <w:szCs w:val="17"/>
                <w:color w:val="auto"/>
              </w:rPr>
            </w:pPr>
          </w:p>
        </w:tc>
        <w:tc>
          <w:tcPr>
            <w:tcW w:w="1440" w:type="dxa"/>
            <w:vAlign w:val="bottom"/>
          </w:tcPr>
          <w:p>
            <w:pPr>
              <w:jc w:val="right"/>
              <w:ind w:right="10"/>
              <w:spacing w:after="0"/>
              <w:rPr>
                <w:sz w:val="20"/>
                <w:szCs w:val="20"/>
                <w:color w:val="auto"/>
              </w:rPr>
            </w:pPr>
            <w:r>
              <w:rPr>
                <w:rFonts w:ascii="Arial Narrow" w:cs="Arial Narrow" w:eastAsia="Arial Narrow" w:hAnsi="Arial Narrow"/>
                <w:sz w:val="18"/>
                <w:szCs w:val="18"/>
                <w:b w:val="1"/>
                <w:bCs w:val="1"/>
                <w:color w:val="auto"/>
              </w:rPr>
              <w:t>Maximum Number</w:t>
            </w:r>
          </w:p>
        </w:tc>
        <w:tc>
          <w:tcPr>
            <w:tcW w:w="0" w:type="dxa"/>
            <w:vAlign w:val="bottom"/>
          </w:tcPr>
          <w:p>
            <w:pPr>
              <w:spacing w:after="0"/>
              <w:rPr>
                <w:sz w:val="1"/>
                <w:szCs w:val="1"/>
                <w:color w:val="auto"/>
              </w:rPr>
            </w:pPr>
          </w:p>
        </w:tc>
      </w:tr>
      <w:tr>
        <w:trPr>
          <w:trHeight w:val="207"/>
        </w:trPr>
        <w:tc>
          <w:tcPr>
            <w:tcW w:w="3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ind w:right="6"/>
              <w:spacing w:after="0"/>
              <w:rPr>
                <w:sz w:val="20"/>
                <w:szCs w:val="20"/>
                <w:color w:val="auto"/>
              </w:rPr>
            </w:pPr>
            <w:r>
              <w:rPr>
                <w:rFonts w:ascii="Arial Narrow" w:cs="Arial Narrow" w:eastAsia="Arial Narrow" w:hAnsi="Arial Narrow"/>
                <w:sz w:val="18"/>
                <w:szCs w:val="18"/>
                <w:b w:val="1"/>
                <w:bCs w:val="1"/>
                <w:color w:val="auto"/>
              </w:rPr>
              <w:t>Shares Purchased</w:t>
            </w:r>
          </w:p>
        </w:tc>
        <w:tc>
          <w:tcPr>
            <w:tcW w:w="120" w:type="dxa"/>
            <w:vAlign w:val="bottom"/>
          </w:tcPr>
          <w:p>
            <w:pPr>
              <w:spacing w:after="0"/>
              <w:rPr>
                <w:sz w:val="17"/>
                <w:szCs w:val="17"/>
                <w:color w:val="auto"/>
              </w:rPr>
            </w:pPr>
          </w:p>
        </w:tc>
        <w:tc>
          <w:tcPr>
            <w:tcW w:w="1440" w:type="dxa"/>
            <w:vAlign w:val="bottom"/>
          </w:tcPr>
          <w:p>
            <w:pPr>
              <w:jc w:val="right"/>
              <w:ind w:right="10"/>
              <w:spacing w:after="0"/>
              <w:rPr>
                <w:sz w:val="20"/>
                <w:szCs w:val="20"/>
                <w:color w:val="auto"/>
              </w:rPr>
            </w:pPr>
            <w:r>
              <w:rPr>
                <w:rFonts w:ascii="Arial Narrow" w:cs="Arial Narrow" w:eastAsia="Arial Narrow" w:hAnsi="Arial Narrow"/>
                <w:sz w:val="18"/>
                <w:szCs w:val="18"/>
                <w:b w:val="1"/>
                <w:bCs w:val="1"/>
                <w:color w:val="auto"/>
              </w:rPr>
              <w:t>of Shares that May</w:t>
            </w:r>
          </w:p>
        </w:tc>
        <w:tc>
          <w:tcPr>
            <w:tcW w:w="0" w:type="dxa"/>
            <w:vAlign w:val="bottom"/>
          </w:tcPr>
          <w:p>
            <w:pPr>
              <w:spacing w:after="0"/>
              <w:rPr>
                <w:sz w:val="1"/>
                <w:szCs w:val="1"/>
                <w:color w:val="auto"/>
              </w:rPr>
            </w:pPr>
          </w:p>
        </w:tc>
      </w:tr>
      <w:tr>
        <w:trPr>
          <w:trHeight w:val="207"/>
        </w:trPr>
        <w:tc>
          <w:tcPr>
            <w:tcW w:w="3200" w:type="dxa"/>
            <w:vAlign w:val="bottom"/>
          </w:tcPr>
          <w:p>
            <w:pPr>
              <w:spacing w:after="0"/>
              <w:rPr>
                <w:sz w:val="17"/>
                <w:szCs w:val="17"/>
                <w:color w:val="auto"/>
              </w:rPr>
            </w:pPr>
          </w:p>
        </w:tc>
        <w:tc>
          <w:tcPr>
            <w:tcW w:w="1460" w:type="dxa"/>
            <w:vAlign w:val="bottom"/>
            <w:vMerge w:val="restart"/>
          </w:tcPr>
          <w:p>
            <w:pPr>
              <w:jc w:val="right"/>
              <w:ind w:right="3"/>
              <w:spacing w:after="0"/>
              <w:rPr>
                <w:sz w:val="20"/>
                <w:szCs w:val="20"/>
                <w:color w:val="auto"/>
              </w:rPr>
            </w:pPr>
            <w:r>
              <w:rPr>
                <w:rFonts w:ascii="Arial Narrow" w:cs="Arial Narrow" w:eastAsia="Arial Narrow" w:hAnsi="Arial Narrow"/>
                <w:sz w:val="18"/>
                <w:szCs w:val="18"/>
                <w:b w:val="1"/>
                <w:bCs w:val="1"/>
                <w:color w:val="auto"/>
              </w:rPr>
              <w:t>Total Number of</w:t>
            </w:r>
          </w:p>
        </w:tc>
        <w:tc>
          <w:tcPr>
            <w:tcW w:w="100" w:type="dxa"/>
            <w:vAlign w:val="bottom"/>
          </w:tcPr>
          <w:p>
            <w:pPr>
              <w:spacing w:after="0"/>
              <w:rPr>
                <w:sz w:val="17"/>
                <w:szCs w:val="17"/>
                <w:color w:val="auto"/>
              </w:rPr>
            </w:pPr>
          </w:p>
        </w:tc>
        <w:tc>
          <w:tcPr>
            <w:tcW w:w="1480" w:type="dxa"/>
            <w:vAlign w:val="bottom"/>
            <w:gridSpan w:val="2"/>
            <w:vMerge w:val="restart"/>
          </w:tcPr>
          <w:p>
            <w:pPr>
              <w:jc w:val="right"/>
              <w:ind w:right="2"/>
              <w:spacing w:after="0"/>
              <w:rPr>
                <w:sz w:val="20"/>
                <w:szCs w:val="20"/>
                <w:color w:val="auto"/>
              </w:rPr>
            </w:pPr>
            <w:r>
              <w:rPr>
                <w:rFonts w:ascii="Arial Narrow" w:cs="Arial Narrow" w:eastAsia="Arial Narrow" w:hAnsi="Arial Narrow"/>
                <w:sz w:val="18"/>
                <w:szCs w:val="18"/>
                <w:b w:val="1"/>
                <w:bCs w:val="1"/>
                <w:color w:val="auto"/>
              </w:rPr>
              <w:t>Average Price Paid</w:t>
            </w:r>
          </w:p>
        </w:tc>
        <w:tc>
          <w:tcPr>
            <w:tcW w:w="120" w:type="dxa"/>
            <w:vAlign w:val="bottom"/>
          </w:tcPr>
          <w:p>
            <w:pPr>
              <w:spacing w:after="0"/>
              <w:rPr>
                <w:sz w:val="17"/>
                <w:szCs w:val="17"/>
                <w:color w:val="auto"/>
              </w:rPr>
            </w:pPr>
          </w:p>
        </w:tc>
        <w:tc>
          <w:tcPr>
            <w:tcW w:w="1440" w:type="dxa"/>
            <w:vAlign w:val="bottom"/>
          </w:tcPr>
          <w:p>
            <w:pPr>
              <w:jc w:val="right"/>
              <w:ind w:right="6"/>
              <w:spacing w:after="0"/>
              <w:rPr>
                <w:sz w:val="20"/>
                <w:szCs w:val="20"/>
                <w:color w:val="auto"/>
              </w:rPr>
            </w:pPr>
            <w:r>
              <w:rPr>
                <w:rFonts w:ascii="Arial Narrow" w:cs="Arial Narrow" w:eastAsia="Arial Narrow" w:hAnsi="Arial Narrow"/>
                <w:sz w:val="18"/>
                <w:szCs w:val="18"/>
                <w:b w:val="1"/>
                <w:bCs w:val="1"/>
                <w:color w:val="auto"/>
              </w:rPr>
              <w:t>as Part of Publicly</w:t>
            </w:r>
          </w:p>
        </w:tc>
        <w:tc>
          <w:tcPr>
            <w:tcW w:w="120" w:type="dxa"/>
            <w:vAlign w:val="bottom"/>
          </w:tcPr>
          <w:p>
            <w:pPr>
              <w:spacing w:after="0"/>
              <w:rPr>
                <w:sz w:val="17"/>
                <w:szCs w:val="17"/>
                <w:color w:val="auto"/>
              </w:rPr>
            </w:pPr>
          </w:p>
        </w:tc>
        <w:tc>
          <w:tcPr>
            <w:tcW w:w="1440" w:type="dxa"/>
            <w:vAlign w:val="bottom"/>
          </w:tcPr>
          <w:p>
            <w:pPr>
              <w:jc w:val="right"/>
              <w:ind w:right="10"/>
              <w:spacing w:after="0"/>
              <w:rPr>
                <w:sz w:val="20"/>
                <w:szCs w:val="20"/>
                <w:color w:val="auto"/>
              </w:rPr>
            </w:pPr>
            <w:r>
              <w:rPr>
                <w:rFonts w:ascii="Arial Narrow" w:cs="Arial Narrow" w:eastAsia="Arial Narrow" w:hAnsi="Arial Narrow"/>
                <w:sz w:val="18"/>
                <w:szCs w:val="18"/>
                <w:b w:val="1"/>
                <w:bCs w:val="1"/>
                <w:color w:val="auto"/>
              </w:rPr>
              <w:t>Yet Be Purchased</w:t>
            </w:r>
          </w:p>
        </w:tc>
        <w:tc>
          <w:tcPr>
            <w:tcW w:w="0" w:type="dxa"/>
            <w:vAlign w:val="bottom"/>
          </w:tcPr>
          <w:p>
            <w:pPr>
              <w:spacing w:after="0"/>
              <w:rPr>
                <w:sz w:val="1"/>
                <w:szCs w:val="1"/>
                <w:color w:val="auto"/>
              </w:rPr>
            </w:pPr>
          </w:p>
        </w:tc>
      </w:tr>
      <w:tr>
        <w:trPr>
          <w:trHeight w:val="207"/>
        </w:trPr>
        <w:tc>
          <w:tcPr>
            <w:tcW w:w="3200" w:type="dxa"/>
            <w:vAlign w:val="bottom"/>
          </w:tcPr>
          <w:p>
            <w:pPr>
              <w:spacing w:after="0"/>
              <w:rPr>
                <w:sz w:val="17"/>
                <w:szCs w:val="17"/>
                <w:color w:val="auto"/>
              </w:rPr>
            </w:pPr>
          </w:p>
        </w:tc>
        <w:tc>
          <w:tcPr>
            <w:tcW w:w="14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ind w:right="6"/>
              <w:spacing w:after="0"/>
              <w:rPr>
                <w:sz w:val="20"/>
                <w:szCs w:val="20"/>
                <w:color w:val="auto"/>
              </w:rPr>
            </w:pPr>
            <w:r>
              <w:rPr>
                <w:rFonts w:ascii="Arial Narrow" w:cs="Arial Narrow" w:eastAsia="Arial Narrow" w:hAnsi="Arial Narrow"/>
                <w:sz w:val="18"/>
                <w:szCs w:val="18"/>
                <w:b w:val="1"/>
                <w:bCs w:val="1"/>
                <w:color w:val="auto"/>
              </w:rPr>
              <w:t>Announced Plans</w:t>
            </w:r>
          </w:p>
        </w:tc>
        <w:tc>
          <w:tcPr>
            <w:tcW w:w="120" w:type="dxa"/>
            <w:vAlign w:val="bottom"/>
          </w:tcPr>
          <w:p>
            <w:pPr>
              <w:spacing w:after="0"/>
              <w:rPr>
                <w:sz w:val="17"/>
                <w:szCs w:val="17"/>
                <w:color w:val="auto"/>
              </w:rPr>
            </w:pPr>
          </w:p>
        </w:tc>
        <w:tc>
          <w:tcPr>
            <w:tcW w:w="1440" w:type="dxa"/>
            <w:vAlign w:val="bottom"/>
          </w:tcPr>
          <w:p>
            <w:pPr>
              <w:jc w:val="right"/>
              <w:ind w:right="10"/>
              <w:spacing w:after="0"/>
              <w:rPr>
                <w:sz w:val="20"/>
                <w:szCs w:val="20"/>
                <w:color w:val="auto"/>
              </w:rPr>
            </w:pPr>
            <w:r>
              <w:rPr>
                <w:rFonts w:ascii="Arial Narrow" w:cs="Arial Narrow" w:eastAsia="Arial Narrow" w:hAnsi="Arial Narrow"/>
                <w:sz w:val="18"/>
                <w:szCs w:val="18"/>
                <w:b w:val="1"/>
                <w:bCs w:val="1"/>
                <w:color w:val="auto"/>
              </w:rPr>
              <w:t>Under the Plans</w:t>
            </w:r>
          </w:p>
        </w:tc>
        <w:tc>
          <w:tcPr>
            <w:tcW w:w="0" w:type="dxa"/>
            <w:vAlign w:val="bottom"/>
          </w:tcPr>
          <w:p>
            <w:pPr>
              <w:spacing w:after="0"/>
              <w:rPr>
                <w:sz w:val="1"/>
                <w:szCs w:val="1"/>
                <w:color w:val="auto"/>
              </w:rPr>
            </w:pPr>
          </w:p>
        </w:tc>
      </w:tr>
      <w:tr>
        <w:trPr>
          <w:trHeight w:val="254"/>
        </w:trPr>
        <w:tc>
          <w:tcPr>
            <w:tcW w:w="3200" w:type="dxa"/>
            <w:vAlign w:val="bottom"/>
          </w:tcPr>
          <w:p>
            <w:pPr>
              <w:spacing w:after="0"/>
              <w:rPr>
                <w:sz w:val="20"/>
                <w:szCs w:val="20"/>
                <w:color w:val="auto"/>
              </w:rPr>
            </w:pPr>
            <w:r>
              <w:rPr>
                <w:rFonts w:ascii="Arial Narrow" w:cs="Arial Narrow" w:eastAsia="Arial Narrow" w:hAnsi="Arial Narrow"/>
                <w:sz w:val="18"/>
                <w:szCs w:val="18"/>
                <w:b w:val="1"/>
                <w:bCs w:val="1"/>
                <w:color w:val="auto"/>
              </w:rPr>
              <w:t>Period</w:t>
            </w:r>
          </w:p>
        </w:tc>
        <w:tc>
          <w:tcPr>
            <w:tcW w:w="1460" w:type="dxa"/>
            <w:vAlign w:val="bottom"/>
          </w:tcPr>
          <w:p>
            <w:pPr>
              <w:jc w:val="right"/>
              <w:ind w:right="3"/>
              <w:spacing w:after="0"/>
              <w:rPr>
                <w:sz w:val="20"/>
                <w:szCs w:val="20"/>
                <w:color w:val="auto"/>
              </w:rPr>
            </w:pPr>
            <w:r>
              <w:rPr>
                <w:rFonts w:ascii="Arial Narrow" w:cs="Arial Narrow" w:eastAsia="Arial Narrow" w:hAnsi="Arial Narrow"/>
                <w:sz w:val="18"/>
                <w:szCs w:val="18"/>
                <w:b w:val="1"/>
                <w:bCs w:val="1"/>
                <w:color w:val="auto"/>
              </w:rPr>
              <w:t>Shares Purchased</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ind w:right="2"/>
              <w:spacing w:after="0"/>
              <w:rPr>
                <w:sz w:val="20"/>
                <w:szCs w:val="20"/>
                <w:color w:val="auto"/>
              </w:rPr>
            </w:pPr>
            <w:r>
              <w:rPr>
                <w:rFonts w:ascii="Arial Narrow" w:cs="Arial Narrow" w:eastAsia="Arial Narrow" w:hAnsi="Arial Narrow"/>
                <w:sz w:val="18"/>
                <w:szCs w:val="18"/>
                <w:b w:val="1"/>
                <w:bCs w:val="1"/>
                <w:color w:val="auto"/>
              </w:rPr>
              <w:t>Per Share</w:t>
            </w:r>
          </w:p>
        </w:tc>
        <w:tc>
          <w:tcPr>
            <w:tcW w:w="120" w:type="dxa"/>
            <w:vAlign w:val="bottom"/>
          </w:tcPr>
          <w:p>
            <w:pPr>
              <w:spacing w:after="0"/>
              <w:rPr>
                <w:sz w:val="22"/>
                <w:szCs w:val="22"/>
                <w:color w:val="auto"/>
              </w:rPr>
            </w:pPr>
          </w:p>
        </w:tc>
        <w:tc>
          <w:tcPr>
            <w:tcW w:w="1440" w:type="dxa"/>
            <w:vAlign w:val="bottom"/>
          </w:tcPr>
          <w:p>
            <w:pPr>
              <w:jc w:val="right"/>
              <w:ind w:right="6"/>
              <w:spacing w:after="0"/>
              <w:rPr>
                <w:sz w:val="20"/>
                <w:szCs w:val="20"/>
                <w:color w:val="auto"/>
              </w:rPr>
            </w:pPr>
            <w:r>
              <w:rPr>
                <w:rFonts w:ascii="Arial Narrow" w:cs="Arial Narrow" w:eastAsia="Arial Narrow" w:hAnsi="Arial Narrow"/>
                <w:sz w:val="18"/>
                <w:szCs w:val="18"/>
                <w:b w:val="1"/>
                <w:bCs w:val="1"/>
                <w:color w:val="auto"/>
              </w:rPr>
              <w:t>or Programs</w:t>
            </w:r>
          </w:p>
        </w:tc>
        <w:tc>
          <w:tcPr>
            <w:tcW w:w="120" w:type="dxa"/>
            <w:vAlign w:val="bottom"/>
          </w:tcPr>
          <w:p>
            <w:pPr>
              <w:spacing w:after="0"/>
              <w:rPr>
                <w:sz w:val="22"/>
                <w:szCs w:val="22"/>
                <w:color w:val="auto"/>
              </w:rPr>
            </w:pPr>
          </w:p>
        </w:tc>
        <w:tc>
          <w:tcPr>
            <w:tcW w:w="1440" w:type="dxa"/>
            <w:vAlign w:val="bottom"/>
          </w:tcPr>
          <w:p>
            <w:pPr>
              <w:jc w:val="right"/>
              <w:ind w:right="10"/>
              <w:spacing w:after="0"/>
              <w:rPr>
                <w:sz w:val="20"/>
                <w:szCs w:val="20"/>
                <w:color w:val="auto"/>
              </w:rPr>
            </w:pPr>
            <w:r>
              <w:rPr>
                <w:rFonts w:ascii="Arial Narrow" w:cs="Arial Narrow" w:eastAsia="Arial Narrow" w:hAnsi="Arial Narrow"/>
                <w:sz w:val="18"/>
                <w:szCs w:val="18"/>
                <w:b w:val="1"/>
                <w:bCs w:val="1"/>
                <w:color w:val="auto"/>
              </w:rPr>
              <w:t>or Programs</w:t>
            </w:r>
          </w:p>
        </w:tc>
        <w:tc>
          <w:tcPr>
            <w:tcW w:w="0" w:type="dxa"/>
            <w:vAlign w:val="bottom"/>
          </w:tcPr>
          <w:p>
            <w:pPr>
              <w:spacing w:after="0"/>
              <w:rPr>
                <w:sz w:val="1"/>
                <w:szCs w:val="1"/>
                <w:color w:val="auto"/>
              </w:rPr>
            </w:pPr>
          </w:p>
        </w:tc>
      </w:tr>
      <w:tr>
        <w:trPr>
          <w:trHeight w:val="46"/>
        </w:trPr>
        <w:tc>
          <w:tcPr>
            <w:tcW w:w="320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gridSpan w:val="2"/>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44"/>
        </w:trPr>
        <w:tc>
          <w:tcPr>
            <w:tcW w:w="3200" w:type="dxa"/>
            <w:vAlign w:val="bottom"/>
          </w:tcPr>
          <w:p>
            <w:pPr>
              <w:spacing w:after="0"/>
              <w:rPr>
                <w:sz w:val="20"/>
                <w:szCs w:val="20"/>
                <w:color w:val="auto"/>
              </w:rPr>
            </w:pPr>
            <w:r>
              <w:rPr>
                <w:rFonts w:ascii="Arial Narrow" w:cs="Arial Narrow" w:eastAsia="Arial Narrow" w:hAnsi="Arial Narrow"/>
                <w:sz w:val="20"/>
                <w:szCs w:val="20"/>
                <w:b w:val="1"/>
                <w:bCs w:val="1"/>
                <w:color w:val="00085E"/>
              </w:rPr>
              <w:t>January 1 through January 31, 2026</w:t>
            </w:r>
          </w:p>
        </w:tc>
        <w:tc>
          <w:tcPr>
            <w:tcW w:w="1460" w:type="dxa"/>
            <w:vAlign w:val="bottom"/>
          </w:tcPr>
          <w:p>
            <w:pPr>
              <w:jc w:val="right"/>
              <w:ind w:right="3"/>
              <w:spacing w:after="0"/>
              <w:rPr>
                <w:sz w:val="20"/>
                <w:szCs w:val="20"/>
                <w:color w:val="auto"/>
              </w:rPr>
            </w:pPr>
            <w:r>
              <w:rPr>
                <w:rFonts w:ascii="Arial Narrow" w:cs="Arial Narrow" w:eastAsia="Arial Narrow" w:hAnsi="Arial Narrow"/>
                <w:sz w:val="20"/>
                <w:szCs w:val="20"/>
                <w:color w:val="auto"/>
              </w:rPr>
              <w:t>155,239</w:t>
            </w:r>
          </w:p>
        </w:tc>
        <w:tc>
          <w:tcPr>
            <w:tcW w:w="500" w:type="dxa"/>
            <w:vAlign w:val="bottom"/>
            <w:gridSpan w:val="2"/>
          </w:tcPr>
          <w:p>
            <w:pPr>
              <w:jc w:val="right"/>
              <w:ind w:right="210"/>
              <w:spacing w:after="0"/>
              <w:rPr>
                <w:sz w:val="20"/>
                <w:szCs w:val="20"/>
                <w:color w:val="auto"/>
              </w:rPr>
            </w:pPr>
            <w:r>
              <w:rPr>
                <w:rFonts w:ascii="Arial Narrow" w:cs="Arial Narrow" w:eastAsia="Arial Narrow" w:hAnsi="Arial Narrow"/>
                <w:sz w:val="20"/>
                <w:szCs w:val="20"/>
                <w:color w:val="auto"/>
              </w:rPr>
              <w:t>$</w:t>
            </w:r>
          </w:p>
        </w:tc>
        <w:tc>
          <w:tcPr>
            <w:tcW w:w="1080" w:type="dxa"/>
            <w:vAlign w:val="bottom"/>
          </w:tcPr>
          <w:p>
            <w:pPr>
              <w:jc w:val="right"/>
              <w:ind w:right="2"/>
              <w:spacing w:after="0"/>
              <w:rPr>
                <w:sz w:val="20"/>
                <w:szCs w:val="20"/>
                <w:color w:val="auto"/>
              </w:rPr>
            </w:pPr>
            <w:r>
              <w:rPr>
                <w:rFonts w:ascii="Arial Narrow" w:cs="Arial Narrow" w:eastAsia="Arial Narrow" w:hAnsi="Arial Narrow"/>
                <w:sz w:val="20"/>
                <w:szCs w:val="20"/>
                <w:color w:val="auto"/>
              </w:rPr>
              <w:t>222.57</w:t>
            </w:r>
          </w:p>
        </w:tc>
        <w:tc>
          <w:tcPr>
            <w:tcW w:w="120" w:type="dxa"/>
            <w:vAlign w:val="bottom"/>
          </w:tcPr>
          <w:p>
            <w:pPr>
              <w:spacing w:after="0"/>
              <w:rPr>
                <w:sz w:val="24"/>
                <w:szCs w:val="24"/>
                <w:color w:val="auto"/>
              </w:rPr>
            </w:pPr>
          </w:p>
        </w:tc>
        <w:tc>
          <w:tcPr>
            <w:tcW w:w="1440" w:type="dxa"/>
            <w:vAlign w:val="bottom"/>
          </w:tcPr>
          <w:p>
            <w:pPr>
              <w:jc w:val="right"/>
              <w:ind w:right="6"/>
              <w:spacing w:after="0"/>
              <w:rPr>
                <w:sz w:val="20"/>
                <w:szCs w:val="20"/>
                <w:color w:val="auto"/>
              </w:rPr>
            </w:pPr>
            <w:r>
              <w:rPr>
                <w:rFonts w:ascii="Arial Narrow" w:cs="Arial Narrow" w:eastAsia="Arial Narrow" w:hAnsi="Arial Narrow"/>
                <w:sz w:val="20"/>
                <w:szCs w:val="20"/>
                <w:color w:val="auto"/>
              </w:rPr>
              <w:t>—</w:t>
            </w: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3200" w:type="dxa"/>
            <w:vAlign w:val="bottom"/>
            <w:tcBorders>
              <w:bottom w:val="single" w:sz="8" w:color="A6A6A6"/>
            </w:tcBorders>
          </w:tcPr>
          <w:p>
            <w:pPr>
              <w:spacing w:after="0"/>
              <w:rPr>
                <w:sz w:val="5"/>
                <w:szCs w:val="5"/>
                <w:color w:val="auto"/>
              </w:rPr>
            </w:pPr>
          </w:p>
        </w:tc>
        <w:tc>
          <w:tcPr>
            <w:tcW w:w="146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400" w:type="dxa"/>
            <w:vAlign w:val="bottom"/>
            <w:tcBorders>
              <w:bottom w:val="single" w:sz="8" w:color="A6A6A6"/>
            </w:tcBorders>
          </w:tcPr>
          <w:p>
            <w:pPr>
              <w:spacing w:after="0"/>
              <w:rPr>
                <w:sz w:val="5"/>
                <w:szCs w:val="5"/>
                <w:color w:val="auto"/>
              </w:rPr>
            </w:pPr>
          </w:p>
        </w:tc>
        <w:tc>
          <w:tcPr>
            <w:tcW w:w="108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144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144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3200" w:type="dxa"/>
            <w:vAlign w:val="bottom"/>
          </w:tcPr>
          <w:p>
            <w:pPr>
              <w:spacing w:after="0"/>
              <w:rPr>
                <w:sz w:val="20"/>
                <w:szCs w:val="20"/>
                <w:color w:val="auto"/>
              </w:rPr>
            </w:pPr>
            <w:r>
              <w:rPr>
                <w:rFonts w:ascii="Arial Narrow" w:cs="Arial Narrow" w:eastAsia="Arial Narrow" w:hAnsi="Arial Narrow"/>
                <w:sz w:val="20"/>
                <w:szCs w:val="20"/>
                <w:b w:val="1"/>
                <w:bCs w:val="1"/>
                <w:color w:val="00085E"/>
              </w:rPr>
              <w:t>February 1 through February 28, 2026</w:t>
            </w:r>
          </w:p>
        </w:tc>
        <w:tc>
          <w:tcPr>
            <w:tcW w:w="1460" w:type="dxa"/>
            <w:vAlign w:val="bottom"/>
          </w:tcPr>
          <w:p>
            <w:pPr>
              <w:jc w:val="right"/>
              <w:ind w:right="3"/>
              <w:spacing w:after="0"/>
              <w:rPr>
                <w:sz w:val="20"/>
                <w:szCs w:val="20"/>
                <w:color w:val="auto"/>
              </w:rPr>
            </w:pPr>
            <w:r>
              <w:rPr>
                <w:rFonts w:ascii="Arial Narrow" w:cs="Arial Narrow" w:eastAsia="Arial Narrow" w:hAnsi="Arial Narrow"/>
                <w:sz w:val="20"/>
                <w:szCs w:val="20"/>
                <w:color w:val="auto"/>
              </w:rPr>
              <w:t>55,000</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jc w:val="right"/>
              <w:ind w:right="2"/>
              <w:spacing w:after="0"/>
              <w:rPr>
                <w:sz w:val="20"/>
                <w:szCs w:val="20"/>
                <w:color w:val="auto"/>
              </w:rPr>
            </w:pPr>
            <w:r>
              <w:rPr>
                <w:rFonts w:ascii="Arial Narrow" w:cs="Arial Narrow" w:eastAsia="Arial Narrow" w:hAnsi="Arial Narrow"/>
                <w:sz w:val="20"/>
                <w:szCs w:val="20"/>
                <w:color w:val="auto"/>
              </w:rPr>
              <w:t>228.36</w:t>
            </w:r>
          </w:p>
        </w:tc>
        <w:tc>
          <w:tcPr>
            <w:tcW w:w="120" w:type="dxa"/>
            <w:vAlign w:val="bottom"/>
          </w:tcPr>
          <w:p>
            <w:pPr>
              <w:spacing w:after="0"/>
              <w:rPr>
                <w:sz w:val="24"/>
                <w:szCs w:val="24"/>
                <w:color w:val="auto"/>
              </w:rPr>
            </w:pPr>
          </w:p>
        </w:tc>
        <w:tc>
          <w:tcPr>
            <w:tcW w:w="1440" w:type="dxa"/>
            <w:vAlign w:val="bottom"/>
          </w:tcPr>
          <w:p>
            <w:pPr>
              <w:jc w:val="right"/>
              <w:ind w:right="6"/>
              <w:spacing w:after="0"/>
              <w:rPr>
                <w:sz w:val="20"/>
                <w:szCs w:val="20"/>
                <w:color w:val="auto"/>
              </w:rPr>
            </w:pPr>
            <w:r>
              <w:rPr>
                <w:rFonts w:ascii="Arial Narrow" w:cs="Arial Narrow" w:eastAsia="Arial Narrow" w:hAnsi="Arial Narrow"/>
                <w:sz w:val="20"/>
                <w:szCs w:val="20"/>
                <w:color w:val="auto"/>
              </w:rPr>
              <w:t>—</w:t>
            </w: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3200" w:type="dxa"/>
            <w:vAlign w:val="bottom"/>
            <w:tcBorders>
              <w:bottom w:val="single" w:sz="8" w:color="A6A6A6"/>
            </w:tcBorders>
          </w:tcPr>
          <w:p>
            <w:pPr>
              <w:spacing w:after="0"/>
              <w:rPr>
                <w:sz w:val="5"/>
                <w:szCs w:val="5"/>
                <w:color w:val="auto"/>
              </w:rPr>
            </w:pPr>
          </w:p>
        </w:tc>
        <w:tc>
          <w:tcPr>
            <w:tcW w:w="146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400" w:type="dxa"/>
            <w:vAlign w:val="bottom"/>
            <w:tcBorders>
              <w:bottom w:val="single" w:sz="8" w:color="A6A6A6"/>
            </w:tcBorders>
          </w:tcPr>
          <w:p>
            <w:pPr>
              <w:spacing w:after="0"/>
              <w:rPr>
                <w:sz w:val="5"/>
                <w:szCs w:val="5"/>
                <w:color w:val="auto"/>
              </w:rPr>
            </w:pPr>
          </w:p>
        </w:tc>
        <w:tc>
          <w:tcPr>
            <w:tcW w:w="108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144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144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3200" w:type="dxa"/>
            <w:vAlign w:val="bottom"/>
          </w:tcPr>
          <w:p>
            <w:pPr>
              <w:spacing w:after="0"/>
              <w:rPr>
                <w:sz w:val="20"/>
                <w:szCs w:val="20"/>
                <w:color w:val="auto"/>
              </w:rPr>
            </w:pPr>
            <w:r>
              <w:rPr>
                <w:rFonts w:ascii="Arial Narrow" w:cs="Arial Narrow" w:eastAsia="Arial Narrow" w:hAnsi="Arial Narrow"/>
                <w:sz w:val="20"/>
                <w:szCs w:val="20"/>
                <w:b w:val="1"/>
                <w:bCs w:val="1"/>
                <w:color w:val="00085E"/>
              </w:rPr>
              <w:t>March 1 through March 31, 2026</w:t>
            </w:r>
          </w:p>
        </w:tc>
        <w:tc>
          <w:tcPr>
            <w:tcW w:w="1460" w:type="dxa"/>
            <w:vAlign w:val="bottom"/>
          </w:tcPr>
          <w:p>
            <w:pPr>
              <w:jc w:val="right"/>
              <w:ind w:right="3"/>
              <w:spacing w:after="0"/>
              <w:rPr>
                <w:sz w:val="20"/>
                <w:szCs w:val="20"/>
                <w:color w:val="auto"/>
              </w:rPr>
            </w:pPr>
            <w:r>
              <w:rPr>
                <w:rFonts w:ascii="Arial Narrow" w:cs="Arial Narrow" w:eastAsia="Arial Narrow" w:hAnsi="Arial Narrow"/>
                <w:sz w:val="20"/>
                <w:szCs w:val="20"/>
                <w:color w:val="auto"/>
              </w:rPr>
              <w:t>127,500</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jc w:val="right"/>
              <w:ind w:right="2"/>
              <w:spacing w:after="0"/>
              <w:rPr>
                <w:sz w:val="20"/>
                <w:szCs w:val="20"/>
                <w:color w:val="auto"/>
              </w:rPr>
            </w:pPr>
            <w:r>
              <w:rPr>
                <w:rFonts w:ascii="Arial Narrow" w:cs="Arial Narrow" w:eastAsia="Arial Narrow" w:hAnsi="Arial Narrow"/>
                <w:sz w:val="20"/>
                <w:szCs w:val="20"/>
                <w:color w:val="auto"/>
              </w:rPr>
              <w:t>191.49</w:t>
            </w:r>
          </w:p>
        </w:tc>
        <w:tc>
          <w:tcPr>
            <w:tcW w:w="120" w:type="dxa"/>
            <w:vAlign w:val="bottom"/>
          </w:tcPr>
          <w:p>
            <w:pPr>
              <w:spacing w:after="0"/>
              <w:rPr>
                <w:sz w:val="24"/>
                <w:szCs w:val="24"/>
                <w:color w:val="auto"/>
              </w:rPr>
            </w:pPr>
          </w:p>
        </w:tc>
        <w:tc>
          <w:tcPr>
            <w:tcW w:w="1440" w:type="dxa"/>
            <w:vAlign w:val="bottom"/>
          </w:tcPr>
          <w:p>
            <w:pPr>
              <w:jc w:val="right"/>
              <w:ind w:right="6"/>
              <w:spacing w:after="0"/>
              <w:rPr>
                <w:sz w:val="20"/>
                <w:szCs w:val="20"/>
                <w:color w:val="auto"/>
              </w:rPr>
            </w:pPr>
            <w:r>
              <w:rPr>
                <w:rFonts w:ascii="Arial Narrow" w:cs="Arial Narrow" w:eastAsia="Arial Narrow" w:hAnsi="Arial Narrow"/>
                <w:sz w:val="20"/>
                <w:szCs w:val="20"/>
                <w:color w:val="auto"/>
              </w:rPr>
              <w:t>—</w:t>
            </w: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3200" w:type="dxa"/>
            <w:vAlign w:val="bottom"/>
            <w:tcBorders>
              <w:bottom w:val="single" w:sz="8" w:color="A6A6A6"/>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4"/>
        </w:trPr>
        <w:tc>
          <w:tcPr>
            <w:tcW w:w="3200" w:type="dxa"/>
            <w:vAlign w:val="bottom"/>
          </w:tcPr>
          <w:p>
            <w:pPr>
              <w:ind w:left="200"/>
              <w:spacing w:after="0"/>
              <w:rPr>
                <w:sz w:val="20"/>
                <w:szCs w:val="20"/>
                <w:color w:val="auto"/>
              </w:rPr>
            </w:pPr>
            <w:r>
              <w:rPr>
                <w:rFonts w:ascii="Arial Narrow" w:cs="Arial Narrow" w:eastAsia="Arial Narrow" w:hAnsi="Arial Narrow"/>
                <w:sz w:val="20"/>
                <w:szCs w:val="20"/>
                <w:b w:val="1"/>
                <w:bCs w:val="1"/>
                <w:color w:val="auto"/>
              </w:rPr>
              <w:t>Quarter 4 Totals</w:t>
            </w:r>
          </w:p>
        </w:tc>
        <w:tc>
          <w:tcPr>
            <w:tcW w:w="1460" w:type="dxa"/>
            <w:vAlign w:val="bottom"/>
          </w:tcPr>
          <w:p>
            <w:pPr>
              <w:jc w:val="right"/>
              <w:ind w:right="3"/>
              <w:spacing w:after="0"/>
              <w:rPr>
                <w:sz w:val="20"/>
                <w:szCs w:val="20"/>
                <w:color w:val="auto"/>
              </w:rPr>
            </w:pPr>
            <w:r>
              <w:rPr>
                <w:rFonts w:ascii="Arial Narrow" w:cs="Arial Narrow" w:eastAsia="Arial Narrow" w:hAnsi="Arial Narrow"/>
                <w:sz w:val="20"/>
                <w:szCs w:val="20"/>
                <w:b w:val="1"/>
                <w:bCs w:val="1"/>
                <w:color w:val="auto"/>
              </w:rPr>
              <w:t>337,739</w:t>
            </w:r>
          </w:p>
        </w:tc>
        <w:tc>
          <w:tcPr>
            <w:tcW w:w="500" w:type="dxa"/>
            <w:vAlign w:val="bottom"/>
            <w:gridSpan w:val="2"/>
          </w:tcPr>
          <w:p>
            <w:pPr>
              <w:jc w:val="right"/>
              <w:ind w:right="210"/>
              <w:spacing w:after="0"/>
              <w:rPr>
                <w:sz w:val="20"/>
                <w:szCs w:val="20"/>
                <w:color w:val="auto"/>
              </w:rPr>
            </w:pPr>
            <w:r>
              <w:rPr>
                <w:rFonts w:ascii="Arial Narrow" w:cs="Arial Narrow" w:eastAsia="Arial Narrow" w:hAnsi="Arial Narrow"/>
                <w:sz w:val="20"/>
                <w:szCs w:val="20"/>
                <w:b w:val="1"/>
                <w:bCs w:val="1"/>
                <w:color w:val="auto"/>
              </w:rPr>
              <w:t>$</w:t>
            </w:r>
          </w:p>
        </w:tc>
        <w:tc>
          <w:tcPr>
            <w:tcW w:w="1080" w:type="dxa"/>
            <w:vAlign w:val="bottom"/>
          </w:tcPr>
          <w:p>
            <w:pPr>
              <w:jc w:val="right"/>
              <w:ind w:right="2"/>
              <w:spacing w:after="0"/>
              <w:rPr>
                <w:sz w:val="20"/>
                <w:szCs w:val="20"/>
                <w:color w:val="auto"/>
              </w:rPr>
            </w:pPr>
            <w:r>
              <w:rPr>
                <w:rFonts w:ascii="Arial Narrow" w:cs="Arial Narrow" w:eastAsia="Arial Narrow" w:hAnsi="Arial Narrow"/>
                <w:sz w:val="20"/>
                <w:szCs w:val="20"/>
                <w:b w:val="1"/>
                <w:bCs w:val="1"/>
                <w:color w:val="auto"/>
              </w:rPr>
              <w:t>211.78</w:t>
            </w:r>
          </w:p>
        </w:tc>
        <w:tc>
          <w:tcPr>
            <w:tcW w:w="120" w:type="dxa"/>
            <w:vAlign w:val="bottom"/>
          </w:tcPr>
          <w:p>
            <w:pPr>
              <w:spacing w:after="0"/>
              <w:rPr>
                <w:sz w:val="24"/>
                <w:szCs w:val="24"/>
                <w:color w:val="auto"/>
              </w:rPr>
            </w:pPr>
          </w:p>
        </w:tc>
        <w:tc>
          <w:tcPr>
            <w:tcW w:w="1440" w:type="dxa"/>
            <w:vAlign w:val="bottom"/>
          </w:tcPr>
          <w:p>
            <w:pPr>
              <w:jc w:val="right"/>
              <w:ind w:right="6"/>
              <w:spacing w:after="0"/>
              <w:rPr>
                <w:sz w:val="20"/>
                <w:szCs w:val="20"/>
                <w:color w:val="auto"/>
              </w:rPr>
            </w:pPr>
            <w:r>
              <w:rPr>
                <w:rFonts w:ascii="Arial Narrow" w:cs="Arial Narrow" w:eastAsia="Arial Narrow" w:hAnsi="Arial Narrow"/>
                <w:sz w:val="20"/>
                <w:szCs w:val="20"/>
                <w:b w:val="1"/>
                <w:bCs w:val="1"/>
                <w:color w:val="auto"/>
              </w:rPr>
              <w:t>—</w:t>
            </w:r>
          </w:p>
        </w:tc>
        <w:tc>
          <w:tcPr>
            <w:tcW w:w="1560" w:type="dxa"/>
            <w:vAlign w:val="bottom"/>
            <w:gridSpan w:val="2"/>
          </w:tcPr>
          <w:p>
            <w:pPr>
              <w:jc w:val="right"/>
              <w:ind w:right="10"/>
              <w:spacing w:after="0"/>
              <w:rPr>
                <w:sz w:val="20"/>
                <w:szCs w:val="20"/>
                <w:color w:val="auto"/>
              </w:rPr>
            </w:pPr>
            <w:r>
              <w:rPr>
                <w:rFonts w:ascii="Arial Narrow" w:cs="Arial Narrow" w:eastAsia="Arial Narrow" w:hAnsi="Arial Narrow"/>
                <w:sz w:val="20"/>
                <w:szCs w:val="20"/>
                <w:b w:val="1"/>
                <w:bCs w:val="1"/>
                <w:color w:val="auto"/>
              </w:rPr>
              <w:t>2,929,872</w:t>
            </w:r>
          </w:p>
        </w:tc>
        <w:tc>
          <w:tcPr>
            <w:tcW w:w="0" w:type="dxa"/>
            <w:vAlign w:val="bottom"/>
          </w:tcPr>
          <w:p>
            <w:pPr>
              <w:spacing w:after="0"/>
              <w:rPr>
                <w:sz w:val="1"/>
                <w:szCs w:val="1"/>
                <w:color w:val="auto"/>
              </w:rPr>
            </w:pPr>
          </w:p>
        </w:tc>
      </w:tr>
      <w:tr>
        <w:trPr>
          <w:trHeight w:val="65"/>
        </w:trPr>
        <w:tc>
          <w:tcPr>
            <w:tcW w:w="3200" w:type="dxa"/>
            <w:vAlign w:val="bottom"/>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8" w:lineRule="exact"/>
        <w:rPr>
          <w:sz w:val="20"/>
          <w:szCs w:val="20"/>
          <w:color w:val="auto"/>
        </w:rPr>
      </w:pPr>
    </w:p>
    <w:p>
      <w:pPr>
        <w:spacing w:after="0"/>
        <w:rPr>
          <w:sz w:val="20"/>
          <w:szCs w:val="20"/>
          <w:color w:val="auto"/>
        </w:rPr>
      </w:pPr>
      <w:r>
        <w:rPr>
          <w:rFonts w:ascii="Arial" w:cs="Arial" w:eastAsia="Arial" w:hAnsi="Arial"/>
          <w:sz w:val="20"/>
          <w:szCs w:val="20"/>
          <w:color w:val="auto"/>
        </w:rPr>
        <w:t>We did not have any sales of unregistered equity securities during fiscal years 2026, 2025, or 2024.</w:t>
      </w:r>
    </w:p>
    <w:p>
      <w:pPr>
        <w:sectPr>
          <w:pgSz w:w="11880" w:h="15480" w:orient="portrait"/>
          <w:cols w:equalWidth="0" w:num="1">
            <w:col w:w="9360"/>
          </w:cols>
          <w:pgMar w:left="1260" w:top="1201"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48</w:t>
      </w:r>
    </w:p>
    <w:p>
      <w:pPr>
        <w:sectPr>
          <w:pgSz w:w="11880" w:h="15480" w:orient="portrait"/>
          <w:cols w:equalWidth="0" w:num="1">
            <w:col w:w="9360"/>
          </w:cols>
          <w:pgMar w:left="1260" w:top="1201" w:right="1260" w:bottom="0" w:gutter="0" w:footer="0" w:header="0"/>
          <w:type w:val="continuous"/>
        </w:sectPr>
      </w:pPr>
    </w:p>
    <w:bookmarkStart w:id="56" w:name="page57"/>
    <w:bookmarkEnd w:id="56"/>
    <w:p>
      <w:pPr>
        <w:ind w:right="680"/>
        <w:spacing w:after="0" w:line="325" w:lineRule="auto"/>
        <w:rPr>
          <w:sz w:val="20"/>
          <w:szCs w:val="20"/>
          <w:color w:val="auto"/>
        </w:rPr>
      </w:pPr>
      <w:r>
        <w:rPr>
          <w:rFonts w:ascii="Arial" w:cs="Arial" w:eastAsia="Arial" w:hAnsi="Arial"/>
          <w:sz w:val="20"/>
          <w:szCs w:val="20"/>
          <w:color w:val="auto"/>
        </w:rPr>
        <w:t>The Equity Compensation Plan information set forth in Part III, Item 12 of this Form 10-K is hereby incorporated by reference into this Part II, Item 5.</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color w:val="00085E"/>
        </w:rPr>
        <w:t>PERFORMANCE GRAPH</w:t>
      </w:r>
    </w:p>
    <w:p>
      <w:pPr>
        <w:spacing w:after="0" w:line="163" w:lineRule="exact"/>
        <w:rPr>
          <w:sz w:val="20"/>
          <w:szCs w:val="20"/>
          <w:color w:val="auto"/>
        </w:rPr>
      </w:pPr>
    </w:p>
    <w:p>
      <w:pPr>
        <w:ind w:right="160"/>
        <w:spacing w:after="0" w:line="316" w:lineRule="auto"/>
        <w:rPr>
          <w:sz w:val="20"/>
          <w:szCs w:val="20"/>
          <w:color w:val="auto"/>
        </w:rPr>
      </w:pPr>
      <w:r>
        <w:rPr>
          <w:rFonts w:ascii="Arial" w:cs="Arial" w:eastAsia="Arial" w:hAnsi="Arial"/>
          <w:sz w:val="19"/>
          <w:szCs w:val="19"/>
          <w:color w:val="00085E"/>
        </w:rPr>
        <w:t>The following performance graph and related information shall not be deemed soliciting material or to be filed with the Securities and Exchange Commission, nor shall such information be incorporated by reference into any future filing under the Securities Act or the Securities Exchange Act, each as amended, except to the extent that the Company specifically incorporates it by reference into such filing.</w:t>
      </w:r>
    </w:p>
    <w:p>
      <w:pPr>
        <w:spacing w:after="0" w:line="49" w:lineRule="exact"/>
        <w:rPr>
          <w:sz w:val="20"/>
          <w:szCs w:val="20"/>
          <w:color w:val="auto"/>
        </w:rPr>
      </w:pPr>
    </w:p>
    <w:p>
      <w:pPr>
        <w:ind w:right="160"/>
        <w:spacing w:after="0" w:line="292" w:lineRule="auto"/>
        <w:rPr>
          <w:sz w:val="20"/>
          <w:szCs w:val="20"/>
          <w:color w:val="auto"/>
        </w:rPr>
      </w:pPr>
      <w:r>
        <w:rPr>
          <w:rFonts w:ascii="Arial" w:cs="Arial" w:eastAsia="Arial" w:hAnsi="Arial"/>
          <w:sz w:val="20"/>
          <w:szCs w:val="20"/>
          <w:color w:val="auto"/>
        </w:rPr>
        <w:t>The graph below compares the cumulative 5-year total return to holders of Eagle Materials Inc. common stock with the cumulative total returns of the Russell 1000 Index and the Dow Jones U.S. Building Materials &amp; Fixtures Index. The graph assumes that the value of the investment (including the reinvestment of dividends) in the Company’s common stock and in each of the indexes was $100 on March 31, 2021, and tracks it through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113665</wp:posOffset>
            </wp:positionV>
            <wp:extent cx="5124450" cy="42576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7">
                      <a:extLst>
                        <a:ext uri="{28A0092B-C50C-407E-A947-70E740481C1C}"/>
                      </a:extLst>
                    </a:blip>
                    <a:srcRect/>
                    <a:stretch>
                      <a:fillRect/>
                    </a:stretch>
                  </pic:blipFill>
                  <pic:spPr bwMode="auto">
                    <a:xfrm>
                      <a:off x="0" y="0"/>
                      <a:ext cx="5124450" cy="4257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3760" w:type="dxa"/>
            <w:vAlign w:val="bottom"/>
          </w:tcPr>
          <w:p>
            <w:pPr>
              <w:spacing w:after="0"/>
              <w:rPr>
                <w:sz w:val="22"/>
                <w:szCs w:val="22"/>
                <w:color w:val="auto"/>
              </w:rPr>
            </w:pPr>
          </w:p>
        </w:tc>
        <w:tc>
          <w:tcPr>
            <w:tcW w:w="940" w:type="dxa"/>
            <w:vAlign w:val="bottom"/>
          </w:tcPr>
          <w:p>
            <w:pPr>
              <w:jc w:val="right"/>
              <w:ind w:right="143"/>
              <w:spacing w:after="0"/>
              <w:rPr>
                <w:sz w:val="20"/>
                <w:szCs w:val="20"/>
                <w:color w:val="auto"/>
              </w:rPr>
            </w:pPr>
            <w:r>
              <w:rPr>
                <w:rFonts w:ascii="Arial Narrow" w:cs="Arial Narrow" w:eastAsia="Arial Narrow" w:hAnsi="Arial Narrow"/>
                <w:sz w:val="18"/>
                <w:szCs w:val="18"/>
                <w:b w:val="1"/>
                <w:bCs w:val="1"/>
                <w:color w:val="auto"/>
              </w:rPr>
              <w:t>3/21</w:t>
            </w:r>
          </w:p>
        </w:tc>
        <w:tc>
          <w:tcPr>
            <w:tcW w:w="960" w:type="dxa"/>
            <w:vAlign w:val="bottom"/>
          </w:tcPr>
          <w:p>
            <w:pPr>
              <w:jc w:val="right"/>
              <w:ind w:right="143"/>
              <w:spacing w:after="0"/>
              <w:rPr>
                <w:sz w:val="20"/>
                <w:szCs w:val="20"/>
                <w:color w:val="auto"/>
              </w:rPr>
            </w:pPr>
            <w:r>
              <w:rPr>
                <w:rFonts w:ascii="Arial Narrow" w:cs="Arial Narrow" w:eastAsia="Arial Narrow" w:hAnsi="Arial Narrow"/>
                <w:sz w:val="18"/>
                <w:szCs w:val="18"/>
                <w:b w:val="1"/>
                <w:bCs w:val="1"/>
                <w:color w:val="auto"/>
              </w:rPr>
              <w:t>3/22</w:t>
            </w:r>
          </w:p>
        </w:tc>
        <w:tc>
          <w:tcPr>
            <w:tcW w:w="960" w:type="dxa"/>
            <w:vAlign w:val="bottom"/>
          </w:tcPr>
          <w:p>
            <w:pPr>
              <w:jc w:val="right"/>
              <w:ind w:right="143"/>
              <w:spacing w:after="0"/>
              <w:rPr>
                <w:sz w:val="20"/>
                <w:szCs w:val="20"/>
                <w:color w:val="auto"/>
              </w:rPr>
            </w:pPr>
            <w:r>
              <w:rPr>
                <w:rFonts w:ascii="Arial Narrow" w:cs="Arial Narrow" w:eastAsia="Arial Narrow" w:hAnsi="Arial Narrow"/>
                <w:sz w:val="18"/>
                <w:szCs w:val="18"/>
                <w:b w:val="1"/>
                <w:bCs w:val="1"/>
                <w:color w:val="auto"/>
              </w:rPr>
              <w:t>3/23</w:t>
            </w:r>
          </w:p>
        </w:tc>
        <w:tc>
          <w:tcPr>
            <w:tcW w:w="960" w:type="dxa"/>
            <w:vAlign w:val="bottom"/>
          </w:tcPr>
          <w:p>
            <w:pPr>
              <w:jc w:val="right"/>
              <w:ind w:right="143"/>
              <w:spacing w:after="0"/>
              <w:rPr>
                <w:sz w:val="20"/>
                <w:szCs w:val="20"/>
                <w:color w:val="auto"/>
              </w:rPr>
            </w:pPr>
            <w:r>
              <w:rPr>
                <w:rFonts w:ascii="Arial Narrow" w:cs="Arial Narrow" w:eastAsia="Arial Narrow" w:hAnsi="Arial Narrow"/>
                <w:sz w:val="18"/>
                <w:szCs w:val="18"/>
                <w:b w:val="1"/>
                <w:bCs w:val="1"/>
                <w:color w:val="auto"/>
              </w:rPr>
              <w:t>3/24</w:t>
            </w:r>
          </w:p>
        </w:tc>
        <w:tc>
          <w:tcPr>
            <w:tcW w:w="960" w:type="dxa"/>
            <w:vAlign w:val="bottom"/>
          </w:tcPr>
          <w:p>
            <w:pPr>
              <w:jc w:val="right"/>
              <w:ind w:right="143"/>
              <w:spacing w:after="0"/>
              <w:rPr>
                <w:sz w:val="20"/>
                <w:szCs w:val="20"/>
                <w:color w:val="auto"/>
              </w:rPr>
            </w:pPr>
            <w:r>
              <w:rPr>
                <w:rFonts w:ascii="Arial Narrow" w:cs="Arial Narrow" w:eastAsia="Arial Narrow" w:hAnsi="Arial Narrow"/>
                <w:sz w:val="18"/>
                <w:szCs w:val="18"/>
                <w:b w:val="1"/>
                <w:bCs w:val="1"/>
                <w:color w:val="auto"/>
              </w:rPr>
              <w:t>3/25</w:t>
            </w:r>
          </w:p>
        </w:tc>
        <w:tc>
          <w:tcPr>
            <w:tcW w:w="820" w:type="dxa"/>
            <w:vAlign w:val="bottom"/>
          </w:tcPr>
          <w:p>
            <w:pPr>
              <w:jc w:val="right"/>
              <w:ind w:right="3"/>
              <w:spacing w:after="0"/>
              <w:rPr>
                <w:sz w:val="20"/>
                <w:szCs w:val="20"/>
                <w:color w:val="auto"/>
              </w:rPr>
            </w:pPr>
            <w:r>
              <w:rPr>
                <w:rFonts w:ascii="Arial Narrow" w:cs="Arial Narrow" w:eastAsia="Arial Narrow" w:hAnsi="Arial Narrow"/>
                <w:sz w:val="18"/>
                <w:szCs w:val="18"/>
                <w:b w:val="1"/>
                <w:bCs w:val="1"/>
                <w:color w:val="auto"/>
              </w:rPr>
              <w:t>3/26</w:t>
            </w:r>
          </w:p>
        </w:tc>
      </w:tr>
      <w:tr>
        <w:trPr>
          <w:trHeight w:val="46"/>
        </w:trPr>
        <w:tc>
          <w:tcPr>
            <w:tcW w:w="37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344"/>
        </w:trPr>
        <w:tc>
          <w:tcPr>
            <w:tcW w:w="3760" w:type="dxa"/>
            <w:vAlign w:val="bottom"/>
          </w:tcPr>
          <w:p>
            <w:pPr>
              <w:spacing w:after="0"/>
              <w:rPr>
                <w:sz w:val="20"/>
                <w:szCs w:val="20"/>
                <w:color w:val="auto"/>
              </w:rPr>
            </w:pPr>
            <w:r>
              <w:rPr>
                <w:rFonts w:ascii="Arial Narrow" w:cs="Arial Narrow" w:eastAsia="Arial Narrow" w:hAnsi="Arial Narrow"/>
                <w:sz w:val="20"/>
                <w:szCs w:val="20"/>
                <w:b w:val="1"/>
                <w:bCs w:val="1"/>
                <w:color w:val="00085E"/>
              </w:rPr>
              <w:t>Eagle Materials Inc.</w:t>
            </w:r>
          </w:p>
        </w:tc>
        <w:tc>
          <w:tcPr>
            <w:tcW w:w="940" w:type="dxa"/>
            <w:vAlign w:val="bottom"/>
          </w:tcPr>
          <w:p>
            <w:pPr>
              <w:jc w:val="right"/>
              <w:ind w:right="143"/>
              <w:spacing w:after="0"/>
              <w:rPr>
                <w:sz w:val="20"/>
                <w:szCs w:val="20"/>
                <w:color w:val="auto"/>
              </w:rPr>
            </w:pPr>
            <w:r>
              <w:rPr>
                <w:rFonts w:ascii="Arial Narrow" w:cs="Arial Narrow" w:eastAsia="Arial Narrow" w:hAnsi="Arial Narrow"/>
                <w:sz w:val="20"/>
                <w:szCs w:val="20"/>
                <w:color w:val="auto"/>
              </w:rPr>
              <w:t>100.00</w:t>
            </w:r>
          </w:p>
        </w:tc>
        <w:tc>
          <w:tcPr>
            <w:tcW w:w="960" w:type="dxa"/>
            <w:vAlign w:val="bottom"/>
          </w:tcPr>
          <w:p>
            <w:pPr>
              <w:jc w:val="right"/>
              <w:ind w:right="143"/>
              <w:spacing w:after="0"/>
              <w:rPr>
                <w:sz w:val="20"/>
                <w:szCs w:val="20"/>
                <w:color w:val="auto"/>
              </w:rPr>
            </w:pPr>
            <w:r>
              <w:rPr>
                <w:rFonts w:ascii="Arial Narrow" w:cs="Arial Narrow" w:eastAsia="Arial Narrow" w:hAnsi="Arial Narrow"/>
                <w:sz w:val="20"/>
                <w:szCs w:val="20"/>
                <w:color w:val="auto"/>
              </w:rPr>
              <w:t>96.18</w:t>
            </w:r>
          </w:p>
        </w:tc>
        <w:tc>
          <w:tcPr>
            <w:tcW w:w="960" w:type="dxa"/>
            <w:vAlign w:val="bottom"/>
          </w:tcPr>
          <w:p>
            <w:pPr>
              <w:jc w:val="right"/>
              <w:ind w:right="143"/>
              <w:spacing w:after="0"/>
              <w:rPr>
                <w:sz w:val="20"/>
                <w:szCs w:val="20"/>
                <w:color w:val="auto"/>
              </w:rPr>
            </w:pPr>
            <w:r>
              <w:rPr>
                <w:rFonts w:ascii="Arial Narrow" w:cs="Arial Narrow" w:eastAsia="Arial Narrow" w:hAnsi="Arial Narrow"/>
                <w:sz w:val="20"/>
                <w:szCs w:val="20"/>
                <w:color w:val="auto"/>
              </w:rPr>
              <w:t>110.83</w:t>
            </w:r>
          </w:p>
        </w:tc>
        <w:tc>
          <w:tcPr>
            <w:tcW w:w="960" w:type="dxa"/>
            <w:vAlign w:val="bottom"/>
          </w:tcPr>
          <w:p>
            <w:pPr>
              <w:jc w:val="right"/>
              <w:ind w:right="143"/>
              <w:spacing w:after="0"/>
              <w:rPr>
                <w:sz w:val="20"/>
                <w:szCs w:val="20"/>
                <w:color w:val="auto"/>
              </w:rPr>
            </w:pPr>
            <w:r>
              <w:rPr>
                <w:rFonts w:ascii="Arial Narrow" w:cs="Arial Narrow" w:eastAsia="Arial Narrow" w:hAnsi="Arial Narrow"/>
                <w:sz w:val="20"/>
                <w:szCs w:val="20"/>
                <w:color w:val="auto"/>
              </w:rPr>
              <w:t>206.29</w:t>
            </w:r>
          </w:p>
        </w:tc>
        <w:tc>
          <w:tcPr>
            <w:tcW w:w="960" w:type="dxa"/>
            <w:vAlign w:val="bottom"/>
          </w:tcPr>
          <w:p>
            <w:pPr>
              <w:jc w:val="right"/>
              <w:ind w:right="143"/>
              <w:spacing w:after="0"/>
              <w:rPr>
                <w:sz w:val="20"/>
                <w:szCs w:val="20"/>
                <w:color w:val="auto"/>
              </w:rPr>
            </w:pPr>
            <w:r>
              <w:rPr>
                <w:rFonts w:ascii="Arial Narrow" w:cs="Arial Narrow" w:eastAsia="Arial Narrow" w:hAnsi="Arial Narrow"/>
                <w:sz w:val="20"/>
                <w:szCs w:val="20"/>
                <w:color w:val="auto"/>
              </w:rPr>
              <w:t>169.16</w:t>
            </w:r>
          </w:p>
        </w:tc>
        <w:tc>
          <w:tcPr>
            <w:tcW w:w="820" w:type="dxa"/>
            <w:vAlign w:val="bottom"/>
          </w:tcPr>
          <w:p>
            <w:pPr>
              <w:jc w:val="right"/>
              <w:ind w:right="3"/>
              <w:spacing w:after="0"/>
              <w:rPr>
                <w:sz w:val="20"/>
                <w:szCs w:val="20"/>
                <w:color w:val="auto"/>
              </w:rPr>
            </w:pPr>
            <w:r>
              <w:rPr>
                <w:rFonts w:ascii="Arial Narrow" w:cs="Arial Narrow" w:eastAsia="Arial Narrow" w:hAnsi="Arial Narrow"/>
                <w:sz w:val="20"/>
                <w:szCs w:val="20"/>
                <w:color w:val="auto"/>
              </w:rPr>
              <w:t>145.10</w:t>
            </w:r>
          </w:p>
        </w:tc>
      </w:tr>
      <w:tr>
        <w:trPr>
          <w:trHeight w:val="65"/>
        </w:trPr>
        <w:tc>
          <w:tcPr>
            <w:tcW w:w="3760" w:type="dxa"/>
            <w:vAlign w:val="bottom"/>
            <w:tcBorders>
              <w:bottom w:val="single" w:sz="8" w:color="A6A6A6"/>
            </w:tcBorders>
          </w:tcPr>
          <w:p>
            <w:pPr>
              <w:spacing w:after="0"/>
              <w:rPr>
                <w:sz w:val="5"/>
                <w:szCs w:val="5"/>
                <w:color w:val="auto"/>
              </w:rPr>
            </w:pPr>
          </w:p>
        </w:tc>
        <w:tc>
          <w:tcPr>
            <w:tcW w:w="940" w:type="dxa"/>
            <w:vAlign w:val="bottom"/>
            <w:tcBorders>
              <w:bottom w:val="single" w:sz="8" w:color="A6A6A6"/>
            </w:tcBorders>
          </w:tcPr>
          <w:p>
            <w:pPr>
              <w:spacing w:after="0"/>
              <w:rPr>
                <w:sz w:val="5"/>
                <w:szCs w:val="5"/>
                <w:color w:val="auto"/>
              </w:rPr>
            </w:pPr>
          </w:p>
        </w:tc>
        <w:tc>
          <w:tcPr>
            <w:tcW w:w="960" w:type="dxa"/>
            <w:vAlign w:val="bottom"/>
            <w:tcBorders>
              <w:bottom w:val="single" w:sz="8" w:color="A6A6A6"/>
            </w:tcBorders>
          </w:tcPr>
          <w:p>
            <w:pPr>
              <w:spacing w:after="0"/>
              <w:rPr>
                <w:sz w:val="5"/>
                <w:szCs w:val="5"/>
                <w:color w:val="auto"/>
              </w:rPr>
            </w:pPr>
          </w:p>
        </w:tc>
        <w:tc>
          <w:tcPr>
            <w:tcW w:w="960" w:type="dxa"/>
            <w:vAlign w:val="bottom"/>
            <w:tcBorders>
              <w:bottom w:val="single" w:sz="8" w:color="A6A6A6"/>
            </w:tcBorders>
          </w:tcPr>
          <w:p>
            <w:pPr>
              <w:spacing w:after="0"/>
              <w:rPr>
                <w:sz w:val="5"/>
                <w:szCs w:val="5"/>
                <w:color w:val="auto"/>
              </w:rPr>
            </w:pPr>
          </w:p>
        </w:tc>
        <w:tc>
          <w:tcPr>
            <w:tcW w:w="960" w:type="dxa"/>
            <w:vAlign w:val="bottom"/>
            <w:tcBorders>
              <w:bottom w:val="single" w:sz="8" w:color="A6A6A6"/>
            </w:tcBorders>
          </w:tcPr>
          <w:p>
            <w:pPr>
              <w:spacing w:after="0"/>
              <w:rPr>
                <w:sz w:val="5"/>
                <w:szCs w:val="5"/>
                <w:color w:val="auto"/>
              </w:rPr>
            </w:pPr>
          </w:p>
        </w:tc>
        <w:tc>
          <w:tcPr>
            <w:tcW w:w="960" w:type="dxa"/>
            <w:vAlign w:val="bottom"/>
            <w:tcBorders>
              <w:bottom w:val="single" w:sz="8" w:color="A6A6A6"/>
            </w:tcBorders>
          </w:tcPr>
          <w:p>
            <w:pPr>
              <w:spacing w:after="0"/>
              <w:rPr>
                <w:sz w:val="5"/>
                <w:szCs w:val="5"/>
                <w:color w:val="auto"/>
              </w:rPr>
            </w:pPr>
          </w:p>
        </w:tc>
        <w:tc>
          <w:tcPr>
            <w:tcW w:w="820" w:type="dxa"/>
            <w:vAlign w:val="bottom"/>
            <w:tcBorders>
              <w:bottom w:val="single" w:sz="8" w:color="A6A6A6"/>
            </w:tcBorders>
          </w:tcPr>
          <w:p>
            <w:pPr>
              <w:spacing w:after="0"/>
              <w:rPr>
                <w:sz w:val="5"/>
                <w:szCs w:val="5"/>
                <w:color w:val="auto"/>
              </w:rPr>
            </w:pPr>
          </w:p>
        </w:tc>
      </w:tr>
      <w:tr>
        <w:trPr>
          <w:trHeight w:val="339"/>
        </w:trPr>
        <w:tc>
          <w:tcPr>
            <w:tcW w:w="3760" w:type="dxa"/>
            <w:vAlign w:val="bottom"/>
          </w:tcPr>
          <w:p>
            <w:pPr>
              <w:spacing w:after="0"/>
              <w:rPr>
                <w:sz w:val="20"/>
                <w:szCs w:val="20"/>
                <w:color w:val="auto"/>
              </w:rPr>
            </w:pPr>
            <w:r>
              <w:rPr>
                <w:rFonts w:ascii="Arial Narrow" w:cs="Arial Narrow" w:eastAsia="Arial Narrow" w:hAnsi="Arial Narrow"/>
                <w:sz w:val="20"/>
                <w:szCs w:val="20"/>
                <w:b w:val="1"/>
                <w:bCs w:val="1"/>
                <w:color w:val="00085E"/>
              </w:rPr>
              <w:t>Russell 1000</w:t>
            </w:r>
          </w:p>
        </w:tc>
        <w:tc>
          <w:tcPr>
            <w:tcW w:w="940" w:type="dxa"/>
            <w:vAlign w:val="bottom"/>
          </w:tcPr>
          <w:p>
            <w:pPr>
              <w:jc w:val="right"/>
              <w:ind w:right="143"/>
              <w:spacing w:after="0"/>
              <w:rPr>
                <w:sz w:val="20"/>
                <w:szCs w:val="20"/>
                <w:color w:val="auto"/>
              </w:rPr>
            </w:pPr>
            <w:r>
              <w:rPr>
                <w:rFonts w:ascii="Arial Narrow" w:cs="Arial Narrow" w:eastAsia="Arial Narrow" w:hAnsi="Arial Narrow"/>
                <w:sz w:val="20"/>
                <w:szCs w:val="20"/>
                <w:color w:val="auto"/>
              </w:rPr>
              <w:t>100.00</w:t>
            </w:r>
          </w:p>
        </w:tc>
        <w:tc>
          <w:tcPr>
            <w:tcW w:w="960" w:type="dxa"/>
            <w:vAlign w:val="bottom"/>
          </w:tcPr>
          <w:p>
            <w:pPr>
              <w:jc w:val="right"/>
              <w:ind w:right="143"/>
              <w:spacing w:after="0"/>
              <w:rPr>
                <w:sz w:val="20"/>
                <w:szCs w:val="20"/>
                <w:color w:val="auto"/>
              </w:rPr>
            </w:pPr>
            <w:r>
              <w:rPr>
                <w:rFonts w:ascii="Arial Narrow" w:cs="Arial Narrow" w:eastAsia="Arial Narrow" w:hAnsi="Arial Narrow"/>
                <w:sz w:val="20"/>
                <w:szCs w:val="20"/>
                <w:color w:val="auto"/>
              </w:rPr>
              <w:t>113.27</w:t>
            </w:r>
          </w:p>
        </w:tc>
        <w:tc>
          <w:tcPr>
            <w:tcW w:w="960" w:type="dxa"/>
            <w:vAlign w:val="bottom"/>
          </w:tcPr>
          <w:p>
            <w:pPr>
              <w:jc w:val="right"/>
              <w:ind w:right="143"/>
              <w:spacing w:after="0"/>
              <w:rPr>
                <w:sz w:val="20"/>
                <w:szCs w:val="20"/>
                <w:color w:val="auto"/>
              </w:rPr>
            </w:pPr>
            <w:r>
              <w:rPr>
                <w:rFonts w:ascii="Arial Narrow" w:cs="Arial Narrow" w:eastAsia="Arial Narrow" w:hAnsi="Arial Narrow"/>
                <w:sz w:val="20"/>
                <w:szCs w:val="20"/>
                <w:color w:val="auto"/>
              </w:rPr>
              <w:t>103.76</w:t>
            </w:r>
          </w:p>
        </w:tc>
        <w:tc>
          <w:tcPr>
            <w:tcW w:w="960" w:type="dxa"/>
            <w:vAlign w:val="bottom"/>
          </w:tcPr>
          <w:p>
            <w:pPr>
              <w:jc w:val="right"/>
              <w:ind w:right="143"/>
              <w:spacing w:after="0"/>
              <w:rPr>
                <w:sz w:val="20"/>
                <w:szCs w:val="20"/>
                <w:color w:val="auto"/>
              </w:rPr>
            </w:pPr>
            <w:r>
              <w:rPr>
                <w:rFonts w:ascii="Arial Narrow" w:cs="Arial Narrow" w:eastAsia="Arial Narrow" w:hAnsi="Arial Narrow"/>
                <w:sz w:val="20"/>
                <w:szCs w:val="20"/>
                <w:color w:val="auto"/>
              </w:rPr>
              <w:t>134.75</w:t>
            </w:r>
          </w:p>
        </w:tc>
        <w:tc>
          <w:tcPr>
            <w:tcW w:w="960" w:type="dxa"/>
            <w:vAlign w:val="bottom"/>
          </w:tcPr>
          <w:p>
            <w:pPr>
              <w:jc w:val="right"/>
              <w:ind w:right="143"/>
              <w:spacing w:after="0"/>
              <w:rPr>
                <w:sz w:val="20"/>
                <w:szCs w:val="20"/>
                <w:color w:val="auto"/>
              </w:rPr>
            </w:pPr>
            <w:r>
              <w:rPr>
                <w:rFonts w:ascii="Arial Narrow" w:cs="Arial Narrow" w:eastAsia="Arial Narrow" w:hAnsi="Arial Narrow"/>
                <w:sz w:val="20"/>
                <w:szCs w:val="20"/>
                <w:color w:val="auto"/>
              </w:rPr>
              <w:t>145.29</w:t>
            </w:r>
          </w:p>
        </w:tc>
        <w:tc>
          <w:tcPr>
            <w:tcW w:w="820" w:type="dxa"/>
            <w:vAlign w:val="bottom"/>
          </w:tcPr>
          <w:p>
            <w:pPr>
              <w:jc w:val="right"/>
              <w:ind w:right="3"/>
              <w:spacing w:after="0"/>
              <w:rPr>
                <w:sz w:val="20"/>
                <w:szCs w:val="20"/>
                <w:color w:val="auto"/>
              </w:rPr>
            </w:pPr>
            <w:r>
              <w:rPr>
                <w:rFonts w:ascii="Arial Narrow" w:cs="Arial Narrow" w:eastAsia="Arial Narrow" w:hAnsi="Arial Narrow"/>
                <w:sz w:val="20"/>
                <w:szCs w:val="20"/>
                <w:color w:val="auto"/>
              </w:rPr>
              <w:t>171.07</w:t>
            </w:r>
          </w:p>
        </w:tc>
      </w:tr>
      <w:tr>
        <w:trPr>
          <w:trHeight w:val="65"/>
        </w:trPr>
        <w:tc>
          <w:tcPr>
            <w:tcW w:w="3760" w:type="dxa"/>
            <w:vAlign w:val="bottom"/>
            <w:tcBorders>
              <w:bottom w:val="single" w:sz="8" w:color="A6A6A6"/>
            </w:tcBorders>
          </w:tcPr>
          <w:p>
            <w:pPr>
              <w:spacing w:after="0"/>
              <w:rPr>
                <w:sz w:val="5"/>
                <w:szCs w:val="5"/>
                <w:color w:val="auto"/>
              </w:rPr>
            </w:pPr>
          </w:p>
        </w:tc>
        <w:tc>
          <w:tcPr>
            <w:tcW w:w="940" w:type="dxa"/>
            <w:vAlign w:val="bottom"/>
            <w:tcBorders>
              <w:bottom w:val="single" w:sz="8" w:color="A6A6A6"/>
            </w:tcBorders>
          </w:tcPr>
          <w:p>
            <w:pPr>
              <w:spacing w:after="0"/>
              <w:rPr>
                <w:sz w:val="5"/>
                <w:szCs w:val="5"/>
                <w:color w:val="auto"/>
              </w:rPr>
            </w:pPr>
          </w:p>
        </w:tc>
        <w:tc>
          <w:tcPr>
            <w:tcW w:w="960" w:type="dxa"/>
            <w:vAlign w:val="bottom"/>
            <w:tcBorders>
              <w:bottom w:val="single" w:sz="8" w:color="A6A6A6"/>
            </w:tcBorders>
          </w:tcPr>
          <w:p>
            <w:pPr>
              <w:spacing w:after="0"/>
              <w:rPr>
                <w:sz w:val="5"/>
                <w:szCs w:val="5"/>
                <w:color w:val="auto"/>
              </w:rPr>
            </w:pPr>
          </w:p>
        </w:tc>
        <w:tc>
          <w:tcPr>
            <w:tcW w:w="960" w:type="dxa"/>
            <w:vAlign w:val="bottom"/>
            <w:tcBorders>
              <w:bottom w:val="single" w:sz="8" w:color="A6A6A6"/>
            </w:tcBorders>
          </w:tcPr>
          <w:p>
            <w:pPr>
              <w:spacing w:after="0"/>
              <w:rPr>
                <w:sz w:val="5"/>
                <w:szCs w:val="5"/>
                <w:color w:val="auto"/>
              </w:rPr>
            </w:pPr>
          </w:p>
        </w:tc>
        <w:tc>
          <w:tcPr>
            <w:tcW w:w="960" w:type="dxa"/>
            <w:vAlign w:val="bottom"/>
            <w:tcBorders>
              <w:bottom w:val="single" w:sz="8" w:color="A6A6A6"/>
            </w:tcBorders>
          </w:tcPr>
          <w:p>
            <w:pPr>
              <w:spacing w:after="0"/>
              <w:rPr>
                <w:sz w:val="5"/>
                <w:szCs w:val="5"/>
                <w:color w:val="auto"/>
              </w:rPr>
            </w:pPr>
          </w:p>
        </w:tc>
        <w:tc>
          <w:tcPr>
            <w:tcW w:w="960" w:type="dxa"/>
            <w:vAlign w:val="bottom"/>
            <w:tcBorders>
              <w:bottom w:val="single" w:sz="8" w:color="A6A6A6"/>
            </w:tcBorders>
          </w:tcPr>
          <w:p>
            <w:pPr>
              <w:spacing w:after="0"/>
              <w:rPr>
                <w:sz w:val="5"/>
                <w:szCs w:val="5"/>
                <w:color w:val="auto"/>
              </w:rPr>
            </w:pPr>
          </w:p>
        </w:tc>
        <w:tc>
          <w:tcPr>
            <w:tcW w:w="820" w:type="dxa"/>
            <w:vAlign w:val="bottom"/>
            <w:tcBorders>
              <w:bottom w:val="single" w:sz="8" w:color="A6A6A6"/>
            </w:tcBorders>
          </w:tcPr>
          <w:p>
            <w:pPr>
              <w:spacing w:after="0"/>
              <w:rPr>
                <w:sz w:val="5"/>
                <w:szCs w:val="5"/>
                <w:color w:val="auto"/>
              </w:rPr>
            </w:pPr>
          </w:p>
        </w:tc>
      </w:tr>
      <w:tr>
        <w:trPr>
          <w:trHeight w:val="339"/>
        </w:trPr>
        <w:tc>
          <w:tcPr>
            <w:tcW w:w="3760" w:type="dxa"/>
            <w:vAlign w:val="bottom"/>
          </w:tcPr>
          <w:p>
            <w:pPr>
              <w:spacing w:after="0"/>
              <w:rPr>
                <w:sz w:val="20"/>
                <w:szCs w:val="20"/>
                <w:color w:val="auto"/>
              </w:rPr>
            </w:pPr>
            <w:r>
              <w:rPr>
                <w:rFonts w:ascii="Arial Narrow" w:cs="Arial Narrow" w:eastAsia="Arial Narrow" w:hAnsi="Arial Narrow"/>
                <w:sz w:val="20"/>
                <w:szCs w:val="20"/>
                <w:b w:val="1"/>
                <w:bCs w:val="1"/>
                <w:color w:val="00085E"/>
              </w:rPr>
              <w:t>Dow Jones U.S. Building Materials &amp; Fixtures</w:t>
            </w:r>
          </w:p>
        </w:tc>
        <w:tc>
          <w:tcPr>
            <w:tcW w:w="940" w:type="dxa"/>
            <w:vAlign w:val="bottom"/>
          </w:tcPr>
          <w:p>
            <w:pPr>
              <w:jc w:val="right"/>
              <w:ind w:right="143"/>
              <w:spacing w:after="0"/>
              <w:rPr>
                <w:sz w:val="20"/>
                <w:szCs w:val="20"/>
                <w:color w:val="auto"/>
              </w:rPr>
            </w:pPr>
            <w:r>
              <w:rPr>
                <w:rFonts w:ascii="Arial Narrow" w:cs="Arial Narrow" w:eastAsia="Arial Narrow" w:hAnsi="Arial Narrow"/>
                <w:sz w:val="20"/>
                <w:szCs w:val="20"/>
                <w:color w:val="auto"/>
              </w:rPr>
              <w:t>100.00</w:t>
            </w:r>
          </w:p>
        </w:tc>
        <w:tc>
          <w:tcPr>
            <w:tcW w:w="960" w:type="dxa"/>
            <w:vAlign w:val="bottom"/>
          </w:tcPr>
          <w:p>
            <w:pPr>
              <w:jc w:val="right"/>
              <w:ind w:right="143"/>
              <w:spacing w:after="0"/>
              <w:rPr>
                <w:sz w:val="20"/>
                <w:szCs w:val="20"/>
                <w:color w:val="auto"/>
              </w:rPr>
            </w:pPr>
            <w:r>
              <w:rPr>
                <w:rFonts w:ascii="Arial Narrow" w:cs="Arial Narrow" w:eastAsia="Arial Narrow" w:hAnsi="Arial Narrow"/>
                <w:sz w:val="20"/>
                <w:szCs w:val="20"/>
                <w:color w:val="auto"/>
              </w:rPr>
              <w:t>103.14</w:t>
            </w:r>
          </w:p>
        </w:tc>
        <w:tc>
          <w:tcPr>
            <w:tcW w:w="960" w:type="dxa"/>
            <w:vAlign w:val="bottom"/>
          </w:tcPr>
          <w:p>
            <w:pPr>
              <w:jc w:val="right"/>
              <w:ind w:right="143"/>
              <w:spacing w:after="0"/>
              <w:rPr>
                <w:sz w:val="20"/>
                <w:szCs w:val="20"/>
                <w:color w:val="auto"/>
              </w:rPr>
            </w:pPr>
            <w:r>
              <w:rPr>
                <w:rFonts w:ascii="Arial Narrow" w:cs="Arial Narrow" w:eastAsia="Arial Narrow" w:hAnsi="Arial Narrow"/>
                <w:sz w:val="20"/>
                <w:szCs w:val="20"/>
                <w:color w:val="auto"/>
              </w:rPr>
              <w:t>98.24</w:t>
            </w:r>
          </w:p>
        </w:tc>
        <w:tc>
          <w:tcPr>
            <w:tcW w:w="960" w:type="dxa"/>
            <w:vAlign w:val="bottom"/>
          </w:tcPr>
          <w:p>
            <w:pPr>
              <w:jc w:val="right"/>
              <w:ind w:right="143"/>
              <w:spacing w:after="0"/>
              <w:rPr>
                <w:sz w:val="20"/>
                <w:szCs w:val="20"/>
                <w:color w:val="auto"/>
              </w:rPr>
            </w:pPr>
            <w:r>
              <w:rPr>
                <w:rFonts w:ascii="Arial Narrow" w:cs="Arial Narrow" w:eastAsia="Arial Narrow" w:hAnsi="Arial Narrow"/>
                <w:sz w:val="20"/>
                <w:szCs w:val="20"/>
                <w:color w:val="auto"/>
              </w:rPr>
              <w:t>152.30</w:t>
            </w:r>
          </w:p>
        </w:tc>
        <w:tc>
          <w:tcPr>
            <w:tcW w:w="960" w:type="dxa"/>
            <w:vAlign w:val="bottom"/>
          </w:tcPr>
          <w:p>
            <w:pPr>
              <w:jc w:val="right"/>
              <w:ind w:right="143"/>
              <w:spacing w:after="0"/>
              <w:rPr>
                <w:sz w:val="20"/>
                <w:szCs w:val="20"/>
                <w:color w:val="auto"/>
              </w:rPr>
            </w:pPr>
            <w:r>
              <w:rPr>
                <w:rFonts w:ascii="Arial Narrow" w:cs="Arial Narrow" w:eastAsia="Arial Narrow" w:hAnsi="Arial Narrow"/>
                <w:sz w:val="20"/>
                <w:szCs w:val="20"/>
                <w:color w:val="auto"/>
              </w:rPr>
              <w:t>148.89</w:t>
            </w:r>
          </w:p>
        </w:tc>
        <w:tc>
          <w:tcPr>
            <w:tcW w:w="820" w:type="dxa"/>
            <w:vAlign w:val="bottom"/>
          </w:tcPr>
          <w:p>
            <w:pPr>
              <w:jc w:val="right"/>
              <w:ind w:right="3"/>
              <w:spacing w:after="0"/>
              <w:rPr>
                <w:sz w:val="20"/>
                <w:szCs w:val="20"/>
                <w:color w:val="auto"/>
              </w:rPr>
            </w:pPr>
            <w:r>
              <w:rPr>
                <w:rFonts w:ascii="Arial Narrow" w:cs="Arial Narrow" w:eastAsia="Arial Narrow" w:hAnsi="Arial Narrow"/>
                <w:sz w:val="20"/>
                <w:szCs w:val="20"/>
                <w:color w:val="auto"/>
              </w:rPr>
              <w:t>164.98</w:t>
            </w:r>
          </w:p>
        </w:tc>
      </w:tr>
      <w:tr>
        <w:trPr>
          <w:trHeight w:val="65"/>
        </w:trPr>
        <w:tc>
          <w:tcPr>
            <w:tcW w:w="3760" w:type="dxa"/>
            <w:vAlign w:val="bottom"/>
            <w:tcBorders>
              <w:bottom w:val="single" w:sz="8" w:color="A6A6A6"/>
            </w:tcBorders>
          </w:tcPr>
          <w:p>
            <w:pPr>
              <w:spacing w:after="0"/>
              <w:rPr>
                <w:sz w:val="5"/>
                <w:szCs w:val="5"/>
                <w:color w:val="auto"/>
              </w:rPr>
            </w:pPr>
          </w:p>
        </w:tc>
        <w:tc>
          <w:tcPr>
            <w:tcW w:w="940" w:type="dxa"/>
            <w:vAlign w:val="bottom"/>
            <w:tcBorders>
              <w:bottom w:val="single" w:sz="8" w:color="A6A6A6"/>
            </w:tcBorders>
          </w:tcPr>
          <w:p>
            <w:pPr>
              <w:spacing w:after="0"/>
              <w:rPr>
                <w:sz w:val="5"/>
                <w:szCs w:val="5"/>
                <w:color w:val="auto"/>
              </w:rPr>
            </w:pPr>
          </w:p>
        </w:tc>
        <w:tc>
          <w:tcPr>
            <w:tcW w:w="960" w:type="dxa"/>
            <w:vAlign w:val="bottom"/>
            <w:tcBorders>
              <w:bottom w:val="single" w:sz="8" w:color="A6A6A6"/>
            </w:tcBorders>
          </w:tcPr>
          <w:p>
            <w:pPr>
              <w:spacing w:after="0"/>
              <w:rPr>
                <w:sz w:val="5"/>
                <w:szCs w:val="5"/>
                <w:color w:val="auto"/>
              </w:rPr>
            </w:pPr>
          </w:p>
        </w:tc>
        <w:tc>
          <w:tcPr>
            <w:tcW w:w="960" w:type="dxa"/>
            <w:vAlign w:val="bottom"/>
            <w:tcBorders>
              <w:bottom w:val="single" w:sz="8" w:color="A6A6A6"/>
            </w:tcBorders>
          </w:tcPr>
          <w:p>
            <w:pPr>
              <w:spacing w:after="0"/>
              <w:rPr>
                <w:sz w:val="5"/>
                <w:szCs w:val="5"/>
                <w:color w:val="auto"/>
              </w:rPr>
            </w:pPr>
          </w:p>
        </w:tc>
        <w:tc>
          <w:tcPr>
            <w:tcW w:w="960" w:type="dxa"/>
            <w:vAlign w:val="bottom"/>
            <w:tcBorders>
              <w:bottom w:val="single" w:sz="8" w:color="A6A6A6"/>
            </w:tcBorders>
          </w:tcPr>
          <w:p>
            <w:pPr>
              <w:spacing w:after="0"/>
              <w:rPr>
                <w:sz w:val="5"/>
                <w:szCs w:val="5"/>
                <w:color w:val="auto"/>
              </w:rPr>
            </w:pPr>
          </w:p>
        </w:tc>
        <w:tc>
          <w:tcPr>
            <w:tcW w:w="960" w:type="dxa"/>
            <w:vAlign w:val="bottom"/>
            <w:tcBorders>
              <w:bottom w:val="single" w:sz="8" w:color="A6A6A6"/>
            </w:tcBorders>
          </w:tcPr>
          <w:p>
            <w:pPr>
              <w:spacing w:after="0"/>
              <w:rPr>
                <w:sz w:val="5"/>
                <w:szCs w:val="5"/>
                <w:color w:val="auto"/>
              </w:rPr>
            </w:pPr>
          </w:p>
        </w:tc>
        <w:tc>
          <w:tcPr>
            <w:tcW w:w="820" w:type="dxa"/>
            <w:vAlign w:val="bottom"/>
            <w:tcBorders>
              <w:bottom w:val="single" w:sz="8" w:color="A6A6A6"/>
            </w:tcBorders>
          </w:tcPr>
          <w:p>
            <w:pPr>
              <w:spacing w:after="0"/>
              <w:rPr>
                <w:sz w:val="5"/>
                <w:szCs w:val="5"/>
                <w:color w:val="auto"/>
              </w:rPr>
            </w:pPr>
          </w:p>
        </w:tc>
      </w:tr>
    </w:tbl>
    <w:p>
      <w:pPr>
        <w:spacing w:after="0" w:line="136" w:lineRule="exact"/>
        <w:rPr>
          <w:sz w:val="20"/>
          <w:szCs w:val="20"/>
          <w:color w:val="auto"/>
        </w:rPr>
      </w:pPr>
    </w:p>
    <w:p>
      <w:pPr>
        <w:ind w:right="600"/>
        <w:spacing w:after="0" w:line="316" w:lineRule="auto"/>
        <w:rPr>
          <w:sz w:val="20"/>
          <w:szCs w:val="20"/>
          <w:color w:val="auto"/>
        </w:rPr>
      </w:pPr>
      <w:r>
        <w:rPr>
          <w:rFonts w:ascii="Arial" w:cs="Arial" w:eastAsia="Arial" w:hAnsi="Arial"/>
          <w:sz w:val="20"/>
          <w:szCs w:val="20"/>
          <w:i w:val="1"/>
          <w:iCs w:val="1"/>
          <w:color w:val="auto"/>
        </w:rPr>
        <w:t>The stock price performance included in this graph is not necessarily indicative of future stock price performance.</w:t>
      </w:r>
    </w:p>
    <w:p>
      <w:pPr>
        <w:sectPr>
          <w:pgSz w:w="11880" w:h="15480" w:orient="portrait"/>
          <w:cols w:equalWidth="0" w:num="1">
            <w:col w:w="9360"/>
          </w:cols>
          <w:pgMar w:left="1260" w:top="1267" w:right="1260" w:bottom="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49</w:t>
      </w:r>
    </w:p>
    <w:p>
      <w:pPr>
        <w:sectPr>
          <w:pgSz w:w="11880" w:h="15480" w:orient="portrait"/>
          <w:cols w:equalWidth="0" w:num="1">
            <w:col w:w="9360"/>
          </w:cols>
          <w:pgMar w:left="1260" w:top="1267" w:right="1260" w:bottom="0" w:gutter="0" w:footer="0" w:header="0"/>
          <w:type w:val="continuous"/>
        </w:sectPr>
      </w:pPr>
    </w:p>
    <w:bookmarkStart w:id="57" w:name="page58"/>
    <w:bookmarkEnd w:id="57"/>
    <w:p>
      <w:pPr>
        <w:spacing w:after="0"/>
        <w:rPr>
          <w:sz w:val="20"/>
          <w:szCs w:val="20"/>
          <w:color w:val="auto"/>
        </w:rPr>
      </w:pPr>
      <w:r>
        <w:rPr>
          <w:rFonts w:ascii="Arial" w:cs="Arial" w:eastAsia="Arial" w:hAnsi="Arial"/>
          <w:sz w:val="26"/>
          <w:szCs w:val="26"/>
          <w:b w:val="1"/>
          <w:bCs w:val="1"/>
          <w:color w:val="auto"/>
        </w:rPr>
        <w:t>ITEM 6.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5943600" cy="127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8">
                      <a:extLst>
                        <a:ext uri="{28A0092B-C50C-407E-A947-70E740481C1C}"/>
                      </a:extLst>
                    </a:blip>
                    <a:srcRect/>
                    <a:stretch>
                      <a:fillRect/>
                    </a:stretch>
                  </pic:blipFill>
                  <pic:spPr bwMode="auto">
                    <a:xfrm>
                      <a:off x="0" y="0"/>
                      <a:ext cx="5943600" cy="1270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Not required.</w:t>
      </w:r>
    </w:p>
    <w:p>
      <w:pPr>
        <w:spacing w:after="0" w:line="215" w:lineRule="exact"/>
        <w:rPr>
          <w:sz w:val="20"/>
          <w:szCs w:val="20"/>
          <w:color w:val="auto"/>
        </w:rPr>
      </w:pPr>
    </w:p>
    <w:p>
      <w:pPr>
        <w:ind w:right="60"/>
        <w:spacing w:after="0" w:line="274" w:lineRule="auto"/>
        <w:rPr>
          <w:sz w:val="20"/>
          <w:szCs w:val="20"/>
          <w:color w:val="auto"/>
        </w:rPr>
      </w:pPr>
      <w:r>
        <w:rPr>
          <w:rFonts w:ascii="Arial" w:cs="Arial" w:eastAsia="Arial" w:hAnsi="Arial"/>
          <w:sz w:val="26"/>
          <w:szCs w:val="26"/>
          <w:b w:val="1"/>
          <w:bCs w:val="1"/>
          <w:color w:val="auto"/>
        </w:rPr>
        <w:t>ITEM 7.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-40005</wp:posOffset>
            </wp:positionV>
            <wp:extent cx="5943600" cy="127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9">
                      <a:extLst>
                        <a:ext uri="{28A0092B-C50C-407E-A947-70E740481C1C}"/>
                      </a:extLst>
                    </a:blip>
                    <a:srcRect/>
                    <a:stretch>
                      <a:fillRect/>
                    </a:stretch>
                  </pic:blipFill>
                  <pic:spPr bwMode="auto">
                    <a:xfrm>
                      <a:off x="0" y="0"/>
                      <a:ext cx="5943600" cy="12700"/>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00085E"/>
        </w:rPr>
        <w:t>EXECUTIVE SUMMARY</w:t>
      </w:r>
    </w:p>
    <w:p>
      <w:pPr>
        <w:spacing w:after="0" w:line="163" w:lineRule="exact"/>
        <w:rPr>
          <w:sz w:val="20"/>
          <w:szCs w:val="20"/>
          <w:color w:val="auto"/>
        </w:rPr>
      </w:pPr>
    </w:p>
    <w:p>
      <w:pPr>
        <w:spacing w:after="0" w:line="288" w:lineRule="auto"/>
        <w:rPr>
          <w:sz w:val="20"/>
          <w:szCs w:val="20"/>
          <w:color w:val="auto"/>
        </w:rPr>
      </w:pPr>
      <w:r>
        <w:rPr>
          <w:rFonts w:ascii="Arial" w:cs="Arial" w:eastAsia="Arial" w:hAnsi="Arial"/>
          <w:sz w:val="20"/>
          <w:szCs w:val="20"/>
          <w:color w:val="auto"/>
        </w:rPr>
        <w:t>We are a leading U.S. manufacturer of heavy construction products and light building materials. Our primary products, cement and gypsum wallboard, are essential for building, expanding, and repairing roads, highways, and residential, commercial, and industrial structures across America. Headquartered in Dallas, Texas, Eagle manufactures and sells its products through a network of more than 70 facilities spanning 21 states. Demand for our products is generally cyclical and seasonal, depending on economic and geographic conditions. General economic downturns or localized downturns in the regions where we have operations may have a material adverse effect on our business, financial condition, and results of operations.</w:t>
      </w:r>
    </w:p>
    <w:p>
      <w:pPr>
        <w:spacing w:after="0" w:line="72" w:lineRule="exact"/>
        <w:rPr>
          <w:sz w:val="20"/>
          <w:szCs w:val="20"/>
          <w:color w:val="auto"/>
        </w:rPr>
      </w:pPr>
    </w:p>
    <w:p>
      <w:pPr>
        <w:ind w:right="60"/>
        <w:spacing w:after="0" w:line="292" w:lineRule="auto"/>
        <w:rPr>
          <w:sz w:val="20"/>
          <w:szCs w:val="20"/>
          <w:color w:val="auto"/>
        </w:rPr>
      </w:pPr>
      <w:r>
        <w:rPr>
          <w:rFonts w:ascii="Arial" w:cs="Arial" w:eastAsia="Arial" w:hAnsi="Arial"/>
          <w:sz w:val="20"/>
          <w:szCs w:val="20"/>
          <w:color w:val="auto"/>
        </w:rPr>
        <w:t>Our business is organized into two sectors: Heavy Materials, which includes the Cement and Concrete and Aggregates segments; and Light Materials, which includes the Gypsum Wallboard and Recycled Paperboard segments. Financial results and other information for the fiscal years ended March 31, 2026, and 2025, are presented on a consolidated basis and by business segment. The relative contribution to fiscal 2026 earnings by segment is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238125</wp:posOffset>
            </wp:positionV>
            <wp:extent cx="4889500" cy="26092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0">
                      <a:extLst>
                        <a:ext uri="{28A0092B-C50C-407E-A947-70E740481C1C}"/>
                      </a:extLst>
                    </a:blip>
                    <a:srcRect/>
                    <a:stretch>
                      <a:fillRect/>
                    </a:stretch>
                  </pic:blipFill>
                  <pic:spPr bwMode="auto">
                    <a:xfrm>
                      <a:off x="0" y="0"/>
                      <a:ext cx="4889500" cy="2609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line="290" w:lineRule="auto"/>
        <w:rPr>
          <w:sz w:val="20"/>
          <w:szCs w:val="20"/>
          <w:color w:val="auto"/>
        </w:rPr>
      </w:pPr>
      <w:r>
        <w:rPr>
          <w:rFonts w:ascii="Arial" w:cs="Arial" w:eastAsia="Arial" w:hAnsi="Arial"/>
          <w:sz w:val="20"/>
          <w:szCs w:val="20"/>
          <w:color w:val="auto"/>
        </w:rPr>
        <w:t>We conduct one of our cement operations through a Joint Venture, Texas Lehigh Cement Company LP, which is located in Buda, Texas. We own a 50% interest in the Joint Venture and account for our interest under the equity method of accounting. We proportionately consolidate our 50% share of the Joint Venture’s Revenue and Operating Earnings in the presentation of our Cement segment, which is the way management organizes financial information with respect to the segments within the Company for making operating decisions and assessing performance.</w:t>
      </w:r>
    </w:p>
    <w:p>
      <w:pPr>
        <w:sectPr>
          <w:pgSz w:w="11880" w:h="15480" w:orient="portrait"/>
          <w:cols w:equalWidth="0" w:num="1">
            <w:col w:w="9320"/>
          </w:cols>
          <w:pgMar w:left="1260" w:top="1201"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50</w:t>
      </w:r>
    </w:p>
    <w:p>
      <w:pPr>
        <w:sectPr>
          <w:pgSz w:w="11880" w:h="15480" w:orient="portrait"/>
          <w:cols w:equalWidth="0" w:num="1">
            <w:col w:w="9320"/>
          </w:cols>
          <w:pgMar w:left="1260" w:top="1201" w:right="1300" w:bottom="0" w:gutter="0" w:footer="0" w:header="0"/>
          <w:type w:val="continuous"/>
        </w:sectPr>
      </w:pPr>
    </w:p>
    <w:bookmarkStart w:id="58" w:name="page59"/>
    <w:bookmarkEnd w:id="58"/>
    <w:p>
      <w:pPr>
        <w:spacing w:after="0"/>
        <w:rPr>
          <w:sz w:val="20"/>
          <w:szCs w:val="20"/>
          <w:color w:val="auto"/>
        </w:rPr>
      </w:pPr>
      <w:r>
        <w:rPr>
          <w:rFonts w:ascii="Arial" w:cs="Arial" w:eastAsia="Arial" w:hAnsi="Arial"/>
          <w:sz w:val="20"/>
          <w:szCs w:val="20"/>
          <w:color w:val="auto"/>
        </w:rPr>
        <w:t>All our business activities are conducted in the United States. These activities include:</w:t>
      </w:r>
    </w:p>
    <w:p>
      <w:pPr>
        <w:spacing w:after="0" w:line="145" w:lineRule="exact"/>
        <w:rPr>
          <w:sz w:val="20"/>
          <w:szCs w:val="20"/>
          <w:color w:val="auto"/>
        </w:rPr>
      </w:pPr>
    </w:p>
    <w:p>
      <w:pPr>
        <w:ind w:left="980" w:right="540" w:hanging="490"/>
        <w:spacing w:after="0" w:line="261" w:lineRule="auto"/>
        <w:tabs>
          <w:tab w:leader="none" w:pos="9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mining of limestone for the manufacture, production, distribution, and sale of cement, including limestone cement (a basic construction material that is the essential binding ingredient in concrete)</w:t>
      </w:r>
    </w:p>
    <w:p>
      <w:pPr>
        <w:spacing w:after="0" w:line="73" w:lineRule="exact"/>
        <w:rPr>
          <w:rFonts w:ascii="Arial" w:cs="Arial" w:eastAsia="Arial" w:hAnsi="Arial"/>
          <w:sz w:val="20"/>
          <w:szCs w:val="20"/>
          <w:color w:val="auto"/>
        </w:rPr>
      </w:pPr>
    </w:p>
    <w:p>
      <w:pPr>
        <w:ind w:left="980" w:hanging="490"/>
        <w:spacing w:after="0"/>
        <w:tabs>
          <w:tab w:leader="none" w:pos="9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grinding and sale of slag</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mining of gypsum for the manufacture and sale of gypsum wallboard</w:t>
      </w:r>
    </w:p>
    <w:p>
      <w:pPr>
        <w:spacing w:after="0" w:line="133" w:lineRule="exact"/>
        <w:rPr>
          <w:rFonts w:ascii="Arial" w:cs="Arial" w:eastAsia="Arial" w:hAnsi="Arial"/>
          <w:sz w:val="20"/>
          <w:szCs w:val="20"/>
          <w:color w:val="auto"/>
        </w:rPr>
      </w:pPr>
    </w:p>
    <w:p>
      <w:pPr>
        <w:ind w:left="980" w:right="120" w:hanging="490"/>
        <w:spacing w:after="0" w:line="283" w:lineRule="auto"/>
        <w:tabs>
          <w:tab w:leader="none" w:pos="9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manufacture and sale of recycled paperboard to the gypsum wallboard industry and other paperboard converters</w:t>
      </w:r>
    </w:p>
    <w:p>
      <w:pPr>
        <w:spacing w:after="0" w:line="51" w:lineRule="exact"/>
        <w:rPr>
          <w:rFonts w:ascii="Arial" w:cs="Arial" w:eastAsia="Arial" w:hAnsi="Arial"/>
          <w:sz w:val="20"/>
          <w:szCs w:val="20"/>
          <w:color w:val="auto"/>
        </w:rPr>
      </w:pPr>
    </w:p>
    <w:p>
      <w:pPr>
        <w:ind w:left="980" w:hanging="490"/>
        <w:spacing w:after="0"/>
        <w:tabs>
          <w:tab w:leader="none" w:pos="9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sale of readymix concrete</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mining and sale of aggregates (crushed stone, sand, and gravel).</w:t>
      </w:r>
    </w:p>
    <w:p>
      <w:pPr>
        <w:spacing w:after="0" w:line="148" w:lineRule="exact"/>
        <w:rPr>
          <w:sz w:val="20"/>
          <w:szCs w:val="20"/>
          <w:color w:val="auto"/>
        </w:rPr>
      </w:pPr>
    </w:p>
    <w:p>
      <w:pPr>
        <w:ind w:right="40"/>
        <w:spacing w:after="0" w:line="296" w:lineRule="auto"/>
        <w:rPr>
          <w:sz w:val="20"/>
          <w:szCs w:val="20"/>
          <w:color w:val="auto"/>
        </w:rPr>
      </w:pPr>
      <w:r>
        <w:rPr>
          <w:rFonts w:ascii="Arial" w:cs="Arial" w:eastAsia="Arial" w:hAnsi="Arial"/>
          <w:sz w:val="20"/>
          <w:szCs w:val="20"/>
          <w:color w:val="auto"/>
        </w:rPr>
        <w:t>On August 9, 2024, we finalized the Northern Kentucky Acquisition at a purchase price of approximately $24.9 million. The Northern Kentucky Acquisition is included in our Heavy Materials sector, and its results of operations are reported in the Concrete and Aggregates business segment beginning on August 9, 2024.</w:t>
      </w:r>
    </w:p>
    <w:p>
      <w:pPr>
        <w:spacing w:after="0" w:line="65" w:lineRule="exact"/>
        <w:rPr>
          <w:sz w:val="20"/>
          <w:szCs w:val="20"/>
          <w:color w:val="auto"/>
        </w:rPr>
      </w:pPr>
    </w:p>
    <w:p>
      <w:pPr>
        <w:ind w:right="100"/>
        <w:spacing w:after="0" w:line="296" w:lineRule="auto"/>
        <w:rPr>
          <w:sz w:val="20"/>
          <w:szCs w:val="20"/>
          <w:color w:val="auto"/>
        </w:rPr>
      </w:pPr>
      <w:r>
        <w:rPr>
          <w:rFonts w:ascii="Arial" w:cs="Arial" w:eastAsia="Arial" w:hAnsi="Arial"/>
          <w:sz w:val="20"/>
          <w:szCs w:val="20"/>
          <w:color w:val="auto"/>
        </w:rPr>
        <w:t>On January 7, 2025, we completed the Western Pennsylvania Acquisition at a purchase price of approximately $150.0 million, subject to customary post-closing adjustments. The Western Pennsylvania Acquisition is included in our Heavy Materials sector, and its results of operations are reported in the Concrete and Aggregates business segment beginning in the fourth quarter of fiscal 2025.</w:t>
      </w:r>
    </w:p>
    <w:p>
      <w:pPr>
        <w:spacing w:after="0" w:line="65" w:lineRule="exact"/>
        <w:rPr>
          <w:sz w:val="20"/>
          <w:szCs w:val="20"/>
          <w:color w:val="auto"/>
        </w:rPr>
      </w:pPr>
    </w:p>
    <w:p>
      <w:pPr>
        <w:jc w:val="both"/>
        <w:ind w:right="320"/>
        <w:spacing w:after="0" w:line="355" w:lineRule="auto"/>
        <w:rPr>
          <w:sz w:val="20"/>
          <w:szCs w:val="20"/>
          <w:color w:val="auto"/>
        </w:rPr>
      </w:pPr>
      <w:r>
        <w:rPr>
          <w:rFonts w:ascii="Arial" w:cs="Arial" w:eastAsia="Arial" w:hAnsi="Arial"/>
          <w:sz w:val="19"/>
          <w:szCs w:val="19"/>
          <w:color w:val="auto"/>
        </w:rPr>
        <w:t>See Footnote (B) in the Audited Consolidated Financial Statements for more information regarding the Northern Kentucky and Western Pennsylvania Acquisitions (collectively, the Aggregates Acquisitions).</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b w:val="1"/>
          <w:bCs w:val="1"/>
          <w:color w:val="00085E"/>
        </w:rPr>
        <w:t>MARKET CONDITIONS AND OUTLOOK</w:t>
      </w:r>
    </w:p>
    <w:p>
      <w:pPr>
        <w:spacing w:after="0" w:line="161" w:lineRule="exact"/>
        <w:rPr>
          <w:sz w:val="20"/>
          <w:szCs w:val="20"/>
          <w:color w:val="auto"/>
        </w:rPr>
      </w:pPr>
    </w:p>
    <w:p>
      <w:pPr>
        <w:ind w:right="40"/>
        <w:spacing w:after="0" w:line="292" w:lineRule="auto"/>
        <w:rPr>
          <w:sz w:val="20"/>
          <w:szCs w:val="20"/>
          <w:color w:val="auto"/>
        </w:rPr>
      </w:pPr>
      <w:r>
        <w:rPr>
          <w:rFonts w:ascii="Arial" w:cs="Arial" w:eastAsia="Arial" w:hAnsi="Arial"/>
          <w:sz w:val="20"/>
          <w:szCs w:val="20"/>
          <w:color w:val="auto"/>
        </w:rPr>
        <w:t>Our fiscal 2026 results were generally strong, with record Revenue of $2.3 billion, Net Earnings of $423.8 million, and Diluted Earnings per Share of $13.16 per share. Our end markets remained resilient despite geopolitical, fiscal, and trade-policy disruptions and widespread uncertainty around future U.S. economic conditions. Year-over-year sales volume increased in our Heavy Materials Sector and declined in our Light Materials Sector.</w:t>
      </w:r>
    </w:p>
    <w:p>
      <w:pPr>
        <w:spacing w:after="0" w:line="71" w:lineRule="exact"/>
        <w:rPr>
          <w:sz w:val="20"/>
          <w:szCs w:val="20"/>
          <w:color w:val="auto"/>
        </w:rPr>
      </w:pPr>
    </w:p>
    <w:p>
      <w:pPr>
        <w:spacing w:after="0" w:line="290" w:lineRule="auto"/>
        <w:rPr>
          <w:sz w:val="20"/>
          <w:szCs w:val="20"/>
          <w:color w:val="auto"/>
        </w:rPr>
      </w:pPr>
      <w:r>
        <w:rPr>
          <w:rFonts w:ascii="Arial" w:cs="Arial" w:eastAsia="Arial" w:hAnsi="Arial"/>
          <w:sz w:val="20"/>
          <w:szCs w:val="20"/>
          <w:color w:val="auto"/>
        </w:rPr>
        <w:t xml:space="preserve">The macroeconomic environment continues to be constructive for our products. We expect demand for cement to remain steady in the near term supported by bipartisan federal, state, and local support for public infrastructure projects and continued spending on heavy manufacturing and certain elements of the private-nonresidential construction category. A significant amount of federal funding from the trillion-dollar </w:t>
      </w:r>
      <w:r>
        <w:rPr>
          <w:rFonts w:ascii="Arial" w:cs="Arial" w:eastAsia="Arial" w:hAnsi="Arial"/>
          <w:sz w:val="20"/>
          <w:szCs w:val="20"/>
          <w:i w:val="1"/>
          <w:iCs w:val="1"/>
          <w:color w:val="auto"/>
        </w:rPr>
        <w:t xml:space="preserve">Infrastructure Investment and Jobs Act </w:t>
      </w:r>
      <w:r>
        <w:rPr>
          <w:rFonts w:ascii="Arial" w:cs="Arial" w:eastAsia="Arial" w:hAnsi="Arial"/>
          <w:sz w:val="20"/>
          <w:szCs w:val="20"/>
          <w:color w:val="auto"/>
        </w:rPr>
        <w:t>(IIJA) remains to be spent, and state Department of</w:t>
      </w:r>
      <w:r>
        <w:rPr>
          <w:rFonts w:ascii="Arial" w:cs="Arial" w:eastAsia="Arial" w:hAnsi="Arial"/>
          <w:sz w:val="20"/>
          <w:szCs w:val="20"/>
          <w:i w:val="1"/>
          <w:iCs w:val="1"/>
          <w:color w:val="auto"/>
        </w:rPr>
        <w:t xml:space="preserve"> </w:t>
      </w:r>
      <w:r>
        <w:rPr>
          <w:rFonts w:ascii="Arial" w:cs="Arial" w:eastAsia="Arial" w:hAnsi="Arial"/>
          <w:sz w:val="20"/>
          <w:szCs w:val="20"/>
          <w:color w:val="auto"/>
        </w:rPr>
        <w:t>Transportation (DOT) budgets remain strong.</w:t>
      </w:r>
    </w:p>
    <w:p>
      <w:pPr>
        <w:spacing w:after="0" w:line="73" w:lineRule="exact"/>
        <w:rPr>
          <w:sz w:val="20"/>
          <w:szCs w:val="20"/>
          <w:color w:val="auto"/>
        </w:rPr>
      </w:pPr>
    </w:p>
    <w:p>
      <w:pPr>
        <w:ind w:right="60"/>
        <w:spacing w:after="0" w:line="286" w:lineRule="auto"/>
        <w:rPr>
          <w:sz w:val="20"/>
          <w:szCs w:val="20"/>
          <w:color w:val="auto"/>
        </w:rPr>
      </w:pPr>
      <w:r>
        <w:rPr>
          <w:rFonts w:ascii="Arial" w:cs="Arial" w:eastAsia="Arial" w:hAnsi="Arial"/>
          <w:sz w:val="20"/>
          <w:szCs w:val="20"/>
          <w:color w:val="auto"/>
        </w:rPr>
        <w:t>The backdrop for residential construction activity remained challenging in fiscal 2026, primarily because of housing affordability concerns driven by persistently elevated mortgage interest rates, as well as other macroeconomic uncertainties. At the same time, the national supply of homes remains constrained by years of underbuilding. Recently, new home construction has slowed as builders have pulled back on production because of mixed demand signals and higher levels of new home inventory in certain markets. This recent pullback affected our wallboard sales volume, which was down approximately 7% in fiscal 2026. The path ahead for mortgage rates, and the corresponding effect on residential construction activity, is unclear, and thus the timing of a recovery in new-home construction remains uncertain. Nonetheless, we believe our geographic footprint across the U.S. heartland and fast-growing Sun Belt region positions us to capitalize on these market dynamics in the near and longer term.</w:t>
      </w:r>
    </w:p>
    <w:p>
      <w:pPr>
        <w:sectPr>
          <w:pgSz w:w="11880" w:h="15480" w:orient="portrait"/>
          <w:cols w:equalWidth="0" w:num="1">
            <w:col w:w="9340"/>
          </w:cols>
          <w:pgMar w:left="1260" w:top="1267"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51</w:t>
      </w:r>
    </w:p>
    <w:p>
      <w:pPr>
        <w:sectPr>
          <w:pgSz w:w="11880" w:h="15480" w:orient="portrait"/>
          <w:cols w:equalWidth="0" w:num="1">
            <w:col w:w="9340"/>
          </w:cols>
          <w:pgMar w:left="1260" w:top="1267" w:right="1280" w:bottom="0" w:gutter="0" w:footer="0" w:header="0"/>
          <w:type w:val="continuous"/>
        </w:sectPr>
      </w:pPr>
    </w:p>
    <w:bookmarkStart w:id="59" w:name="page60"/>
    <w:bookmarkEnd w:id="59"/>
    <w:p>
      <w:pPr>
        <w:spacing w:after="0"/>
        <w:rPr>
          <w:sz w:val="20"/>
          <w:szCs w:val="20"/>
          <w:color w:val="auto"/>
        </w:rPr>
      </w:pPr>
      <w:r>
        <w:rPr>
          <w:rFonts w:ascii="Arial" w:cs="Arial" w:eastAsia="Arial" w:hAnsi="Arial"/>
          <w:sz w:val="20"/>
          <w:szCs w:val="20"/>
          <w:i w:val="1"/>
          <w:iCs w:val="1"/>
          <w:color w:val="00085E"/>
        </w:rPr>
        <w:t>Cost Outlook</w:t>
      </w:r>
    </w:p>
    <w:p>
      <w:pPr>
        <w:spacing w:after="0" w:line="150" w:lineRule="exact"/>
        <w:rPr>
          <w:sz w:val="20"/>
          <w:szCs w:val="20"/>
          <w:color w:val="auto"/>
        </w:rPr>
      </w:pPr>
    </w:p>
    <w:p>
      <w:pPr>
        <w:ind w:right="420"/>
        <w:spacing w:after="0" w:line="325" w:lineRule="auto"/>
        <w:rPr>
          <w:sz w:val="20"/>
          <w:szCs w:val="20"/>
          <w:color w:val="auto"/>
        </w:rPr>
      </w:pPr>
      <w:r>
        <w:rPr>
          <w:rFonts w:ascii="Arial" w:cs="Arial" w:eastAsia="Arial" w:hAnsi="Arial"/>
          <w:sz w:val="20"/>
          <w:szCs w:val="20"/>
          <w:color w:val="auto"/>
        </w:rPr>
        <w:t>We believe we are well-positioned to manage our cost structure and meet our customers’ needs. Our major costs include raw materials, energy, freight, labor, and maintenance.</w:t>
      </w:r>
    </w:p>
    <w:p>
      <w:pPr>
        <w:spacing w:after="0" w:line="77" w:lineRule="exact"/>
        <w:rPr>
          <w:sz w:val="20"/>
          <w:szCs w:val="20"/>
          <w:color w:val="auto"/>
        </w:rPr>
      </w:pPr>
    </w:p>
    <w:p>
      <w:pPr>
        <w:spacing w:after="0" w:line="303" w:lineRule="auto"/>
        <w:rPr>
          <w:sz w:val="20"/>
          <w:szCs w:val="20"/>
          <w:color w:val="auto"/>
        </w:rPr>
      </w:pPr>
      <w:r>
        <w:rPr>
          <w:rFonts w:ascii="Arial" w:cs="Arial" w:eastAsia="Arial" w:hAnsi="Arial"/>
          <w:sz w:val="20"/>
          <w:szCs w:val="20"/>
          <w:color w:val="auto"/>
        </w:rPr>
        <w:t>Our substantial raw material reserves for our Cement, Aggregates, and Gypsum Wallboard businesses, and their proximity to our respective manufacturing facilities support our low-cost producer position across all our business segments.</w:t>
      </w:r>
    </w:p>
    <w:p>
      <w:pPr>
        <w:spacing w:after="0" w:line="99" w:lineRule="exact"/>
        <w:rPr>
          <w:sz w:val="20"/>
          <w:szCs w:val="20"/>
          <w:color w:val="auto"/>
        </w:rPr>
      </w:pPr>
    </w:p>
    <w:p>
      <w:pPr>
        <w:ind w:right="60"/>
        <w:spacing w:after="0" w:line="287" w:lineRule="auto"/>
        <w:rPr>
          <w:sz w:val="20"/>
          <w:szCs w:val="20"/>
          <w:color w:val="auto"/>
        </w:rPr>
      </w:pPr>
      <w:r>
        <w:rPr>
          <w:rFonts w:ascii="Arial" w:cs="Arial" w:eastAsia="Arial" w:hAnsi="Arial"/>
          <w:sz w:val="20"/>
          <w:szCs w:val="20"/>
          <w:color w:val="auto"/>
        </w:rPr>
        <w:t>Paper is a significant cost component in our Recycled Paperboard and Gypsum Wallboard businesses. The primary raw material used to produce paperboard is old corrugated containers (OCC). Recently, OCC prices have been relatively flat; however, recycled fiber prices are subject to change on short notice due to several factors, including supply of OCC and demand for OCC from both domestic and international companies. Our current customer contracts for gypsum liner include price adjustments that partially compensate for changes in the cost of raw materials, such as recycled fiber and energy, including natural gas and electricity. However, because these price adjustments are not realized until future quarters, adjustments to material costs in our Gypsum Wallboard segment could be delayed until the effects of these price adjustments are realized.</w:t>
      </w:r>
    </w:p>
    <w:p>
      <w:pPr>
        <w:spacing w:after="0" w:line="75" w:lineRule="exact"/>
        <w:rPr>
          <w:sz w:val="20"/>
          <w:szCs w:val="20"/>
          <w:color w:val="auto"/>
        </w:rPr>
      </w:pPr>
    </w:p>
    <w:p>
      <w:pPr>
        <w:ind w:right="40"/>
        <w:spacing w:after="0" w:line="289" w:lineRule="auto"/>
        <w:rPr>
          <w:sz w:val="20"/>
          <w:szCs w:val="20"/>
          <w:color w:val="auto"/>
        </w:rPr>
      </w:pPr>
      <w:r>
        <w:rPr>
          <w:rFonts w:ascii="Arial" w:cs="Arial" w:eastAsia="Arial" w:hAnsi="Arial"/>
          <w:sz w:val="20"/>
          <w:szCs w:val="20"/>
          <w:color w:val="auto"/>
        </w:rPr>
        <w:t>Energy costs decreased in some of our businesses and increased in others during fiscal 2026 compared with fiscal 2025 and are expected to remain relatively stable over the near future. Freight costs for our Gypsum Wallboard segment, which delivers mostly by trucks, increased in fiscal 2026, and with current fuel prices increasing, they could increase in fiscal 2027. Freight costs for our Cement segment, which relies mostly on rail delivery, increased slightly in fiscal 2026, and are expected to increase in fiscal 2027. Additionally, labor shortages, primarily of truck drivers, can adversely affect our Concrete business. Any worsening of labor constraints could cause delays and inefficiencies in this business.</w:t>
      </w:r>
    </w:p>
    <w:p>
      <w:pPr>
        <w:spacing w:after="0" w:line="63" w:lineRule="exact"/>
        <w:rPr>
          <w:sz w:val="20"/>
          <w:szCs w:val="20"/>
          <w:color w:val="auto"/>
        </w:rPr>
      </w:pPr>
    </w:p>
    <w:p>
      <w:pPr>
        <w:ind w:right="1120"/>
        <w:spacing w:after="0" w:line="315" w:lineRule="auto"/>
        <w:rPr>
          <w:sz w:val="20"/>
          <w:szCs w:val="20"/>
          <w:color w:val="auto"/>
        </w:rPr>
      </w:pPr>
      <w:r>
        <w:rPr>
          <w:rFonts w:ascii="Arial" w:cs="Arial" w:eastAsia="Arial" w:hAnsi="Arial"/>
          <w:sz w:val="20"/>
          <w:szCs w:val="20"/>
          <w:color w:val="auto"/>
        </w:rPr>
        <w:t>While maintenance costs were down 2% in fiscal 2026, we expect low single digit inflation for maintenance as equipment and contractor costs are expected to increase.</w:t>
      </w:r>
    </w:p>
    <w:p>
      <w:pPr>
        <w:sectPr>
          <w:pgSz w:w="11880" w:h="15480" w:orient="portrait"/>
          <w:cols w:equalWidth="0" w:num="1">
            <w:col w:w="9340"/>
          </w:cols>
          <w:pgMar w:left="1260" w:top="1268"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52</w:t>
      </w:r>
    </w:p>
    <w:p>
      <w:pPr>
        <w:sectPr>
          <w:pgSz w:w="11880" w:h="15480" w:orient="portrait"/>
          <w:cols w:equalWidth="0" w:num="1">
            <w:col w:w="9340"/>
          </w:cols>
          <w:pgMar w:left="1260" w:top="1268" w:right="1280" w:bottom="0" w:gutter="0" w:footer="0" w:header="0"/>
          <w:type w:val="continuous"/>
        </w:sectPr>
      </w:pPr>
    </w:p>
    <w:bookmarkStart w:id="60" w:name="page61"/>
    <w:bookmarkEnd w:id="60"/>
    <w:p>
      <w:pPr>
        <w:spacing w:after="0"/>
        <w:rPr>
          <w:sz w:val="20"/>
          <w:szCs w:val="20"/>
          <w:color w:val="auto"/>
        </w:rPr>
      </w:pPr>
      <w:r>
        <w:rPr>
          <w:rFonts w:ascii="Arial" w:cs="Arial" w:eastAsia="Arial" w:hAnsi="Arial"/>
          <w:sz w:val="20"/>
          <w:szCs w:val="20"/>
          <w:b w:val="1"/>
          <w:bCs w:val="1"/>
          <w:color w:val="00085E"/>
        </w:rPr>
        <w:t>RESULTS OF OPERATIONS</w:t>
      </w: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FISCAL YEAR 2026 COMPARED WITH FISCAL YEAR 2025</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5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40" w:type="dxa"/>
            <w:vAlign w:val="bottom"/>
            <w:gridSpan w:val="4"/>
          </w:tcPr>
          <w:p>
            <w:pPr>
              <w:jc w:val="right"/>
              <w:ind w:right="261"/>
              <w:spacing w:after="0"/>
              <w:rPr>
                <w:sz w:val="20"/>
                <w:szCs w:val="20"/>
                <w:color w:val="auto"/>
              </w:rPr>
            </w:pPr>
            <w:r>
              <w:rPr>
                <w:rFonts w:ascii="Arial Narrow" w:cs="Arial Narrow" w:eastAsia="Arial Narrow" w:hAnsi="Arial Narrow"/>
                <w:sz w:val="18"/>
                <w:szCs w:val="18"/>
                <w:b w:val="1"/>
                <w:bCs w:val="1"/>
                <w:color w:val="auto"/>
              </w:rPr>
              <w:t>For the Years Ended March 31,</w:t>
            </w: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5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vMerge w:val="restart"/>
          </w:tcPr>
          <w:p>
            <w:pPr>
              <w:jc w:val="right"/>
              <w:ind w:right="350"/>
              <w:spacing w:after="0"/>
              <w:rPr>
                <w:sz w:val="20"/>
                <w:szCs w:val="20"/>
                <w:color w:val="auto"/>
              </w:rPr>
            </w:pPr>
            <w:r>
              <w:rPr>
                <w:rFonts w:ascii="Arial Narrow" w:cs="Arial Narrow" w:eastAsia="Arial Narrow" w:hAnsi="Arial Narrow"/>
                <w:sz w:val="18"/>
                <w:szCs w:val="18"/>
                <w:b w:val="1"/>
                <w:bCs w:val="1"/>
                <w:color w:val="auto"/>
              </w:rPr>
              <w:t>Percentage</w:t>
            </w:r>
          </w:p>
        </w:tc>
        <w:tc>
          <w:tcPr>
            <w:tcW w:w="0" w:type="dxa"/>
            <w:vAlign w:val="bottom"/>
          </w:tcPr>
          <w:p>
            <w:pPr>
              <w:spacing w:after="0"/>
              <w:rPr>
                <w:sz w:val="1"/>
                <w:szCs w:val="1"/>
                <w:color w:val="auto"/>
              </w:rPr>
            </w:pPr>
          </w:p>
        </w:tc>
      </w:tr>
      <w:tr>
        <w:trPr>
          <w:trHeight w:val="222"/>
        </w:trPr>
        <w:tc>
          <w:tcPr>
            <w:tcW w:w="5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5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jc w:val="right"/>
              <w:ind w:right="123"/>
              <w:spacing w:after="0"/>
              <w:rPr>
                <w:sz w:val="20"/>
                <w:szCs w:val="20"/>
                <w:color w:val="auto"/>
              </w:rPr>
            </w:pPr>
            <w:r>
              <w:rPr>
                <w:rFonts w:ascii="Arial Narrow" w:cs="Arial Narrow" w:eastAsia="Arial Narrow" w:hAnsi="Arial Narrow"/>
                <w:sz w:val="18"/>
                <w:szCs w:val="18"/>
                <w:b w:val="1"/>
                <w:bCs w:val="1"/>
                <w:color w:val="auto"/>
              </w:rPr>
              <w:t>2026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101"/>
              <w:spacing w:after="0"/>
              <w:rPr>
                <w:sz w:val="20"/>
                <w:szCs w:val="20"/>
                <w:color w:val="auto"/>
              </w:rPr>
            </w:pPr>
            <w:r>
              <w:rPr>
                <w:rFonts w:ascii="Arial Narrow" w:cs="Arial Narrow" w:eastAsia="Arial Narrow" w:hAnsi="Arial Narrow"/>
                <w:sz w:val="18"/>
                <w:szCs w:val="18"/>
                <w:b w:val="1"/>
                <w:bCs w:val="1"/>
                <w:color w:val="auto"/>
              </w:rPr>
              <w:t>2025</w:t>
            </w:r>
          </w:p>
        </w:tc>
        <w:tc>
          <w:tcPr>
            <w:tcW w:w="140" w:type="dxa"/>
            <w:vAlign w:val="bottom"/>
          </w:tcPr>
          <w:p>
            <w:pPr>
              <w:spacing w:after="0"/>
              <w:rPr>
                <w:sz w:val="22"/>
                <w:szCs w:val="22"/>
                <w:color w:val="auto"/>
              </w:rPr>
            </w:pPr>
          </w:p>
        </w:tc>
        <w:tc>
          <w:tcPr>
            <w:tcW w:w="1300" w:type="dxa"/>
            <w:vAlign w:val="bottom"/>
          </w:tcPr>
          <w:p>
            <w:pPr>
              <w:jc w:val="right"/>
              <w:ind w:right="350"/>
              <w:spacing w:after="0"/>
              <w:rPr>
                <w:sz w:val="20"/>
                <w:szCs w:val="20"/>
                <w:color w:val="auto"/>
              </w:rPr>
            </w:pPr>
            <w:r>
              <w:rPr>
                <w:rFonts w:ascii="Arial Narrow" w:cs="Arial Narrow" w:eastAsia="Arial Narrow" w:hAnsi="Arial Narrow"/>
                <w:sz w:val="18"/>
                <w:szCs w:val="18"/>
                <w:b w:val="1"/>
                <w:bCs w:val="1"/>
                <w:color w:val="auto"/>
              </w:rPr>
              <w:t>Change</w:t>
            </w:r>
          </w:p>
        </w:tc>
        <w:tc>
          <w:tcPr>
            <w:tcW w:w="0" w:type="dxa"/>
            <w:vAlign w:val="bottom"/>
          </w:tcPr>
          <w:p>
            <w:pPr>
              <w:spacing w:after="0"/>
              <w:rPr>
                <w:sz w:val="1"/>
                <w:szCs w:val="1"/>
                <w:color w:val="auto"/>
              </w:rPr>
            </w:pPr>
          </w:p>
        </w:tc>
      </w:tr>
      <w:tr>
        <w:trPr>
          <w:trHeight w:val="21"/>
        </w:trPr>
        <w:tc>
          <w:tcPr>
            <w:tcW w:w="5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40" w:type="dxa"/>
            <w:vAlign w:val="bottom"/>
            <w:gridSpan w:val="4"/>
          </w:tcPr>
          <w:p>
            <w:pPr>
              <w:jc w:val="right"/>
              <w:ind w:right="401"/>
              <w:spacing w:after="0"/>
              <w:rPr>
                <w:sz w:val="20"/>
                <w:szCs w:val="20"/>
                <w:color w:val="auto"/>
              </w:rPr>
            </w:pPr>
            <w:r>
              <w:rPr>
                <w:rFonts w:ascii="Arial Narrow" w:cs="Arial Narrow" w:eastAsia="Arial Narrow" w:hAnsi="Arial Narrow"/>
                <w:sz w:val="16"/>
                <w:szCs w:val="16"/>
                <w:color w:val="auto"/>
              </w:rPr>
              <w:t>(in thousands, except per share)</w:t>
            </w: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50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gridSpan w:val="2"/>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344"/>
        </w:trPr>
        <w:tc>
          <w:tcPr>
            <w:tcW w:w="5040" w:type="dxa"/>
            <w:vAlign w:val="bottom"/>
          </w:tcPr>
          <w:p>
            <w:pPr>
              <w:spacing w:after="0"/>
              <w:rPr>
                <w:sz w:val="20"/>
                <w:szCs w:val="20"/>
                <w:color w:val="auto"/>
              </w:rPr>
            </w:pPr>
            <w:r>
              <w:rPr>
                <w:rFonts w:ascii="Arial Narrow" w:cs="Arial Narrow" w:eastAsia="Arial Narrow" w:hAnsi="Arial Narrow"/>
                <w:sz w:val="20"/>
                <w:szCs w:val="20"/>
                <w:b w:val="1"/>
                <w:bCs w:val="1"/>
                <w:color w:val="00085E"/>
              </w:rPr>
              <w:t>Revenue</w:t>
            </w:r>
          </w:p>
        </w:tc>
        <w:tc>
          <w:tcPr>
            <w:tcW w:w="240" w:type="dxa"/>
            <w:vAlign w:val="bottom"/>
          </w:tcPr>
          <w:p>
            <w:pPr>
              <w:jc w:val="right"/>
              <w:ind w:right="40"/>
              <w:spacing w:after="0"/>
              <w:rPr>
                <w:sz w:val="20"/>
                <w:szCs w:val="20"/>
                <w:color w:val="auto"/>
              </w:rPr>
            </w:pPr>
            <w:r>
              <w:rPr>
                <w:rFonts w:ascii="Arial Narrow" w:cs="Arial Narrow" w:eastAsia="Arial Narrow" w:hAnsi="Arial Narrow"/>
                <w:sz w:val="20"/>
                <w:szCs w:val="20"/>
                <w:color w:val="auto"/>
                <w:w w:val="87"/>
              </w:rPr>
              <w:t>$</w:t>
            </w:r>
          </w:p>
        </w:tc>
        <w:tc>
          <w:tcPr>
            <w:tcW w:w="1160" w:type="dxa"/>
            <w:vAlign w:val="bottom"/>
          </w:tcPr>
          <w:p>
            <w:pPr>
              <w:jc w:val="right"/>
              <w:ind w:right="123"/>
              <w:spacing w:after="0"/>
              <w:rPr>
                <w:sz w:val="20"/>
                <w:szCs w:val="20"/>
                <w:color w:val="auto"/>
              </w:rPr>
            </w:pPr>
            <w:r>
              <w:rPr>
                <w:rFonts w:ascii="Arial Narrow" w:cs="Arial Narrow" w:eastAsia="Arial Narrow" w:hAnsi="Arial Narrow"/>
                <w:sz w:val="20"/>
                <w:szCs w:val="20"/>
                <w:color w:val="auto"/>
              </w:rPr>
              <w:t>2,308,658</w:t>
            </w:r>
          </w:p>
        </w:tc>
        <w:tc>
          <w:tcPr>
            <w:tcW w:w="360" w:type="dxa"/>
            <w:vAlign w:val="bottom"/>
            <w:gridSpan w:val="2"/>
          </w:tcPr>
          <w:p>
            <w:pPr>
              <w:jc w:val="right"/>
              <w:ind w:right="140"/>
              <w:spacing w:after="0"/>
              <w:rPr>
                <w:sz w:val="20"/>
                <w:szCs w:val="20"/>
                <w:color w:val="auto"/>
              </w:rPr>
            </w:pPr>
            <w:r>
              <w:rPr>
                <w:rFonts w:ascii="Arial Narrow" w:cs="Arial Narrow" w:eastAsia="Arial Narrow" w:hAnsi="Arial Narrow"/>
                <w:sz w:val="20"/>
                <w:szCs w:val="20"/>
                <w:color w:val="auto"/>
              </w:rPr>
              <w:t>$</w:t>
            </w:r>
          </w:p>
        </w:tc>
        <w:tc>
          <w:tcPr>
            <w:tcW w:w="1120" w:type="dxa"/>
            <w:vAlign w:val="bottom"/>
          </w:tcPr>
          <w:p>
            <w:pPr>
              <w:jc w:val="right"/>
              <w:ind w:right="101"/>
              <w:spacing w:after="0"/>
              <w:rPr>
                <w:sz w:val="20"/>
                <w:szCs w:val="20"/>
                <w:color w:val="auto"/>
              </w:rPr>
            </w:pPr>
            <w:r>
              <w:rPr>
                <w:rFonts w:ascii="Arial Narrow" w:cs="Arial Narrow" w:eastAsia="Arial Narrow" w:hAnsi="Arial Narrow"/>
                <w:sz w:val="20"/>
                <w:szCs w:val="20"/>
                <w:color w:val="auto"/>
              </w:rPr>
              <w:t>2,260,508</w:t>
            </w:r>
          </w:p>
        </w:tc>
        <w:tc>
          <w:tcPr>
            <w:tcW w:w="1440" w:type="dxa"/>
            <w:vAlign w:val="bottom"/>
            <w:gridSpan w:val="2"/>
          </w:tcPr>
          <w:p>
            <w:pPr>
              <w:jc w:val="right"/>
              <w:ind w:right="190"/>
              <w:spacing w:after="0"/>
              <w:rPr>
                <w:sz w:val="20"/>
                <w:szCs w:val="20"/>
                <w:color w:val="auto"/>
              </w:rPr>
            </w:pPr>
            <w:r>
              <w:rPr>
                <w:rFonts w:ascii="Arial Narrow" w:cs="Arial Narrow" w:eastAsia="Arial Narrow" w:hAnsi="Arial Narrow"/>
                <w:sz w:val="20"/>
                <w:szCs w:val="20"/>
                <w:color w:val="auto"/>
              </w:rPr>
              <w:t>2%</w:t>
            </w:r>
          </w:p>
        </w:tc>
        <w:tc>
          <w:tcPr>
            <w:tcW w:w="0" w:type="dxa"/>
            <w:vAlign w:val="bottom"/>
          </w:tcPr>
          <w:p>
            <w:pPr>
              <w:spacing w:after="0"/>
              <w:rPr>
                <w:sz w:val="1"/>
                <w:szCs w:val="1"/>
                <w:color w:val="auto"/>
              </w:rPr>
            </w:pPr>
          </w:p>
        </w:tc>
      </w:tr>
      <w:tr>
        <w:trPr>
          <w:trHeight w:val="65"/>
        </w:trPr>
        <w:tc>
          <w:tcPr>
            <w:tcW w:w="5040" w:type="dxa"/>
            <w:vAlign w:val="bottom"/>
            <w:tcBorders>
              <w:bottom w:val="single" w:sz="8" w:color="A6A6A6"/>
            </w:tcBorders>
          </w:tcPr>
          <w:p>
            <w:pPr>
              <w:spacing w:after="0"/>
              <w:rPr>
                <w:sz w:val="5"/>
                <w:szCs w:val="5"/>
                <w:color w:val="auto"/>
              </w:rPr>
            </w:pPr>
          </w:p>
        </w:tc>
        <w:tc>
          <w:tcPr>
            <w:tcW w:w="240" w:type="dxa"/>
            <w:vAlign w:val="bottom"/>
            <w:tcBorders>
              <w:bottom w:val="single" w:sz="8" w:color="A6A6A6"/>
            </w:tcBorders>
          </w:tcPr>
          <w:p>
            <w:pPr>
              <w:spacing w:after="0"/>
              <w:rPr>
                <w:sz w:val="5"/>
                <w:szCs w:val="5"/>
                <w:color w:val="auto"/>
              </w:rPr>
            </w:pPr>
          </w:p>
        </w:tc>
        <w:tc>
          <w:tcPr>
            <w:tcW w:w="116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240" w:type="dxa"/>
            <w:vAlign w:val="bottom"/>
            <w:tcBorders>
              <w:bottom w:val="single" w:sz="8" w:color="A6A6A6"/>
            </w:tcBorders>
          </w:tcPr>
          <w:p>
            <w:pPr>
              <w:spacing w:after="0"/>
              <w:rPr>
                <w:sz w:val="5"/>
                <w:szCs w:val="5"/>
                <w:color w:val="auto"/>
              </w:rPr>
            </w:pPr>
          </w:p>
        </w:tc>
        <w:tc>
          <w:tcPr>
            <w:tcW w:w="1120" w:type="dxa"/>
            <w:vAlign w:val="bottom"/>
            <w:tcBorders>
              <w:bottom w:val="single" w:sz="8" w:color="A6A6A6"/>
            </w:tcBorders>
          </w:tcPr>
          <w:p>
            <w:pPr>
              <w:spacing w:after="0"/>
              <w:rPr>
                <w:sz w:val="5"/>
                <w:szCs w:val="5"/>
                <w:color w:val="auto"/>
              </w:rPr>
            </w:pPr>
          </w:p>
        </w:tc>
        <w:tc>
          <w:tcPr>
            <w:tcW w:w="1440" w:type="dxa"/>
            <w:vAlign w:val="bottom"/>
            <w:tcBorders>
              <w:bottom w:val="single" w:sz="8" w:color="A6A6A6"/>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5040" w:type="dxa"/>
            <w:vAlign w:val="bottom"/>
          </w:tcPr>
          <w:p>
            <w:pPr>
              <w:spacing w:after="0"/>
              <w:rPr>
                <w:sz w:val="20"/>
                <w:szCs w:val="20"/>
                <w:color w:val="auto"/>
              </w:rPr>
            </w:pPr>
            <w:r>
              <w:rPr>
                <w:rFonts w:ascii="Arial Narrow" w:cs="Arial Narrow" w:eastAsia="Arial Narrow" w:hAnsi="Arial Narrow"/>
                <w:sz w:val="20"/>
                <w:szCs w:val="20"/>
                <w:b w:val="1"/>
                <w:bCs w:val="1"/>
                <w:color w:val="00085E"/>
              </w:rPr>
              <w:t>Cost of Goods Sold</w:t>
            </w:r>
          </w:p>
        </w:tc>
        <w:tc>
          <w:tcPr>
            <w:tcW w:w="240" w:type="dxa"/>
            <w:vAlign w:val="bottom"/>
          </w:tcPr>
          <w:p>
            <w:pPr>
              <w:spacing w:after="0"/>
              <w:rPr>
                <w:sz w:val="24"/>
                <w:szCs w:val="24"/>
                <w:color w:val="auto"/>
              </w:rPr>
            </w:pPr>
          </w:p>
        </w:tc>
        <w:tc>
          <w:tcPr>
            <w:tcW w:w="1160" w:type="dxa"/>
            <w:vAlign w:val="bottom"/>
          </w:tcPr>
          <w:p>
            <w:pPr>
              <w:jc w:val="right"/>
              <w:ind w:right="43"/>
              <w:spacing w:after="0"/>
              <w:rPr>
                <w:sz w:val="20"/>
                <w:szCs w:val="20"/>
                <w:color w:val="auto"/>
              </w:rPr>
            </w:pPr>
            <w:r>
              <w:rPr>
                <w:rFonts w:ascii="Arial Narrow" w:cs="Arial Narrow" w:eastAsia="Arial Narrow" w:hAnsi="Arial Narrow"/>
                <w:sz w:val="20"/>
                <w:szCs w:val="20"/>
                <w:color w:val="auto"/>
              </w:rPr>
              <w:t>(1,656,115)</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ind w:right="21"/>
              <w:spacing w:after="0"/>
              <w:rPr>
                <w:sz w:val="20"/>
                <w:szCs w:val="20"/>
                <w:color w:val="auto"/>
              </w:rPr>
            </w:pPr>
            <w:r>
              <w:rPr>
                <w:rFonts w:ascii="Arial Narrow" w:cs="Arial Narrow" w:eastAsia="Arial Narrow" w:hAnsi="Arial Narrow"/>
                <w:sz w:val="20"/>
                <w:szCs w:val="20"/>
                <w:color w:val="auto"/>
              </w:rPr>
              <w:t>(1,587,371)</w:t>
            </w:r>
          </w:p>
        </w:tc>
        <w:tc>
          <w:tcPr>
            <w:tcW w:w="1440" w:type="dxa"/>
            <w:vAlign w:val="bottom"/>
            <w:gridSpan w:val="2"/>
          </w:tcPr>
          <w:p>
            <w:pPr>
              <w:jc w:val="right"/>
              <w:ind w:right="190"/>
              <w:spacing w:after="0"/>
              <w:rPr>
                <w:sz w:val="20"/>
                <w:szCs w:val="20"/>
                <w:color w:val="auto"/>
              </w:rPr>
            </w:pPr>
            <w:r>
              <w:rPr>
                <w:rFonts w:ascii="Arial Narrow" w:cs="Arial Narrow" w:eastAsia="Arial Narrow" w:hAnsi="Arial Narrow"/>
                <w:sz w:val="20"/>
                <w:szCs w:val="20"/>
                <w:color w:val="auto"/>
              </w:rPr>
              <w:t>4%</w:t>
            </w:r>
          </w:p>
        </w:tc>
        <w:tc>
          <w:tcPr>
            <w:tcW w:w="0" w:type="dxa"/>
            <w:vAlign w:val="bottom"/>
          </w:tcPr>
          <w:p>
            <w:pPr>
              <w:spacing w:after="0"/>
              <w:rPr>
                <w:sz w:val="1"/>
                <w:szCs w:val="1"/>
                <w:color w:val="auto"/>
              </w:rPr>
            </w:pPr>
          </w:p>
        </w:tc>
      </w:tr>
      <w:tr>
        <w:trPr>
          <w:trHeight w:val="90"/>
        </w:trPr>
        <w:tc>
          <w:tcPr>
            <w:tcW w:w="5040" w:type="dxa"/>
            <w:vAlign w:val="bottom"/>
            <w:tcBorders>
              <w:bottom w:val="single" w:sz="8" w:color="A6A6A6"/>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40" w:type="dxa"/>
            <w:vAlign w:val="bottom"/>
            <w:tcBorders>
              <w:bottom w:val="single" w:sz="8" w:color="A6A6A6"/>
            </w:tcBorders>
          </w:tcPr>
          <w:p>
            <w:pPr>
              <w:spacing w:after="0"/>
              <w:rPr>
                <w:sz w:val="7"/>
                <w:szCs w:val="7"/>
                <w:color w:val="auto"/>
              </w:rPr>
            </w:pPr>
          </w:p>
        </w:tc>
        <w:tc>
          <w:tcPr>
            <w:tcW w:w="1300" w:type="dxa"/>
            <w:vAlign w:val="bottom"/>
            <w:tcBorders>
              <w:bottom w:val="single" w:sz="8" w:color="A6A6A6"/>
            </w:tcBorders>
          </w:tcPr>
          <w:p>
            <w:pPr>
              <w:spacing w:after="0"/>
              <w:rPr>
                <w:sz w:val="7"/>
                <w:szCs w:val="7"/>
                <w:color w:val="auto"/>
              </w:rPr>
            </w:pPr>
          </w:p>
        </w:tc>
        <w:tc>
          <w:tcPr>
            <w:tcW w:w="0" w:type="dxa"/>
            <w:vAlign w:val="bottom"/>
          </w:tcPr>
          <w:p>
            <w:pPr>
              <w:spacing w:after="0"/>
              <w:rPr>
                <w:sz w:val="1"/>
                <w:szCs w:val="1"/>
                <w:color w:val="auto"/>
              </w:rPr>
            </w:pPr>
          </w:p>
        </w:tc>
      </w:tr>
      <w:tr>
        <w:trPr>
          <w:trHeight w:val="344"/>
        </w:trPr>
        <w:tc>
          <w:tcPr>
            <w:tcW w:w="5040" w:type="dxa"/>
            <w:vAlign w:val="bottom"/>
          </w:tcPr>
          <w:p>
            <w:pPr>
              <w:spacing w:after="0"/>
              <w:rPr>
                <w:sz w:val="20"/>
                <w:szCs w:val="20"/>
                <w:color w:val="auto"/>
              </w:rPr>
            </w:pPr>
            <w:r>
              <w:rPr>
                <w:rFonts w:ascii="Arial Narrow" w:cs="Arial Narrow" w:eastAsia="Arial Narrow" w:hAnsi="Arial Narrow"/>
                <w:sz w:val="20"/>
                <w:szCs w:val="20"/>
                <w:b w:val="1"/>
                <w:bCs w:val="1"/>
                <w:color w:val="00085E"/>
              </w:rPr>
              <w:t>Gross Profit</w:t>
            </w:r>
          </w:p>
        </w:tc>
        <w:tc>
          <w:tcPr>
            <w:tcW w:w="240" w:type="dxa"/>
            <w:vAlign w:val="bottom"/>
          </w:tcPr>
          <w:p>
            <w:pPr>
              <w:spacing w:after="0"/>
              <w:rPr>
                <w:sz w:val="24"/>
                <w:szCs w:val="24"/>
                <w:color w:val="auto"/>
              </w:rPr>
            </w:pPr>
          </w:p>
        </w:tc>
        <w:tc>
          <w:tcPr>
            <w:tcW w:w="1160" w:type="dxa"/>
            <w:vAlign w:val="bottom"/>
          </w:tcPr>
          <w:p>
            <w:pPr>
              <w:jc w:val="right"/>
              <w:ind w:right="123"/>
              <w:spacing w:after="0"/>
              <w:rPr>
                <w:sz w:val="20"/>
                <w:szCs w:val="20"/>
                <w:color w:val="auto"/>
              </w:rPr>
            </w:pPr>
            <w:r>
              <w:rPr>
                <w:rFonts w:ascii="Arial Narrow" w:cs="Arial Narrow" w:eastAsia="Arial Narrow" w:hAnsi="Arial Narrow"/>
                <w:sz w:val="20"/>
                <w:szCs w:val="20"/>
                <w:color w:val="auto"/>
              </w:rPr>
              <w:t>652,543</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ind w:right="101"/>
              <w:spacing w:after="0"/>
              <w:rPr>
                <w:sz w:val="20"/>
                <w:szCs w:val="20"/>
                <w:color w:val="auto"/>
              </w:rPr>
            </w:pPr>
            <w:r>
              <w:rPr>
                <w:rFonts w:ascii="Arial Narrow" w:cs="Arial Narrow" w:eastAsia="Arial Narrow" w:hAnsi="Arial Narrow"/>
                <w:sz w:val="20"/>
                <w:szCs w:val="20"/>
                <w:color w:val="auto"/>
              </w:rPr>
              <w:t>673,137</w:t>
            </w:r>
          </w:p>
        </w:tc>
        <w:tc>
          <w:tcPr>
            <w:tcW w:w="1440" w:type="dxa"/>
            <w:vAlign w:val="bottom"/>
            <w:gridSpan w:val="2"/>
          </w:tcPr>
          <w:p>
            <w:pPr>
              <w:jc w:val="right"/>
              <w:ind w:right="150"/>
              <w:spacing w:after="0"/>
              <w:rPr>
                <w:sz w:val="20"/>
                <w:szCs w:val="20"/>
                <w:color w:val="auto"/>
              </w:rPr>
            </w:pPr>
            <w:r>
              <w:rPr>
                <w:rFonts w:ascii="Arial Narrow" w:cs="Arial Narrow" w:eastAsia="Arial Narrow" w:hAnsi="Arial Narrow"/>
                <w:sz w:val="20"/>
                <w:szCs w:val="20"/>
                <w:color w:val="auto"/>
              </w:rPr>
              <w:t>(3)%</w:t>
            </w:r>
          </w:p>
        </w:tc>
        <w:tc>
          <w:tcPr>
            <w:tcW w:w="0" w:type="dxa"/>
            <w:vAlign w:val="bottom"/>
          </w:tcPr>
          <w:p>
            <w:pPr>
              <w:spacing w:after="0"/>
              <w:rPr>
                <w:sz w:val="1"/>
                <w:szCs w:val="1"/>
                <w:color w:val="auto"/>
              </w:rPr>
            </w:pPr>
          </w:p>
        </w:tc>
      </w:tr>
      <w:tr>
        <w:trPr>
          <w:trHeight w:val="65"/>
        </w:trPr>
        <w:tc>
          <w:tcPr>
            <w:tcW w:w="5040" w:type="dxa"/>
            <w:vAlign w:val="bottom"/>
            <w:tcBorders>
              <w:bottom w:val="single" w:sz="8" w:color="A6A6A6"/>
            </w:tcBorders>
          </w:tcPr>
          <w:p>
            <w:pPr>
              <w:spacing w:after="0"/>
              <w:rPr>
                <w:sz w:val="5"/>
                <w:szCs w:val="5"/>
                <w:color w:val="auto"/>
              </w:rPr>
            </w:pPr>
          </w:p>
        </w:tc>
        <w:tc>
          <w:tcPr>
            <w:tcW w:w="240" w:type="dxa"/>
            <w:vAlign w:val="bottom"/>
            <w:tcBorders>
              <w:bottom w:val="single" w:sz="8" w:color="A6A6A6"/>
            </w:tcBorders>
          </w:tcPr>
          <w:p>
            <w:pPr>
              <w:spacing w:after="0"/>
              <w:rPr>
                <w:sz w:val="5"/>
                <w:szCs w:val="5"/>
                <w:color w:val="auto"/>
              </w:rPr>
            </w:pPr>
          </w:p>
        </w:tc>
        <w:tc>
          <w:tcPr>
            <w:tcW w:w="116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240" w:type="dxa"/>
            <w:vAlign w:val="bottom"/>
            <w:tcBorders>
              <w:bottom w:val="single" w:sz="8" w:color="A6A6A6"/>
            </w:tcBorders>
          </w:tcPr>
          <w:p>
            <w:pPr>
              <w:spacing w:after="0"/>
              <w:rPr>
                <w:sz w:val="5"/>
                <w:szCs w:val="5"/>
                <w:color w:val="auto"/>
              </w:rPr>
            </w:pPr>
          </w:p>
        </w:tc>
        <w:tc>
          <w:tcPr>
            <w:tcW w:w="1120" w:type="dxa"/>
            <w:vAlign w:val="bottom"/>
            <w:tcBorders>
              <w:bottom w:val="single" w:sz="8" w:color="A6A6A6"/>
            </w:tcBorders>
          </w:tcPr>
          <w:p>
            <w:pPr>
              <w:spacing w:after="0"/>
              <w:rPr>
                <w:sz w:val="5"/>
                <w:szCs w:val="5"/>
                <w:color w:val="auto"/>
              </w:rPr>
            </w:pPr>
          </w:p>
        </w:tc>
        <w:tc>
          <w:tcPr>
            <w:tcW w:w="1440" w:type="dxa"/>
            <w:vAlign w:val="bottom"/>
            <w:tcBorders>
              <w:bottom w:val="single" w:sz="8" w:color="A6A6A6"/>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5040" w:type="dxa"/>
            <w:vAlign w:val="bottom"/>
          </w:tcPr>
          <w:p>
            <w:pPr>
              <w:spacing w:after="0"/>
              <w:rPr>
                <w:sz w:val="20"/>
                <w:szCs w:val="20"/>
                <w:color w:val="auto"/>
              </w:rPr>
            </w:pPr>
            <w:r>
              <w:rPr>
                <w:rFonts w:ascii="Arial Narrow" w:cs="Arial Narrow" w:eastAsia="Arial Narrow" w:hAnsi="Arial Narrow"/>
                <w:sz w:val="20"/>
                <w:szCs w:val="20"/>
                <w:b w:val="1"/>
                <w:bCs w:val="1"/>
                <w:color w:val="00085E"/>
              </w:rPr>
              <w:t>Equity in Earnings of Unconsolidated Joint Venture</w:t>
            </w:r>
          </w:p>
        </w:tc>
        <w:tc>
          <w:tcPr>
            <w:tcW w:w="240" w:type="dxa"/>
            <w:vAlign w:val="bottom"/>
          </w:tcPr>
          <w:p>
            <w:pPr>
              <w:spacing w:after="0"/>
              <w:rPr>
                <w:sz w:val="24"/>
                <w:szCs w:val="24"/>
                <w:color w:val="auto"/>
              </w:rPr>
            </w:pPr>
          </w:p>
        </w:tc>
        <w:tc>
          <w:tcPr>
            <w:tcW w:w="1160" w:type="dxa"/>
            <w:vAlign w:val="bottom"/>
          </w:tcPr>
          <w:p>
            <w:pPr>
              <w:jc w:val="right"/>
              <w:ind w:right="123"/>
              <w:spacing w:after="0"/>
              <w:rPr>
                <w:sz w:val="20"/>
                <w:szCs w:val="20"/>
                <w:color w:val="auto"/>
              </w:rPr>
            </w:pPr>
            <w:r>
              <w:rPr>
                <w:rFonts w:ascii="Arial Narrow" w:cs="Arial Narrow" w:eastAsia="Arial Narrow" w:hAnsi="Arial Narrow"/>
                <w:sz w:val="20"/>
                <w:szCs w:val="20"/>
                <w:color w:val="auto"/>
              </w:rPr>
              <w:t>19,989</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ind w:right="101"/>
              <w:spacing w:after="0"/>
              <w:rPr>
                <w:sz w:val="20"/>
                <w:szCs w:val="20"/>
                <w:color w:val="auto"/>
              </w:rPr>
            </w:pPr>
            <w:r>
              <w:rPr>
                <w:rFonts w:ascii="Arial Narrow" w:cs="Arial Narrow" w:eastAsia="Arial Narrow" w:hAnsi="Arial Narrow"/>
                <w:sz w:val="20"/>
                <w:szCs w:val="20"/>
                <w:color w:val="auto"/>
              </w:rPr>
              <w:t>26,396</w:t>
            </w:r>
          </w:p>
        </w:tc>
        <w:tc>
          <w:tcPr>
            <w:tcW w:w="1440" w:type="dxa"/>
            <w:vAlign w:val="bottom"/>
            <w:gridSpan w:val="2"/>
          </w:tcPr>
          <w:p>
            <w:pPr>
              <w:jc w:val="right"/>
              <w:ind w:right="150"/>
              <w:spacing w:after="0"/>
              <w:rPr>
                <w:sz w:val="20"/>
                <w:szCs w:val="20"/>
                <w:color w:val="auto"/>
              </w:rPr>
            </w:pPr>
            <w:r>
              <w:rPr>
                <w:rFonts w:ascii="Arial Narrow" w:cs="Arial Narrow" w:eastAsia="Arial Narrow" w:hAnsi="Arial Narrow"/>
                <w:sz w:val="20"/>
                <w:szCs w:val="20"/>
                <w:color w:val="auto"/>
              </w:rPr>
              <w:t>(24)%</w:t>
            </w:r>
          </w:p>
        </w:tc>
        <w:tc>
          <w:tcPr>
            <w:tcW w:w="0" w:type="dxa"/>
            <w:vAlign w:val="bottom"/>
          </w:tcPr>
          <w:p>
            <w:pPr>
              <w:spacing w:after="0"/>
              <w:rPr>
                <w:sz w:val="1"/>
                <w:szCs w:val="1"/>
                <w:color w:val="auto"/>
              </w:rPr>
            </w:pPr>
          </w:p>
        </w:tc>
      </w:tr>
      <w:tr>
        <w:trPr>
          <w:trHeight w:val="65"/>
        </w:trPr>
        <w:tc>
          <w:tcPr>
            <w:tcW w:w="5040" w:type="dxa"/>
            <w:vAlign w:val="bottom"/>
            <w:tcBorders>
              <w:bottom w:val="single" w:sz="8" w:color="A6A6A6"/>
            </w:tcBorders>
          </w:tcPr>
          <w:p>
            <w:pPr>
              <w:spacing w:after="0"/>
              <w:rPr>
                <w:sz w:val="5"/>
                <w:szCs w:val="5"/>
                <w:color w:val="auto"/>
              </w:rPr>
            </w:pPr>
          </w:p>
        </w:tc>
        <w:tc>
          <w:tcPr>
            <w:tcW w:w="240" w:type="dxa"/>
            <w:vAlign w:val="bottom"/>
            <w:tcBorders>
              <w:bottom w:val="single" w:sz="8" w:color="A6A6A6"/>
            </w:tcBorders>
          </w:tcPr>
          <w:p>
            <w:pPr>
              <w:spacing w:after="0"/>
              <w:rPr>
                <w:sz w:val="5"/>
                <w:szCs w:val="5"/>
                <w:color w:val="auto"/>
              </w:rPr>
            </w:pPr>
          </w:p>
        </w:tc>
        <w:tc>
          <w:tcPr>
            <w:tcW w:w="116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240" w:type="dxa"/>
            <w:vAlign w:val="bottom"/>
            <w:tcBorders>
              <w:bottom w:val="single" w:sz="8" w:color="A6A6A6"/>
            </w:tcBorders>
          </w:tcPr>
          <w:p>
            <w:pPr>
              <w:spacing w:after="0"/>
              <w:rPr>
                <w:sz w:val="5"/>
                <w:szCs w:val="5"/>
                <w:color w:val="auto"/>
              </w:rPr>
            </w:pPr>
          </w:p>
        </w:tc>
        <w:tc>
          <w:tcPr>
            <w:tcW w:w="1120" w:type="dxa"/>
            <w:vAlign w:val="bottom"/>
            <w:tcBorders>
              <w:bottom w:val="single" w:sz="8" w:color="A6A6A6"/>
            </w:tcBorders>
          </w:tcPr>
          <w:p>
            <w:pPr>
              <w:spacing w:after="0"/>
              <w:rPr>
                <w:sz w:val="5"/>
                <w:szCs w:val="5"/>
                <w:color w:val="auto"/>
              </w:rPr>
            </w:pPr>
          </w:p>
        </w:tc>
        <w:tc>
          <w:tcPr>
            <w:tcW w:w="1440" w:type="dxa"/>
            <w:vAlign w:val="bottom"/>
            <w:tcBorders>
              <w:bottom w:val="single" w:sz="8" w:color="A6A6A6"/>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5040" w:type="dxa"/>
            <w:vAlign w:val="bottom"/>
          </w:tcPr>
          <w:p>
            <w:pPr>
              <w:spacing w:after="0"/>
              <w:rPr>
                <w:sz w:val="20"/>
                <w:szCs w:val="20"/>
                <w:color w:val="auto"/>
              </w:rPr>
            </w:pPr>
            <w:r>
              <w:rPr>
                <w:rFonts w:ascii="Arial Narrow" w:cs="Arial Narrow" w:eastAsia="Arial Narrow" w:hAnsi="Arial Narrow"/>
                <w:sz w:val="20"/>
                <w:szCs w:val="20"/>
                <w:b w:val="1"/>
                <w:bCs w:val="1"/>
                <w:color w:val="00085E"/>
              </w:rPr>
              <w:t>Corporate General and Administrative</w:t>
            </w:r>
          </w:p>
        </w:tc>
        <w:tc>
          <w:tcPr>
            <w:tcW w:w="240" w:type="dxa"/>
            <w:vAlign w:val="bottom"/>
          </w:tcPr>
          <w:p>
            <w:pPr>
              <w:spacing w:after="0"/>
              <w:rPr>
                <w:sz w:val="24"/>
                <w:szCs w:val="24"/>
                <w:color w:val="auto"/>
              </w:rPr>
            </w:pPr>
          </w:p>
        </w:tc>
        <w:tc>
          <w:tcPr>
            <w:tcW w:w="1160" w:type="dxa"/>
            <w:vAlign w:val="bottom"/>
          </w:tcPr>
          <w:p>
            <w:pPr>
              <w:jc w:val="right"/>
              <w:ind w:right="43"/>
              <w:spacing w:after="0"/>
              <w:rPr>
                <w:sz w:val="20"/>
                <w:szCs w:val="20"/>
                <w:color w:val="auto"/>
              </w:rPr>
            </w:pPr>
            <w:r>
              <w:rPr>
                <w:rFonts w:ascii="Arial Narrow" w:cs="Arial Narrow" w:eastAsia="Arial Narrow" w:hAnsi="Arial Narrow"/>
                <w:sz w:val="20"/>
                <w:szCs w:val="20"/>
                <w:color w:val="auto"/>
              </w:rPr>
              <w:t>(89,182)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ind w:right="21"/>
              <w:spacing w:after="0"/>
              <w:rPr>
                <w:sz w:val="20"/>
                <w:szCs w:val="20"/>
                <w:color w:val="auto"/>
              </w:rPr>
            </w:pPr>
            <w:r>
              <w:rPr>
                <w:rFonts w:ascii="Arial Narrow" w:cs="Arial Narrow" w:eastAsia="Arial Narrow" w:hAnsi="Arial Narrow"/>
                <w:sz w:val="20"/>
                <w:szCs w:val="20"/>
                <w:color w:val="auto"/>
              </w:rPr>
              <w:t>(73,942)</w:t>
            </w:r>
          </w:p>
        </w:tc>
        <w:tc>
          <w:tcPr>
            <w:tcW w:w="1440" w:type="dxa"/>
            <w:vAlign w:val="bottom"/>
            <w:gridSpan w:val="2"/>
          </w:tcPr>
          <w:p>
            <w:pPr>
              <w:jc w:val="right"/>
              <w:ind w:right="190"/>
              <w:spacing w:after="0"/>
              <w:rPr>
                <w:sz w:val="20"/>
                <w:szCs w:val="20"/>
                <w:color w:val="auto"/>
              </w:rPr>
            </w:pPr>
            <w:r>
              <w:rPr>
                <w:rFonts w:ascii="Arial Narrow" w:cs="Arial Narrow" w:eastAsia="Arial Narrow" w:hAnsi="Arial Narrow"/>
                <w:sz w:val="20"/>
                <w:szCs w:val="20"/>
                <w:color w:val="auto"/>
              </w:rPr>
              <w:t>21%</w:t>
            </w:r>
          </w:p>
        </w:tc>
        <w:tc>
          <w:tcPr>
            <w:tcW w:w="0" w:type="dxa"/>
            <w:vAlign w:val="bottom"/>
          </w:tcPr>
          <w:p>
            <w:pPr>
              <w:spacing w:after="0"/>
              <w:rPr>
                <w:sz w:val="1"/>
                <w:szCs w:val="1"/>
                <w:color w:val="auto"/>
              </w:rPr>
            </w:pPr>
          </w:p>
        </w:tc>
      </w:tr>
      <w:tr>
        <w:trPr>
          <w:trHeight w:val="65"/>
        </w:trPr>
        <w:tc>
          <w:tcPr>
            <w:tcW w:w="5040" w:type="dxa"/>
            <w:vAlign w:val="bottom"/>
            <w:tcBorders>
              <w:bottom w:val="single" w:sz="8" w:color="A6A6A6"/>
            </w:tcBorders>
          </w:tcPr>
          <w:p>
            <w:pPr>
              <w:spacing w:after="0"/>
              <w:rPr>
                <w:sz w:val="5"/>
                <w:szCs w:val="5"/>
                <w:color w:val="auto"/>
              </w:rPr>
            </w:pPr>
          </w:p>
        </w:tc>
        <w:tc>
          <w:tcPr>
            <w:tcW w:w="240" w:type="dxa"/>
            <w:vAlign w:val="bottom"/>
            <w:tcBorders>
              <w:bottom w:val="single" w:sz="8" w:color="A6A6A6"/>
            </w:tcBorders>
          </w:tcPr>
          <w:p>
            <w:pPr>
              <w:spacing w:after="0"/>
              <w:rPr>
                <w:sz w:val="5"/>
                <w:szCs w:val="5"/>
                <w:color w:val="auto"/>
              </w:rPr>
            </w:pPr>
          </w:p>
        </w:tc>
        <w:tc>
          <w:tcPr>
            <w:tcW w:w="116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240" w:type="dxa"/>
            <w:vAlign w:val="bottom"/>
            <w:tcBorders>
              <w:bottom w:val="single" w:sz="8" w:color="A6A6A6"/>
            </w:tcBorders>
          </w:tcPr>
          <w:p>
            <w:pPr>
              <w:spacing w:after="0"/>
              <w:rPr>
                <w:sz w:val="5"/>
                <w:szCs w:val="5"/>
                <w:color w:val="auto"/>
              </w:rPr>
            </w:pPr>
          </w:p>
        </w:tc>
        <w:tc>
          <w:tcPr>
            <w:tcW w:w="1120" w:type="dxa"/>
            <w:vAlign w:val="bottom"/>
            <w:tcBorders>
              <w:bottom w:val="single" w:sz="8" w:color="A6A6A6"/>
            </w:tcBorders>
          </w:tcPr>
          <w:p>
            <w:pPr>
              <w:spacing w:after="0"/>
              <w:rPr>
                <w:sz w:val="5"/>
                <w:szCs w:val="5"/>
                <w:color w:val="auto"/>
              </w:rPr>
            </w:pPr>
          </w:p>
        </w:tc>
        <w:tc>
          <w:tcPr>
            <w:tcW w:w="1440" w:type="dxa"/>
            <w:vAlign w:val="bottom"/>
            <w:tcBorders>
              <w:bottom w:val="single" w:sz="8" w:color="A6A6A6"/>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5040" w:type="dxa"/>
            <w:vAlign w:val="bottom"/>
          </w:tcPr>
          <w:p>
            <w:pPr>
              <w:spacing w:after="0"/>
              <w:rPr>
                <w:sz w:val="20"/>
                <w:szCs w:val="20"/>
                <w:color w:val="auto"/>
              </w:rPr>
            </w:pPr>
            <w:r>
              <w:rPr>
                <w:rFonts w:ascii="Arial Narrow" w:cs="Arial Narrow" w:eastAsia="Arial Narrow" w:hAnsi="Arial Narrow"/>
                <w:sz w:val="20"/>
                <w:szCs w:val="20"/>
                <w:b w:val="1"/>
                <w:bCs w:val="1"/>
                <w:color w:val="00085E"/>
              </w:rPr>
              <w:t>Other Nonoperating Income</w:t>
            </w:r>
          </w:p>
        </w:tc>
        <w:tc>
          <w:tcPr>
            <w:tcW w:w="240" w:type="dxa"/>
            <w:vAlign w:val="bottom"/>
          </w:tcPr>
          <w:p>
            <w:pPr>
              <w:spacing w:after="0"/>
              <w:rPr>
                <w:sz w:val="24"/>
                <w:szCs w:val="24"/>
                <w:color w:val="auto"/>
              </w:rPr>
            </w:pPr>
          </w:p>
        </w:tc>
        <w:tc>
          <w:tcPr>
            <w:tcW w:w="1160" w:type="dxa"/>
            <w:vAlign w:val="bottom"/>
          </w:tcPr>
          <w:p>
            <w:pPr>
              <w:jc w:val="right"/>
              <w:ind w:right="123"/>
              <w:spacing w:after="0"/>
              <w:rPr>
                <w:sz w:val="20"/>
                <w:szCs w:val="20"/>
                <w:color w:val="auto"/>
              </w:rPr>
            </w:pPr>
            <w:r>
              <w:rPr>
                <w:rFonts w:ascii="Arial Narrow" w:cs="Arial Narrow" w:eastAsia="Arial Narrow" w:hAnsi="Arial Narrow"/>
                <w:sz w:val="20"/>
                <w:szCs w:val="20"/>
                <w:color w:val="auto"/>
              </w:rPr>
              <w:t>5,108</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ind w:right="101"/>
              <w:spacing w:after="0"/>
              <w:rPr>
                <w:sz w:val="20"/>
                <w:szCs w:val="20"/>
                <w:color w:val="auto"/>
              </w:rPr>
            </w:pPr>
            <w:r>
              <w:rPr>
                <w:rFonts w:ascii="Arial Narrow" w:cs="Arial Narrow" w:eastAsia="Arial Narrow" w:hAnsi="Arial Narrow"/>
                <w:sz w:val="20"/>
                <w:szCs w:val="20"/>
                <w:color w:val="auto"/>
              </w:rPr>
              <w:t>6,420</w:t>
            </w:r>
          </w:p>
        </w:tc>
        <w:tc>
          <w:tcPr>
            <w:tcW w:w="1440" w:type="dxa"/>
            <w:vAlign w:val="bottom"/>
            <w:gridSpan w:val="2"/>
          </w:tcPr>
          <w:p>
            <w:pPr>
              <w:jc w:val="right"/>
              <w:ind w:right="150"/>
              <w:spacing w:after="0"/>
              <w:rPr>
                <w:sz w:val="20"/>
                <w:szCs w:val="20"/>
                <w:color w:val="auto"/>
              </w:rPr>
            </w:pPr>
            <w:r>
              <w:rPr>
                <w:rFonts w:ascii="Arial Narrow" w:cs="Arial Narrow" w:eastAsia="Arial Narrow" w:hAnsi="Arial Narrow"/>
                <w:sz w:val="20"/>
                <w:szCs w:val="20"/>
                <w:color w:val="auto"/>
              </w:rPr>
              <w:t>(20)%</w:t>
            </w:r>
          </w:p>
        </w:tc>
        <w:tc>
          <w:tcPr>
            <w:tcW w:w="0" w:type="dxa"/>
            <w:vAlign w:val="bottom"/>
          </w:tcPr>
          <w:p>
            <w:pPr>
              <w:spacing w:after="0"/>
              <w:rPr>
                <w:sz w:val="1"/>
                <w:szCs w:val="1"/>
                <w:color w:val="auto"/>
              </w:rPr>
            </w:pPr>
          </w:p>
        </w:tc>
      </w:tr>
      <w:tr>
        <w:trPr>
          <w:trHeight w:val="65"/>
        </w:trPr>
        <w:tc>
          <w:tcPr>
            <w:tcW w:w="5040" w:type="dxa"/>
            <w:vAlign w:val="bottom"/>
            <w:tcBorders>
              <w:bottom w:val="single" w:sz="8" w:color="A6A6A6"/>
            </w:tcBorders>
          </w:tcPr>
          <w:p>
            <w:pPr>
              <w:spacing w:after="0"/>
              <w:rPr>
                <w:sz w:val="5"/>
                <w:szCs w:val="5"/>
                <w:color w:val="auto"/>
              </w:rPr>
            </w:pPr>
          </w:p>
        </w:tc>
        <w:tc>
          <w:tcPr>
            <w:tcW w:w="240" w:type="dxa"/>
            <w:vAlign w:val="bottom"/>
            <w:tcBorders>
              <w:bottom w:val="single" w:sz="8" w:color="A6A6A6"/>
            </w:tcBorders>
          </w:tcPr>
          <w:p>
            <w:pPr>
              <w:spacing w:after="0"/>
              <w:rPr>
                <w:sz w:val="5"/>
                <w:szCs w:val="5"/>
                <w:color w:val="auto"/>
              </w:rPr>
            </w:pPr>
          </w:p>
        </w:tc>
        <w:tc>
          <w:tcPr>
            <w:tcW w:w="116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240" w:type="dxa"/>
            <w:vAlign w:val="bottom"/>
            <w:tcBorders>
              <w:bottom w:val="single" w:sz="8" w:color="A6A6A6"/>
            </w:tcBorders>
          </w:tcPr>
          <w:p>
            <w:pPr>
              <w:spacing w:after="0"/>
              <w:rPr>
                <w:sz w:val="5"/>
                <w:szCs w:val="5"/>
                <w:color w:val="auto"/>
              </w:rPr>
            </w:pPr>
          </w:p>
        </w:tc>
        <w:tc>
          <w:tcPr>
            <w:tcW w:w="1120" w:type="dxa"/>
            <w:vAlign w:val="bottom"/>
            <w:tcBorders>
              <w:bottom w:val="single" w:sz="8" w:color="A6A6A6"/>
            </w:tcBorders>
          </w:tcPr>
          <w:p>
            <w:pPr>
              <w:spacing w:after="0"/>
              <w:rPr>
                <w:sz w:val="5"/>
                <w:szCs w:val="5"/>
                <w:color w:val="auto"/>
              </w:rPr>
            </w:pPr>
          </w:p>
        </w:tc>
        <w:tc>
          <w:tcPr>
            <w:tcW w:w="1440" w:type="dxa"/>
            <w:vAlign w:val="bottom"/>
            <w:tcBorders>
              <w:bottom w:val="single" w:sz="8" w:color="A6A6A6"/>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5040" w:type="dxa"/>
            <w:vAlign w:val="bottom"/>
          </w:tcPr>
          <w:p>
            <w:pPr>
              <w:spacing w:after="0"/>
              <w:rPr>
                <w:sz w:val="20"/>
                <w:szCs w:val="20"/>
                <w:color w:val="auto"/>
              </w:rPr>
            </w:pPr>
            <w:r>
              <w:rPr>
                <w:rFonts w:ascii="Arial Narrow" w:cs="Arial Narrow" w:eastAsia="Arial Narrow" w:hAnsi="Arial Narrow"/>
                <w:sz w:val="20"/>
                <w:szCs w:val="20"/>
                <w:b w:val="1"/>
                <w:bCs w:val="1"/>
                <w:color w:val="00085E"/>
              </w:rPr>
              <w:t>Interest Expense, net</w:t>
            </w:r>
          </w:p>
        </w:tc>
        <w:tc>
          <w:tcPr>
            <w:tcW w:w="240" w:type="dxa"/>
            <w:vAlign w:val="bottom"/>
          </w:tcPr>
          <w:p>
            <w:pPr>
              <w:spacing w:after="0"/>
              <w:rPr>
                <w:sz w:val="24"/>
                <w:szCs w:val="24"/>
                <w:color w:val="auto"/>
              </w:rPr>
            </w:pPr>
          </w:p>
        </w:tc>
        <w:tc>
          <w:tcPr>
            <w:tcW w:w="1160" w:type="dxa"/>
            <w:vAlign w:val="bottom"/>
          </w:tcPr>
          <w:p>
            <w:pPr>
              <w:jc w:val="right"/>
              <w:ind w:right="43"/>
              <w:spacing w:after="0"/>
              <w:rPr>
                <w:sz w:val="20"/>
                <w:szCs w:val="20"/>
                <w:color w:val="auto"/>
              </w:rPr>
            </w:pPr>
            <w:r>
              <w:rPr>
                <w:rFonts w:ascii="Arial Narrow" w:cs="Arial Narrow" w:eastAsia="Arial Narrow" w:hAnsi="Arial Narrow"/>
                <w:sz w:val="20"/>
                <w:szCs w:val="20"/>
                <w:color w:val="auto"/>
              </w:rPr>
              <w:t>(46,482)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ind w:right="21"/>
              <w:spacing w:after="0"/>
              <w:rPr>
                <w:sz w:val="20"/>
                <w:szCs w:val="20"/>
                <w:color w:val="auto"/>
              </w:rPr>
            </w:pPr>
            <w:r>
              <w:rPr>
                <w:rFonts w:ascii="Arial Narrow" w:cs="Arial Narrow" w:eastAsia="Arial Narrow" w:hAnsi="Arial Narrow"/>
                <w:sz w:val="20"/>
                <w:szCs w:val="20"/>
                <w:color w:val="auto"/>
              </w:rPr>
              <w:t>(40,526)</w:t>
            </w:r>
          </w:p>
        </w:tc>
        <w:tc>
          <w:tcPr>
            <w:tcW w:w="1440" w:type="dxa"/>
            <w:vAlign w:val="bottom"/>
            <w:gridSpan w:val="2"/>
          </w:tcPr>
          <w:p>
            <w:pPr>
              <w:jc w:val="right"/>
              <w:ind w:right="190"/>
              <w:spacing w:after="0"/>
              <w:rPr>
                <w:sz w:val="20"/>
                <w:szCs w:val="20"/>
                <w:color w:val="auto"/>
              </w:rPr>
            </w:pPr>
            <w:r>
              <w:rPr>
                <w:rFonts w:ascii="Arial Narrow" w:cs="Arial Narrow" w:eastAsia="Arial Narrow" w:hAnsi="Arial Narrow"/>
                <w:sz w:val="20"/>
                <w:szCs w:val="20"/>
                <w:color w:val="auto"/>
              </w:rPr>
              <w:t>15%</w:t>
            </w:r>
          </w:p>
        </w:tc>
        <w:tc>
          <w:tcPr>
            <w:tcW w:w="0" w:type="dxa"/>
            <w:vAlign w:val="bottom"/>
          </w:tcPr>
          <w:p>
            <w:pPr>
              <w:spacing w:after="0"/>
              <w:rPr>
                <w:sz w:val="1"/>
                <w:szCs w:val="1"/>
                <w:color w:val="auto"/>
              </w:rPr>
            </w:pPr>
          </w:p>
        </w:tc>
      </w:tr>
      <w:tr>
        <w:trPr>
          <w:trHeight w:val="90"/>
        </w:trPr>
        <w:tc>
          <w:tcPr>
            <w:tcW w:w="5040" w:type="dxa"/>
            <w:vAlign w:val="bottom"/>
            <w:tcBorders>
              <w:bottom w:val="single" w:sz="8" w:color="A6A6A6"/>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40" w:type="dxa"/>
            <w:vAlign w:val="bottom"/>
            <w:tcBorders>
              <w:bottom w:val="single" w:sz="8" w:color="A6A6A6"/>
            </w:tcBorders>
          </w:tcPr>
          <w:p>
            <w:pPr>
              <w:spacing w:after="0"/>
              <w:rPr>
                <w:sz w:val="7"/>
                <w:szCs w:val="7"/>
                <w:color w:val="auto"/>
              </w:rPr>
            </w:pPr>
          </w:p>
        </w:tc>
        <w:tc>
          <w:tcPr>
            <w:tcW w:w="1300" w:type="dxa"/>
            <w:vAlign w:val="bottom"/>
            <w:tcBorders>
              <w:bottom w:val="single" w:sz="8" w:color="A6A6A6"/>
            </w:tcBorders>
          </w:tcPr>
          <w:p>
            <w:pPr>
              <w:spacing w:after="0"/>
              <w:rPr>
                <w:sz w:val="7"/>
                <w:szCs w:val="7"/>
                <w:color w:val="auto"/>
              </w:rPr>
            </w:pPr>
          </w:p>
        </w:tc>
        <w:tc>
          <w:tcPr>
            <w:tcW w:w="0" w:type="dxa"/>
            <w:vAlign w:val="bottom"/>
          </w:tcPr>
          <w:p>
            <w:pPr>
              <w:spacing w:after="0"/>
              <w:rPr>
                <w:sz w:val="1"/>
                <w:szCs w:val="1"/>
                <w:color w:val="auto"/>
              </w:rPr>
            </w:pPr>
          </w:p>
        </w:tc>
      </w:tr>
      <w:tr>
        <w:trPr>
          <w:trHeight w:val="344"/>
        </w:trPr>
        <w:tc>
          <w:tcPr>
            <w:tcW w:w="5040" w:type="dxa"/>
            <w:vAlign w:val="bottom"/>
          </w:tcPr>
          <w:p>
            <w:pPr>
              <w:spacing w:after="0"/>
              <w:rPr>
                <w:sz w:val="20"/>
                <w:szCs w:val="20"/>
                <w:color w:val="auto"/>
              </w:rPr>
            </w:pPr>
            <w:r>
              <w:rPr>
                <w:rFonts w:ascii="Arial Narrow" w:cs="Arial Narrow" w:eastAsia="Arial Narrow" w:hAnsi="Arial Narrow"/>
                <w:sz w:val="20"/>
                <w:szCs w:val="20"/>
                <w:b w:val="1"/>
                <w:bCs w:val="1"/>
                <w:color w:val="00085E"/>
              </w:rPr>
              <w:t>Earnings Before Income Taxes</w:t>
            </w:r>
          </w:p>
        </w:tc>
        <w:tc>
          <w:tcPr>
            <w:tcW w:w="240" w:type="dxa"/>
            <w:vAlign w:val="bottom"/>
          </w:tcPr>
          <w:p>
            <w:pPr>
              <w:spacing w:after="0"/>
              <w:rPr>
                <w:sz w:val="24"/>
                <w:szCs w:val="24"/>
                <w:color w:val="auto"/>
              </w:rPr>
            </w:pPr>
          </w:p>
        </w:tc>
        <w:tc>
          <w:tcPr>
            <w:tcW w:w="1160" w:type="dxa"/>
            <w:vAlign w:val="bottom"/>
          </w:tcPr>
          <w:p>
            <w:pPr>
              <w:jc w:val="right"/>
              <w:ind w:right="123"/>
              <w:spacing w:after="0"/>
              <w:rPr>
                <w:sz w:val="20"/>
                <w:szCs w:val="20"/>
                <w:color w:val="auto"/>
              </w:rPr>
            </w:pPr>
            <w:r>
              <w:rPr>
                <w:rFonts w:ascii="Arial Narrow" w:cs="Arial Narrow" w:eastAsia="Arial Narrow" w:hAnsi="Arial Narrow"/>
                <w:sz w:val="20"/>
                <w:szCs w:val="20"/>
                <w:color w:val="auto"/>
              </w:rPr>
              <w:t>541,976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ind w:right="101"/>
              <w:spacing w:after="0"/>
              <w:rPr>
                <w:sz w:val="20"/>
                <w:szCs w:val="20"/>
                <w:color w:val="auto"/>
              </w:rPr>
            </w:pPr>
            <w:r>
              <w:rPr>
                <w:rFonts w:ascii="Arial Narrow" w:cs="Arial Narrow" w:eastAsia="Arial Narrow" w:hAnsi="Arial Narrow"/>
                <w:sz w:val="20"/>
                <w:szCs w:val="20"/>
                <w:color w:val="auto"/>
              </w:rPr>
              <w:t>591,485</w:t>
            </w:r>
          </w:p>
        </w:tc>
        <w:tc>
          <w:tcPr>
            <w:tcW w:w="1440" w:type="dxa"/>
            <w:vAlign w:val="bottom"/>
            <w:gridSpan w:val="2"/>
          </w:tcPr>
          <w:p>
            <w:pPr>
              <w:jc w:val="right"/>
              <w:ind w:right="150"/>
              <w:spacing w:after="0"/>
              <w:rPr>
                <w:sz w:val="20"/>
                <w:szCs w:val="20"/>
                <w:color w:val="auto"/>
              </w:rPr>
            </w:pPr>
            <w:r>
              <w:rPr>
                <w:rFonts w:ascii="Arial Narrow" w:cs="Arial Narrow" w:eastAsia="Arial Narrow" w:hAnsi="Arial Narrow"/>
                <w:sz w:val="20"/>
                <w:szCs w:val="20"/>
                <w:color w:val="auto"/>
              </w:rPr>
              <w:t>(8)%</w:t>
            </w:r>
          </w:p>
        </w:tc>
        <w:tc>
          <w:tcPr>
            <w:tcW w:w="0" w:type="dxa"/>
            <w:vAlign w:val="bottom"/>
          </w:tcPr>
          <w:p>
            <w:pPr>
              <w:spacing w:after="0"/>
              <w:rPr>
                <w:sz w:val="1"/>
                <w:szCs w:val="1"/>
                <w:color w:val="auto"/>
              </w:rPr>
            </w:pPr>
          </w:p>
        </w:tc>
      </w:tr>
      <w:tr>
        <w:trPr>
          <w:trHeight w:val="65"/>
        </w:trPr>
        <w:tc>
          <w:tcPr>
            <w:tcW w:w="5040" w:type="dxa"/>
            <w:vAlign w:val="bottom"/>
            <w:tcBorders>
              <w:bottom w:val="single" w:sz="8" w:color="A6A6A6"/>
            </w:tcBorders>
          </w:tcPr>
          <w:p>
            <w:pPr>
              <w:spacing w:after="0"/>
              <w:rPr>
                <w:sz w:val="5"/>
                <w:szCs w:val="5"/>
                <w:color w:val="auto"/>
              </w:rPr>
            </w:pPr>
          </w:p>
        </w:tc>
        <w:tc>
          <w:tcPr>
            <w:tcW w:w="240" w:type="dxa"/>
            <w:vAlign w:val="bottom"/>
            <w:tcBorders>
              <w:bottom w:val="single" w:sz="8" w:color="A6A6A6"/>
            </w:tcBorders>
          </w:tcPr>
          <w:p>
            <w:pPr>
              <w:spacing w:after="0"/>
              <w:rPr>
                <w:sz w:val="5"/>
                <w:szCs w:val="5"/>
                <w:color w:val="auto"/>
              </w:rPr>
            </w:pPr>
          </w:p>
        </w:tc>
        <w:tc>
          <w:tcPr>
            <w:tcW w:w="116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240" w:type="dxa"/>
            <w:vAlign w:val="bottom"/>
            <w:tcBorders>
              <w:bottom w:val="single" w:sz="8" w:color="A6A6A6"/>
            </w:tcBorders>
          </w:tcPr>
          <w:p>
            <w:pPr>
              <w:spacing w:after="0"/>
              <w:rPr>
                <w:sz w:val="5"/>
                <w:szCs w:val="5"/>
                <w:color w:val="auto"/>
              </w:rPr>
            </w:pPr>
          </w:p>
        </w:tc>
        <w:tc>
          <w:tcPr>
            <w:tcW w:w="1120" w:type="dxa"/>
            <w:vAlign w:val="bottom"/>
            <w:tcBorders>
              <w:bottom w:val="single" w:sz="8" w:color="A6A6A6"/>
            </w:tcBorders>
          </w:tcPr>
          <w:p>
            <w:pPr>
              <w:spacing w:after="0"/>
              <w:rPr>
                <w:sz w:val="5"/>
                <w:szCs w:val="5"/>
                <w:color w:val="auto"/>
              </w:rPr>
            </w:pPr>
          </w:p>
        </w:tc>
        <w:tc>
          <w:tcPr>
            <w:tcW w:w="1440" w:type="dxa"/>
            <w:vAlign w:val="bottom"/>
            <w:tcBorders>
              <w:bottom w:val="single" w:sz="8" w:color="A6A6A6"/>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5040" w:type="dxa"/>
            <w:vAlign w:val="bottom"/>
          </w:tcPr>
          <w:p>
            <w:pPr>
              <w:spacing w:after="0"/>
              <w:rPr>
                <w:sz w:val="20"/>
                <w:szCs w:val="20"/>
                <w:color w:val="auto"/>
              </w:rPr>
            </w:pPr>
            <w:r>
              <w:rPr>
                <w:rFonts w:ascii="Arial Narrow" w:cs="Arial Narrow" w:eastAsia="Arial Narrow" w:hAnsi="Arial Narrow"/>
                <w:sz w:val="20"/>
                <w:szCs w:val="20"/>
                <w:b w:val="1"/>
                <w:bCs w:val="1"/>
                <w:color w:val="00085E"/>
              </w:rPr>
              <w:t>Income Tax Expense</w:t>
            </w:r>
          </w:p>
        </w:tc>
        <w:tc>
          <w:tcPr>
            <w:tcW w:w="240" w:type="dxa"/>
            <w:vAlign w:val="bottom"/>
          </w:tcPr>
          <w:p>
            <w:pPr>
              <w:spacing w:after="0"/>
              <w:rPr>
                <w:sz w:val="24"/>
                <w:szCs w:val="24"/>
                <w:color w:val="auto"/>
              </w:rPr>
            </w:pPr>
          </w:p>
        </w:tc>
        <w:tc>
          <w:tcPr>
            <w:tcW w:w="1160" w:type="dxa"/>
            <w:vAlign w:val="bottom"/>
          </w:tcPr>
          <w:p>
            <w:pPr>
              <w:jc w:val="right"/>
              <w:ind w:right="43"/>
              <w:spacing w:after="0"/>
              <w:rPr>
                <w:sz w:val="20"/>
                <w:szCs w:val="20"/>
                <w:color w:val="auto"/>
              </w:rPr>
            </w:pPr>
            <w:r>
              <w:rPr>
                <w:rFonts w:ascii="Arial Narrow" w:cs="Arial Narrow" w:eastAsia="Arial Narrow" w:hAnsi="Arial Narrow"/>
                <w:sz w:val="20"/>
                <w:szCs w:val="20"/>
                <w:color w:val="auto"/>
              </w:rPr>
              <w:t>(118,167)</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ind w:right="21"/>
              <w:spacing w:after="0"/>
              <w:rPr>
                <w:sz w:val="20"/>
                <w:szCs w:val="20"/>
                <w:color w:val="auto"/>
              </w:rPr>
            </w:pPr>
            <w:r>
              <w:rPr>
                <w:rFonts w:ascii="Arial Narrow" w:cs="Arial Narrow" w:eastAsia="Arial Narrow" w:hAnsi="Arial Narrow"/>
                <w:sz w:val="20"/>
                <w:szCs w:val="20"/>
                <w:color w:val="auto"/>
              </w:rPr>
              <w:t>(128,069)</w:t>
            </w:r>
          </w:p>
        </w:tc>
        <w:tc>
          <w:tcPr>
            <w:tcW w:w="1440" w:type="dxa"/>
            <w:vAlign w:val="bottom"/>
            <w:gridSpan w:val="2"/>
          </w:tcPr>
          <w:p>
            <w:pPr>
              <w:jc w:val="right"/>
              <w:ind w:right="150"/>
              <w:spacing w:after="0"/>
              <w:rPr>
                <w:sz w:val="20"/>
                <w:szCs w:val="20"/>
                <w:color w:val="auto"/>
              </w:rPr>
            </w:pPr>
            <w:r>
              <w:rPr>
                <w:rFonts w:ascii="Arial Narrow" w:cs="Arial Narrow" w:eastAsia="Arial Narrow" w:hAnsi="Arial Narrow"/>
                <w:sz w:val="20"/>
                <w:szCs w:val="20"/>
                <w:color w:val="auto"/>
              </w:rPr>
              <w:t>(8)%</w:t>
            </w:r>
          </w:p>
        </w:tc>
        <w:tc>
          <w:tcPr>
            <w:tcW w:w="0" w:type="dxa"/>
            <w:vAlign w:val="bottom"/>
          </w:tcPr>
          <w:p>
            <w:pPr>
              <w:spacing w:after="0"/>
              <w:rPr>
                <w:sz w:val="1"/>
                <w:szCs w:val="1"/>
                <w:color w:val="auto"/>
              </w:rPr>
            </w:pPr>
          </w:p>
        </w:tc>
      </w:tr>
      <w:tr>
        <w:trPr>
          <w:trHeight w:val="90"/>
        </w:trPr>
        <w:tc>
          <w:tcPr>
            <w:tcW w:w="5040" w:type="dxa"/>
            <w:vAlign w:val="bottom"/>
            <w:tcBorders>
              <w:bottom w:val="single" w:sz="8" w:color="A6A6A6"/>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40" w:type="dxa"/>
            <w:vAlign w:val="bottom"/>
            <w:tcBorders>
              <w:bottom w:val="single" w:sz="8" w:color="A6A6A6"/>
            </w:tcBorders>
          </w:tcPr>
          <w:p>
            <w:pPr>
              <w:spacing w:after="0"/>
              <w:rPr>
                <w:sz w:val="7"/>
                <w:szCs w:val="7"/>
                <w:color w:val="auto"/>
              </w:rPr>
            </w:pPr>
          </w:p>
        </w:tc>
        <w:tc>
          <w:tcPr>
            <w:tcW w:w="1300" w:type="dxa"/>
            <w:vAlign w:val="bottom"/>
            <w:tcBorders>
              <w:bottom w:val="single" w:sz="8" w:color="A6A6A6"/>
            </w:tcBorders>
          </w:tcPr>
          <w:p>
            <w:pPr>
              <w:spacing w:after="0"/>
              <w:rPr>
                <w:sz w:val="7"/>
                <w:szCs w:val="7"/>
                <w:color w:val="auto"/>
              </w:rPr>
            </w:pPr>
          </w:p>
        </w:tc>
        <w:tc>
          <w:tcPr>
            <w:tcW w:w="0" w:type="dxa"/>
            <w:vAlign w:val="bottom"/>
          </w:tcPr>
          <w:p>
            <w:pPr>
              <w:spacing w:after="0"/>
              <w:rPr>
                <w:sz w:val="1"/>
                <w:szCs w:val="1"/>
                <w:color w:val="auto"/>
              </w:rPr>
            </w:pPr>
          </w:p>
        </w:tc>
      </w:tr>
      <w:tr>
        <w:trPr>
          <w:trHeight w:val="344"/>
        </w:trPr>
        <w:tc>
          <w:tcPr>
            <w:tcW w:w="5040" w:type="dxa"/>
            <w:vAlign w:val="bottom"/>
          </w:tcPr>
          <w:p>
            <w:pPr>
              <w:spacing w:after="0"/>
              <w:rPr>
                <w:sz w:val="20"/>
                <w:szCs w:val="20"/>
                <w:color w:val="auto"/>
              </w:rPr>
            </w:pPr>
            <w:r>
              <w:rPr>
                <w:rFonts w:ascii="Arial Narrow" w:cs="Arial Narrow" w:eastAsia="Arial Narrow" w:hAnsi="Arial Narrow"/>
                <w:sz w:val="20"/>
                <w:szCs w:val="20"/>
                <w:b w:val="1"/>
                <w:bCs w:val="1"/>
                <w:color w:val="00085E"/>
              </w:rPr>
              <w:t>Net Earnings</w:t>
            </w:r>
          </w:p>
        </w:tc>
        <w:tc>
          <w:tcPr>
            <w:tcW w:w="240" w:type="dxa"/>
            <w:vAlign w:val="bottom"/>
          </w:tcPr>
          <w:p>
            <w:pPr>
              <w:jc w:val="right"/>
              <w:ind w:right="40"/>
              <w:spacing w:after="0"/>
              <w:rPr>
                <w:sz w:val="20"/>
                <w:szCs w:val="20"/>
                <w:color w:val="auto"/>
              </w:rPr>
            </w:pPr>
            <w:r>
              <w:rPr>
                <w:rFonts w:ascii="Arial Narrow" w:cs="Arial Narrow" w:eastAsia="Arial Narrow" w:hAnsi="Arial Narrow"/>
                <w:sz w:val="20"/>
                <w:szCs w:val="20"/>
                <w:color w:val="auto"/>
                <w:w w:val="87"/>
              </w:rPr>
              <w:t>$</w:t>
            </w:r>
          </w:p>
        </w:tc>
        <w:tc>
          <w:tcPr>
            <w:tcW w:w="1160" w:type="dxa"/>
            <w:vAlign w:val="bottom"/>
          </w:tcPr>
          <w:p>
            <w:pPr>
              <w:jc w:val="right"/>
              <w:ind w:right="123"/>
              <w:spacing w:after="0"/>
              <w:rPr>
                <w:sz w:val="20"/>
                <w:szCs w:val="20"/>
                <w:color w:val="auto"/>
              </w:rPr>
            </w:pPr>
            <w:r>
              <w:rPr>
                <w:rFonts w:ascii="Arial Narrow" w:cs="Arial Narrow" w:eastAsia="Arial Narrow" w:hAnsi="Arial Narrow"/>
                <w:sz w:val="20"/>
                <w:szCs w:val="20"/>
                <w:b w:val="1"/>
                <w:bCs w:val="1"/>
                <w:color w:val="auto"/>
              </w:rPr>
              <w:t>423,809</w:t>
            </w:r>
          </w:p>
        </w:tc>
        <w:tc>
          <w:tcPr>
            <w:tcW w:w="360" w:type="dxa"/>
            <w:vAlign w:val="bottom"/>
            <w:gridSpan w:val="2"/>
          </w:tcPr>
          <w:p>
            <w:pPr>
              <w:jc w:val="right"/>
              <w:ind w:right="140"/>
              <w:spacing w:after="0"/>
              <w:rPr>
                <w:sz w:val="20"/>
                <w:szCs w:val="20"/>
                <w:color w:val="auto"/>
              </w:rPr>
            </w:pPr>
            <w:r>
              <w:rPr>
                <w:rFonts w:ascii="Arial Narrow" w:cs="Arial Narrow" w:eastAsia="Arial Narrow" w:hAnsi="Arial Narrow"/>
                <w:sz w:val="20"/>
                <w:szCs w:val="20"/>
                <w:color w:val="auto"/>
              </w:rPr>
              <w:t>$</w:t>
            </w:r>
          </w:p>
        </w:tc>
        <w:tc>
          <w:tcPr>
            <w:tcW w:w="1120" w:type="dxa"/>
            <w:vAlign w:val="bottom"/>
          </w:tcPr>
          <w:p>
            <w:pPr>
              <w:jc w:val="right"/>
              <w:ind w:right="101"/>
              <w:spacing w:after="0"/>
              <w:rPr>
                <w:sz w:val="20"/>
                <w:szCs w:val="20"/>
                <w:color w:val="auto"/>
              </w:rPr>
            </w:pPr>
            <w:r>
              <w:rPr>
                <w:rFonts w:ascii="Arial Narrow" w:cs="Arial Narrow" w:eastAsia="Arial Narrow" w:hAnsi="Arial Narrow"/>
                <w:sz w:val="20"/>
                <w:szCs w:val="20"/>
                <w:b w:val="1"/>
                <w:bCs w:val="1"/>
                <w:color w:val="auto"/>
              </w:rPr>
              <w:t>463,416</w:t>
            </w:r>
          </w:p>
        </w:tc>
        <w:tc>
          <w:tcPr>
            <w:tcW w:w="1440" w:type="dxa"/>
            <w:vAlign w:val="bottom"/>
            <w:gridSpan w:val="2"/>
          </w:tcPr>
          <w:p>
            <w:pPr>
              <w:jc w:val="right"/>
              <w:ind w:right="150"/>
              <w:spacing w:after="0"/>
              <w:rPr>
                <w:sz w:val="20"/>
                <w:szCs w:val="20"/>
                <w:color w:val="auto"/>
              </w:rPr>
            </w:pPr>
            <w:r>
              <w:rPr>
                <w:rFonts w:ascii="Arial Narrow" w:cs="Arial Narrow" w:eastAsia="Arial Narrow" w:hAnsi="Arial Narrow"/>
                <w:sz w:val="20"/>
                <w:szCs w:val="20"/>
                <w:b w:val="1"/>
                <w:bCs w:val="1"/>
                <w:color w:val="auto"/>
              </w:rPr>
              <w:t>(9)%</w:t>
            </w:r>
          </w:p>
        </w:tc>
        <w:tc>
          <w:tcPr>
            <w:tcW w:w="0" w:type="dxa"/>
            <w:vAlign w:val="bottom"/>
          </w:tcPr>
          <w:p>
            <w:pPr>
              <w:spacing w:after="0"/>
              <w:rPr>
                <w:sz w:val="1"/>
                <w:szCs w:val="1"/>
                <w:color w:val="auto"/>
              </w:rPr>
            </w:pPr>
          </w:p>
        </w:tc>
      </w:tr>
      <w:tr>
        <w:trPr>
          <w:trHeight w:val="90"/>
        </w:trPr>
        <w:tc>
          <w:tcPr>
            <w:tcW w:w="5040" w:type="dxa"/>
            <w:vAlign w:val="bottom"/>
            <w:tcBorders>
              <w:bottom w:val="single" w:sz="8" w:color="A6A6A6"/>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40" w:type="dxa"/>
            <w:vAlign w:val="bottom"/>
            <w:tcBorders>
              <w:bottom w:val="single" w:sz="8" w:color="A6A6A6"/>
            </w:tcBorders>
          </w:tcPr>
          <w:p>
            <w:pPr>
              <w:spacing w:after="0"/>
              <w:rPr>
                <w:sz w:val="7"/>
                <w:szCs w:val="7"/>
                <w:color w:val="auto"/>
              </w:rPr>
            </w:pPr>
          </w:p>
        </w:tc>
        <w:tc>
          <w:tcPr>
            <w:tcW w:w="1300" w:type="dxa"/>
            <w:vAlign w:val="bottom"/>
            <w:tcBorders>
              <w:bottom w:val="single" w:sz="8" w:color="A6A6A6"/>
            </w:tcBorders>
          </w:tcPr>
          <w:p>
            <w:pPr>
              <w:spacing w:after="0"/>
              <w:rPr>
                <w:sz w:val="7"/>
                <w:szCs w:val="7"/>
                <w:color w:val="auto"/>
              </w:rPr>
            </w:pPr>
          </w:p>
        </w:tc>
        <w:tc>
          <w:tcPr>
            <w:tcW w:w="0" w:type="dxa"/>
            <w:vAlign w:val="bottom"/>
          </w:tcPr>
          <w:p>
            <w:pPr>
              <w:spacing w:after="0"/>
              <w:rPr>
                <w:sz w:val="1"/>
                <w:szCs w:val="1"/>
                <w:color w:val="auto"/>
              </w:rPr>
            </w:pPr>
          </w:p>
        </w:tc>
      </w:tr>
      <w:tr>
        <w:trPr>
          <w:trHeight w:val="344"/>
        </w:trPr>
        <w:tc>
          <w:tcPr>
            <w:tcW w:w="5040" w:type="dxa"/>
            <w:vAlign w:val="bottom"/>
          </w:tcPr>
          <w:p>
            <w:pPr>
              <w:spacing w:after="0"/>
              <w:rPr>
                <w:sz w:val="20"/>
                <w:szCs w:val="20"/>
                <w:color w:val="auto"/>
              </w:rPr>
            </w:pPr>
            <w:r>
              <w:rPr>
                <w:rFonts w:ascii="Arial Narrow" w:cs="Arial Narrow" w:eastAsia="Arial Narrow" w:hAnsi="Arial Narrow"/>
                <w:sz w:val="20"/>
                <w:szCs w:val="20"/>
                <w:b w:val="1"/>
                <w:bCs w:val="1"/>
                <w:color w:val="00085E"/>
              </w:rPr>
              <w:t>Diluted Earnings per Share</w:t>
            </w:r>
          </w:p>
        </w:tc>
        <w:tc>
          <w:tcPr>
            <w:tcW w:w="240" w:type="dxa"/>
            <w:vAlign w:val="bottom"/>
          </w:tcPr>
          <w:p>
            <w:pPr>
              <w:jc w:val="right"/>
              <w:ind w:right="40"/>
              <w:spacing w:after="0"/>
              <w:rPr>
                <w:sz w:val="20"/>
                <w:szCs w:val="20"/>
                <w:color w:val="auto"/>
              </w:rPr>
            </w:pPr>
            <w:r>
              <w:rPr>
                <w:rFonts w:ascii="Arial Narrow" w:cs="Arial Narrow" w:eastAsia="Arial Narrow" w:hAnsi="Arial Narrow"/>
                <w:sz w:val="20"/>
                <w:szCs w:val="20"/>
                <w:color w:val="auto"/>
                <w:w w:val="87"/>
              </w:rPr>
              <w:t>$</w:t>
            </w:r>
          </w:p>
        </w:tc>
        <w:tc>
          <w:tcPr>
            <w:tcW w:w="1160" w:type="dxa"/>
            <w:vAlign w:val="bottom"/>
          </w:tcPr>
          <w:p>
            <w:pPr>
              <w:jc w:val="right"/>
              <w:ind w:right="123"/>
              <w:spacing w:after="0"/>
              <w:rPr>
                <w:sz w:val="20"/>
                <w:szCs w:val="20"/>
                <w:color w:val="auto"/>
              </w:rPr>
            </w:pPr>
            <w:r>
              <w:rPr>
                <w:rFonts w:ascii="Arial Narrow" w:cs="Arial Narrow" w:eastAsia="Arial Narrow" w:hAnsi="Arial Narrow"/>
                <w:sz w:val="20"/>
                <w:szCs w:val="20"/>
                <w:b w:val="1"/>
                <w:bCs w:val="1"/>
                <w:color w:val="auto"/>
              </w:rPr>
              <w:t>13.16</w:t>
            </w:r>
          </w:p>
        </w:tc>
        <w:tc>
          <w:tcPr>
            <w:tcW w:w="360" w:type="dxa"/>
            <w:vAlign w:val="bottom"/>
            <w:gridSpan w:val="2"/>
          </w:tcPr>
          <w:p>
            <w:pPr>
              <w:jc w:val="right"/>
              <w:ind w:right="140"/>
              <w:spacing w:after="0"/>
              <w:rPr>
                <w:sz w:val="20"/>
                <w:szCs w:val="20"/>
                <w:color w:val="auto"/>
              </w:rPr>
            </w:pPr>
            <w:r>
              <w:rPr>
                <w:rFonts w:ascii="Arial Narrow" w:cs="Arial Narrow" w:eastAsia="Arial Narrow" w:hAnsi="Arial Narrow"/>
                <w:sz w:val="20"/>
                <w:szCs w:val="20"/>
                <w:color w:val="auto"/>
              </w:rPr>
              <w:t>$</w:t>
            </w:r>
          </w:p>
        </w:tc>
        <w:tc>
          <w:tcPr>
            <w:tcW w:w="1120" w:type="dxa"/>
            <w:vAlign w:val="bottom"/>
          </w:tcPr>
          <w:p>
            <w:pPr>
              <w:jc w:val="right"/>
              <w:ind w:right="101"/>
              <w:spacing w:after="0"/>
              <w:rPr>
                <w:sz w:val="20"/>
                <w:szCs w:val="20"/>
                <w:color w:val="auto"/>
              </w:rPr>
            </w:pPr>
            <w:r>
              <w:rPr>
                <w:rFonts w:ascii="Arial Narrow" w:cs="Arial Narrow" w:eastAsia="Arial Narrow" w:hAnsi="Arial Narrow"/>
                <w:sz w:val="20"/>
                <w:szCs w:val="20"/>
                <w:b w:val="1"/>
                <w:bCs w:val="1"/>
                <w:color w:val="auto"/>
              </w:rPr>
              <w:t>13.77</w:t>
            </w:r>
          </w:p>
        </w:tc>
        <w:tc>
          <w:tcPr>
            <w:tcW w:w="1440" w:type="dxa"/>
            <w:vAlign w:val="bottom"/>
            <w:gridSpan w:val="2"/>
          </w:tcPr>
          <w:p>
            <w:pPr>
              <w:jc w:val="right"/>
              <w:ind w:right="150"/>
              <w:spacing w:after="0"/>
              <w:rPr>
                <w:sz w:val="20"/>
                <w:szCs w:val="20"/>
                <w:color w:val="auto"/>
              </w:rPr>
            </w:pPr>
            <w:r>
              <w:rPr>
                <w:rFonts w:ascii="Arial Narrow" w:cs="Arial Narrow" w:eastAsia="Arial Narrow" w:hAnsi="Arial Narrow"/>
                <w:sz w:val="20"/>
                <w:szCs w:val="20"/>
                <w:b w:val="1"/>
                <w:bCs w:val="1"/>
                <w:color w:val="auto"/>
              </w:rPr>
              <w:t>(4)%</w:t>
            </w:r>
          </w:p>
        </w:tc>
        <w:tc>
          <w:tcPr>
            <w:tcW w:w="0" w:type="dxa"/>
            <w:vAlign w:val="bottom"/>
          </w:tcPr>
          <w:p>
            <w:pPr>
              <w:spacing w:after="0"/>
              <w:rPr>
                <w:sz w:val="1"/>
                <w:szCs w:val="1"/>
                <w:color w:val="auto"/>
              </w:rPr>
            </w:pPr>
          </w:p>
        </w:tc>
      </w:tr>
      <w:tr>
        <w:trPr>
          <w:trHeight w:val="65"/>
        </w:trPr>
        <w:tc>
          <w:tcPr>
            <w:tcW w:w="504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5" w:lineRule="exact"/>
        <w:rPr>
          <w:sz w:val="20"/>
          <w:szCs w:val="20"/>
          <w:color w:val="auto"/>
        </w:rPr>
      </w:pPr>
    </w:p>
    <w:p>
      <w:pPr>
        <w:spacing w:after="0"/>
        <w:rPr>
          <w:sz w:val="20"/>
          <w:szCs w:val="20"/>
          <w:color w:val="auto"/>
        </w:rPr>
      </w:pPr>
      <w:r>
        <w:rPr>
          <w:rFonts w:ascii="Arial" w:cs="Arial" w:eastAsia="Arial" w:hAnsi="Arial"/>
          <w:sz w:val="20"/>
          <w:szCs w:val="20"/>
          <w:b w:val="1"/>
          <w:bCs w:val="1"/>
          <w:color w:val="00085E"/>
        </w:rPr>
        <w:t>REVENUE</w:t>
      </w:r>
    </w:p>
    <w:p>
      <w:pPr>
        <w:spacing w:after="0" w:line="163" w:lineRule="exact"/>
        <w:rPr>
          <w:sz w:val="20"/>
          <w:szCs w:val="20"/>
          <w:color w:val="auto"/>
        </w:rPr>
      </w:pPr>
    </w:p>
    <w:p>
      <w:pPr>
        <w:ind w:right="140"/>
        <w:spacing w:after="0" w:line="290" w:lineRule="auto"/>
        <w:rPr>
          <w:sz w:val="20"/>
          <w:szCs w:val="20"/>
          <w:color w:val="auto"/>
        </w:rPr>
      </w:pPr>
      <w:r>
        <w:rPr>
          <w:rFonts w:ascii="Arial" w:cs="Arial" w:eastAsia="Arial" w:hAnsi="Arial"/>
          <w:sz w:val="20"/>
          <w:szCs w:val="20"/>
          <w:color w:val="auto"/>
        </w:rPr>
        <w:t>Revenue in fiscal 2026 increased 2% to $2,308.7 million. The Aggregates Acquisitions contributed $30.6 million of Revenue during fiscal 2026. Excluding Revenue from the Aggregates Acquisitions, Revenue increased $17.6 million. This increase was due to approximately $41.5 million of higher Sales Volume, primarily in Cement, partially offset by $23.9 million of lower average gross sales prices, primarily in our Gypsum Wallboard segment. See Fiscal Year 2026 vs Fiscal Year 2025 Results by Segment section for more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00085E"/>
        </w:rPr>
        <w:t>COST OF GOODS SOLD</w:t>
      </w:r>
    </w:p>
    <w:p>
      <w:pPr>
        <w:spacing w:after="0" w:line="163" w:lineRule="exact"/>
        <w:rPr>
          <w:sz w:val="20"/>
          <w:szCs w:val="20"/>
          <w:color w:val="auto"/>
        </w:rPr>
      </w:pPr>
    </w:p>
    <w:p>
      <w:pPr>
        <w:ind w:right="140"/>
        <w:spacing w:after="0" w:line="289" w:lineRule="auto"/>
        <w:rPr>
          <w:sz w:val="20"/>
          <w:szCs w:val="20"/>
          <w:color w:val="auto"/>
        </w:rPr>
      </w:pPr>
      <w:r>
        <w:rPr>
          <w:rFonts w:ascii="Arial" w:cs="Arial" w:eastAsia="Arial" w:hAnsi="Arial"/>
          <w:sz w:val="20"/>
          <w:szCs w:val="20"/>
          <w:color w:val="auto"/>
        </w:rPr>
        <w:t>Cost of Goods Sold increased by $68.7 million, or 4%, to $1,656.1 million in fiscal 2026. The Aggregates Acquisitions contributed $24.3 million of Cost of Goods Sold during fiscal 2026. Excluding the Northern Kentucky and Western Pennsylvania Acquisitions, Cost of Goods Sold increased $44.4 million. The increase in Cost of Goods Sold was due to higher Sales Volume of $39.6 million and higher operating costs of $4.8 million. Operating costs increased primarily in Cement and Gypsum Wallboard and were offset by our Recycled Paperboard and Concrete and Aggregates segments as discussed in the Fiscal Year 2026 vs Fiscal Year 2025 Results by Segment section.</w:t>
      </w:r>
    </w:p>
    <w:p>
      <w:pPr>
        <w:sectPr>
          <w:pgSz w:w="11880" w:h="15480" w:orient="portrait"/>
          <w:cols w:equalWidth="0" w:num="1">
            <w:col w:w="9360"/>
          </w:cols>
          <w:pgMar w:left="1260" w:top="1256"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53</w:t>
      </w:r>
    </w:p>
    <w:p>
      <w:pPr>
        <w:sectPr>
          <w:pgSz w:w="11880" w:h="15480" w:orient="portrait"/>
          <w:cols w:equalWidth="0" w:num="1">
            <w:col w:w="9360"/>
          </w:cols>
          <w:pgMar w:left="1260" w:top="1256" w:right="1260" w:bottom="0" w:gutter="0" w:footer="0" w:header="0"/>
          <w:type w:val="continuous"/>
        </w:sectPr>
      </w:pPr>
    </w:p>
    <w:bookmarkStart w:id="61" w:name="page62"/>
    <w:bookmarkEnd w:id="61"/>
    <w:p>
      <w:pPr>
        <w:spacing w:after="0"/>
        <w:rPr>
          <w:sz w:val="20"/>
          <w:szCs w:val="20"/>
          <w:color w:val="auto"/>
        </w:rPr>
      </w:pPr>
      <w:r>
        <w:rPr>
          <w:rFonts w:ascii="Arial" w:cs="Arial" w:eastAsia="Arial" w:hAnsi="Arial"/>
          <w:sz w:val="20"/>
          <w:szCs w:val="20"/>
          <w:b w:val="1"/>
          <w:bCs w:val="1"/>
          <w:color w:val="00085E"/>
        </w:rPr>
        <w:t>GROSS PROFIT</w:t>
      </w:r>
    </w:p>
    <w:p>
      <w:pPr>
        <w:spacing w:after="0" w:line="163" w:lineRule="exact"/>
        <w:rPr>
          <w:sz w:val="20"/>
          <w:szCs w:val="20"/>
          <w:color w:val="auto"/>
        </w:rPr>
      </w:pPr>
    </w:p>
    <w:p>
      <w:pPr>
        <w:ind w:right="260"/>
        <w:spacing w:after="0" w:line="303" w:lineRule="auto"/>
        <w:rPr>
          <w:sz w:val="20"/>
          <w:szCs w:val="20"/>
          <w:color w:val="auto"/>
        </w:rPr>
      </w:pPr>
      <w:r>
        <w:rPr>
          <w:rFonts w:ascii="Arial" w:cs="Arial" w:eastAsia="Arial" w:hAnsi="Arial"/>
          <w:sz w:val="20"/>
          <w:szCs w:val="20"/>
          <w:color w:val="auto"/>
        </w:rPr>
        <w:t>Gross Profit decreased by 3% to $652.5 million in fiscal 2026 primarily because of lower gross sales prices and higher operating costs, partially offset by an increase in Sales Volume. Gross Profit margin declined to 28.3% in fiscal 2026, compared with 29.8% in fiscal 2025.</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color w:val="00085E"/>
        </w:rPr>
        <w:t>EQUITY IN EARNINGS OF UNCONSOLIDATED JOINT VENTURE</w:t>
      </w:r>
    </w:p>
    <w:p>
      <w:pPr>
        <w:spacing w:after="0" w:line="163" w:lineRule="exact"/>
        <w:rPr>
          <w:sz w:val="20"/>
          <w:szCs w:val="20"/>
          <w:color w:val="auto"/>
        </w:rPr>
      </w:pPr>
    </w:p>
    <w:p>
      <w:pPr>
        <w:spacing w:after="0" w:line="290" w:lineRule="auto"/>
        <w:rPr>
          <w:sz w:val="20"/>
          <w:szCs w:val="20"/>
          <w:color w:val="auto"/>
        </w:rPr>
      </w:pPr>
      <w:r>
        <w:rPr>
          <w:rFonts w:ascii="Arial" w:cs="Arial" w:eastAsia="Arial" w:hAnsi="Arial"/>
          <w:sz w:val="20"/>
          <w:szCs w:val="20"/>
          <w:color w:val="auto"/>
        </w:rPr>
        <w:t>Equity in Earnings of Unconsolidated Joint Venture decreased by $6.4 million, or 24%. The decline was due to lower gross sales prices of $8.2 million and higher operating costs of $2.1 million, which were partially offset by higher Sales Volumes of $3.9 million. The higher operating costs were due primarily to increased raw materials and freight, which reduced operating earnings by approximately $6.1 million and $2.3 million, respectively. The increased raw materials and freight costs were partially offset by $5.1 million of lower maintenance costs.</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color w:val="00085E"/>
        </w:rPr>
        <w:t>CORPORATE GENERAL AND ADMINISTRATIVE</w:t>
      </w:r>
    </w:p>
    <w:p>
      <w:pPr>
        <w:spacing w:after="0" w:line="163" w:lineRule="exact"/>
        <w:rPr>
          <w:sz w:val="20"/>
          <w:szCs w:val="20"/>
          <w:color w:val="auto"/>
        </w:rPr>
      </w:pPr>
    </w:p>
    <w:p>
      <w:pPr>
        <w:ind w:right="240"/>
        <w:spacing w:after="0" w:line="296" w:lineRule="auto"/>
        <w:rPr>
          <w:sz w:val="20"/>
          <w:szCs w:val="20"/>
          <w:color w:val="auto"/>
        </w:rPr>
      </w:pPr>
      <w:r>
        <w:rPr>
          <w:rFonts w:ascii="Arial" w:cs="Arial" w:eastAsia="Arial" w:hAnsi="Arial"/>
          <w:sz w:val="20"/>
          <w:szCs w:val="20"/>
          <w:color w:val="auto"/>
        </w:rPr>
        <w:t>Corporate General and Administrative expenses increased by approximately $15.3 million, or 21%, to $89.2 million in fiscal 2026. The increase was due primarily to approximately $7.8 million of higher salaries and incentive compensation, $4.8 million of higher information technology costs for upgrades, and $2.4 million of higher professional services fees.</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color w:val="00085E"/>
        </w:rPr>
        <w:t>OTHER NONOPERATING INCOME</w:t>
      </w:r>
    </w:p>
    <w:p>
      <w:pPr>
        <w:spacing w:after="0" w:line="163" w:lineRule="exact"/>
        <w:rPr>
          <w:sz w:val="20"/>
          <w:szCs w:val="20"/>
          <w:color w:val="auto"/>
        </w:rPr>
      </w:pPr>
    </w:p>
    <w:p>
      <w:pPr>
        <w:ind w:right="20"/>
        <w:spacing w:after="0" w:line="296" w:lineRule="auto"/>
        <w:rPr>
          <w:sz w:val="20"/>
          <w:szCs w:val="20"/>
          <w:color w:val="auto"/>
        </w:rPr>
      </w:pPr>
      <w:r>
        <w:rPr>
          <w:rFonts w:ascii="Arial" w:cs="Arial" w:eastAsia="Arial" w:hAnsi="Arial"/>
          <w:sz w:val="20"/>
          <w:szCs w:val="20"/>
          <w:color w:val="auto"/>
        </w:rPr>
        <w:t>Other Nonoperating Income was $5.1 million in fiscal 2026 compared with $6.4 million in fiscal 2025. Other Nonoperating Income consists of a variety of items that are not related to segment operations, including lease and rental income, investment income, asset sales, and other miscellaneous income and cost items, such as large non-routine sales of excess raw materials or energy.</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color w:val="00085E"/>
        </w:rPr>
        <w:t>INTEREST EXPENSE, NET</w:t>
      </w:r>
    </w:p>
    <w:p>
      <w:pPr>
        <w:spacing w:after="0" w:line="163" w:lineRule="exact"/>
        <w:rPr>
          <w:sz w:val="20"/>
          <w:szCs w:val="20"/>
          <w:color w:val="auto"/>
        </w:rPr>
      </w:pPr>
    </w:p>
    <w:p>
      <w:pPr>
        <w:ind w:right="80"/>
        <w:spacing w:after="0" w:line="287" w:lineRule="auto"/>
        <w:rPr>
          <w:sz w:val="20"/>
          <w:szCs w:val="20"/>
          <w:color w:val="auto"/>
        </w:rPr>
      </w:pPr>
      <w:r>
        <w:rPr>
          <w:rFonts w:ascii="Arial" w:cs="Arial" w:eastAsia="Arial" w:hAnsi="Arial"/>
          <w:sz w:val="20"/>
          <w:szCs w:val="20"/>
          <w:color w:val="auto"/>
        </w:rPr>
        <w:t>Interest Expense, net increased by approximately $6.0 million, or 15%, during fiscal 2026. The increase was mainly due to increased interest expense of approximately $14.1 million on our 5.000% Senior Unsecured Notes due May 2036, which were issued on November 13, 2025; $1.9 million of higher interest on our Term Loan, which was increased to $300.0 million in February 2025; and $0.4 million of increased debt amortization costs related to these new borrowings, all of which were partially offset by approximately $4.4 million of increased interest income resulting from a higher cash balance and higher Interest Capitalized of approximately $6.0 million. The increase in Interest Capitalized was due primarily to capital spending for the expansion and modernization of our cement plant in Laramie, Wyoming and our gypsum wallboard plant in Oklahoma.</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color w:val="00085E"/>
        </w:rPr>
        <w:t>EARNINGS BEFORE INCOME TAXES</w:t>
      </w:r>
    </w:p>
    <w:p>
      <w:pPr>
        <w:spacing w:after="0" w:line="163" w:lineRule="exact"/>
        <w:rPr>
          <w:sz w:val="20"/>
          <w:szCs w:val="20"/>
          <w:color w:val="auto"/>
        </w:rPr>
      </w:pPr>
    </w:p>
    <w:p>
      <w:pPr>
        <w:jc w:val="both"/>
        <w:ind w:right="20"/>
        <w:spacing w:after="0" w:line="303" w:lineRule="auto"/>
        <w:rPr>
          <w:sz w:val="20"/>
          <w:szCs w:val="20"/>
          <w:color w:val="auto"/>
        </w:rPr>
      </w:pPr>
      <w:r>
        <w:rPr>
          <w:rFonts w:ascii="Arial" w:cs="Arial" w:eastAsia="Arial" w:hAnsi="Arial"/>
          <w:sz w:val="20"/>
          <w:szCs w:val="20"/>
          <w:color w:val="auto"/>
        </w:rPr>
        <w:t>Earnings Before Income Taxes decreased from $591.5 million during fiscal 2025 to $542.0 million during fiscal 2026, primarily due to lower Gross Profit and Equity in Earnings of Joint Venture, as well as higher Corporate General and Administrative expenses and Interest Expense.</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color w:val="00085E"/>
        </w:rPr>
        <w:t>INCOME TAX EXPENSE</w:t>
      </w:r>
    </w:p>
    <w:p>
      <w:pPr>
        <w:spacing w:after="0" w:line="163" w:lineRule="exact"/>
        <w:rPr>
          <w:sz w:val="20"/>
          <w:szCs w:val="20"/>
          <w:color w:val="auto"/>
        </w:rPr>
      </w:pPr>
    </w:p>
    <w:p>
      <w:pPr>
        <w:ind w:right="60"/>
        <w:spacing w:after="0" w:line="325" w:lineRule="auto"/>
        <w:rPr>
          <w:sz w:val="20"/>
          <w:szCs w:val="20"/>
          <w:color w:val="auto"/>
        </w:rPr>
      </w:pPr>
      <w:r>
        <w:rPr>
          <w:rFonts w:ascii="Arial" w:cs="Arial" w:eastAsia="Arial" w:hAnsi="Arial"/>
          <w:sz w:val="20"/>
          <w:szCs w:val="20"/>
          <w:color w:val="auto"/>
        </w:rPr>
        <w:t>Income Tax Expense for fiscal 2026 decreased to $118.2 million from $128.1 million for fiscal 2025. The effective tax rate was 22%, compared with 22% in the prior fiscal year.</w:t>
      </w:r>
    </w:p>
    <w:p>
      <w:pPr>
        <w:sectPr>
          <w:pgSz w:w="11880" w:h="15480" w:orient="portrait"/>
          <w:cols w:equalWidth="0" w:num="1">
            <w:col w:w="9240"/>
          </w:cols>
          <w:pgMar w:left="1260" w:top="1264" w:right="13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54</w:t>
      </w:r>
    </w:p>
    <w:p>
      <w:pPr>
        <w:sectPr>
          <w:pgSz w:w="11880" w:h="15480" w:orient="portrait"/>
          <w:cols w:equalWidth="0" w:num="1">
            <w:col w:w="9240"/>
          </w:cols>
          <w:pgMar w:left="1260" w:top="1264" w:right="1380" w:bottom="0" w:gutter="0" w:footer="0" w:header="0"/>
          <w:type w:val="continuous"/>
        </w:sectPr>
      </w:pPr>
    </w:p>
    <w:bookmarkStart w:id="62" w:name="page63"/>
    <w:bookmarkEnd w:id="62"/>
    <w:p>
      <w:pPr>
        <w:spacing w:after="0"/>
        <w:rPr>
          <w:sz w:val="20"/>
          <w:szCs w:val="20"/>
          <w:color w:val="auto"/>
        </w:rPr>
      </w:pPr>
      <w:r>
        <w:rPr>
          <w:rFonts w:ascii="Arial" w:cs="Arial" w:eastAsia="Arial" w:hAnsi="Arial"/>
          <w:sz w:val="20"/>
          <w:szCs w:val="20"/>
          <w:b w:val="1"/>
          <w:bCs w:val="1"/>
          <w:color w:val="00085E"/>
        </w:rPr>
        <w:t>NET EARNINGS AND DILUTED EARNINGS PER SHARE</w:t>
      </w:r>
    </w:p>
    <w:p>
      <w:pPr>
        <w:spacing w:after="0" w:line="163" w:lineRule="exact"/>
        <w:rPr>
          <w:sz w:val="20"/>
          <w:szCs w:val="20"/>
          <w:color w:val="auto"/>
        </w:rPr>
      </w:pPr>
    </w:p>
    <w:p>
      <w:pPr>
        <w:ind w:right="220"/>
        <w:spacing w:after="0" w:line="296" w:lineRule="auto"/>
        <w:rPr>
          <w:sz w:val="20"/>
          <w:szCs w:val="20"/>
          <w:color w:val="auto"/>
        </w:rPr>
      </w:pPr>
      <w:r>
        <w:rPr>
          <w:rFonts w:ascii="Arial" w:cs="Arial" w:eastAsia="Arial" w:hAnsi="Arial"/>
          <w:sz w:val="20"/>
          <w:szCs w:val="20"/>
          <w:color w:val="auto"/>
        </w:rPr>
        <w:t>Net Earnings decreased 9% in fiscal 2026 to $423.8 million. Diluted Earnings per Share in fiscal 2026 was down 4% to $13.16 compared with $13.77 for fiscal 2025. The decrease in Diluted Earnings per share was primarily due to lower Net Earnings, which was partially offset by lower weighted-average shares outstanding due to our share buyback program.</w:t>
      </w:r>
    </w:p>
    <w:p>
      <w:pPr>
        <w:sectPr>
          <w:pgSz w:w="11880" w:h="15480" w:orient="portrait"/>
          <w:cols w:equalWidth="0" w:num="1">
            <w:col w:w="9180"/>
          </w:cols>
          <w:pgMar w:left="1260" w:top="126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79"/>
        <w:spacing w:after="0"/>
        <w:rPr>
          <w:sz w:val="20"/>
          <w:szCs w:val="20"/>
          <w:color w:val="auto"/>
        </w:rPr>
      </w:pPr>
      <w:r>
        <w:rPr>
          <w:rFonts w:ascii="Arial" w:cs="Arial" w:eastAsia="Arial" w:hAnsi="Arial"/>
          <w:sz w:val="20"/>
          <w:szCs w:val="20"/>
          <w:color w:val="auto"/>
        </w:rPr>
        <w:t>55</w:t>
      </w:r>
    </w:p>
    <w:p>
      <w:pPr>
        <w:sectPr>
          <w:pgSz w:w="11880" w:h="15480" w:orient="portrait"/>
          <w:cols w:equalWidth="0" w:num="1">
            <w:col w:w="9180"/>
          </w:cols>
          <w:pgMar w:left="1260" w:top="1264" w:right="1440" w:bottom="0" w:gutter="0" w:footer="0" w:header="0"/>
          <w:type w:val="continuous"/>
        </w:sectPr>
      </w:pPr>
    </w:p>
    <w:bookmarkStart w:id="63" w:name="page64"/>
    <w:bookmarkEnd w:id="63"/>
    <w:p>
      <w:pPr>
        <w:spacing w:after="0"/>
        <w:rPr>
          <w:sz w:val="20"/>
          <w:szCs w:val="20"/>
          <w:color w:val="auto"/>
        </w:rPr>
      </w:pPr>
      <w:r>
        <w:rPr>
          <w:rFonts w:ascii="Arial" w:cs="Arial" w:eastAsia="Arial" w:hAnsi="Arial"/>
          <w:sz w:val="20"/>
          <w:szCs w:val="20"/>
          <w:b w:val="1"/>
          <w:bCs w:val="1"/>
          <w:color w:val="auto"/>
        </w:rPr>
        <w:t>FISCAL YEAR 2026 vs FISCAL YEAR 2025 RESULTS BY SEGMENT</w:t>
      </w:r>
    </w:p>
    <w:p>
      <w:pPr>
        <w:spacing w:after="0" w:line="163" w:lineRule="exact"/>
        <w:rPr>
          <w:sz w:val="20"/>
          <w:szCs w:val="20"/>
          <w:color w:val="auto"/>
        </w:rPr>
      </w:pPr>
    </w:p>
    <w:p>
      <w:pPr>
        <w:ind w:right="140"/>
        <w:spacing w:after="0" w:line="303" w:lineRule="auto"/>
        <w:rPr>
          <w:sz w:val="20"/>
          <w:szCs w:val="20"/>
          <w:color w:val="auto"/>
        </w:rPr>
      </w:pPr>
      <w:r>
        <w:rPr>
          <w:rFonts w:ascii="Arial" w:cs="Arial" w:eastAsia="Arial" w:hAnsi="Arial"/>
          <w:sz w:val="20"/>
          <w:szCs w:val="20"/>
          <w:color w:val="auto"/>
        </w:rPr>
        <w:t>The following presents results within our two business sectors in fiscal 2026 and fiscal 2025. Revenue and operating results are organized by sector and discussed by individual business segment within each respective business sector.</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42F70"/>
        </w:rPr>
        <w:t>Heavy Materials</w:t>
      </w: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b w:val="1"/>
          <w:bCs w:val="1"/>
          <w:color w:val="2A64A7"/>
        </w:rPr>
        <w:t xml:space="preserve">CEMENT </w:t>
      </w:r>
      <w:r>
        <w:rPr>
          <w:rFonts w:ascii="Arial" w:cs="Arial" w:eastAsia="Arial" w:hAnsi="Arial"/>
          <w:sz w:val="26"/>
          <w:szCs w:val="26"/>
          <w:b w:val="1"/>
          <w:bCs w:val="1"/>
          <w:color w:val="2A64A7"/>
          <w:vertAlign w:val="superscript"/>
        </w:rPr>
        <w:t>(1)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50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720" w:type="dxa"/>
            <w:vAlign w:val="bottom"/>
            <w:gridSpan w:val="4"/>
          </w:tcPr>
          <w:p>
            <w:pPr>
              <w:jc w:val="right"/>
              <w:ind w:right="261"/>
              <w:spacing w:after="0"/>
              <w:rPr>
                <w:sz w:val="20"/>
                <w:szCs w:val="20"/>
                <w:color w:val="auto"/>
              </w:rPr>
            </w:pPr>
            <w:r>
              <w:rPr>
                <w:rFonts w:ascii="Arial Narrow" w:cs="Arial Narrow" w:eastAsia="Arial Narrow" w:hAnsi="Arial Narrow"/>
                <w:sz w:val="18"/>
                <w:szCs w:val="18"/>
                <w:b w:val="1"/>
                <w:bCs w:val="1"/>
                <w:color w:val="auto"/>
              </w:rPr>
              <w:t>For the Years Ended March 31,</w:t>
            </w: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5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vMerge w:val="restart"/>
          </w:tcPr>
          <w:p>
            <w:pPr>
              <w:jc w:val="right"/>
              <w:ind w:right="350"/>
              <w:spacing w:after="0"/>
              <w:rPr>
                <w:sz w:val="20"/>
                <w:szCs w:val="20"/>
                <w:color w:val="auto"/>
              </w:rPr>
            </w:pPr>
            <w:r>
              <w:rPr>
                <w:rFonts w:ascii="Arial Narrow" w:cs="Arial Narrow" w:eastAsia="Arial Narrow" w:hAnsi="Arial Narrow"/>
                <w:sz w:val="18"/>
                <w:szCs w:val="18"/>
                <w:b w:val="1"/>
                <w:bCs w:val="1"/>
                <w:color w:val="auto"/>
              </w:rPr>
              <w:t>Percentage</w:t>
            </w:r>
          </w:p>
        </w:tc>
        <w:tc>
          <w:tcPr>
            <w:tcW w:w="0" w:type="dxa"/>
            <w:vAlign w:val="bottom"/>
          </w:tcPr>
          <w:p>
            <w:pPr>
              <w:spacing w:after="0"/>
              <w:rPr>
                <w:sz w:val="1"/>
                <w:szCs w:val="1"/>
                <w:color w:val="auto"/>
              </w:rPr>
            </w:pPr>
          </w:p>
        </w:tc>
      </w:tr>
      <w:tr>
        <w:trPr>
          <w:trHeight w:val="222"/>
        </w:trPr>
        <w:tc>
          <w:tcPr>
            <w:tcW w:w="5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50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jc w:val="right"/>
              <w:ind w:right="123"/>
              <w:spacing w:after="0"/>
              <w:rPr>
                <w:sz w:val="20"/>
                <w:szCs w:val="20"/>
                <w:color w:val="auto"/>
              </w:rPr>
            </w:pPr>
            <w:r>
              <w:rPr>
                <w:rFonts w:ascii="Arial Narrow" w:cs="Arial Narrow" w:eastAsia="Arial Narrow" w:hAnsi="Arial Narrow"/>
                <w:sz w:val="18"/>
                <w:szCs w:val="18"/>
                <w:b w:val="1"/>
                <w:bCs w:val="1"/>
                <w:color w:val="auto"/>
              </w:rPr>
              <w:t>2026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101"/>
              <w:spacing w:after="0"/>
              <w:rPr>
                <w:sz w:val="20"/>
                <w:szCs w:val="20"/>
                <w:color w:val="auto"/>
              </w:rPr>
            </w:pPr>
            <w:r>
              <w:rPr>
                <w:rFonts w:ascii="Arial Narrow" w:cs="Arial Narrow" w:eastAsia="Arial Narrow" w:hAnsi="Arial Narrow"/>
                <w:sz w:val="18"/>
                <w:szCs w:val="18"/>
                <w:b w:val="1"/>
                <w:bCs w:val="1"/>
                <w:color w:val="auto"/>
              </w:rPr>
              <w:t>2025</w:t>
            </w:r>
          </w:p>
        </w:tc>
        <w:tc>
          <w:tcPr>
            <w:tcW w:w="140" w:type="dxa"/>
            <w:vAlign w:val="bottom"/>
          </w:tcPr>
          <w:p>
            <w:pPr>
              <w:spacing w:after="0"/>
              <w:rPr>
                <w:sz w:val="22"/>
                <w:szCs w:val="22"/>
                <w:color w:val="auto"/>
              </w:rPr>
            </w:pPr>
          </w:p>
        </w:tc>
        <w:tc>
          <w:tcPr>
            <w:tcW w:w="1300" w:type="dxa"/>
            <w:vAlign w:val="bottom"/>
          </w:tcPr>
          <w:p>
            <w:pPr>
              <w:jc w:val="right"/>
              <w:ind w:right="350"/>
              <w:spacing w:after="0"/>
              <w:rPr>
                <w:sz w:val="20"/>
                <w:szCs w:val="20"/>
                <w:color w:val="auto"/>
              </w:rPr>
            </w:pPr>
            <w:r>
              <w:rPr>
                <w:rFonts w:ascii="Arial Narrow" w:cs="Arial Narrow" w:eastAsia="Arial Narrow" w:hAnsi="Arial Narrow"/>
                <w:sz w:val="18"/>
                <w:szCs w:val="18"/>
                <w:b w:val="1"/>
                <w:bCs w:val="1"/>
                <w:color w:val="auto"/>
              </w:rPr>
              <w:t>Change</w:t>
            </w:r>
          </w:p>
        </w:tc>
        <w:tc>
          <w:tcPr>
            <w:tcW w:w="0" w:type="dxa"/>
            <w:vAlign w:val="bottom"/>
          </w:tcPr>
          <w:p>
            <w:pPr>
              <w:spacing w:after="0"/>
              <w:rPr>
                <w:sz w:val="1"/>
                <w:szCs w:val="1"/>
                <w:color w:val="auto"/>
              </w:rPr>
            </w:pPr>
          </w:p>
        </w:tc>
      </w:tr>
      <w:tr>
        <w:trPr>
          <w:trHeight w:val="21"/>
        </w:trPr>
        <w:tc>
          <w:tcPr>
            <w:tcW w:w="5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720" w:type="dxa"/>
            <w:vAlign w:val="bottom"/>
            <w:gridSpan w:val="4"/>
          </w:tcPr>
          <w:p>
            <w:pPr>
              <w:jc w:val="right"/>
              <w:ind w:right="121"/>
              <w:spacing w:after="0"/>
              <w:rPr>
                <w:sz w:val="20"/>
                <w:szCs w:val="20"/>
                <w:color w:val="auto"/>
              </w:rPr>
            </w:pPr>
            <w:r>
              <w:rPr>
                <w:rFonts w:ascii="Arial Narrow" w:cs="Arial Narrow" w:eastAsia="Arial Narrow" w:hAnsi="Arial Narrow"/>
                <w:sz w:val="16"/>
                <w:szCs w:val="16"/>
                <w:color w:val="auto"/>
              </w:rPr>
              <w:t>(in thousands, except per ton information)</w:t>
            </w: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50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gridSpan w:val="2"/>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344"/>
        </w:trPr>
        <w:tc>
          <w:tcPr>
            <w:tcW w:w="5040" w:type="dxa"/>
            <w:vAlign w:val="bottom"/>
          </w:tcPr>
          <w:p>
            <w:pPr>
              <w:spacing w:after="0"/>
              <w:rPr>
                <w:sz w:val="20"/>
                <w:szCs w:val="20"/>
                <w:color w:val="auto"/>
              </w:rPr>
            </w:pPr>
            <w:r>
              <w:rPr>
                <w:rFonts w:ascii="Arial Narrow" w:cs="Arial Narrow" w:eastAsia="Arial Narrow" w:hAnsi="Arial Narrow"/>
                <w:sz w:val="20"/>
                <w:szCs w:val="20"/>
                <w:b w:val="1"/>
                <w:bCs w:val="1"/>
                <w:color w:val="386CAD"/>
              </w:rPr>
              <w:t>Revenue, including Intersegment and Joint Venture</w:t>
            </w:r>
          </w:p>
        </w:tc>
        <w:tc>
          <w:tcPr>
            <w:tcW w:w="160" w:type="dxa"/>
            <w:vAlign w:val="bottom"/>
          </w:tcPr>
          <w:p>
            <w:pPr>
              <w:jc w:val="right"/>
              <w:spacing w:after="0"/>
              <w:rPr>
                <w:sz w:val="20"/>
                <w:szCs w:val="20"/>
                <w:color w:val="auto"/>
              </w:rPr>
            </w:pPr>
            <w:r>
              <w:rPr>
                <w:rFonts w:ascii="Arial Narrow" w:cs="Arial Narrow" w:eastAsia="Arial Narrow" w:hAnsi="Arial Narrow"/>
                <w:sz w:val="20"/>
                <w:szCs w:val="20"/>
                <w:color w:val="auto"/>
                <w:w w:val="87"/>
              </w:rPr>
              <w:t>$</w:t>
            </w:r>
          </w:p>
        </w:tc>
        <w:tc>
          <w:tcPr>
            <w:tcW w:w="1240" w:type="dxa"/>
            <w:vAlign w:val="bottom"/>
          </w:tcPr>
          <w:p>
            <w:pPr>
              <w:jc w:val="right"/>
              <w:ind w:right="123"/>
              <w:spacing w:after="0"/>
              <w:rPr>
                <w:sz w:val="20"/>
                <w:szCs w:val="20"/>
                <w:color w:val="auto"/>
              </w:rPr>
            </w:pPr>
            <w:r>
              <w:rPr>
                <w:rFonts w:ascii="Arial Narrow" w:cs="Arial Narrow" w:eastAsia="Arial Narrow" w:hAnsi="Arial Narrow"/>
                <w:sz w:val="20"/>
                <w:szCs w:val="20"/>
                <w:color w:val="auto"/>
              </w:rPr>
              <w:t>1,299,383</w:t>
            </w:r>
          </w:p>
        </w:tc>
        <w:tc>
          <w:tcPr>
            <w:tcW w:w="380" w:type="dxa"/>
            <w:vAlign w:val="bottom"/>
            <w:gridSpan w:val="2"/>
          </w:tcPr>
          <w:p>
            <w:pPr>
              <w:jc w:val="right"/>
              <w:ind w:right="160"/>
              <w:spacing w:after="0"/>
              <w:rPr>
                <w:sz w:val="20"/>
                <w:szCs w:val="20"/>
                <w:color w:val="auto"/>
              </w:rPr>
            </w:pPr>
            <w:r>
              <w:rPr>
                <w:rFonts w:ascii="Arial Narrow" w:cs="Arial Narrow" w:eastAsia="Arial Narrow" w:hAnsi="Arial Narrow"/>
                <w:sz w:val="20"/>
                <w:szCs w:val="20"/>
                <w:color w:val="auto"/>
              </w:rPr>
              <w:t>$</w:t>
            </w:r>
          </w:p>
        </w:tc>
        <w:tc>
          <w:tcPr>
            <w:tcW w:w="1100" w:type="dxa"/>
            <w:vAlign w:val="bottom"/>
          </w:tcPr>
          <w:p>
            <w:pPr>
              <w:jc w:val="right"/>
              <w:ind w:right="101"/>
              <w:spacing w:after="0"/>
              <w:rPr>
                <w:sz w:val="20"/>
                <w:szCs w:val="20"/>
                <w:color w:val="auto"/>
              </w:rPr>
            </w:pPr>
            <w:r>
              <w:rPr>
                <w:rFonts w:ascii="Arial Narrow" w:cs="Arial Narrow" w:eastAsia="Arial Narrow" w:hAnsi="Arial Narrow"/>
                <w:sz w:val="20"/>
                <w:szCs w:val="20"/>
                <w:color w:val="auto"/>
              </w:rPr>
              <w:t>1,201,362</w:t>
            </w:r>
          </w:p>
        </w:tc>
        <w:tc>
          <w:tcPr>
            <w:tcW w:w="1440" w:type="dxa"/>
            <w:vAlign w:val="bottom"/>
            <w:gridSpan w:val="2"/>
          </w:tcPr>
          <w:p>
            <w:pPr>
              <w:jc w:val="right"/>
              <w:ind w:right="190"/>
              <w:spacing w:after="0"/>
              <w:rPr>
                <w:sz w:val="20"/>
                <w:szCs w:val="20"/>
                <w:color w:val="auto"/>
              </w:rPr>
            </w:pPr>
            <w:r>
              <w:rPr>
                <w:rFonts w:ascii="Arial Narrow" w:cs="Arial Narrow" w:eastAsia="Arial Narrow" w:hAnsi="Arial Narrow"/>
                <w:sz w:val="20"/>
                <w:szCs w:val="20"/>
                <w:color w:val="auto"/>
              </w:rPr>
              <w:t>8%</w:t>
            </w:r>
          </w:p>
        </w:tc>
        <w:tc>
          <w:tcPr>
            <w:tcW w:w="0" w:type="dxa"/>
            <w:vAlign w:val="bottom"/>
          </w:tcPr>
          <w:p>
            <w:pPr>
              <w:spacing w:after="0"/>
              <w:rPr>
                <w:sz w:val="1"/>
                <w:szCs w:val="1"/>
                <w:color w:val="auto"/>
              </w:rPr>
            </w:pPr>
          </w:p>
        </w:tc>
      </w:tr>
      <w:tr>
        <w:trPr>
          <w:trHeight w:val="65"/>
        </w:trPr>
        <w:tc>
          <w:tcPr>
            <w:tcW w:w="504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1240" w:type="dxa"/>
            <w:vAlign w:val="bottom"/>
            <w:tcBorders>
              <w:bottom w:val="single" w:sz="8" w:color="A6A6A6"/>
            </w:tcBorders>
          </w:tcPr>
          <w:p>
            <w:pPr>
              <w:spacing w:after="0"/>
              <w:rPr>
                <w:sz w:val="5"/>
                <w:szCs w:val="5"/>
                <w:color w:val="auto"/>
              </w:rPr>
            </w:pPr>
          </w:p>
        </w:tc>
        <w:tc>
          <w:tcPr>
            <w:tcW w:w="380" w:type="dxa"/>
            <w:vAlign w:val="bottom"/>
            <w:tcBorders>
              <w:bottom w:val="single" w:sz="8" w:color="A6A6A6"/>
            </w:tcBorders>
            <w:gridSpan w:val="2"/>
          </w:tcPr>
          <w:p>
            <w:pPr>
              <w:spacing w:after="0"/>
              <w:rPr>
                <w:sz w:val="5"/>
                <w:szCs w:val="5"/>
                <w:color w:val="auto"/>
              </w:rPr>
            </w:pPr>
          </w:p>
        </w:tc>
        <w:tc>
          <w:tcPr>
            <w:tcW w:w="1100" w:type="dxa"/>
            <w:vAlign w:val="bottom"/>
            <w:tcBorders>
              <w:bottom w:val="single" w:sz="8" w:color="A6A6A6"/>
            </w:tcBorders>
          </w:tcPr>
          <w:p>
            <w:pPr>
              <w:spacing w:after="0"/>
              <w:rPr>
                <w:sz w:val="5"/>
                <w:szCs w:val="5"/>
                <w:color w:val="auto"/>
              </w:rPr>
            </w:pPr>
          </w:p>
        </w:tc>
        <w:tc>
          <w:tcPr>
            <w:tcW w:w="1440" w:type="dxa"/>
            <w:vAlign w:val="bottom"/>
            <w:tcBorders>
              <w:bottom w:val="single" w:sz="8" w:color="A6A6A6"/>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5040" w:type="dxa"/>
            <w:vAlign w:val="bottom"/>
          </w:tcPr>
          <w:p>
            <w:pPr>
              <w:spacing w:after="0"/>
              <w:rPr>
                <w:sz w:val="20"/>
                <w:szCs w:val="20"/>
                <w:color w:val="auto"/>
              </w:rPr>
            </w:pPr>
            <w:r>
              <w:rPr>
                <w:rFonts w:ascii="Arial Narrow" w:cs="Arial Narrow" w:eastAsia="Arial Narrow" w:hAnsi="Arial Narrow"/>
                <w:sz w:val="20"/>
                <w:szCs w:val="20"/>
                <w:b w:val="1"/>
                <w:bCs w:val="1"/>
                <w:color w:val="386CAD"/>
              </w:rPr>
              <w:t>Less Intersegment Revenue</w:t>
            </w:r>
          </w:p>
        </w:tc>
        <w:tc>
          <w:tcPr>
            <w:tcW w:w="160" w:type="dxa"/>
            <w:vAlign w:val="bottom"/>
          </w:tcPr>
          <w:p>
            <w:pPr>
              <w:jc w:val="right"/>
              <w:spacing w:after="0"/>
              <w:rPr>
                <w:sz w:val="20"/>
                <w:szCs w:val="20"/>
                <w:color w:val="auto"/>
              </w:rPr>
            </w:pPr>
            <w:r>
              <w:rPr>
                <w:rFonts w:ascii="Arial Narrow" w:cs="Arial Narrow" w:eastAsia="Arial Narrow" w:hAnsi="Arial Narrow"/>
                <w:sz w:val="20"/>
                <w:szCs w:val="20"/>
                <w:color w:val="auto"/>
                <w:w w:val="87"/>
              </w:rPr>
              <w:t>$</w:t>
            </w:r>
          </w:p>
        </w:tc>
        <w:tc>
          <w:tcPr>
            <w:tcW w:w="1240" w:type="dxa"/>
            <w:vAlign w:val="bottom"/>
          </w:tcPr>
          <w:p>
            <w:pPr>
              <w:jc w:val="right"/>
              <w:ind w:right="43"/>
              <w:spacing w:after="0"/>
              <w:rPr>
                <w:sz w:val="20"/>
                <w:szCs w:val="20"/>
                <w:color w:val="auto"/>
              </w:rPr>
            </w:pPr>
            <w:r>
              <w:rPr>
                <w:rFonts w:ascii="Arial Narrow" w:cs="Arial Narrow" w:eastAsia="Arial Narrow" w:hAnsi="Arial Narrow"/>
                <w:sz w:val="20"/>
                <w:szCs w:val="20"/>
                <w:color w:val="auto"/>
              </w:rPr>
              <w:t>(36,011)</w:t>
            </w:r>
          </w:p>
        </w:tc>
        <w:tc>
          <w:tcPr>
            <w:tcW w:w="380" w:type="dxa"/>
            <w:vAlign w:val="bottom"/>
            <w:gridSpan w:val="2"/>
          </w:tcPr>
          <w:p>
            <w:pPr>
              <w:jc w:val="right"/>
              <w:ind w:right="160"/>
              <w:spacing w:after="0"/>
              <w:rPr>
                <w:sz w:val="20"/>
                <w:szCs w:val="20"/>
                <w:color w:val="auto"/>
              </w:rPr>
            </w:pPr>
            <w:r>
              <w:rPr>
                <w:rFonts w:ascii="Arial Narrow" w:cs="Arial Narrow" w:eastAsia="Arial Narrow" w:hAnsi="Arial Narrow"/>
                <w:sz w:val="20"/>
                <w:szCs w:val="20"/>
                <w:color w:val="auto"/>
              </w:rPr>
              <w:t>$</w:t>
            </w:r>
          </w:p>
        </w:tc>
        <w:tc>
          <w:tcPr>
            <w:tcW w:w="1100" w:type="dxa"/>
            <w:vAlign w:val="bottom"/>
          </w:tcPr>
          <w:p>
            <w:pPr>
              <w:jc w:val="right"/>
              <w:ind w:right="21"/>
              <w:spacing w:after="0"/>
              <w:rPr>
                <w:sz w:val="20"/>
                <w:szCs w:val="20"/>
                <w:color w:val="auto"/>
              </w:rPr>
            </w:pPr>
            <w:r>
              <w:rPr>
                <w:rFonts w:ascii="Arial Narrow" w:cs="Arial Narrow" w:eastAsia="Arial Narrow" w:hAnsi="Arial Narrow"/>
                <w:sz w:val="20"/>
                <w:szCs w:val="20"/>
                <w:color w:val="auto"/>
              </w:rPr>
              <w:t>(36,799)</w:t>
            </w:r>
          </w:p>
        </w:tc>
        <w:tc>
          <w:tcPr>
            <w:tcW w:w="1440" w:type="dxa"/>
            <w:vAlign w:val="bottom"/>
            <w:gridSpan w:val="2"/>
          </w:tcPr>
          <w:p>
            <w:pPr>
              <w:jc w:val="right"/>
              <w:ind w:right="150"/>
              <w:spacing w:after="0"/>
              <w:rPr>
                <w:sz w:val="20"/>
                <w:szCs w:val="20"/>
                <w:color w:val="auto"/>
              </w:rPr>
            </w:pPr>
            <w:r>
              <w:rPr>
                <w:rFonts w:ascii="Arial Narrow" w:cs="Arial Narrow" w:eastAsia="Arial Narrow" w:hAnsi="Arial Narrow"/>
                <w:sz w:val="20"/>
                <w:szCs w:val="20"/>
                <w:color w:val="auto"/>
              </w:rPr>
              <w:t>(2)%</w:t>
            </w:r>
          </w:p>
        </w:tc>
        <w:tc>
          <w:tcPr>
            <w:tcW w:w="0" w:type="dxa"/>
            <w:vAlign w:val="bottom"/>
          </w:tcPr>
          <w:p>
            <w:pPr>
              <w:spacing w:after="0"/>
              <w:rPr>
                <w:sz w:val="1"/>
                <w:szCs w:val="1"/>
                <w:color w:val="auto"/>
              </w:rPr>
            </w:pPr>
          </w:p>
        </w:tc>
      </w:tr>
      <w:tr>
        <w:trPr>
          <w:trHeight w:val="65"/>
        </w:trPr>
        <w:tc>
          <w:tcPr>
            <w:tcW w:w="504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1240" w:type="dxa"/>
            <w:vAlign w:val="bottom"/>
            <w:tcBorders>
              <w:bottom w:val="single" w:sz="8" w:color="A6A6A6"/>
            </w:tcBorders>
          </w:tcPr>
          <w:p>
            <w:pPr>
              <w:spacing w:after="0"/>
              <w:rPr>
                <w:sz w:val="5"/>
                <w:szCs w:val="5"/>
                <w:color w:val="auto"/>
              </w:rPr>
            </w:pPr>
          </w:p>
        </w:tc>
        <w:tc>
          <w:tcPr>
            <w:tcW w:w="380" w:type="dxa"/>
            <w:vAlign w:val="bottom"/>
            <w:tcBorders>
              <w:bottom w:val="single" w:sz="8" w:color="A6A6A6"/>
            </w:tcBorders>
            <w:gridSpan w:val="2"/>
          </w:tcPr>
          <w:p>
            <w:pPr>
              <w:spacing w:after="0"/>
              <w:rPr>
                <w:sz w:val="5"/>
                <w:szCs w:val="5"/>
                <w:color w:val="auto"/>
              </w:rPr>
            </w:pPr>
          </w:p>
        </w:tc>
        <w:tc>
          <w:tcPr>
            <w:tcW w:w="1100" w:type="dxa"/>
            <w:vAlign w:val="bottom"/>
            <w:tcBorders>
              <w:bottom w:val="single" w:sz="8" w:color="A6A6A6"/>
            </w:tcBorders>
          </w:tcPr>
          <w:p>
            <w:pPr>
              <w:spacing w:after="0"/>
              <w:rPr>
                <w:sz w:val="5"/>
                <w:szCs w:val="5"/>
                <w:color w:val="auto"/>
              </w:rPr>
            </w:pPr>
          </w:p>
        </w:tc>
        <w:tc>
          <w:tcPr>
            <w:tcW w:w="1440" w:type="dxa"/>
            <w:vAlign w:val="bottom"/>
            <w:tcBorders>
              <w:bottom w:val="single" w:sz="8" w:color="A6A6A6"/>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5040" w:type="dxa"/>
            <w:vAlign w:val="bottom"/>
          </w:tcPr>
          <w:p>
            <w:pPr>
              <w:spacing w:after="0"/>
              <w:rPr>
                <w:sz w:val="20"/>
                <w:szCs w:val="20"/>
                <w:color w:val="auto"/>
              </w:rPr>
            </w:pPr>
            <w:r>
              <w:rPr>
                <w:rFonts w:ascii="Arial Narrow" w:cs="Arial Narrow" w:eastAsia="Arial Narrow" w:hAnsi="Arial Narrow"/>
                <w:sz w:val="20"/>
                <w:szCs w:val="20"/>
                <w:b w:val="1"/>
                <w:bCs w:val="1"/>
                <w:color w:val="386CAD"/>
              </w:rPr>
              <w:t>Less Joint Venture Revenue</w:t>
            </w:r>
          </w:p>
        </w:tc>
        <w:tc>
          <w:tcPr>
            <w:tcW w:w="160" w:type="dxa"/>
            <w:vAlign w:val="bottom"/>
          </w:tcPr>
          <w:p>
            <w:pPr>
              <w:jc w:val="right"/>
              <w:spacing w:after="0"/>
              <w:rPr>
                <w:sz w:val="20"/>
                <w:szCs w:val="20"/>
                <w:color w:val="auto"/>
              </w:rPr>
            </w:pPr>
            <w:r>
              <w:rPr>
                <w:rFonts w:ascii="Arial Narrow" w:cs="Arial Narrow" w:eastAsia="Arial Narrow" w:hAnsi="Arial Narrow"/>
                <w:sz w:val="20"/>
                <w:szCs w:val="20"/>
                <w:color w:val="auto"/>
                <w:w w:val="87"/>
              </w:rPr>
              <w:t>$</w:t>
            </w:r>
          </w:p>
        </w:tc>
        <w:tc>
          <w:tcPr>
            <w:tcW w:w="1240" w:type="dxa"/>
            <w:vAlign w:val="bottom"/>
          </w:tcPr>
          <w:p>
            <w:pPr>
              <w:jc w:val="right"/>
              <w:ind w:right="43"/>
              <w:spacing w:after="0"/>
              <w:rPr>
                <w:sz w:val="20"/>
                <w:szCs w:val="20"/>
                <w:color w:val="auto"/>
              </w:rPr>
            </w:pPr>
            <w:r>
              <w:rPr>
                <w:rFonts w:ascii="Arial Narrow" w:cs="Arial Narrow" w:eastAsia="Arial Narrow" w:hAnsi="Arial Narrow"/>
                <w:sz w:val="20"/>
                <w:szCs w:val="20"/>
                <w:color w:val="auto"/>
              </w:rPr>
              <w:t>(119,341)</w:t>
            </w:r>
          </w:p>
        </w:tc>
        <w:tc>
          <w:tcPr>
            <w:tcW w:w="380" w:type="dxa"/>
            <w:vAlign w:val="bottom"/>
            <w:gridSpan w:val="2"/>
          </w:tcPr>
          <w:p>
            <w:pPr>
              <w:jc w:val="right"/>
              <w:ind w:right="160"/>
              <w:spacing w:after="0"/>
              <w:rPr>
                <w:sz w:val="20"/>
                <w:szCs w:val="20"/>
                <w:color w:val="auto"/>
              </w:rPr>
            </w:pPr>
            <w:r>
              <w:rPr>
                <w:rFonts w:ascii="Arial Narrow" w:cs="Arial Narrow" w:eastAsia="Arial Narrow" w:hAnsi="Arial Narrow"/>
                <w:sz w:val="20"/>
                <w:szCs w:val="20"/>
                <w:color w:val="auto"/>
              </w:rPr>
              <w:t>$</w:t>
            </w:r>
          </w:p>
        </w:tc>
        <w:tc>
          <w:tcPr>
            <w:tcW w:w="1100" w:type="dxa"/>
            <w:vAlign w:val="bottom"/>
          </w:tcPr>
          <w:p>
            <w:pPr>
              <w:jc w:val="right"/>
              <w:ind w:right="21"/>
              <w:spacing w:after="0"/>
              <w:rPr>
                <w:sz w:val="20"/>
                <w:szCs w:val="20"/>
                <w:color w:val="auto"/>
              </w:rPr>
            </w:pPr>
            <w:r>
              <w:rPr>
                <w:rFonts w:ascii="Arial Narrow" w:cs="Arial Narrow" w:eastAsia="Arial Narrow" w:hAnsi="Arial Narrow"/>
                <w:sz w:val="20"/>
                <w:szCs w:val="20"/>
                <w:color w:val="auto"/>
              </w:rPr>
              <w:t>(110,943)</w:t>
            </w:r>
          </w:p>
        </w:tc>
        <w:tc>
          <w:tcPr>
            <w:tcW w:w="1440" w:type="dxa"/>
            <w:vAlign w:val="bottom"/>
            <w:gridSpan w:val="2"/>
          </w:tcPr>
          <w:p>
            <w:pPr>
              <w:jc w:val="right"/>
              <w:ind w:right="190"/>
              <w:spacing w:after="0"/>
              <w:rPr>
                <w:sz w:val="20"/>
                <w:szCs w:val="20"/>
                <w:color w:val="auto"/>
              </w:rPr>
            </w:pPr>
            <w:r>
              <w:rPr>
                <w:rFonts w:ascii="Arial Narrow" w:cs="Arial Narrow" w:eastAsia="Arial Narrow" w:hAnsi="Arial Narrow"/>
                <w:sz w:val="20"/>
                <w:szCs w:val="20"/>
                <w:color w:val="auto"/>
              </w:rPr>
              <w:t>8%</w:t>
            </w:r>
          </w:p>
        </w:tc>
        <w:tc>
          <w:tcPr>
            <w:tcW w:w="0" w:type="dxa"/>
            <w:vAlign w:val="bottom"/>
          </w:tcPr>
          <w:p>
            <w:pPr>
              <w:spacing w:after="0"/>
              <w:rPr>
                <w:sz w:val="1"/>
                <w:szCs w:val="1"/>
                <w:color w:val="auto"/>
              </w:rPr>
            </w:pPr>
          </w:p>
        </w:tc>
      </w:tr>
      <w:tr>
        <w:trPr>
          <w:trHeight w:val="90"/>
        </w:trPr>
        <w:tc>
          <w:tcPr>
            <w:tcW w:w="5040" w:type="dxa"/>
            <w:vAlign w:val="bottom"/>
            <w:tcBorders>
              <w:bottom w:val="single" w:sz="8" w:color="A6A6A6"/>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40" w:type="dxa"/>
            <w:vAlign w:val="bottom"/>
            <w:tcBorders>
              <w:bottom w:val="single" w:sz="8" w:color="A6A6A6"/>
            </w:tcBorders>
          </w:tcPr>
          <w:p>
            <w:pPr>
              <w:spacing w:after="0"/>
              <w:rPr>
                <w:sz w:val="7"/>
                <w:szCs w:val="7"/>
                <w:color w:val="auto"/>
              </w:rPr>
            </w:pPr>
          </w:p>
        </w:tc>
        <w:tc>
          <w:tcPr>
            <w:tcW w:w="1300" w:type="dxa"/>
            <w:vAlign w:val="bottom"/>
            <w:tcBorders>
              <w:bottom w:val="single" w:sz="8" w:color="A6A6A6"/>
            </w:tcBorders>
          </w:tcPr>
          <w:p>
            <w:pPr>
              <w:spacing w:after="0"/>
              <w:rPr>
                <w:sz w:val="7"/>
                <w:szCs w:val="7"/>
                <w:color w:val="auto"/>
              </w:rPr>
            </w:pPr>
          </w:p>
        </w:tc>
        <w:tc>
          <w:tcPr>
            <w:tcW w:w="0" w:type="dxa"/>
            <w:vAlign w:val="bottom"/>
          </w:tcPr>
          <w:p>
            <w:pPr>
              <w:spacing w:after="0"/>
              <w:rPr>
                <w:sz w:val="1"/>
                <w:szCs w:val="1"/>
                <w:color w:val="auto"/>
              </w:rPr>
            </w:pPr>
          </w:p>
        </w:tc>
      </w:tr>
      <w:tr>
        <w:trPr>
          <w:trHeight w:val="344"/>
        </w:trPr>
        <w:tc>
          <w:tcPr>
            <w:tcW w:w="5040" w:type="dxa"/>
            <w:vAlign w:val="bottom"/>
          </w:tcPr>
          <w:p>
            <w:pPr>
              <w:spacing w:after="0"/>
              <w:rPr>
                <w:sz w:val="20"/>
                <w:szCs w:val="20"/>
                <w:color w:val="auto"/>
              </w:rPr>
            </w:pPr>
            <w:r>
              <w:rPr>
                <w:rFonts w:ascii="Arial Narrow" w:cs="Arial Narrow" w:eastAsia="Arial Narrow" w:hAnsi="Arial Narrow"/>
                <w:sz w:val="20"/>
                <w:szCs w:val="20"/>
                <w:b w:val="1"/>
                <w:bCs w:val="1"/>
                <w:color w:val="386CAD"/>
              </w:rPr>
              <w:t>Revenue</w:t>
            </w:r>
          </w:p>
        </w:tc>
        <w:tc>
          <w:tcPr>
            <w:tcW w:w="160" w:type="dxa"/>
            <w:vAlign w:val="bottom"/>
          </w:tcPr>
          <w:p>
            <w:pPr>
              <w:jc w:val="right"/>
              <w:spacing w:after="0"/>
              <w:rPr>
                <w:sz w:val="20"/>
                <w:szCs w:val="20"/>
                <w:color w:val="auto"/>
              </w:rPr>
            </w:pPr>
            <w:r>
              <w:rPr>
                <w:rFonts w:ascii="Arial Narrow" w:cs="Arial Narrow" w:eastAsia="Arial Narrow" w:hAnsi="Arial Narrow"/>
                <w:sz w:val="20"/>
                <w:szCs w:val="20"/>
                <w:color w:val="auto"/>
                <w:w w:val="87"/>
              </w:rPr>
              <w:t>$</w:t>
            </w:r>
          </w:p>
        </w:tc>
        <w:tc>
          <w:tcPr>
            <w:tcW w:w="1240" w:type="dxa"/>
            <w:vAlign w:val="bottom"/>
          </w:tcPr>
          <w:p>
            <w:pPr>
              <w:jc w:val="right"/>
              <w:ind w:right="123"/>
              <w:spacing w:after="0"/>
              <w:rPr>
                <w:sz w:val="20"/>
                <w:szCs w:val="20"/>
                <w:color w:val="auto"/>
              </w:rPr>
            </w:pPr>
            <w:r>
              <w:rPr>
                <w:rFonts w:ascii="Arial Narrow" w:cs="Arial Narrow" w:eastAsia="Arial Narrow" w:hAnsi="Arial Narrow"/>
                <w:sz w:val="20"/>
                <w:szCs w:val="20"/>
                <w:color w:val="auto"/>
              </w:rPr>
              <w:t>1,144,031</w:t>
            </w:r>
          </w:p>
        </w:tc>
        <w:tc>
          <w:tcPr>
            <w:tcW w:w="380" w:type="dxa"/>
            <w:vAlign w:val="bottom"/>
            <w:gridSpan w:val="2"/>
          </w:tcPr>
          <w:p>
            <w:pPr>
              <w:jc w:val="right"/>
              <w:ind w:right="160"/>
              <w:spacing w:after="0"/>
              <w:rPr>
                <w:sz w:val="20"/>
                <w:szCs w:val="20"/>
                <w:color w:val="auto"/>
              </w:rPr>
            </w:pPr>
            <w:r>
              <w:rPr>
                <w:rFonts w:ascii="Arial Narrow" w:cs="Arial Narrow" w:eastAsia="Arial Narrow" w:hAnsi="Arial Narrow"/>
                <w:sz w:val="20"/>
                <w:szCs w:val="20"/>
                <w:color w:val="auto"/>
              </w:rPr>
              <w:t>$</w:t>
            </w:r>
          </w:p>
        </w:tc>
        <w:tc>
          <w:tcPr>
            <w:tcW w:w="1100" w:type="dxa"/>
            <w:vAlign w:val="bottom"/>
          </w:tcPr>
          <w:p>
            <w:pPr>
              <w:jc w:val="right"/>
              <w:ind w:right="101"/>
              <w:spacing w:after="0"/>
              <w:rPr>
                <w:sz w:val="20"/>
                <w:szCs w:val="20"/>
                <w:color w:val="auto"/>
              </w:rPr>
            </w:pPr>
            <w:r>
              <w:rPr>
                <w:rFonts w:ascii="Arial Narrow" w:cs="Arial Narrow" w:eastAsia="Arial Narrow" w:hAnsi="Arial Narrow"/>
                <w:sz w:val="20"/>
                <w:szCs w:val="20"/>
                <w:color w:val="auto"/>
              </w:rPr>
              <w:t>1,053,620</w:t>
            </w:r>
          </w:p>
        </w:tc>
        <w:tc>
          <w:tcPr>
            <w:tcW w:w="1440" w:type="dxa"/>
            <w:vAlign w:val="bottom"/>
            <w:gridSpan w:val="2"/>
          </w:tcPr>
          <w:p>
            <w:pPr>
              <w:jc w:val="right"/>
              <w:ind w:right="190"/>
              <w:spacing w:after="0"/>
              <w:rPr>
                <w:sz w:val="20"/>
                <w:szCs w:val="20"/>
                <w:color w:val="auto"/>
              </w:rPr>
            </w:pPr>
            <w:r>
              <w:rPr>
                <w:rFonts w:ascii="Arial Narrow" w:cs="Arial Narrow" w:eastAsia="Arial Narrow" w:hAnsi="Arial Narrow"/>
                <w:sz w:val="20"/>
                <w:szCs w:val="20"/>
                <w:color w:val="auto"/>
              </w:rPr>
              <w:t>9%</w:t>
            </w:r>
          </w:p>
        </w:tc>
        <w:tc>
          <w:tcPr>
            <w:tcW w:w="0" w:type="dxa"/>
            <w:vAlign w:val="bottom"/>
          </w:tcPr>
          <w:p>
            <w:pPr>
              <w:spacing w:after="0"/>
              <w:rPr>
                <w:sz w:val="1"/>
                <w:szCs w:val="1"/>
                <w:color w:val="auto"/>
              </w:rPr>
            </w:pPr>
          </w:p>
        </w:tc>
      </w:tr>
      <w:tr>
        <w:trPr>
          <w:trHeight w:val="65"/>
        </w:trPr>
        <w:tc>
          <w:tcPr>
            <w:tcW w:w="504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124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260" w:type="dxa"/>
            <w:vAlign w:val="bottom"/>
            <w:tcBorders>
              <w:bottom w:val="single" w:sz="8" w:color="A6A6A6"/>
            </w:tcBorders>
          </w:tcPr>
          <w:p>
            <w:pPr>
              <w:spacing w:after="0"/>
              <w:rPr>
                <w:sz w:val="5"/>
                <w:szCs w:val="5"/>
                <w:color w:val="auto"/>
              </w:rPr>
            </w:pPr>
          </w:p>
        </w:tc>
        <w:tc>
          <w:tcPr>
            <w:tcW w:w="1100" w:type="dxa"/>
            <w:vAlign w:val="bottom"/>
            <w:tcBorders>
              <w:bottom w:val="single" w:sz="8" w:color="A6A6A6"/>
            </w:tcBorders>
          </w:tcPr>
          <w:p>
            <w:pPr>
              <w:spacing w:after="0"/>
              <w:rPr>
                <w:sz w:val="5"/>
                <w:szCs w:val="5"/>
                <w:color w:val="auto"/>
              </w:rPr>
            </w:pPr>
          </w:p>
        </w:tc>
        <w:tc>
          <w:tcPr>
            <w:tcW w:w="1440" w:type="dxa"/>
            <w:vAlign w:val="bottom"/>
            <w:tcBorders>
              <w:bottom w:val="single" w:sz="8" w:color="A6A6A6"/>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5040" w:type="dxa"/>
            <w:vAlign w:val="bottom"/>
          </w:tcPr>
          <w:p>
            <w:pPr>
              <w:spacing w:after="0"/>
              <w:rPr>
                <w:sz w:val="20"/>
                <w:szCs w:val="20"/>
                <w:color w:val="auto"/>
              </w:rPr>
            </w:pPr>
            <w:r>
              <w:rPr>
                <w:rFonts w:ascii="Arial Narrow" w:cs="Arial Narrow" w:eastAsia="Arial Narrow" w:hAnsi="Arial Narrow"/>
                <w:sz w:val="20"/>
                <w:szCs w:val="20"/>
                <w:b w:val="1"/>
                <w:bCs w:val="1"/>
                <w:color w:val="386CAD"/>
              </w:rPr>
              <w:t>Sales Volume (M Tons)</w:t>
            </w:r>
          </w:p>
        </w:tc>
        <w:tc>
          <w:tcPr>
            <w:tcW w:w="160" w:type="dxa"/>
            <w:vAlign w:val="bottom"/>
          </w:tcPr>
          <w:p>
            <w:pPr>
              <w:spacing w:after="0"/>
              <w:rPr>
                <w:sz w:val="24"/>
                <w:szCs w:val="24"/>
                <w:color w:val="auto"/>
              </w:rPr>
            </w:pPr>
          </w:p>
        </w:tc>
        <w:tc>
          <w:tcPr>
            <w:tcW w:w="1240" w:type="dxa"/>
            <w:vAlign w:val="bottom"/>
          </w:tcPr>
          <w:p>
            <w:pPr>
              <w:jc w:val="right"/>
              <w:ind w:right="123"/>
              <w:spacing w:after="0"/>
              <w:rPr>
                <w:sz w:val="20"/>
                <w:szCs w:val="20"/>
                <w:color w:val="auto"/>
              </w:rPr>
            </w:pPr>
            <w:r>
              <w:rPr>
                <w:rFonts w:ascii="Arial Narrow" w:cs="Arial Narrow" w:eastAsia="Arial Narrow" w:hAnsi="Arial Narrow"/>
                <w:sz w:val="20"/>
                <w:szCs w:val="20"/>
                <w:color w:val="auto"/>
              </w:rPr>
              <w:t>7,471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ind w:right="101"/>
              <w:spacing w:after="0"/>
              <w:rPr>
                <w:sz w:val="20"/>
                <w:szCs w:val="20"/>
                <w:color w:val="auto"/>
              </w:rPr>
            </w:pPr>
            <w:r>
              <w:rPr>
                <w:rFonts w:ascii="Arial Narrow" w:cs="Arial Narrow" w:eastAsia="Arial Narrow" w:hAnsi="Arial Narrow"/>
                <w:sz w:val="20"/>
                <w:szCs w:val="20"/>
                <w:color w:val="auto"/>
              </w:rPr>
              <w:t>6,912</w:t>
            </w:r>
          </w:p>
        </w:tc>
        <w:tc>
          <w:tcPr>
            <w:tcW w:w="1440" w:type="dxa"/>
            <w:vAlign w:val="bottom"/>
            <w:gridSpan w:val="2"/>
          </w:tcPr>
          <w:p>
            <w:pPr>
              <w:jc w:val="right"/>
              <w:ind w:right="190"/>
              <w:spacing w:after="0"/>
              <w:rPr>
                <w:sz w:val="20"/>
                <w:szCs w:val="20"/>
                <w:color w:val="auto"/>
              </w:rPr>
            </w:pPr>
            <w:r>
              <w:rPr>
                <w:rFonts w:ascii="Arial Narrow" w:cs="Arial Narrow" w:eastAsia="Arial Narrow" w:hAnsi="Arial Narrow"/>
                <w:sz w:val="20"/>
                <w:szCs w:val="20"/>
                <w:color w:val="auto"/>
              </w:rPr>
              <w:t>8%</w:t>
            </w:r>
          </w:p>
        </w:tc>
        <w:tc>
          <w:tcPr>
            <w:tcW w:w="0" w:type="dxa"/>
            <w:vAlign w:val="bottom"/>
          </w:tcPr>
          <w:p>
            <w:pPr>
              <w:spacing w:after="0"/>
              <w:rPr>
                <w:sz w:val="1"/>
                <w:szCs w:val="1"/>
                <w:color w:val="auto"/>
              </w:rPr>
            </w:pPr>
          </w:p>
        </w:tc>
      </w:tr>
      <w:tr>
        <w:trPr>
          <w:trHeight w:val="65"/>
        </w:trPr>
        <w:tc>
          <w:tcPr>
            <w:tcW w:w="504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1240" w:type="dxa"/>
            <w:vAlign w:val="bottom"/>
            <w:tcBorders>
              <w:bottom w:val="single" w:sz="8" w:color="A6A6A6"/>
            </w:tcBorders>
          </w:tcPr>
          <w:p>
            <w:pPr>
              <w:spacing w:after="0"/>
              <w:rPr>
                <w:sz w:val="5"/>
                <w:szCs w:val="5"/>
                <w:color w:val="auto"/>
              </w:rPr>
            </w:pPr>
          </w:p>
        </w:tc>
        <w:tc>
          <w:tcPr>
            <w:tcW w:w="380" w:type="dxa"/>
            <w:vAlign w:val="bottom"/>
            <w:tcBorders>
              <w:bottom w:val="single" w:sz="8" w:color="A6A6A6"/>
            </w:tcBorders>
            <w:gridSpan w:val="2"/>
          </w:tcPr>
          <w:p>
            <w:pPr>
              <w:spacing w:after="0"/>
              <w:rPr>
                <w:sz w:val="5"/>
                <w:szCs w:val="5"/>
                <w:color w:val="auto"/>
              </w:rPr>
            </w:pPr>
          </w:p>
        </w:tc>
        <w:tc>
          <w:tcPr>
            <w:tcW w:w="1100" w:type="dxa"/>
            <w:vAlign w:val="bottom"/>
            <w:tcBorders>
              <w:bottom w:val="single" w:sz="8" w:color="A6A6A6"/>
            </w:tcBorders>
          </w:tcPr>
          <w:p>
            <w:pPr>
              <w:spacing w:after="0"/>
              <w:rPr>
                <w:sz w:val="5"/>
                <w:szCs w:val="5"/>
                <w:color w:val="auto"/>
              </w:rPr>
            </w:pPr>
          </w:p>
        </w:tc>
        <w:tc>
          <w:tcPr>
            <w:tcW w:w="1440" w:type="dxa"/>
            <w:vAlign w:val="bottom"/>
            <w:tcBorders>
              <w:bottom w:val="single" w:sz="8" w:color="A6A6A6"/>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5040" w:type="dxa"/>
            <w:vAlign w:val="bottom"/>
          </w:tcPr>
          <w:p>
            <w:pPr>
              <w:spacing w:after="0"/>
              <w:rPr>
                <w:sz w:val="20"/>
                <w:szCs w:val="20"/>
                <w:color w:val="auto"/>
              </w:rPr>
            </w:pPr>
            <w:r>
              <w:rPr>
                <w:rFonts w:ascii="Arial Narrow" w:cs="Arial Narrow" w:eastAsia="Arial Narrow" w:hAnsi="Arial Narrow"/>
                <w:sz w:val="20"/>
                <w:szCs w:val="20"/>
                <w:b w:val="1"/>
                <w:bCs w:val="1"/>
                <w:color w:val="386CAD"/>
              </w:rPr>
              <w:t>Freight and Delivery Costs Billed to Customers</w:t>
            </w:r>
          </w:p>
        </w:tc>
        <w:tc>
          <w:tcPr>
            <w:tcW w:w="160" w:type="dxa"/>
            <w:vAlign w:val="bottom"/>
          </w:tcPr>
          <w:p>
            <w:pPr>
              <w:jc w:val="right"/>
              <w:spacing w:after="0"/>
              <w:rPr>
                <w:sz w:val="20"/>
                <w:szCs w:val="20"/>
                <w:color w:val="auto"/>
              </w:rPr>
            </w:pPr>
            <w:r>
              <w:rPr>
                <w:rFonts w:ascii="Arial Narrow" w:cs="Arial Narrow" w:eastAsia="Arial Narrow" w:hAnsi="Arial Narrow"/>
                <w:sz w:val="20"/>
                <w:szCs w:val="20"/>
                <w:color w:val="auto"/>
                <w:w w:val="87"/>
              </w:rPr>
              <w:t>$</w:t>
            </w:r>
          </w:p>
        </w:tc>
        <w:tc>
          <w:tcPr>
            <w:tcW w:w="1240" w:type="dxa"/>
            <w:vAlign w:val="bottom"/>
          </w:tcPr>
          <w:p>
            <w:pPr>
              <w:jc w:val="right"/>
              <w:ind w:right="43"/>
              <w:spacing w:after="0"/>
              <w:rPr>
                <w:sz w:val="20"/>
                <w:szCs w:val="20"/>
                <w:color w:val="auto"/>
              </w:rPr>
            </w:pPr>
            <w:r>
              <w:rPr>
                <w:rFonts w:ascii="Arial Narrow" w:cs="Arial Narrow" w:eastAsia="Arial Narrow" w:hAnsi="Arial Narrow"/>
                <w:sz w:val="20"/>
                <w:szCs w:val="20"/>
                <w:color w:val="auto"/>
              </w:rPr>
              <w:t>(81,822)</w:t>
            </w:r>
          </w:p>
        </w:tc>
        <w:tc>
          <w:tcPr>
            <w:tcW w:w="380" w:type="dxa"/>
            <w:vAlign w:val="bottom"/>
            <w:gridSpan w:val="2"/>
          </w:tcPr>
          <w:p>
            <w:pPr>
              <w:jc w:val="right"/>
              <w:ind w:right="160"/>
              <w:spacing w:after="0"/>
              <w:rPr>
                <w:sz w:val="20"/>
                <w:szCs w:val="20"/>
                <w:color w:val="auto"/>
              </w:rPr>
            </w:pPr>
            <w:r>
              <w:rPr>
                <w:rFonts w:ascii="Arial Narrow" w:cs="Arial Narrow" w:eastAsia="Arial Narrow" w:hAnsi="Arial Narrow"/>
                <w:sz w:val="20"/>
                <w:szCs w:val="20"/>
                <w:color w:val="auto"/>
              </w:rPr>
              <w:t>$</w:t>
            </w:r>
          </w:p>
        </w:tc>
        <w:tc>
          <w:tcPr>
            <w:tcW w:w="1100" w:type="dxa"/>
            <w:vAlign w:val="bottom"/>
          </w:tcPr>
          <w:p>
            <w:pPr>
              <w:jc w:val="right"/>
              <w:ind w:right="21"/>
              <w:spacing w:after="0"/>
              <w:rPr>
                <w:sz w:val="20"/>
                <w:szCs w:val="20"/>
                <w:color w:val="auto"/>
              </w:rPr>
            </w:pPr>
            <w:r>
              <w:rPr>
                <w:rFonts w:ascii="Arial Narrow" w:cs="Arial Narrow" w:eastAsia="Arial Narrow" w:hAnsi="Arial Narrow"/>
                <w:sz w:val="20"/>
                <w:szCs w:val="20"/>
                <w:color w:val="auto"/>
              </w:rPr>
              <w:t>(69,457)</w:t>
            </w:r>
          </w:p>
        </w:tc>
        <w:tc>
          <w:tcPr>
            <w:tcW w:w="1440" w:type="dxa"/>
            <w:vAlign w:val="bottom"/>
            <w:gridSpan w:val="2"/>
          </w:tcPr>
          <w:p>
            <w:pPr>
              <w:jc w:val="right"/>
              <w:ind w:right="190"/>
              <w:spacing w:after="0"/>
              <w:rPr>
                <w:sz w:val="20"/>
                <w:szCs w:val="20"/>
                <w:color w:val="auto"/>
              </w:rPr>
            </w:pPr>
            <w:r>
              <w:rPr>
                <w:rFonts w:ascii="Arial Narrow" w:cs="Arial Narrow" w:eastAsia="Arial Narrow" w:hAnsi="Arial Narrow"/>
                <w:sz w:val="20"/>
                <w:szCs w:val="20"/>
                <w:color w:val="auto"/>
              </w:rPr>
              <w:t>18%</w:t>
            </w:r>
          </w:p>
        </w:tc>
        <w:tc>
          <w:tcPr>
            <w:tcW w:w="0" w:type="dxa"/>
            <w:vAlign w:val="bottom"/>
          </w:tcPr>
          <w:p>
            <w:pPr>
              <w:spacing w:after="0"/>
              <w:rPr>
                <w:sz w:val="1"/>
                <w:szCs w:val="1"/>
                <w:color w:val="auto"/>
              </w:rPr>
            </w:pPr>
          </w:p>
        </w:tc>
      </w:tr>
      <w:tr>
        <w:trPr>
          <w:trHeight w:val="65"/>
        </w:trPr>
        <w:tc>
          <w:tcPr>
            <w:tcW w:w="504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1240" w:type="dxa"/>
            <w:vAlign w:val="bottom"/>
            <w:tcBorders>
              <w:bottom w:val="single" w:sz="8" w:color="A6A6A6"/>
            </w:tcBorders>
          </w:tcPr>
          <w:p>
            <w:pPr>
              <w:spacing w:after="0"/>
              <w:rPr>
                <w:sz w:val="5"/>
                <w:szCs w:val="5"/>
                <w:color w:val="auto"/>
              </w:rPr>
            </w:pPr>
          </w:p>
        </w:tc>
        <w:tc>
          <w:tcPr>
            <w:tcW w:w="380" w:type="dxa"/>
            <w:vAlign w:val="bottom"/>
            <w:tcBorders>
              <w:bottom w:val="single" w:sz="8" w:color="A6A6A6"/>
            </w:tcBorders>
            <w:gridSpan w:val="2"/>
          </w:tcPr>
          <w:p>
            <w:pPr>
              <w:spacing w:after="0"/>
              <w:rPr>
                <w:sz w:val="5"/>
                <w:szCs w:val="5"/>
                <w:color w:val="auto"/>
              </w:rPr>
            </w:pPr>
          </w:p>
        </w:tc>
        <w:tc>
          <w:tcPr>
            <w:tcW w:w="1100" w:type="dxa"/>
            <w:vAlign w:val="bottom"/>
            <w:tcBorders>
              <w:bottom w:val="single" w:sz="8" w:color="A6A6A6"/>
            </w:tcBorders>
          </w:tcPr>
          <w:p>
            <w:pPr>
              <w:spacing w:after="0"/>
              <w:rPr>
                <w:sz w:val="5"/>
                <w:szCs w:val="5"/>
                <w:color w:val="auto"/>
              </w:rPr>
            </w:pPr>
          </w:p>
        </w:tc>
        <w:tc>
          <w:tcPr>
            <w:tcW w:w="1440" w:type="dxa"/>
            <w:vAlign w:val="bottom"/>
            <w:tcBorders>
              <w:bottom w:val="single" w:sz="8" w:color="A6A6A6"/>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5040" w:type="dxa"/>
            <w:vAlign w:val="bottom"/>
          </w:tcPr>
          <w:p>
            <w:pPr>
              <w:spacing w:after="0"/>
              <w:rPr>
                <w:sz w:val="20"/>
                <w:szCs w:val="20"/>
                <w:color w:val="auto"/>
              </w:rPr>
            </w:pPr>
            <w:r>
              <w:rPr>
                <w:rFonts w:ascii="Arial Narrow" w:cs="Arial Narrow" w:eastAsia="Arial Narrow" w:hAnsi="Arial Narrow"/>
                <w:sz w:val="20"/>
                <w:szCs w:val="20"/>
                <w:b w:val="1"/>
                <w:bCs w:val="1"/>
                <w:color w:val="386CAD"/>
              </w:rPr>
              <w:t xml:space="preserve">Average Net Sales Price, per ton </w:t>
            </w:r>
            <w:r>
              <w:rPr>
                <w:rFonts w:ascii="Arial Narrow" w:cs="Arial Narrow" w:eastAsia="Arial Narrow" w:hAnsi="Arial Narrow"/>
                <w:sz w:val="13"/>
                <w:szCs w:val="13"/>
                <w:b w:val="1"/>
                <w:bCs w:val="1"/>
                <w:color w:val="386CAD"/>
              </w:rPr>
              <w:t>(2)</w:t>
            </w:r>
          </w:p>
        </w:tc>
        <w:tc>
          <w:tcPr>
            <w:tcW w:w="160" w:type="dxa"/>
            <w:vAlign w:val="bottom"/>
          </w:tcPr>
          <w:p>
            <w:pPr>
              <w:jc w:val="right"/>
              <w:spacing w:after="0"/>
              <w:rPr>
                <w:sz w:val="20"/>
                <w:szCs w:val="20"/>
                <w:color w:val="auto"/>
              </w:rPr>
            </w:pPr>
            <w:r>
              <w:rPr>
                <w:rFonts w:ascii="Arial Narrow" w:cs="Arial Narrow" w:eastAsia="Arial Narrow" w:hAnsi="Arial Narrow"/>
                <w:sz w:val="20"/>
                <w:szCs w:val="20"/>
                <w:color w:val="auto"/>
                <w:w w:val="87"/>
              </w:rPr>
              <w:t>$</w:t>
            </w:r>
          </w:p>
        </w:tc>
        <w:tc>
          <w:tcPr>
            <w:tcW w:w="1240" w:type="dxa"/>
            <w:vAlign w:val="bottom"/>
          </w:tcPr>
          <w:p>
            <w:pPr>
              <w:jc w:val="right"/>
              <w:ind w:right="123"/>
              <w:spacing w:after="0"/>
              <w:rPr>
                <w:sz w:val="20"/>
                <w:szCs w:val="20"/>
                <w:color w:val="auto"/>
              </w:rPr>
            </w:pPr>
            <w:r>
              <w:rPr>
                <w:rFonts w:ascii="Arial Narrow" w:cs="Arial Narrow" w:eastAsia="Arial Narrow" w:hAnsi="Arial Narrow"/>
                <w:sz w:val="20"/>
                <w:szCs w:val="20"/>
                <w:color w:val="auto"/>
              </w:rPr>
              <w:t>155.18</w:t>
            </w:r>
          </w:p>
        </w:tc>
        <w:tc>
          <w:tcPr>
            <w:tcW w:w="380" w:type="dxa"/>
            <w:vAlign w:val="bottom"/>
            <w:gridSpan w:val="2"/>
          </w:tcPr>
          <w:p>
            <w:pPr>
              <w:jc w:val="right"/>
              <w:ind w:right="160"/>
              <w:spacing w:after="0"/>
              <w:rPr>
                <w:sz w:val="20"/>
                <w:szCs w:val="20"/>
                <w:color w:val="auto"/>
              </w:rPr>
            </w:pPr>
            <w:r>
              <w:rPr>
                <w:rFonts w:ascii="Arial Narrow" w:cs="Arial Narrow" w:eastAsia="Arial Narrow" w:hAnsi="Arial Narrow"/>
                <w:sz w:val="20"/>
                <w:szCs w:val="20"/>
                <w:color w:val="auto"/>
              </w:rPr>
              <w:t>$</w:t>
            </w:r>
          </w:p>
        </w:tc>
        <w:tc>
          <w:tcPr>
            <w:tcW w:w="1100" w:type="dxa"/>
            <w:vAlign w:val="bottom"/>
          </w:tcPr>
          <w:p>
            <w:pPr>
              <w:jc w:val="right"/>
              <w:ind w:right="101"/>
              <w:spacing w:after="0"/>
              <w:rPr>
                <w:sz w:val="20"/>
                <w:szCs w:val="20"/>
                <w:color w:val="auto"/>
              </w:rPr>
            </w:pPr>
            <w:r>
              <w:rPr>
                <w:rFonts w:ascii="Arial Narrow" w:cs="Arial Narrow" w:eastAsia="Arial Narrow" w:hAnsi="Arial Narrow"/>
                <w:sz w:val="20"/>
                <w:szCs w:val="20"/>
                <w:color w:val="auto"/>
              </w:rPr>
              <w:t>156.67</w:t>
            </w:r>
          </w:p>
        </w:tc>
        <w:tc>
          <w:tcPr>
            <w:tcW w:w="1440" w:type="dxa"/>
            <w:vAlign w:val="bottom"/>
            <w:gridSpan w:val="2"/>
          </w:tcPr>
          <w:p>
            <w:pPr>
              <w:jc w:val="right"/>
              <w:ind w:right="150"/>
              <w:spacing w:after="0"/>
              <w:rPr>
                <w:sz w:val="20"/>
                <w:szCs w:val="20"/>
                <w:color w:val="auto"/>
              </w:rPr>
            </w:pPr>
            <w:r>
              <w:rPr>
                <w:rFonts w:ascii="Arial Narrow" w:cs="Arial Narrow" w:eastAsia="Arial Narrow" w:hAnsi="Arial Narrow"/>
                <w:sz w:val="20"/>
                <w:szCs w:val="20"/>
                <w:color w:val="auto"/>
              </w:rPr>
              <w:t>(1)%</w:t>
            </w:r>
          </w:p>
        </w:tc>
        <w:tc>
          <w:tcPr>
            <w:tcW w:w="0" w:type="dxa"/>
            <w:vAlign w:val="bottom"/>
          </w:tcPr>
          <w:p>
            <w:pPr>
              <w:spacing w:after="0"/>
              <w:rPr>
                <w:sz w:val="1"/>
                <w:szCs w:val="1"/>
                <w:color w:val="auto"/>
              </w:rPr>
            </w:pPr>
          </w:p>
        </w:tc>
      </w:tr>
      <w:tr>
        <w:trPr>
          <w:trHeight w:val="65"/>
        </w:trPr>
        <w:tc>
          <w:tcPr>
            <w:tcW w:w="504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1240" w:type="dxa"/>
            <w:vAlign w:val="bottom"/>
            <w:tcBorders>
              <w:bottom w:val="single" w:sz="8" w:color="A6A6A6"/>
            </w:tcBorders>
          </w:tcPr>
          <w:p>
            <w:pPr>
              <w:spacing w:after="0"/>
              <w:rPr>
                <w:sz w:val="5"/>
                <w:szCs w:val="5"/>
                <w:color w:val="auto"/>
              </w:rPr>
            </w:pPr>
          </w:p>
        </w:tc>
        <w:tc>
          <w:tcPr>
            <w:tcW w:w="380" w:type="dxa"/>
            <w:vAlign w:val="bottom"/>
            <w:tcBorders>
              <w:bottom w:val="single" w:sz="8" w:color="A6A6A6"/>
            </w:tcBorders>
            <w:gridSpan w:val="2"/>
          </w:tcPr>
          <w:p>
            <w:pPr>
              <w:spacing w:after="0"/>
              <w:rPr>
                <w:sz w:val="5"/>
                <w:szCs w:val="5"/>
                <w:color w:val="auto"/>
              </w:rPr>
            </w:pPr>
          </w:p>
        </w:tc>
        <w:tc>
          <w:tcPr>
            <w:tcW w:w="1100" w:type="dxa"/>
            <w:vAlign w:val="bottom"/>
            <w:tcBorders>
              <w:bottom w:val="single" w:sz="8" w:color="A6A6A6"/>
            </w:tcBorders>
          </w:tcPr>
          <w:p>
            <w:pPr>
              <w:spacing w:after="0"/>
              <w:rPr>
                <w:sz w:val="5"/>
                <w:szCs w:val="5"/>
                <w:color w:val="auto"/>
              </w:rPr>
            </w:pPr>
          </w:p>
        </w:tc>
        <w:tc>
          <w:tcPr>
            <w:tcW w:w="1440" w:type="dxa"/>
            <w:vAlign w:val="bottom"/>
            <w:tcBorders>
              <w:bottom w:val="single" w:sz="8" w:color="A6A6A6"/>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5040" w:type="dxa"/>
            <w:vAlign w:val="bottom"/>
          </w:tcPr>
          <w:p>
            <w:pPr>
              <w:spacing w:after="0"/>
              <w:rPr>
                <w:sz w:val="20"/>
                <w:szCs w:val="20"/>
                <w:color w:val="auto"/>
              </w:rPr>
            </w:pPr>
            <w:r>
              <w:rPr>
                <w:rFonts w:ascii="Arial Narrow" w:cs="Arial Narrow" w:eastAsia="Arial Narrow" w:hAnsi="Arial Narrow"/>
                <w:sz w:val="20"/>
                <w:szCs w:val="20"/>
                <w:b w:val="1"/>
                <w:bCs w:val="1"/>
                <w:color w:val="386CAD"/>
              </w:rPr>
              <w:t>Operating Margin, per ton</w:t>
            </w:r>
          </w:p>
        </w:tc>
        <w:tc>
          <w:tcPr>
            <w:tcW w:w="160" w:type="dxa"/>
            <w:vAlign w:val="bottom"/>
          </w:tcPr>
          <w:p>
            <w:pPr>
              <w:jc w:val="right"/>
              <w:spacing w:after="0"/>
              <w:rPr>
                <w:sz w:val="20"/>
                <w:szCs w:val="20"/>
                <w:color w:val="auto"/>
              </w:rPr>
            </w:pPr>
            <w:r>
              <w:rPr>
                <w:rFonts w:ascii="Arial Narrow" w:cs="Arial Narrow" w:eastAsia="Arial Narrow" w:hAnsi="Arial Narrow"/>
                <w:sz w:val="20"/>
                <w:szCs w:val="20"/>
                <w:color w:val="auto"/>
                <w:w w:val="87"/>
              </w:rPr>
              <w:t>$</w:t>
            </w:r>
          </w:p>
        </w:tc>
        <w:tc>
          <w:tcPr>
            <w:tcW w:w="1240" w:type="dxa"/>
            <w:vAlign w:val="bottom"/>
          </w:tcPr>
          <w:p>
            <w:pPr>
              <w:jc w:val="right"/>
              <w:ind w:right="123"/>
              <w:spacing w:after="0"/>
              <w:rPr>
                <w:sz w:val="20"/>
                <w:szCs w:val="20"/>
                <w:color w:val="auto"/>
              </w:rPr>
            </w:pPr>
            <w:r>
              <w:rPr>
                <w:rFonts w:ascii="Arial Narrow" w:cs="Arial Narrow" w:eastAsia="Arial Narrow" w:hAnsi="Arial Narrow"/>
                <w:sz w:val="20"/>
                <w:szCs w:val="20"/>
                <w:color w:val="auto"/>
              </w:rPr>
              <w:t>43.94</w:t>
            </w:r>
          </w:p>
        </w:tc>
        <w:tc>
          <w:tcPr>
            <w:tcW w:w="380" w:type="dxa"/>
            <w:vAlign w:val="bottom"/>
            <w:gridSpan w:val="2"/>
          </w:tcPr>
          <w:p>
            <w:pPr>
              <w:jc w:val="right"/>
              <w:ind w:right="160"/>
              <w:spacing w:after="0"/>
              <w:rPr>
                <w:sz w:val="20"/>
                <w:szCs w:val="20"/>
                <w:color w:val="auto"/>
              </w:rPr>
            </w:pPr>
            <w:r>
              <w:rPr>
                <w:rFonts w:ascii="Arial Narrow" w:cs="Arial Narrow" w:eastAsia="Arial Narrow" w:hAnsi="Arial Narrow"/>
                <w:sz w:val="20"/>
                <w:szCs w:val="20"/>
                <w:color w:val="auto"/>
              </w:rPr>
              <w:t>$</w:t>
            </w:r>
          </w:p>
        </w:tc>
        <w:tc>
          <w:tcPr>
            <w:tcW w:w="1100" w:type="dxa"/>
            <w:vAlign w:val="bottom"/>
          </w:tcPr>
          <w:p>
            <w:pPr>
              <w:jc w:val="right"/>
              <w:ind w:right="101"/>
              <w:spacing w:after="0"/>
              <w:rPr>
                <w:sz w:val="20"/>
                <w:szCs w:val="20"/>
                <w:color w:val="auto"/>
              </w:rPr>
            </w:pPr>
            <w:r>
              <w:rPr>
                <w:rFonts w:ascii="Arial Narrow" w:cs="Arial Narrow" w:eastAsia="Arial Narrow" w:hAnsi="Arial Narrow"/>
                <w:sz w:val="20"/>
                <w:szCs w:val="20"/>
                <w:color w:val="auto"/>
              </w:rPr>
              <w:t>46.22</w:t>
            </w:r>
          </w:p>
        </w:tc>
        <w:tc>
          <w:tcPr>
            <w:tcW w:w="1440" w:type="dxa"/>
            <w:vAlign w:val="bottom"/>
            <w:gridSpan w:val="2"/>
          </w:tcPr>
          <w:p>
            <w:pPr>
              <w:jc w:val="right"/>
              <w:ind w:right="150"/>
              <w:spacing w:after="0"/>
              <w:rPr>
                <w:sz w:val="20"/>
                <w:szCs w:val="20"/>
                <w:color w:val="auto"/>
              </w:rPr>
            </w:pPr>
            <w:r>
              <w:rPr>
                <w:rFonts w:ascii="Arial Narrow" w:cs="Arial Narrow" w:eastAsia="Arial Narrow" w:hAnsi="Arial Narrow"/>
                <w:sz w:val="20"/>
                <w:szCs w:val="20"/>
                <w:color w:val="auto"/>
              </w:rPr>
              <w:t>(5)%</w:t>
            </w:r>
          </w:p>
        </w:tc>
        <w:tc>
          <w:tcPr>
            <w:tcW w:w="0" w:type="dxa"/>
            <w:vAlign w:val="bottom"/>
          </w:tcPr>
          <w:p>
            <w:pPr>
              <w:spacing w:after="0"/>
              <w:rPr>
                <w:sz w:val="1"/>
                <w:szCs w:val="1"/>
                <w:color w:val="auto"/>
              </w:rPr>
            </w:pPr>
          </w:p>
        </w:tc>
      </w:tr>
      <w:tr>
        <w:trPr>
          <w:trHeight w:val="65"/>
        </w:trPr>
        <w:tc>
          <w:tcPr>
            <w:tcW w:w="504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1240" w:type="dxa"/>
            <w:vAlign w:val="bottom"/>
            <w:tcBorders>
              <w:bottom w:val="single" w:sz="8" w:color="A6A6A6"/>
            </w:tcBorders>
          </w:tcPr>
          <w:p>
            <w:pPr>
              <w:spacing w:after="0"/>
              <w:rPr>
                <w:sz w:val="5"/>
                <w:szCs w:val="5"/>
                <w:color w:val="auto"/>
              </w:rPr>
            </w:pPr>
          </w:p>
        </w:tc>
        <w:tc>
          <w:tcPr>
            <w:tcW w:w="380" w:type="dxa"/>
            <w:vAlign w:val="bottom"/>
            <w:tcBorders>
              <w:bottom w:val="single" w:sz="8" w:color="A6A6A6"/>
            </w:tcBorders>
            <w:gridSpan w:val="2"/>
          </w:tcPr>
          <w:p>
            <w:pPr>
              <w:spacing w:after="0"/>
              <w:rPr>
                <w:sz w:val="5"/>
                <w:szCs w:val="5"/>
                <w:color w:val="auto"/>
              </w:rPr>
            </w:pPr>
          </w:p>
        </w:tc>
        <w:tc>
          <w:tcPr>
            <w:tcW w:w="1100" w:type="dxa"/>
            <w:vAlign w:val="bottom"/>
            <w:tcBorders>
              <w:bottom w:val="single" w:sz="8" w:color="A6A6A6"/>
            </w:tcBorders>
          </w:tcPr>
          <w:p>
            <w:pPr>
              <w:spacing w:after="0"/>
              <w:rPr>
                <w:sz w:val="5"/>
                <w:szCs w:val="5"/>
                <w:color w:val="auto"/>
              </w:rPr>
            </w:pPr>
          </w:p>
        </w:tc>
        <w:tc>
          <w:tcPr>
            <w:tcW w:w="1440" w:type="dxa"/>
            <w:vAlign w:val="bottom"/>
            <w:tcBorders>
              <w:bottom w:val="single" w:sz="8" w:color="A6A6A6"/>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5040" w:type="dxa"/>
            <w:vAlign w:val="bottom"/>
          </w:tcPr>
          <w:p>
            <w:pPr>
              <w:spacing w:after="0"/>
              <w:rPr>
                <w:sz w:val="20"/>
                <w:szCs w:val="20"/>
                <w:color w:val="auto"/>
              </w:rPr>
            </w:pPr>
            <w:r>
              <w:rPr>
                <w:rFonts w:ascii="Arial Narrow" w:cs="Arial Narrow" w:eastAsia="Arial Narrow" w:hAnsi="Arial Narrow"/>
                <w:sz w:val="20"/>
                <w:szCs w:val="20"/>
                <w:b w:val="1"/>
                <w:bCs w:val="1"/>
                <w:color w:val="386CAD"/>
              </w:rPr>
              <w:t>Operating Earnings</w:t>
            </w:r>
          </w:p>
        </w:tc>
        <w:tc>
          <w:tcPr>
            <w:tcW w:w="160" w:type="dxa"/>
            <w:vAlign w:val="bottom"/>
          </w:tcPr>
          <w:p>
            <w:pPr>
              <w:jc w:val="right"/>
              <w:spacing w:after="0"/>
              <w:rPr>
                <w:sz w:val="20"/>
                <w:szCs w:val="20"/>
                <w:color w:val="auto"/>
              </w:rPr>
            </w:pPr>
            <w:r>
              <w:rPr>
                <w:rFonts w:ascii="Arial Narrow" w:cs="Arial Narrow" w:eastAsia="Arial Narrow" w:hAnsi="Arial Narrow"/>
                <w:sz w:val="20"/>
                <w:szCs w:val="20"/>
                <w:color w:val="auto"/>
                <w:w w:val="87"/>
              </w:rPr>
              <w:t>$</w:t>
            </w:r>
          </w:p>
        </w:tc>
        <w:tc>
          <w:tcPr>
            <w:tcW w:w="1240" w:type="dxa"/>
            <w:vAlign w:val="bottom"/>
          </w:tcPr>
          <w:p>
            <w:pPr>
              <w:jc w:val="right"/>
              <w:ind w:right="123"/>
              <w:spacing w:after="0"/>
              <w:rPr>
                <w:sz w:val="20"/>
                <w:szCs w:val="20"/>
                <w:color w:val="auto"/>
              </w:rPr>
            </w:pPr>
            <w:r>
              <w:rPr>
                <w:rFonts w:ascii="Arial Narrow" w:cs="Arial Narrow" w:eastAsia="Arial Narrow" w:hAnsi="Arial Narrow"/>
                <w:sz w:val="20"/>
                <w:szCs w:val="20"/>
                <w:color w:val="auto"/>
              </w:rPr>
              <w:t>328,306</w:t>
            </w:r>
          </w:p>
        </w:tc>
        <w:tc>
          <w:tcPr>
            <w:tcW w:w="380" w:type="dxa"/>
            <w:vAlign w:val="bottom"/>
            <w:gridSpan w:val="2"/>
          </w:tcPr>
          <w:p>
            <w:pPr>
              <w:jc w:val="right"/>
              <w:ind w:right="160"/>
              <w:spacing w:after="0"/>
              <w:rPr>
                <w:sz w:val="20"/>
                <w:szCs w:val="20"/>
                <w:color w:val="auto"/>
              </w:rPr>
            </w:pPr>
            <w:r>
              <w:rPr>
                <w:rFonts w:ascii="Arial Narrow" w:cs="Arial Narrow" w:eastAsia="Arial Narrow" w:hAnsi="Arial Narrow"/>
                <w:sz w:val="20"/>
                <w:szCs w:val="20"/>
                <w:color w:val="auto"/>
              </w:rPr>
              <w:t>$</w:t>
            </w:r>
          </w:p>
        </w:tc>
        <w:tc>
          <w:tcPr>
            <w:tcW w:w="1100" w:type="dxa"/>
            <w:vAlign w:val="bottom"/>
          </w:tcPr>
          <w:p>
            <w:pPr>
              <w:jc w:val="right"/>
              <w:ind w:right="101"/>
              <w:spacing w:after="0"/>
              <w:rPr>
                <w:sz w:val="20"/>
                <w:szCs w:val="20"/>
                <w:color w:val="auto"/>
              </w:rPr>
            </w:pPr>
            <w:r>
              <w:rPr>
                <w:rFonts w:ascii="Arial Narrow" w:cs="Arial Narrow" w:eastAsia="Arial Narrow" w:hAnsi="Arial Narrow"/>
                <w:sz w:val="20"/>
                <w:szCs w:val="20"/>
                <w:color w:val="auto"/>
              </w:rPr>
              <w:t>319,456</w:t>
            </w:r>
          </w:p>
        </w:tc>
        <w:tc>
          <w:tcPr>
            <w:tcW w:w="1440" w:type="dxa"/>
            <w:vAlign w:val="bottom"/>
            <w:gridSpan w:val="2"/>
          </w:tcPr>
          <w:p>
            <w:pPr>
              <w:jc w:val="right"/>
              <w:ind w:right="190"/>
              <w:spacing w:after="0"/>
              <w:rPr>
                <w:sz w:val="20"/>
                <w:szCs w:val="20"/>
                <w:color w:val="auto"/>
              </w:rPr>
            </w:pPr>
            <w:r>
              <w:rPr>
                <w:rFonts w:ascii="Arial Narrow" w:cs="Arial Narrow" w:eastAsia="Arial Narrow" w:hAnsi="Arial Narrow"/>
                <w:sz w:val="20"/>
                <w:szCs w:val="20"/>
                <w:color w:val="auto"/>
              </w:rPr>
              <w:t>3%</w:t>
            </w:r>
          </w:p>
        </w:tc>
        <w:tc>
          <w:tcPr>
            <w:tcW w:w="0" w:type="dxa"/>
            <w:vAlign w:val="bottom"/>
          </w:tcPr>
          <w:p>
            <w:pPr>
              <w:spacing w:after="0"/>
              <w:rPr>
                <w:sz w:val="1"/>
                <w:szCs w:val="1"/>
                <w:color w:val="auto"/>
              </w:rPr>
            </w:pPr>
          </w:p>
        </w:tc>
      </w:tr>
      <w:tr>
        <w:trPr>
          <w:trHeight w:val="65"/>
        </w:trPr>
        <w:tc>
          <w:tcPr>
            <w:tcW w:w="504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124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260" w:type="dxa"/>
            <w:vAlign w:val="bottom"/>
            <w:tcBorders>
              <w:bottom w:val="single" w:sz="8" w:color="A6A6A6"/>
            </w:tcBorders>
          </w:tcPr>
          <w:p>
            <w:pPr>
              <w:spacing w:after="0"/>
              <w:rPr>
                <w:sz w:val="5"/>
                <w:szCs w:val="5"/>
                <w:color w:val="auto"/>
              </w:rPr>
            </w:pPr>
          </w:p>
        </w:tc>
        <w:tc>
          <w:tcPr>
            <w:tcW w:w="110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130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180" w:hanging="180"/>
        <w:spacing w:after="0"/>
        <w:tabs>
          <w:tab w:leader="none" w:pos="180" w:val="left"/>
        </w:tabs>
        <w:numPr>
          <w:ilvl w:val="0"/>
          <w:numId w:val="28"/>
        </w:numPr>
        <w:rPr>
          <w:rFonts w:ascii="Arial" w:cs="Arial" w:eastAsia="Arial" w:hAnsi="Arial"/>
          <w:sz w:val="10"/>
          <w:szCs w:val="10"/>
          <w:color w:val="auto"/>
        </w:rPr>
      </w:pPr>
      <w:r>
        <w:rPr>
          <w:rFonts w:ascii="Arial" w:cs="Arial" w:eastAsia="Arial" w:hAnsi="Arial"/>
          <w:sz w:val="16"/>
          <w:szCs w:val="16"/>
          <w:color w:val="auto"/>
        </w:rPr>
        <w:t>Total of wholly owned subsidiaries and proportionately consolidated 50% interest in the Joint Venture’s results.</w:t>
      </w:r>
    </w:p>
    <w:p>
      <w:pPr>
        <w:ind w:left="180" w:hanging="180"/>
        <w:spacing w:after="0"/>
        <w:tabs>
          <w:tab w:leader="none" w:pos="180" w:val="left"/>
        </w:tabs>
        <w:numPr>
          <w:ilvl w:val="0"/>
          <w:numId w:val="28"/>
        </w:numPr>
        <w:rPr>
          <w:rFonts w:ascii="Arial" w:cs="Arial" w:eastAsia="Arial" w:hAnsi="Arial"/>
          <w:sz w:val="10"/>
          <w:szCs w:val="10"/>
          <w:color w:val="auto"/>
        </w:rPr>
      </w:pPr>
      <w:r>
        <w:rPr>
          <w:rFonts w:ascii="Arial" w:cs="Arial" w:eastAsia="Arial" w:hAnsi="Arial"/>
          <w:sz w:val="16"/>
          <w:szCs w:val="16"/>
          <w:color w:val="auto"/>
        </w:rPr>
        <w:t>Net of freight, including Joint Venture.</w:t>
      </w:r>
    </w:p>
    <w:p>
      <w:pPr>
        <w:spacing w:after="0" w:line="144" w:lineRule="exact"/>
        <w:rPr>
          <w:sz w:val="20"/>
          <w:szCs w:val="20"/>
          <w:color w:val="auto"/>
        </w:rPr>
      </w:pPr>
    </w:p>
    <w:p>
      <w:pPr>
        <w:ind w:right="80"/>
        <w:spacing w:after="0" w:line="325" w:lineRule="auto"/>
        <w:rPr>
          <w:sz w:val="20"/>
          <w:szCs w:val="20"/>
          <w:color w:val="auto"/>
        </w:rPr>
      </w:pPr>
      <w:r>
        <w:rPr>
          <w:rFonts w:ascii="Arial" w:cs="Arial" w:eastAsia="Arial" w:hAnsi="Arial"/>
          <w:sz w:val="20"/>
          <w:szCs w:val="20"/>
          <w:color w:val="auto"/>
        </w:rPr>
        <w:t>Cement Revenue was $1,299.4 million in fiscal 2026, an 8% increase over fiscal 2025. The increase was primarily due to higher Sales Volume of $93.5 million and higher gross sales prices of $4.5 million.</w:t>
      </w:r>
    </w:p>
    <w:p>
      <w:pPr>
        <w:spacing w:after="0" w:line="37" w:lineRule="exact"/>
        <w:rPr>
          <w:sz w:val="20"/>
          <w:szCs w:val="20"/>
          <w:color w:val="auto"/>
        </w:rPr>
      </w:pPr>
    </w:p>
    <w:p>
      <w:pPr>
        <w:ind w:right="40"/>
        <w:spacing w:after="0" w:line="288" w:lineRule="auto"/>
        <w:rPr>
          <w:sz w:val="20"/>
          <w:szCs w:val="20"/>
          <w:color w:val="auto"/>
        </w:rPr>
      </w:pPr>
      <w:r>
        <w:rPr>
          <w:rFonts w:ascii="Arial" w:cs="Arial" w:eastAsia="Arial" w:hAnsi="Arial"/>
          <w:sz w:val="20"/>
          <w:szCs w:val="20"/>
          <w:color w:val="auto"/>
        </w:rPr>
        <w:t>Cement Operating Earnings increased 3% to $328.3 million in fiscal 2026. The increase was due to approximately $26.1 million of higher Sales Volume and $4.5 million of higher gross sales prices, partially offset by $21.7 million of increased operating expenses. The higher operating expenses consisted of a $15.3 million increase in purchased raw materials costs, $16.2 million related to increased fixed costs, primarily labor and depreciation, depletion, and amortization. These higher costs were partially offset by a reduction in maintenance costs of $7.6 million and energy of $6.1 million. Cement Operating Margin decreased to 25%, primarily because of increased operating expenses, partially offset by higher gross sales prices.</w:t>
      </w:r>
    </w:p>
    <w:p>
      <w:pPr>
        <w:sectPr>
          <w:pgSz w:w="11880" w:h="15480" w:orient="portrait"/>
          <w:cols w:equalWidth="0" w:num="1">
            <w:col w:w="9360"/>
          </w:cols>
          <w:pgMar w:left="1260" w:top="1264"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56</w:t>
      </w:r>
    </w:p>
    <w:p>
      <w:pPr>
        <w:sectPr>
          <w:pgSz w:w="11880" w:h="15480" w:orient="portrait"/>
          <w:cols w:equalWidth="0" w:num="1">
            <w:col w:w="9360"/>
          </w:cols>
          <w:pgMar w:left="1260" w:top="1264" w:right="1260" w:bottom="0" w:gutter="0" w:footer="0" w:header="0"/>
          <w:type w:val="continuous"/>
        </w:sectPr>
      </w:pPr>
    </w:p>
    <w:bookmarkStart w:id="64" w:name="page65"/>
    <w:bookmarkEnd w:id="64"/>
    <w:p>
      <w:pPr>
        <w:spacing w:after="0"/>
        <w:rPr>
          <w:sz w:val="20"/>
          <w:szCs w:val="20"/>
          <w:color w:val="auto"/>
        </w:rPr>
      </w:pPr>
      <w:r>
        <w:rPr>
          <w:rFonts w:ascii="Arial" w:cs="Arial" w:eastAsia="Arial" w:hAnsi="Arial"/>
          <w:sz w:val="20"/>
          <w:szCs w:val="20"/>
          <w:b w:val="1"/>
          <w:bCs w:val="1"/>
          <w:color w:val="43A8B4"/>
        </w:rPr>
        <w:t>CONCRETE AND AGGREGATES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38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700" w:type="dxa"/>
            <w:vAlign w:val="bottom"/>
            <w:gridSpan w:val="4"/>
          </w:tcPr>
          <w:p>
            <w:pPr>
              <w:jc w:val="right"/>
              <w:ind w:right="281"/>
              <w:spacing w:after="0"/>
              <w:rPr>
                <w:sz w:val="20"/>
                <w:szCs w:val="20"/>
                <w:color w:val="auto"/>
              </w:rPr>
            </w:pPr>
            <w:r>
              <w:rPr>
                <w:rFonts w:ascii="Arial Narrow" w:cs="Arial Narrow" w:eastAsia="Arial Narrow" w:hAnsi="Arial Narrow"/>
                <w:sz w:val="18"/>
                <w:szCs w:val="18"/>
                <w:b w:val="1"/>
                <w:bCs w:val="1"/>
                <w:color w:val="auto"/>
              </w:rPr>
              <w:t>For the Years Ended March 31,</w:t>
            </w: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3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vMerge w:val="restart"/>
          </w:tcPr>
          <w:p>
            <w:pPr>
              <w:jc w:val="right"/>
              <w:ind w:right="265"/>
              <w:spacing w:after="0"/>
              <w:rPr>
                <w:sz w:val="20"/>
                <w:szCs w:val="20"/>
                <w:color w:val="auto"/>
              </w:rPr>
            </w:pPr>
            <w:r>
              <w:rPr>
                <w:rFonts w:ascii="Arial Narrow" w:cs="Arial Narrow" w:eastAsia="Arial Narrow" w:hAnsi="Arial Narrow"/>
                <w:sz w:val="18"/>
                <w:szCs w:val="18"/>
                <w:b w:val="1"/>
                <w:bCs w:val="1"/>
                <w:color w:val="auto"/>
              </w:rPr>
              <w:t>Percentage</w:t>
            </w:r>
          </w:p>
        </w:tc>
        <w:tc>
          <w:tcPr>
            <w:tcW w:w="0" w:type="dxa"/>
            <w:vAlign w:val="bottom"/>
          </w:tcPr>
          <w:p>
            <w:pPr>
              <w:spacing w:after="0"/>
              <w:rPr>
                <w:sz w:val="1"/>
                <w:szCs w:val="1"/>
                <w:color w:val="auto"/>
              </w:rPr>
            </w:pPr>
          </w:p>
        </w:tc>
      </w:tr>
      <w:tr>
        <w:trPr>
          <w:trHeight w:val="222"/>
        </w:trPr>
        <w:tc>
          <w:tcPr>
            <w:tcW w:w="38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38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jc w:val="right"/>
              <w:ind w:right="124"/>
              <w:spacing w:after="0"/>
              <w:rPr>
                <w:sz w:val="20"/>
                <w:szCs w:val="20"/>
                <w:color w:val="auto"/>
              </w:rPr>
            </w:pPr>
            <w:r>
              <w:rPr>
                <w:rFonts w:ascii="Arial Narrow" w:cs="Arial Narrow" w:eastAsia="Arial Narrow" w:hAnsi="Arial Narrow"/>
                <w:sz w:val="18"/>
                <w:szCs w:val="18"/>
                <w:b w:val="1"/>
                <w:bCs w:val="1"/>
                <w:color w:val="auto"/>
              </w:rPr>
              <w:t>2026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01"/>
              <w:spacing w:after="0"/>
              <w:rPr>
                <w:sz w:val="20"/>
                <w:szCs w:val="20"/>
                <w:color w:val="auto"/>
              </w:rPr>
            </w:pPr>
            <w:r>
              <w:rPr>
                <w:rFonts w:ascii="Arial Narrow" w:cs="Arial Narrow" w:eastAsia="Arial Narrow" w:hAnsi="Arial Narrow"/>
                <w:sz w:val="18"/>
                <w:szCs w:val="18"/>
                <w:b w:val="1"/>
                <w:bCs w:val="1"/>
                <w:color w:val="auto"/>
              </w:rPr>
              <w:t>2025</w:t>
            </w:r>
          </w:p>
        </w:tc>
        <w:tc>
          <w:tcPr>
            <w:tcW w:w="140" w:type="dxa"/>
            <w:vAlign w:val="bottom"/>
          </w:tcPr>
          <w:p>
            <w:pPr>
              <w:spacing w:after="0"/>
              <w:rPr>
                <w:sz w:val="22"/>
                <w:szCs w:val="22"/>
                <w:color w:val="auto"/>
              </w:rPr>
            </w:pPr>
          </w:p>
        </w:tc>
        <w:tc>
          <w:tcPr>
            <w:tcW w:w="1220" w:type="dxa"/>
            <w:vAlign w:val="bottom"/>
          </w:tcPr>
          <w:p>
            <w:pPr>
              <w:jc w:val="right"/>
              <w:ind w:right="265"/>
              <w:spacing w:after="0"/>
              <w:rPr>
                <w:sz w:val="20"/>
                <w:szCs w:val="20"/>
                <w:color w:val="auto"/>
              </w:rPr>
            </w:pPr>
            <w:r>
              <w:rPr>
                <w:rFonts w:ascii="Arial Narrow" w:cs="Arial Narrow" w:eastAsia="Arial Narrow" w:hAnsi="Arial Narrow"/>
                <w:sz w:val="18"/>
                <w:szCs w:val="18"/>
                <w:b w:val="1"/>
                <w:bCs w:val="1"/>
                <w:color w:val="auto"/>
              </w:rPr>
              <w:t>Change</w:t>
            </w:r>
          </w:p>
        </w:tc>
        <w:tc>
          <w:tcPr>
            <w:tcW w:w="0" w:type="dxa"/>
            <w:vAlign w:val="bottom"/>
          </w:tcPr>
          <w:p>
            <w:pPr>
              <w:spacing w:after="0"/>
              <w:rPr>
                <w:sz w:val="1"/>
                <w:szCs w:val="1"/>
                <w:color w:val="auto"/>
              </w:rPr>
            </w:pPr>
          </w:p>
        </w:tc>
      </w:tr>
      <w:tr>
        <w:trPr>
          <w:trHeight w:val="21"/>
        </w:trPr>
        <w:tc>
          <w:tcPr>
            <w:tcW w:w="3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8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700" w:type="dxa"/>
            <w:vAlign w:val="bottom"/>
            <w:gridSpan w:val="4"/>
          </w:tcPr>
          <w:p>
            <w:pPr>
              <w:jc w:val="right"/>
              <w:ind w:right="241"/>
              <w:spacing w:after="0"/>
              <w:rPr>
                <w:sz w:val="20"/>
                <w:szCs w:val="20"/>
                <w:color w:val="auto"/>
              </w:rPr>
            </w:pPr>
            <w:r>
              <w:rPr>
                <w:rFonts w:ascii="Arial Narrow" w:cs="Arial Narrow" w:eastAsia="Arial Narrow" w:hAnsi="Arial Narrow"/>
                <w:sz w:val="16"/>
                <w:szCs w:val="16"/>
                <w:color w:val="auto"/>
              </w:rPr>
              <w:t>(in thousands, except net sales prices)</w:t>
            </w: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384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gridSpan w:val="2"/>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gridSpan w:val="2"/>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344"/>
        </w:trPr>
        <w:tc>
          <w:tcPr>
            <w:tcW w:w="3840" w:type="dxa"/>
            <w:vAlign w:val="bottom"/>
          </w:tcPr>
          <w:p>
            <w:pPr>
              <w:spacing w:after="0"/>
              <w:rPr>
                <w:sz w:val="20"/>
                <w:szCs w:val="20"/>
                <w:color w:val="auto"/>
              </w:rPr>
            </w:pPr>
            <w:r>
              <w:rPr>
                <w:rFonts w:ascii="Arial Narrow" w:cs="Arial Narrow" w:eastAsia="Arial Narrow" w:hAnsi="Arial Narrow"/>
                <w:sz w:val="20"/>
                <w:szCs w:val="20"/>
                <w:b w:val="1"/>
                <w:bCs w:val="1"/>
                <w:color w:val="43A8B4"/>
              </w:rPr>
              <w:t>Revenue, including Intersegment</w:t>
            </w:r>
          </w:p>
        </w:tc>
        <w:tc>
          <w:tcPr>
            <w:tcW w:w="1460" w:type="dxa"/>
            <w:vAlign w:val="bottom"/>
            <w:gridSpan w:val="2"/>
          </w:tcPr>
          <w:p>
            <w:pPr>
              <w:jc w:val="right"/>
              <w:ind w:right="120"/>
              <w:spacing w:after="0"/>
              <w:rPr>
                <w:sz w:val="20"/>
                <w:szCs w:val="20"/>
                <w:color w:val="auto"/>
              </w:rPr>
            </w:pPr>
            <w:r>
              <w:rPr>
                <w:rFonts w:ascii="Arial Narrow" w:cs="Arial Narrow" w:eastAsia="Arial Narrow" w:hAnsi="Arial Narrow"/>
                <w:sz w:val="20"/>
                <w:szCs w:val="20"/>
                <w:color w:val="auto"/>
              </w:rPr>
              <w:t>$</w:t>
            </w:r>
          </w:p>
        </w:tc>
        <w:tc>
          <w:tcPr>
            <w:tcW w:w="1200" w:type="dxa"/>
            <w:vAlign w:val="bottom"/>
          </w:tcPr>
          <w:p>
            <w:pPr>
              <w:jc w:val="right"/>
              <w:ind w:right="124"/>
              <w:spacing w:after="0"/>
              <w:rPr>
                <w:sz w:val="20"/>
                <w:szCs w:val="20"/>
                <w:color w:val="auto"/>
              </w:rPr>
            </w:pPr>
            <w:r>
              <w:rPr>
                <w:rFonts w:ascii="Arial Narrow" w:cs="Arial Narrow" w:eastAsia="Arial Narrow" w:hAnsi="Arial Narrow"/>
                <w:sz w:val="20"/>
                <w:szCs w:val="20"/>
                <w:color w:val="auto"/>
              </w:rPr>
              <w:t>299,504</w:t>
            </w:r>
          </w:p>
        </w:tc>
        <w:tc>
          <w:tcPr>
            <w:tcW w:w="460" w:type="dxa"/>
            <w:vAlign w:val="bottom"/>
            <w:gridSpan w:val="2"/>
          </w:tcPr>
          <w:p>
            <w:pPr>
              <w:jc w:val="right"/>
              <w:ind w:right="240"/>
              <w:spacing w:after="0"/>
              <w:rPr>
                <w:sz w:val="20"/>
                <w:szCs w:val="20"/>
                <w:color w:val="auto"/>
              </w:rPr>
            </w:pPr>
            <w:r>
              <w:rPr>
                <w:rFonts w:ascii="Arial Narrow" w:cs="Arial Narrow" w:eastAsia="Arial Narrow" w:hAnsi="Arial Narrow"/>
                <w:sz w:val="20"/>
                <w:szCs w:val="20"/>
                <w:color w:val="auto"/>
              </w:rPr>
              <w:t>$</w:t>
            </w:r>
          </w:p>
        </w:tc>
        <w:tc>
          <w:tcPr>
            <w:tcW w:w="1040" w:type="dxa"/>
            <w:vAlign w:val="bottom"/>
          </w:tcPr>
          <w:p>
            <w:pPr>
              <w:jc w:val="right"/>
              <w:ind w:right="101"/>
              <w:spacing w:after="0"/>
              <w:rPr>
                <w:sz w:val="20"/>
                <w:szCs w:val="20"/>
                <w:color w:val="auto"/>
              </w:rPr>
            </w:pPr>
            <w:r>
              <w:rPr>
                <w:rFonts w:ascii="Arial Narrow" w:cs="Arial Narrow" w:eastAsia="Arial Narrow" w:hAnsi="Arial Narrow"/>
                <w:sz w:val="20"/>
                <w:szCs w:val="20"/>
                <w:color w:val="auto"/>
              </w:rPr>
              <w:t>251,636</w:t>
            </w:r>
          </w:p>
        </w:tc>
        <w:tc>
          <w:tcPr>
            <w:tcW w:w="1360" w:type="dxa"/>
            <w:vAlign w:val="bottom"/>
            <w:gridSpan w:val="2"/>
          </w:tcPr>
          <w:p>
            <w:pPr>
              <w:jc w:val="right"/>
              <w:ind w:right="105"/>
              <w:spacing w:after="0"/>
              <w:rPr>
                <w:sz w:val="20"/>
                <w:szCs w:val="20"/>
                <w:color w:val="auto"/>
              </w:rPr>
            </w:pPr>
            <w:r>
              <w:rPr>
                <w:rFonts w:ascii="Arial Narrow" w:cs="Arial Narrow" w:eastAsia="Arial Narrow" w:hAnsi="Arial Narrow"/>
                <w:sz w:val="20"/>
                <w:szCs w:val="20"/>
                <w:color w:val="auto"/>
              </w:rPr>
              <w:t>19%</w:t>
            </w:r>
          </w:p>
        </w:tc>
        <w:tc>
          <w:tcPr>
            <w:tcW w:w="0" w:type="dxa"/>
            <w:vAlign w:val="bottom"/>
          </w:tcPr>
          <w:p>
            <w:pPr>
              <w:spacing w:after="0"/>
              <w:rPr>
                <w:sz w:val="1"/>
                <w:szCs w:val="1"/>
                <w:color w:val="auto"/>
              </w:rPr>
            </w:pPr>
          </w:p>
        </w:tc>
      </w:tr>
      <w:tr>
        <w:trPr>
          <w:trHeight w:val="65"/>
        </w:trPr>
        <w:tc>
          <w:tcPr>
            <w:tcW w:w="3840" w:type="dxa"/>
            <w:vAlign w:val="bottom"/>
            <w:tcBorders>
              <w:bottom w:val="single" w:sz="8" w:color="A6A6A6"/>
            </w:tcBorders>
          </w:tcPr>
          <w:p>
            <w:pPr>
              <w:spacing w:after="0"/>
              <w:rPr>
                <w:sz w:val="5"/>
                <w:szCs w:val="5"/>
                <w:color w:val="auto"/>
              </w:rPr>
            </w:pPr>
          </w:p>
        </w:tc>
        <w:tc>
          <w:tcPr>
            <w:tcW w:w="1260" w:type="dxa"/>
            <w:vAlign w:val="bottom"/>
            <w:tcBorders>
              <w:bottom w:val="single" w:sz="8" w:color="A6A6A6"/>
            </w:tcBorders>
          </w:tcPr>
          <w:p>
            <w:pPr>
              <w:spacing w:after="0"/>
              <w:rPr>
                <w:sz w:val="5"/>
                <w:szCs w:val="5"/>
                <w:color w:val="auto"/>
              </w:rPr>
            </w:pPr>
          </w:p>
        </w:tc>
        <w:tc>
          <w:tcPr>
            <w:tcW w:w="200" w:type="dxa"/>
            <w:vAlign w:val="bottom"/>
            <w:tcBorders>
              <w:bottom w:val="single" w:sz="8" w:color="A6A6A6"/>
            </w:tcBorders>
          </w:tcPr>
          <w:p>
            <w:pPr>
              <w:spacing w:after="0"/>
              <w:rPr>
                <w:sz w:val="5"/>
                <w:szCs w:val="5"/>
                <w:color w:val="auto"/>
              </w:rPr>
            </w:pPr>
          </w:p>
        </w:tc>
        <w:tc>
          <w:tcPr>
            <w:tcW w:w="120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340" w:type="dxa"/>
            <w:vAlign w:val="bottom"/>
            <w:tcBorders>
              <w:bottom w:val="single" w:sz="8" w:color="A6A6A6"/>
            </w:tcBorders>
          </w:tcPr>
          <w:p>
            <w:pPr>
              <w:spacing w:after="0"/>
              <w:rPr>
                <w:sz w:val="5"/>
                <w:szCs w:val="5"/>
                <w:color w:val="auto"/>
              </w:rPr>
            </w:pPr>
          </w:p>
        </w:tc>
        <w:tc>
          <w:tcPr>
            <w:tcW w:w="1040" w:type="dxa"/>
            <w:vAlign w:val="bottom"/>
            <w:tcBorders>
              <w:bottom w:val="single" w:sz="8" w:color="A6A6A6"/>
            </w:tcBorders>
          </w:tcPr>
          <w:p>
            <w:pPr>
              <w:spacing w:after="0"/>
              <w:rPr>
                <w:sz w:val="5"/>
                <w:szCs w:val="5"/>
                <w:color w:val="auto"/>
              </w:rPr>
            </w:pPr>
          </w:p>
        </w:tc>
        <w:tc>
          <w:tcPr>
            <w:tcW w:w="1360" w:type="dxa"/>
            <w:vAlign w:val="bottom"/>
            <w:tcBorders>
              <w:bottom w:val="single" w:sz="8" w:color="A6A6A6"/>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3840" w:type="dxa"/>
            <w:vAlign w:val="bottom"/>
          </w:tcPr>
          <w:p>
            <w:pPr>
              <w:spacing w:after="0"/>
              <w:rPr>
                <w:sz w:val="20"/>
                <w:szCs w:val="20"/>
                <w:color w:val="auto"/>
              </w:rPr>
            </w:pPr>
            <w:r>
              <w:rPr>
                <w:rFonts w:ascii="Arial Narrow" w:cs="Arial Narrow" w:eastAsia="Arial Narrow" w:hAnsi="Arial Narrow"/>
                <w:sz w:val="20"/>
                <w:szCs w:val="20"/>
                <w:b w:val="1"/>
                <w:bCs w:val="1"/>
                <w:color w:val="43A8B4"/>
              </w:rPr>
              <w:t>Less Intersegment Revenue</w:t>
            </w: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ind w:right="44"/>
              <w:spacing w:after="0"/>
              <w:rPr>
                <w:sz w:val="20"/>
                <w:szCs w:val="20"/>
                <w:color w:val="auto"/>
              </w:rPr>
            </w:pPr>
            <w:r>
              <w:rPr>
                <w:rFonts w:ascii="Arial Narrow" w:cs="Arial Narrow" w:eastAsia="Arial Narrow" w:hAnsi="Arial Narrow"/>
                <w:sz w:val="20"/>
                <w:szCs w:val="20"/>
                <w:color w:val="auto"/>
              </w:rPr>
              <w:t>(16,229)</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ind w:right="21"/>
              <w:spacing w:after="0"/>
              <w:rPr>
                <w:sz w:val="20"/>
                <w:szCs w:val="20"/>
                <w:color w:val="auto"/>
              </w:rPr>
            </w:pPr>
            <w:r>
              <w:rPr>
                <w:rFonts w:ascii="Arial Narrow" w:cs="Arial Narrow" w:eastAsia="Arial Narrow" w:hAnsi="Arial Narrow"/>
                <w:sz w:val="20"/>
                <w:szCs w:val="20"/>
                <w:color w:val="auto"/>
              </w:rPr>
              <w:t>(13,913)</w:t>
            </w:r>
          </w:p>
        </w:tc>
        <w:tc>
          <w:tcPr>
            <w:tcW w:w="1360" w:type="dxa"/>
            <w:vAlign w:val="bottom"/>
            <w:gridSpan w:val="2"/>
          </w:tcPr>
          <w:p>
            <w:pPr>
              <w:jc w:val="right"/>
              <w:ind w:right="105"/>
              <w:spacing w:after="0"/>
              <w:rPr>
                <w:sz w:val="20"/>
                <w:szCs w:val="20"/>
                <w:color w:val="auto"/>
              </w:rPr>
            </w:pPr>
            <w:r>
              <w:rPr>
                <w:rFonts w:ascii="Arial Narrow" w:cs="Arial Narrow" w:eastAsia="Arial Narrow" w:hAnsi="Arial Narrow"/>
                <w:sz w:val="20"/>
                <w:szCs w:val="20"/>
                <w:color w:val="auto"/>
              </w:rPr>
              <w:t>17%</w:t>
            </w:r>
          </w:p>
        </w:tc>
        <w:tc>
          <w:tcPr>
            <w:tcW w:w="0" w:type="dxa"/>
            <w:vAlign w:val="bottom"/>
          </w:tcPr>
          <w:p>
            <w:pPr>
              <w:spacing w:after="0"/>
              <w:rPr>
                <w:sz w:val="1"/>
                <w:szCs w:val="1"/>
                <w:color w:val="auto"/>
              </w:rPr>
            </w:pPr>
          </w:p>
        </w:tc>
      </w:tr>
      <w:tr>
        <w:trPr>
          <w:trHeight w:val="90"/>
        </w:trPr>
        <w:tc>
          <w:tcPr>
            <w:tcW w:w="3840" w:type="dxa"/>
            <w:vAlign w:val="bottom"/>
            <w:tcBorders>
              <w:bottom w:val="single" w:sz="8" w:color="A6A6A6"/>
            </w:tcBorders>
          </w:tcPr>
          <w:p>
            <w:pPr>
              <w:spacing w:after="0"/>
              <w:rPr>
                <w:sz w:val="7"/>
                <w:szCs w:val="7"/>
                <w:color w:val="auto"/>
              </w:rPr>
            </w:pPr>
          </w:p>
        </w:tc>
        <w:tc>
          <w:tcPr>
            <w:tcW w:w="1260" w:type="dxa"/>
            <w:vAlign w:val="bottom"/>
            <w:tcBorders>
              <w:bottom w:val="single" w:sz="8" w:color="A6A6A6"/>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40" w:type="dxa"/>
            <w:vAlign w:val="bottom"/>
            <w:tcBorders>
              <w:bottom w:val="single" w:sz="8" w:color="A6A6A6"/>
            </w:tcBorders>
          </w:tcPr>
          <w:p>
            <w:pPr>
              <w:spacing w:after="0"/>
              <w:rPr>
                <w:sz w:val="7"/>
                <w:szCs w:val="7"/>
                <w:color w:val="auto"/>
              </w:rPr>
            </w:pPr>
          </w:p>
        </w:tc>
        <w:tc>
          <w:tcPr>
            <w:tcW w:w="1220" w:type="dxa"/>
            <w:vAlign w:val="bottom"/>
            <w:tcBorders>
              <w:bottom w:val="single" w:sz="8" w:color="A6A6A6"/>
            </w:tcBorders>
          </w:tcPr>
          <w:p>
            <w:pPr>
              <w:spacing w:after="0"/>
              <w:rPr>
                <w:sz w:val="7"/>
                <w:szCs w:val="7"/>
                <w:color w:val="auto"/>
              </w:rPr>
            </w:pPr>
          </w:p>
        </w:tc>
        <w:tc>
          <w:tcPr>
            <w:tcW w:w="0" w:type="dxa"/>
            <w:vAlign w:val="bottom"/>
          </w:tcPr>
          <w:p>
            <w:pPr>
              <w:spacing w:after="0"/>
              <w:rPr>
                <w:sz w:val="1"/>
                <w:szCs w:val="1"/>
                <w:color w:val="auto"/>
              </w:rPr>
            </w:pPr>
          </w:p>
        </w:tc>
      </w:tr>
      <w:tr>
        <w:trPr>
          <w:trHeight w:val="344"/>
        </w:trPr>
        <w:tc>
          <w:tcPr>
            <w:tcW w:w="3840" w:type="dxa"/>
            <w:vAlign w:val="bottom"/>
          </w:tcPr>
          <w:p>
            <w:pPr>
              <w:spacing w:after="0"/>
              <w:rPr>
                <w:sz w:val="20"/>
                <w:szCs w:val="20"/>
                <w:color w:val="auto"/>
              </w:rPr>
            </w:pPr>
            <w:r>
              <w:rPr>
                <w:rFonts w:ascii="Arial Narrow" w:cs="Arial Narrow" w:eastAsia="Arial Narrow" w:hAnsi="Arial Narrow"/>
                <w:sz w:val="20"/>
                <w:szCs w:val="20"/>
                <w:b w:val="1"/>
                <w:bCs w:val="1"/>
                <w:color w:val="43A8B4"/>
              </w:rPr>
              <w:t>Revenue</w:t>
            </w:r>
          </w:p>
        </w:tc>
        <w:tc>
          <w:tcPr>
            <w:tcW w:w="1460" w:type="dxa"/>
            <w:vAlign w:val="bottom"/>
            <w:gridSpan w:val="2"/>
          </w:tcPr>
          <w:p>
            <w:pPr>
              <w:jc w:val="right"/>
              <w:ind w:right="120"/>
              <w:spacing w:after="0"/>
              <w:rPr>
                <w:sz w:val="20"/>
                <w:szCs w:val="20"/>
                <w:color w:val="auto"/>
              </w:rPr>
            </w:pPr>
            <w:r>
              <w:rPr>
                <w:rFonts w:ascii="Arial Narrow" w:cs="Arial Narrow" w:eastAsia="Arial Narrow" w:hAnsi="Arial Narrow"/>
                <w:sz w:val="20"/>
                <w:szCs w:val="20"/>
                <w:color w:val="auto"/>
              </w:rPr>
              <w:t>$</w:t>
            </w:r>
          </w:p>
        </w:tc>
        <w:tc>
          <w:tcPr>
            <w:tcW w:w="1200" w:type="dxa"/>
            <w:vAlign w:val="bottom"/>
          </w:tcPr>
          <w:p>
            <w:pPr>
              <w:jc w:val="right"/>
              <w:ind w:right="124"/>
              <w:spacing w:after="0"/>
              <w:rPr>
                <w:sz w:val="20"/>
                <w:szCs w:val="20"/>
                <w:color w:val="auto"/>
              </w:rPr>
            </w:pPr>
            <w:r>
              <w:rPr>
                <w:rFonts w:ascii="Arial Narrow" w:cs="Arial Narrow" w:eastAsia="Arial Narrow" w:hAnsi="Arial Narrow"/>
                <w:sz w:val="20"/>
                <w:szCs w:val="20"/>
                <w:color w:val="auto"/>
              </w:rPr>
              <w:t>283,275</w:t>
            </w:r>
          </w:p>
        </w:tc>
        <w:tc>
          <w:tcPr>
            <w:tcW w:w="460" w:type="dxa"/>
            <w:vAlign w:val="bottom"/>
            <w:gridSpan w:val="2"/>
          </w:tcPr>
          <w:p>
            <w:pPr>
              <w:jc w:val="right"/>
              <w:ind w:right="240"/>
              <w:spacing w:after="0"/>
              <w:rPr>
                <w:sz w:val="20"/>
                <w:szCs w:val="20"/>
                <w:color w:val="auto"/>
              </w:rPr>
            </w:pPr>
            <w:r>
              <w:rPr>
                <w:rFonts w:ascii="Arial Narrow" w:cs="Arial Narrow" w:eastAsia="Arial Narrow" w:hAnsi="Arial Narrow"/>
                <w:sz w:val="20"/>
                <w:szCs w:val="20"/>
                <w:color w:val="auto"/>
              </w:rPr>
              <w:t>$</w:t>
            </w:r>
          </w:p>
        </w:tc>
        <w:tc>
          <w:tcPr>
            <w:tcW w:w="1040" w:type="dxa"/>
            <w:vAlign w:val="bottom"/>
          </w:tcPr>
          <w:p>
            <w:pPr>
              <w:jc w:val="right"/>
              <w:ind w:right="101"/>
              <w:spacing w:after="0"/>
              <w:rPr>
                <w:sz w:val="20"/>
                <w:szCs w:val="20"/>
                <w:color w:val="auto"/>
              </w:rPr>
            </w:pPr>
            <w:r>
              <w:rPr>
                <w:rFonts w:ascii="Arial Narrow" w:cs="Arial Narrow" w:eastAsia="Arial Narrow" w:hAnsi="Arial Narrow"/>
                <w:sz w:val="20"/>
                <w:szCs w:val="20"/>
                <w:color w:val="auto"/>
              </w:rPr>
              <w:t>237,723</w:t>
            </w:r>
          </w:p>
        </w:tc>
        <w:tc>
          <w:tcPr>
            <w:tcW w:w="1360" w:type="dxa"/>
            <w:vAlign w:val="bottom"/>
            <w:gridSpan w:val="2"/>
          </w:tcPr>
          <w:p>
            <w:pPr>
              <w:jc w:val="right"/>
              <w:ind w:right="105"/>
              <w:spacing w:after="0"/>
              <w:rPr>
                <w:sz w:val="20"/>
                <w:szCs w:val="20"/>
                <w:color w:val="auto"/>
              </w:rPr>
            </w:pPr>
            <w:r>
              <w:rPr>
                <w:rFonts w:ascii="Arial Narrow" w:cs="Arial Narrow" w:eastAsia="Arial Narrow" w:hAnsi="Arial Narrow"/>
                <w:sz w:val="20"/>
                <w:szCs w:val="20"/>
                <w:color w:val="auto"/>
              </w:rPr>
              <w:t>19%</w:t>
            </w:r>
          </w:p>
        </w:tc>
        <w:tc>
          <w:tcPr>
            <w:tcW w:w="0" w:type="dxa"/>
            <w:vAlign w:val="bottom"/>
          </w:tcPr>
          <w:p>
            <w:pPr>
              <w:spacing w:after="0"/>
              <w:rPr>
                <w:sz w:val="1"/>
                <w:szCs w:val="1"/>
                <w:color w:val="auto"/>
              </w:rPr>
            </w:pPr>
          </w:p>
        </w:tc>
      </w:tr>
      <w:tr>
        <w:trPr>
          <w:trHeight w:val="65"/>
        </w:trPr>
        <w:tc>
          <w:tcPr>
            <w:tcW w:w="3840" w:type="dxa"/>
            <w:vAlign w:val="bottom"/>
            <w:tcBorders>
              <w:bottom w:val="single" w:sz="8" w:color="A6A6A6"/>
            </w:tcBorders>
          </w:tcPr>
          <w:p>
            <w:pPr>
              <w:spacing w:after="0"/>
              <w:rPr>
                <w:sz w:val="5"/>
                <w:szCs w:val="5"/>
                <w:color w:val="auto"/>
              </w:rPr>
            </w:pPr>
          </w:p>
        </w:tc>
        <w:tc>
          <w:tcPr>
            <w:tcW w:w="1260" w:type="dxa"/>
            <w:vAlign w:val="bottom"/>
            <w:tcBorders>
              <w:bottom w:val="single" w:sz="8" w:color="A6A6A6"/>
            </w:tcBorders>
          </w:tcPr>
          <w:p>
            <w:pPr>
              <w:spacing w:after="0"/>
              <w:rPr>
                <w:sz w:val="5"/>
                <w:szCs w:val="5"/>
                <w:color w:val="auto"/>
              </w:rPr>
            </w:pPr>
          </w:p>
        </w:tc>
        <w:tc>
          <w:tcPr>
            <w:tcW w:w="200" w:type="dxa"/>
            <w:vAlign w:val="bottom"/>
            <w:tcBorders>
              <w:bottom w:val="single" w:sz="8" w:color="A6A6A6"/>
            </w:tcBorders>
          </w:tcPr>
          <w:p>
            <w:pPr>
              <w:spacing w:after="0"/>
              <w:rPr>
                <w:sz w:val="5"/>
                <w:szCs w:val="5"/>
                <w:color w:val="auto"/>
              </w:rPr>
            </w:pPr>
          </w:p>
        </w:tc>
        <w:tc>
          <w:tcPr>
            <w:tcW w:w="120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340" w:type="dxa"/>
            <w:vAlign w:val="bottom"/>
            <w:tcBorders>
              <w:bottom w:val="single" w:sz="8" w:color="A6A6A6"/>
            </w:tcBorders>
          </w:tcPr>
          <w:p>
            <w:pPr>
              <w:spacing w:after="0"/>
              <w:rPr>
                <w:sz w:val="5"/>
                <w:szCs w:val="5"/>
                <w:color w:val="auto"/>
              </w:rPr>
            </w:pPr>
          </w:p>
        </w:tc>
        <w:tc>
          <w:tcPr>
            <w:tcW w:w="104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122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3840" w:type="dxa"/>
            <w:vAlign w:val="bottom"/>
          </w:tcPr>
          <w:p>
            <w:pPr>
              <w:spacing w:after="0"/>
              <w:rPr>
                <w:sz w:val="20"/>
                <w:szCs w:val="20"/>
                <w:color w:val="auto"/>
              </w:rPr>
            </w:pPr>
            <w:r>
              <w:rPr>
                <w:rFonts w:ascii="Arial Narrow" w:cs="Arial Narrow" w:eastAsia="Arial Narrow" w:hAnsi="Arial Narrow"/>
                <w:sz w:val="20"/>
                <w:szCs w:val="20"/>
                <w:b w:val="1"/>
                <w:bCs w:val="1"/>
                <w:color w:val="43A8B4"/>
              </w:rPr>
              <w:t>Sales Volume</w:t>
            </w: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3840" w:type="dxa"/>
            <w:vAlign w:val="bottom"/>
            <w:tcBorders>
              <w:bottom w:val="single" w:sz="8" w:color="A6A6A6"/>
            </w:tcBorders>
          </w:tcPr>
          <w:p>
            <w:pPr>
              <w:spacing w:after="0"/>
              <w:rPr>
                <w:sz w:val="5"/>
                <w:szCs w:val="5"/>
                <w:color w:val="auto"/>
              </w:rPr>
            </w:pPr>
          </w:p>
        </w:tc>
        <w:tc>
          <w:tcPr>
            <w:tcW w:w="1260" w:type="dxa"/>
            <w:vAlign w:val="bottom"/>
            <w:tcBorders>
              <w:bottom w:val="single" w:sz="8" w:color="A6A6A6"/>
            </w:tcBorders>
          </w:tcPr>
          <w:p>
            <w:pPr>
              <w:spacing w:after="0"/>
              <w:rPr>
                <w:sz w:val="5"/>
                <w:szCs w:val="5"/>
                <w:color w:val="auto"/>
              </w:rPr>
            </w:pPr>
          </w:p>
        </w:tc>
        <w:tc>
          <w:tcPr>
            <w:tcW w:w="200" w:type="dxa"/>
            <w:vAlign w:val="bottom"/>
            <w:tcBorders>
              <w:bottom w:val="single" w:sz="8" w:color="A6A6A6"/>
            </w:tcBorders>
          </w:tcPr>
          <w:p>
            <w:pPr>
              <w:spacing w:after="0"/>
              <w:rPr>
                <w:sz w:val="5"/>
                <w:szCs w:val="5"/>
                <w:color w:val="auto"/>
              </w:rPr>
            </w:pPr>
          </w:p>
        </w:tc>
        <w:tc>
          <w:tcPr>
            <w:tcW w:w="120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340" w:type="dxa"/>
            <w:vAlign w:val="bottom"/>
            <w:tcBorders>
              <w:bottom w:val="single" w:sz="8" w:color="A6A6A6"/>
            </w:tcBorders>
          </w:tcPr>
          <w:p>
            <w:pPr>
              <w:spacing w:after="0"/>
              <w:rPr>
                <w:sz w:val="5"/>
                <w:szCs w:val="5"/>
                <w:color w:val="auto"/>
              </w:rPr>
            </w:pPr>
          </w:p>
        </w:tc>
        <w:tc>
          <w:tcPr>
            <w:tcW w:w="104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122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3840" w:type="dxa"/>
            <w:vAlign w:val="bottom"/>
          </w:tcPr>
          <w:p>
            <w:pPr>
              <w:ind w:left="200"/>
              <w:spacing w:after="0"/>
              <w:rPr>
                <w:sz w:val="20"/>
                <w:szCs w:val="20"/>
                <w:color w:val="auto"/>
              </w:rPr>
            </w:pPr>
            <w:r>
              <w:rPr>
                <w:rFonts w:ascii="Arial Narrow" w:cs="Arial Narrow" w:eastAsia="Arial Narrow" w:hAnsi="Arial Narrow"/>
                <w:sz w:val="20"/>
                <w:szCs w:val="20"/>
                <w:b w:val="1"/>
                <w:bCs w:val="1"/>
                <w:color w:val="43A8B4"/>
              </w:rPr>
              <w:t>M Cubic Yards of Concrete</w:t>
            </w: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ind w:right="124"/>
              <w:spacing w:after="0"/>
              <w:rPr>
                <w:sz w:val="20"/>
                <w:szCs w:val="20"/>
                <w:color w:val="auto"/>
              </w:rPr>
            </w:pPr>
            <w:r>
              <w:rPr>
                <w:rFonts w:ascii="Arial Narrow" w:cs="Arial Narrow" w:eastAsia="Arial Narrow" w:hAnsi="Arial Narrow"/>
                <w:sz w:val="20"/>
                <w:szCs w:val="20"/>
                <w:color w:val="auto"/>
              </w:rPr>
              <w:t>1,232</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ind w:right="101"/>
              <w:spacing w:after="0"/>
              <w:rPr>
                <w:sz w:val="20"/>
                <w:szCs w:val="20"/>
                <w:color w:val="auto"/>
              </w:rPr>
            </w:pPr>
            <w:r>
              <w:rPr>
                <w:rFonts w:ascii="Arial Narrow" w:cs="Arial Narrow" w:eastAsia="Arial Narrow" w:hAnsi="Arial Narrow"/>
                <w:sz w:val="20"/>
                <w:szCs w:val="20"/>
                <w:color w:val="auto"/>
              </w:rPr>
              <w:t>1,235</w:t>
            </w:r>
          </w:p>
        </w:tc>
        <w:tc>
          <w:tcPr>
            <w:tcW w:w="140" w:type="dxa"/>
            <w:vAlign w:val="bottom"/>
          </w:tcPr>
          <w:p>
            <w:pPr>
              <w:spacing w:after="0"/>
              <w:rPr>
                <w:sz w:val="24"/>
                <w:szCs w:val="24"/>
                <w:color w:val="auto"/>
              </w:rPr>
            </w:pPr>
          </w:p>
        </w:tc>
        <w:tc>
          <w:tcPr>
            <w:tcW w:w="1220" w:type="dxa"/>
            <w:vAlign w:val="bottom"/>
          </w:tcPr>
          <w:p>
            <w:pPr>
              <w:jc w:val="right"/>
              <w:ind w:right="265"/>
              <w:spacing w:after="0"/>
              <w:rPr>
                <w:sz w:val="20"/>
                <w:szCs w:val="20"/>
                <w:color w:val="auto"/>
              </w:rPr>
            </w:pPr>
            <w:r>
              <w:rPr>
                <w:rFonts w:ascii="Arial Narrow" w:cs="Arial Narrow" w:eastAsia="Arial Narrow" w:hAnsi="Arial Narrow"/>
                <w:sz w:val="20"/>
                <w:szCs w:val="20"/>
                <w:color w:val="auto"/>
              </w:rPr>
              <w:t>—</w:t>
            </w:r>
          </w:p>
        </w:tc>
        <w:tc>
          <w:tcPr>
            <w:tcW w:w="0" w:type="dxa"/>
            <w:vAlign w:val="bottom"/>
          </w:tcPr>
          <w:p>
            <w:pPr>
              <w:spacing w:after="0"/>
              <w:rPr>
                <w:sz w:val="1"/>
                <w:szCs w:val="1"/>
                <w:color w:val="auto"/>
              </w:rPr>
            </w:pPr>
          </w:p>
        </w:tc>
      </w:tr>
      <w:tr>
        <w:trPr>
          <w:trHeight w:val="65"/>
        </w:trPr>
        <w:tc>
          <w:tcPr>
            <w:tcW w:w="3840" w:type="dxa"/>
            <w:vAlign w:val="bottom"/>
            <w:tcBorders>
              <w:bottom w:val="single" w:sz="8" w:color="A6A6A6"/>
            </w:tcBorders>
          </w:tcPr>
          <w:p>
            <w:pPr>
              <w:spacing w:after="0"/>
              <w:rPr>
                <w:sz w:val="5"/>
                <w:szCs w:val="5"/>
                <w:color w:val="auto"/>
              </w:rPr>
            </w:pPr>
          </w:p>
        </w:tc>
        <w:tc>
          <w:tcPr>
            <w:tcW w:w="1260" w:type="dxa"/>
            <w:vAlign w:val="bottom"/>
            <w:tcBorders>
              <w:bottom w:val="single" w:sz="8" w:color="A6A6A6"/>
            </w:tcBorders>
          </w:tcPr>
          <w:p>
            <w:pPr>
              <w:spacing w:after="0"/>
              <w:rPr>
                <w:sz w:val="5"/>
                <w:szCs w:val="5"/>
                <w:color w:val="auto"/>
              </w:rPr>
            </w:pPr>
          </w:p>
        </w:tc>
        <w:tc>
          <w:tcPr>
            <w:tcW w:w="200" w:type="dxa"/>
            <w:vAlign w:val="bottom"/>
            <w:tcBorders>
              <w:bottom w:val="single" w:sz="8" w:color="A6A6A6"/>
            </w:tcBorders>
          </w:tcPr>
          <w:p>
            <w:pPr>
              <w:spacing w:after="0"/>
              <w:rPr>
                <w:sz w:val="5"/>
                <w:szCs w:val="5"/>
                <w:color w:val="auto"/>
              </w:rPr>
            </w:pPr>
          </w:p>
        </w:tc>
        <w:tc>
          <w:tcPr>
            <w:tcW w:w="120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340" w:type="dxa"/>
            <w:vAlign w:val="bottom"/>
            <w:tcBorders>
              <w:bottom w:val="single" w:sz="8" w:color="A6A6A6"/>
            </w:tcBorders>
          </w:tcPr>
          <w:p>
            <w:pPr>
              <w:spacing w:after="0"/>
              <w:rPr>
                <w:sz w:val="5"/>
                <w:szCs w:val="5"/>
                <w:color w:val="auto"/>
              </w:rPr>
            </w:pPr>
          </w:p>
        </w:tc>
        <w:tc>
          <w:tcPr>
            <w:tcW w:w="1040" w:type="dxa"/>
            <w:vAlign w:val="bottom"/>
            <w:tcBorders>
              <w:bottom w:val="single" w:sz="8" w:color="A6A6A6"/>
            </w:tcBorders>
          </w:tcPr>
          <w:p>
            <w:pPr>
              <w:spacing w:after="0"/>
              <w:rPr>
                <w:sz w:val="5"/>
                <w:szCs w:val="5"/>
                <w:color w:val="auto"/>
              </w:rPr>
            </w:pPr>
          </w:p>
        </w:tc>
        <w:tc>
          <w:tcPr>
            <w:tcW w:w="1360" w:type="dxa"/>
            <w:vAlign w:val="bottom"/>
            <w:tcBorders>
              <w:bottom w:val="single" w:sz="8" w:color="A6A6A6"/>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3840" w:type="dxa"/>
            <w:vAlign w:val="bottom"/>
          </w:tcPr>
          <w:p>
            <w:pPr>
              <w:ind w:left="200"/>
              <w:spacing w:after="0"/>
              <w:rPr>
                <w:sz w:val="20"/>
                <w:szCs w:val="20"/>
                <w:color w:val="auto"/>
              </w:rPr>
            </w:pPr>
            <w:r>
              <w:rPr>
                <w:rFonts w:ascii="Arial Narrow" w:cs="Arial Narrow" w:eastAsia="Arial Narrow" w:hAnsi="Arial Narrow"/>
                <w:sz w:val="20"/>
                <w:szCs w:val="20"/>
                <w:b w:val="1"/>
                <w:bCs w:val="1"/>
                <w:color w:val="43A8B4"/>
              </w:rPr>
              <w:t>M Tons of Aggregate</w:t>
            </w: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ind w:right="124"/>
              <w:spacing w:after="0"/>
              <w:rPr>
                <w:sz w:val="20"/>
                <w:szCs w:val="20"/>
                <w:color w:val="auto"/>
              </w:rPr>
            </w:pPr>
            <w:r>
              <w:rPr>
                <w:rFonts w:ascii="Arial Narrow" w:cs="Arial Narrow" w:eastAsia="Arial Narrow" w:hAnsi="Arial Narrow"/>
                <w:sz w:val="20"/>
                <w:szCs w:val="20"/>
                <w:color w:val="auto"/>
              </w:rPr>
              <w:t>6,567</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ind w:right="101"/>
              <w:spacing w:after="0"/>
              <w:rPr>
                <w:sz w:val="20"/>
                <w:szCs w:val="20"/>
                <w:color w:val="auto"/>
              </w:rPr>
            </w:pPr>
            <w:r>
              <w:rPr>
                <w:rFonts w:ascii="Arial Narrow" w:cs="Arial Narrow" w:eastAsia="Arial Narrow" w:hAnsi="Arial Narrow"/>
                <w:sz w:val="20"/>
                <w:szCs w:val="20"/>
                <w:color w:val="auto"/>
              </w:rPr>
              <w:t>3,854</w:t>
            </w:r>
          </w:p>
        </w:tc>
        <w:tc>
          <w:tcPr>
            <w:tcW w:w="1360" w:type="dxa"/>
            <w:vAlign w:val="bottom"/>
            <w:gridSpan w:val="2"/>
          </w:tcPr>
          <w:p>
            <w:pPr>
              <w:jc w:val="right"/>
              <w:ind w:right="105"/>
              <w:spacing w:after="0"/>
              <w:rPr>
                <w:sz w:val="20"/>
                <w:szCs w:val="20"/>
                <w:color w:val="auto"/>
              </w:rPr>
            </w:pPr>
            <w:r>
              <w:rPr>
                <w:rFonts w:ascii="Arial Narrow" w:cs="Arial Narrow" w:eastAsia="Arial Narrow" w:hAnsi="Arial Narrow"/>
                <w:sz w:val="20"/>
                <w:szCs w:val="20"/>
                <w:color w:val="auto"/>
              </w:rPr>
              <w:t>70%</w:t>
            </w:r>
          </w:p>
        </w:tc>
        <w:tc>
          <w:tcPr>
            <w:tcW w:w="0" w:type="dxa"/>
            <w:vAlign w:val="bottom"/>
          </w:tcPr>
          <w:p>
            <w:pPr>
              <w:spacing w:after="0"/>
              <w:rPr>
                <w:sz w:val="1"/>
                <w:szCs w:val="1"/>
                <w:color w:val="auto"/>
              </w:rPr>
            </w:pPr>
          </w:p>
        </w:tc>
      </w:tr>
      <w:tr>
        <w:trPr>
          <w:trHeight w:val="65"/>
        </w:trPr>
        <w:tc>
          <w:tcPr>
            <w:tcW w:w="3840" w:type="dxa"/>
            <w:vAlign w:val="bottom"/>
            <w:tcBorders>
              <w:bottom w:val="single" w:sz="8" w:color="A6A6A6"/>
            </w:tcBorders>
          </w:tcPr>
          <w:p>
            <w:pPr>
              <w:spacing w:after="0"/>
              <w:rPr>
                <w:sz w:val="5"/>
                <w:szCs w:val="5"/>
                <w:color w:val="auto"/>
              </w:rPr>
            </w:pPr>
          </w:p>
        </w:tc>
        <w:tc>
          <w:tcPr>
            <w:tcW w:w="1260" w:type="dxa"/>
            <w:vAlign w:val="bottom"/>
            <w:tcBorders>
              <w:bottom w:val="single" w:sz="8" w:color="A6A6A6"/>
            </w:tcBorders>
          </w:tcPr>
          <w:p>
            <w:pPr>
              <w:spacing w:after="0"/>
              <w:rPr>
                <w:sz w:val="5"/>
                <w:szCs w:val="5"/>
                <w:color w:val="auto"/>
              </w:rPr>
            </w:pPr>
          </w:p>
        </w:tc>
        <w:tc>
          <w:tcPr>
            <w:tcW w:w="200" w:type="dxa"/>
            <w:vAlign w:val="bottom"/>
            <w:tcBorders>
              <w:bottom w:val="single" w:sz="8" w:color="A6A6A6"/>
            </w:tcBorders>
          </w:tcPr>
          <w:p>
            <w:pPr>
              <w:spacing w:after="0"/>
              <w:rPr>
                <w:sz w:val="5"/>
                <w:szCs w:val="5"/>
                <w:color w:val="auto"/>
              </w:rPr>
            </w:pPr>
          </w:p>
        </w:tc>
        <w:tc>
          <w:tcPr>
            <w:tcW w:w="120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340" w:type="dxa"/>
            <w:vAlign w:val="bottom"/>
            <w:tcBorders>
              <w:bottom w:val="single" w:sz="8" w:color="A6A6A6"/>
            </w:tcBorders>
          </w:tcPr>
          <w:p>
            <w:pPr>
              <w:spacing w:after="0"/>
              <w:rPr>
                <w:sz w:val="5"/>
                <w:szCs w:val="5"/>
                <w:color w:val="auto"/>
              </w:rPr>
            </w:pPr>
          </w:p>
        </w:tc>
        <w:tc>
          <w:tcPr>
            <w:tcW w:w="104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122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3840" w:type="dxa"/>
            <w:vAlign w:val="bottom"/>
          </w:tcPr>
          <w:p>
            <w:pPr>
              <w:spacing w:after="0"/>
              <w:rPr>
                <w:sz w:val="20"/>
                <w:szCs w:val="20"/>
                <w:color w:val="auto"/>
              </w:rPr>
            </w:pPr>
            <w:r>
              <w:rPr>
                <w:rFonts w:ascii="Arial Narrow" w:cs="Arial Narrow" w:eastAsia="Arial Narrow" w:hAnsi="Arial Narrow"/>
                <w:sz w:val="20"/>
                <w:szCs w:val="20"/>
                <w:b w:val="1"/>
                <w:bCs w:val="1"/>
                <w:color w:val="43A8B4"/>
              </w:rPr>
              <w:t>Average Net Sales Price</w:t>
            </w: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3840" w:type="dxa"/>
            <w:vAlign w:val="bottom"/>
            <w:tcBorders>
              <w:bottom w:val="single" w:sz="8" w:color="A6A6A6"/>
            </w:tcBorders>
          </w:tcPr>
          <w:p>
            <w:pPr>
              <w:spacing w:after="0"/>
              <w:rPr>
                <w:sz w:val="5"/>
                <w:szCs w:val="5"/>
                <w:color w:val="auto"/>
              </w:rPr>
            </w:pPr>
          </w:p>
        </w:tc>
        <w:tc>
          <w:tcPr>
            <w:tcW w:w="1460" w:type="dxa"/>
            <w:vAlign w:val="bottom"/>
            <w:tcBorders>
              <w:bottom w:val="single" w:sz="8" w:color="A6A6A6"/>
            </w:tcBorders>
            <w:gridSpan w:val="2"/>
          </w:tcPr>
          <w:p>
            <w:pPr>
              <w:spacing w:after="0"/>
              <w:rPr>
                <w:sz w:val="5"/>
                <w:szCs w:val="5"/>
                <w:color w:val="auto"/>
              </w:rPr>
            </w:pPr>
          </w:p>
        </w:tc>
        <w:tc>
          <w:tcPr>
            <w:tcW w:w="1200" w:type="dxa"/>
            <w:vAlign w:val="bottom"/>
            <w:tcBorders>
              <w:bottom w:val="single" w:sz="8" w:color="A6A6A6"/>
            </w:tcBorders>
          </w:tcPr>
          <w:p>
            <w:pPr>
              <w:spacing w:after="0"/>
              <w:rPr>
                <w:sz w:val="5"/>
                <w:szCs w:val="5"/>
                <w:color w:val="auto"/>
              </w:rPr>
            </w:pPr>
          </w:p>
        </w:tc>
        <w:tc>
          <w:tcPr>
            <w:tcW w:w="460" w:type="dxa"/>
            <w:vAlign w:val="bottom"/>
            <w:tcBorders>
              <w:bottom w:val="single" w:sz="8" w:color="A6A6A6"/>
            </w:tcBorders>
            <w:gridSpan w:val="2"/>
          </w:tcPr>
          <w:p>
            <w:pPr>
              <w:spacing w:after="0"/>
              <w:rPr>
                <w:sz w:val="5"/>
                <w:szCs w:val="5"/>
                <w:color w:val="auto"/>
              </w:rPr>
            </w:pPr>
          </w:p>
        </w:tc>
        <w:tc>
          <w:tcPr>
            <w:tcW w:w="1040" w:type="dxa"/>
            <w:vAlign w:val="bottom"/>
            <w:tcBorders>
              <w:bottom w:val="single" w:sz="8" w:color="A6A6A6"/>
            </w:tcBorders>
          </w:tcPr>
          <w:p>
            <w:pPr>
              <w:spacing w:after="0"/>
              <w:rPr>
                <w:sz w:val="5"/>
                <w:szCs w:val="5"/>
                <w:color w:val="auto"/>
              </w:rPr>
            </w:pPr>
          </w:p>
        </w:tc>
        <w:tc>
          <w:tcPr>
            <w:tcW w:w="1360" w:type="dxa"/>
            <w:vAlign w:val="bottom"/>
            <w:tcBorders>
              <w:bottom w:val="single" w:sz="8" w:color="A6A6A6"/>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3840" w:type="dxa"/>
            <w:vAlign w:val="bottom"/>
          </w:tcPr>
          <w:p>
            <w:pPr>
              <w:ind w:left="200"/>
              <w:spacing w:after="0"/>
              <w:rPr>
                <w:sz w:val="20"/>
                <w:szCs w:val="20"/>
                <w:color w:val="auto"/>
              </w:rPr>
            </w:pPr>
            <w:r>
              <w:rPr>
                <w:rFonts w:ascii="Arial Narrow" w:cs="Arial Narrow" w:eastAsia="Arial Narrow" w:hAnsi="Arial Narrow"/>
                <w:sz w:val="20"/>
                <w:szCs w:val="20"/>
                <w:b w:val="1"/>
                <w:bCs w:val="1"/>
                <w:color w:val="43A8B4"/>
              </w:rPr>
              <w:t>Concrete - Per Cubic Yard</w:t>
            </w:r>
          </w:p>
        </w:tc>
        <w:tc>
          <w:tcPr>
            <w:tcW w:w="1460" w:type="dxa"/>
            <w:vAlign w:val="bottom"/>
            <w:gridSpan w:val="2"/>
          </w:tcPr>
          <w:p>
            <w:pPr>
              <w:jc w:val="right"/>
              <w:ind w:right="120"/>
              <w:spacing w:after="0"/>
              <w:rPr>
                <w:sz w:val="20"/>
                <w:szCs w:val="20"/>
                <w:color w:val="auto"/>
              </w:rPr>
            </w:pPr>
            <w:r>
              <w:rPr>
                <w:rFonts w:ascii="Arial Narrow" w:cs="Arial Narrow" w:eastAsia="Arial Narrow" w:hAnsi="Arial Narrow"/>
                <w:sz w:val="20"/>
                <w:szCs w:val="20"/>
                <w:color w:val="auto"/>
              </w:rPr>
              <w:t>$</w:t>
            </w:r>
          </w:p>
        </w:tc>
        <w:tc>
          <w:tcPr>
            <w:tcW w:w="1200" w:type="dxa"/>
            <w:vAlign w:val="bottom"/>
          </w:tcPr>
          <w:p>
            <w:pPr>
              <w:jc w:val="right"/>
              <w:ind w:right="124"/>
              <w:spacing w:after="0"/>
              <w:rPr>
                <w:sz w:val="20"/>
                <w:szCs w:val="20"/>
                <w:color w:val="auto"/>
              </w:rPr>
            </w:pPr>
            <w:r>
              <w:rPr>
                <w:rFonts w:ascii="Arial Narrow" w:cs="Arial Narrow" w:eastAsia="Arial Narrow" w:hAnsi="Arial Narrow"/>
                <w:sz w:val="20"/>
                <w:szCs w:val="20"/>
                <w:color w:val="auto"/>
              </w:rPr>
              <w:t>153.18</w:t>
            </w:r>
          </w:p>
        </w:tc>
        <w:tc>
          <w:tcPr>
            <w:tcW w:w="460" w:type="dxa"/>
            <w:vAlign w:val="bottom"/>
            <w:gridSpan w:val="2"/>
          </w:tcPr>
          <w:p>
            <w:pPr>
              <w:jc w:val="right"/>
              <w:ind w:right="240"/>
              <w:spacing w:after="0"/>
              <w:rPr>
                <w:sz w:val="20"/>
                <w:szCs w:val="20"/>
                <w:color w:val="auto"/>
              </w:rPr>
            </w:pPr>
            <w:r>
              <w:rPr>
                <w:rFonts w:ascii="Arial Narrow" w:cs="Arial Narrow" w:eastAsia="Arial Narrow" w:hAnsi="Arial Narrow"/>
                <w:sz w:val="20"/>
                <w:szCs w:val="20"/>
                <w:color w:val="auto"/>
              </w:rPr>
              <w:t>$</w:t>
            </w:r>
          </w:p>
        </w:tc>
        <w:tc>
          <w:tcPr>
            <w:tcW w:w="1040" w:type="dxa"/>
            <w:vAlign w:val="bottom"/>
          </w:tcPr>
          <w:p>
            <w:pPr>
              <w:jc w:val="right"/>
              <w:ind w:right="101"/>
              <w:spacing w:after="0"/>
              <w:rPr>
                <w:sz w:val="20"/>
                <w:szCs w:val="20"/>
                <w:color w:val="auto"/>
              </w:rPr>
            </w:pPr>
            <w:r>
              <w:rPr>
                <w:rFonts w:ascii="Arial Narrow" w:cs="Arial Narrow" w:eastAsia="Arial Narrow" w:hAnsi="Arial Narrow"/>
                <w:sz w:val="20"/>
                <w:szCs w:val="20"/>
                <w:color w:val="auto"/>
              </w:rPr>
              <w:t>148.48</w:t>
            </w:r>
          </w:p>
        </w:tc>
        <w:tc>
          <w:tcPr>
            <w:tcW w:w="1360" w:type="dxa"/>
            <w:vAlign w:val="bottom"/>
            <w:gridSpan w:val="2"/>
          </w:tcPr>
          <w:p>
            <w:pPr>
              <w:jc w:val="right"/>
              <w:ind w:right="105"/>
              <w:spacing w:after="0"/>
              <w:rPr>
                <w:sz w:val="20"/>
                <w:szCs w:val="20"/>
                <w:color w:val="auto"/>
              </w:rPr>
            </w:pPr>
            <w:r>
              <w:rPr>
                <w:rFonts w:ascii="Arial Narrow" w:cs="Arial Narrow" w:eastAsia="Arial Narrow" w:hAnsi="Arial Narrow"/>
                <w:sz w:val="20"/>
                <w:szCs w:val="20"/>
                <w:color w:val="auto"/>
              </w:rPr>
              <w:t>3%</w:t>
            </w:r>
          </w:p>
        </w:tc>
        <w:tc>
          <w:tcPr>
            <w:tcW w:w="0" w:type="dxa"/>
            <w:vAlign w:val="bottom"/>
          </w:tcPr>
          <w:p>
            <w:pPr>
              <w:spacing w:after="0"/>
              <w:rPr>
                <w:sz w:val="1"/>
                <w:szCs w:val="1"/>
                <w:color w:val="auto"/>
              </w:rPr>
            </w:pPr>
          </w:p>
        </w:tc>
      </w:tr>
      <w:tr>
        <w:trPr>
          <w:trHeight w:val="65"/>
        </w:trPr>
        <w:tc>
          <w:tcPr>
            <w:tcW w:w="3840" w:type="dxa"/>
            <w:vAlign w:val="bottom"/>
            <w:tcBorders>
              <w:bottom w:val="single" w:sz="8" w:color="A6A6A6"/>
            </w:tcBorders>
          </w:tcPr>
          <w:p>
            <w:pPr>
              <w:spacing w:after="0"/>
              <w:rPr>
                <w:sz w:val="5"/>
                <w:szCs w:val="5"/>
                <w:color w:val="auto"/>
              </w:rPr>
            </w:pPr>
          </w:p>
        </w:tc>
        <w:tc>
          <w:tcPr>
            <w:tcW w:w="1460" w:type="dxa"/>
            <w:vAlign w:val="bottom"/>
            <w:tcBorders>
              <w:bottom w:val="single" w:sz="8" w:color="A6A6A6"/>
            </w:tcBorders>
            <w:gridSpan w:val="2"/>
          </w:tcPr>
          <w:p>
            <w:pPr>
              <w:spacing w:after="0"/>
              <w:rPr>
                <w:sz w:val="5"/>
                <w:szCs w:val="5"/>
                <w:color w:val="auto"/>
              </w:rPr>
            </w:pPr>
          </w:p>
        </w:tc>
        <w:tc>
          <w:tcPr>
            <w:tcW w:w="1200" w:type="dxa"/>
            <w:vAlign w:val="bottom"/>
            <w:tcBorders>
              <w:bottom w:val="single" w:sz="8" w:color="A6A6A6"/>
            </w:tcBorders>
          </w:tcPr>
          <w:p>
            <w:pPr>
              <w:spacing w:after="0"/>
              <w:rPr>
                <w:sz w:val="5"/>
                <w:szCs w:val="5"/>
                <w:color w:val="auto"/>
              </w:rPr>
            </w:pPr>
          </w:p>
        </w:tc>
        <w:tc>
          <w:tcPr>
            <w:tcW w:w="460" w:type="dxa"/>
            <w:vAlign w:val="bottom"/>
            <w:tcBorders>
              <w:bottom w:val="single" w:sz="8" w:color="A6A6A6"/>
            </w:tcBorders>
            <w:gridSpan w:val="2"/>
          </w:tcPr>
          <w:p>
            <w:pPr>
              <w:spacing w:after="0"/>
              <w:rPr>
                <w:sz w:val="5"/>
                <w:szCs w:val="5"/>
                <w:color w:val="auto"/>
              </w:rPr>
            </w:pPr>
          </w:p>
        </w:tc>
        <w:tc>
          <w:tcPr>
            <w:tcW w:w="1040" w:type="dxa"/>
            <w:vAlign w:val="bottom"/>
            <w:tcBorders>
              <w:bottom w:val="single" w:sz="8" w:color="A6A6A6"/>
            </w:tcBorders>
          </w:tcPr>
          <w:p>
            <w:pPr>
              <w:spacing w:after="0"/>
              <w:rPr>
                <w:sz w:val="5"/>
                <w:szCs w:val="5"/>
                <w:color w:val="auto"/>
              </w:rPr>
            </w:pPr>
          </w:p>
        </w:tc>
        <w:tc>
          <w:tcPr>
            <w:tcW w:w="1360" w:type="dxa"/>
            <w:vAlign w:val="bottom"/>
            <w:tcBorders>
              <w:bottom w:val="single" w:sz="8" w:color="A6A6A6"/>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3840" w:type="dxa"/>
            <w:vAlign w:val="bottom"/>
          </w:tcPr>
          <w:p>
            <w:pPr>
              <w:ind w:left="200"/>
              <w:spacing w:after="0"/>
              <w:rPr>
                <w:sz w:val="20"/>
                <w:szCs w:val="20"/>
                <w:color w:val="auto"/>
              </w:rPr>
            </w:pPr>
            <w:r>
              <w:rPr>
                <w:rFonts w:ascii="Arial Narrow" w:cs="Arial Narrow" w:eastAsia="Arial Narrow" w:hAnsi="Arial Narrow"/>
                <w:sz w:val="20"/>
                <w:szCs w:val="20"/>
                <w:b w:val="1"/>
                <w:bCs w:val="1"/>
                <w:color w:val="43A8B4"/>
              </w:rPr>
              <w:t>Aggregates - Per Ton</w:t>
            </w:r>
          </w:p>
        </w:tc>
        <w:tc>
          <w:tcPr>
            <w:tcW w:w="1460" w:type="dxa"/>
            <w:vAlign w:val="bottom"/>
            <w:gridSpan w:val="2"/>
          </w:tcPr>
          <w:p>
            <w:pPr>
              <w:jc w:val="right"/>
              <w:ind w:right="120"/>
              <w:spacing w:after="0"/>
              <w:rPr>
                <w:sz w:val="20"/>
                <w:szCs w:val="20"/>
                <w:color w:val="auto"/>
              </w:rPr>
            </w:pPr>
            <w:r>
              <w:rPr>
                <w:rFonts w:ascii="Arial Narrow" w:cs="Arial Narrow" w:eastAsia="Arial Narrow" w:hAnsi="Arial Narrow"/>
                <w:sz w:val="20"/>
                <w:szCs w:val="20"/>
                <w:color w:val="auto"/>
              </w:rPr>
              <w:t>$</w:t>
            </w:r>
          </w:p>
        </w:tc>
        <w:tc>
          <w:tcPr>
            <w:tcW w:w="1200" w:type="dxa"/>
            <w:vAlign w:val="bottom"/>
          </w:tcPr>
          <w:p>
            <w:pPr>
              <w:jc w:val="right"/>
              <w:ind w:right="124"/>
              <w:spacing w:after="0"/>
              <w:rPr>
                <w:sz w:val="20"/>
                <w:szCs w:val="20"/>
                <w:color w:val="auto"/>
              </w:rPr>
            </w:pPr>
            <w:r>
              <w:rPr>
                <w:rFonts w:ascii="Arial Narrow" w:cs="Arial Narrow" w:eastAsia="Arial Narrow" w:hAnsi="Arial Narrow"/>
                <w:sz w:val="20"/>
                <w:szCs w:val="20"/>
                <w:color w:val="auto"/>
              </w:rPr>
              <w:t>14.23</w:t>
            </w:r>
          </w:p>
        </w:tc>
        <w:tc>
          <w:tcPr>
            <w:tcW w:w="460" w:type="dxa"/>
            <w:vAlign w:val="bottom"/>
            <w:gridSpan w:val="2"/>
          </w:tcPr>
          <w:p>
            <w:pPr>
              <w:jc w:val="right"/>
              <w:ind w:right="240"/>
              <w:spacing w:after="0"/>
              <w:rPr>
                <w:sz w:val="20"/>
                <w:szCs w:val="20"/>
                <w:color w:val="auto"/>
              </w:rPr>
            </w:pPr>
            <w:r>
              <w:rPr>
                <w:rFonts w:ascii="Arial Narrow" w:cs="Arial Narrow" w:eastAsia="Arial Narrow" w:hAnsi="Arial Narrow"/>
                <w:sz w:val="20"/>
                <w:szCs w:val="20"/>
                <w:color w:val="auto"/>
              </w:rPr>
              <w:t>$</w:t>
            </w:r>
          </w:p>
        </w:tc>
        <w:tc>
          <w:tcPr>
            <w:tcW w:w="1040" w:type="dxa"/>
            <w:vAlign w:val="bottom"/>
          </w:tcPr>
          <w:p>
            <w:pPr>
              <w:jc w:val="right"/>
              <w:ind w:right="101"/>
              <w:spacing w:after="0"/>
              <w:rPr>
                <w:sz w:val="20"/>
                <w:szCs w:val="20"/>
                <w:color w:val="auto"/>
              </w:rPr>
            </w:pPr>
            <w:r>
              <w:rPr>
                <w:rFonts w:ascii="Arial Narrow" w:cs="Arial Narrow" w:eastAsia="Arial Narrow" w:hAnsi="Arial Narrow"/>
                <w:sz w:val="20"/>
                <w:szCs w:val="20"/>
                <w:color w:val="auto"/>
              </w:rPr>
              <w:t>13.09</w:t>
            </w:r>
          </w:p>
        </w:tc>
        <w:tc>
          <w:tcPr>
            <w:tcW w:w="1360" w:type="dxa"/>
            <w:vAlign w:val="bottom"/>
            <w:gridSpan w:val="2"/>
          </w:tcPr>
          <w:p>
            <w:pPr>
              <w:jc w:val="right"/>
              <w:ind w:right="105"/>
              <w:spacing w:after="0"/>
              <w:rPr>
                <w:sz w:val="20"/>
                <w:szCs w:val="20"/>
                <w:color w:val="auto"/>
              </w:rPr>
            </w:pPr>
            <w:r>
              <w:rPr>
                <w:rFonts w:ascii="Arial Narrow" w:cs="Arial Narrow" w:eastAsia="Arial Narrow" w:hAnsi="Arial Narrow"/>
                <w:sz w:val="20"/>
                <w:szCs w:val="20"/>
                <w:color w:val="auto"/>
              </w:rPr>
              <w:t>9%</w:t>
            </w:r>
          </w:p>
        </w:tc>
        <w:tc>
          <w:tcPr>
            <w:tcW w:w="0" w:type="dxa"/>
            <w:vAlign w:val="bottom"/>
          </w:tcPr>
          <w:p>
            <w:pPr>
              <w:spacing w:after="0"/>
              <w:rPr>
                <w:sz w:val="1"/>
                <w:szCs w:val="1"/>
                <w:color w:val="auto"/>
              </w:rPr>
            </w:pPr>
          </w:p>
        </w:tc>
      </w:tr>
      <w:tr>
        <w:trPr>
          <w:trHeight w:val="65"/>
        </w:trPr>
        <w:tc>
          <w:tcPr>
            <w:tcW w:w="3840" w:type="dxa"/>
            <w:vAlign w:val="bottom"/>
            <w:tcBorders>
              <w:bottom w:val="single" w:sz="8" w:color="A6A6A6"/>
            </w:tcBorders>
          </w:tcPr>
          <w:p>
            <w:pPr>
              <w:spacing w:after="0"/>
              <w:rPr>
                <w:sz w:val="5"/>
                <w:szCs w:val="5"/>
                <w:color w:val="auto"/>
              </w:rPr>
            </w:pPr>
          </w:p>
        </w:tc>
        <w:tc>
          <w:tcPr>
            <w:tcW w:w="1460" w:type="dxa"/>
            <w:vAlign w:val="bottom"/>
            <w:tcBorders>
              <w:bottom w:val="single" w:sz="8" w:color="A6A6A6"/>
            </w:tcBorders>
            <w:gridSpan w:val="2"/>
          </w:tcPr>
          <w:p>
            <w:pPr>
              <w:spacing w:after="0"/>
              <w:rPr>
                <w:sz w:val="5"/>
                <w:szCs w:val="5"/>
                <w:color w:val="auto"/>
              </w:rPr>
            </w:pPr>
          </w:p>
        </w:tc>
        <w:tc>
          <w:tcPr>
            <w:tcW w:w="1200" w:type="dxa"/>
            <w:vAlign w:val="bottom"/>
            <w:tcBorders>
              <w:bottom w:val="single" w:sz="8" w:color="A6A6A6"/>
            </w:tcBorders>
          </w:tcPr>
          <w:p>
            <w:pPr>
              <w:spacing w:after="0"/>
              <w:rPr>
                <w:sz w:val="5"/>
                <w:szCs w:val="5"/>
                <w:color w:val="auto"/>
              </w:rPr>
            </w:pPr>
          </w:p>
        </w:tc>
        <w:tc>
          <w:tcPr>
            <w:tcW w:w="460" w:type="dxa"/>
            <w:vAlign w:val="bottom"/>
            <w:tcBorders>
              <w:bottom w:val="single" w:sz="8" w:color="A6A6A6"/>
            </w:tcBorders>
            <w:gridSpan w:val="2"/>
          </w:tcPr>
          <w:p>
            <w:pPr>
              <w:spacing w:after="0"/>
              <w:rPr>
                <w:sz w:val="5"/>
                <w:szCs w:val="5"/>
                <w:color w:val="auto"/>
              </w:rPr>
            </w:pPr>
          </w:p>
        </w:tc>
        <w:tc>
          <w:tcPr>
            <w:tcW w:w="104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122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3840" w:type="dxa"/>
            <w:vAlign w:val="bottom"/>
          </w:tcPr>
          <w:p>
            <w:pPr>
              <w:spacing w:after="0"/>
              <w:rPr>
                <w:sz w:val="20"/>
                <w:szCs w:val="20"/>
                <w:color w:val="auto"/>
              </w:rPr>
            </w:pPr>
            <w:r>
              <w:rPr>
                <w:rFonts w:ascii="Arial Narrow" w:cs="Arial Narrow" w:eastAsia="Arial Narrow" w:hAnsi="Arial Narrow"/>
                <w:sz w:val="20"/>
                <w:szCs w:val="20"/>
                <w:b w:val="1"/>
                <w:bCs w:val="1"/>
                <w:color w:val="43A8B4"/>
              </w:rPr>
              <w:t>Operating Earnings (Loss)</w:t>
            </w:r>
          </w:p>
        </w:tc>
        <w:tc>
          <w:tcPr>
            <w:tcW w:w="1460" w:type="dxa"/>
            <w:vAlign w:val="bottom"/>
            <w:gridSpan w:val="2"/>
          </w:tcPr>
          <w:p>
            <w:pPr>
              <w:jc w:val="right"/>
              <w:ind w:right="120"/>
              <w:spacing w:after="0"/>
              <w:rPr>
                <w:sz w:val="20"/>
                <w:szCs w:val="20"/>
                <w:color w:val="auto"/>
              </w:rPr>
            </w:pPr>
            <w:r>
              <w:rPr>
                <w:rFonts w:ascii="Arial Narrow" w:cs="Arial Narrow" w:eastAsia="Arial Narrow" w:hAnsi="Arial Narrow"/>
                <w:sz w:val="20"/>
                <w:szCs w:val="20"/>
                <w:color w:val="auto"/>
              </w:rPr>
              <w:t>$</w:t>
            </w:r>
          </w:p>
        </w:tc>
        <w:tc>
          <w:tcPr>
            <w:tcW w:w="1200" w:type="dxa"/>
            <w:vAlign w:val="bottom"/>
          </w:tcPr>
          <w:p>
            <w:pPr>
              <w:jc w:val="right"/>
              <w:ind w:right="124"/>
              <w:spacing w:after="0"/>
              <w:rPr>
                <w:sz w:val="20"/>
                <w:szCs w:val="20"/>
                <w:color w:val="auto"/>
              </w:rPr>
            </w:pPr>
            <w:r>
              <w:rPr>
                <w:rFonts w:ascii="Arial Narrow" w:cs="Arial Narrow" w:eastAsia="Arial Narrow" w:hAnsi="Arial Narrow"/>
                <w:sz w:val="20"/>
                <w:szCs w:val="20"/>
                <w:color w:val="auto"/>
              </w:rPr>
              <w:t>12,864</w:t>
            </w:r>
          </w:p>
        </w:tc>
        <w:tc>
          <w:tcPr>
            <w:tcW w:w="460" w:type="dxa"/>
            <w:vAlign w:val="bottom"/>
            <w:gridSpan w:val="2"/>
          </w:tcPr>
          <w:p>
            <w:pPr>
              <w:jc w:val="right"/>
              <w:ind w:right="240"/>
              <w:spacing w:after="0"/>
              <w:rPr>
                <w:sz w:val="20"/>
                <w:szCs w:val="20"/>
                <w:color w:val="auto"/>
              </w:rPr>
            </w:pPr>
            <w:r>
              <w:rPr>
                <w:rFonts w:ascii="Arial Narrow" w:cs="Arial Narrow" w:eastAsia="Arial Narrow" w:hAnsi="Arial Narrow"/>
                <w:sz w:val="20"/>
                <w:szCs w:val="20"/>
                <w:color w:val="auto"/>
              </w:rPr>
              <w:t>$</w:t>
            </w:r>
          </w:p>
        </w:tc>
        <w:tc>
          <w:tcPr>
            <w:tcW w:w="1040" w:type="dxa"/>
            <w:vAlign w:val="bottom"/>
          </w:tcPr>
          <w:p>
            <w:pPr>
              <w:jc w:val="right"/>
              <w:ind w:right="21"/>
              <w:spacing w:after="0"/>
              <w:rPr>
                <w:sz w:val="20"/>
                <w:szCs w:val="20"/>
                <w:color w:val="auto"/>
              </w:rPr>
            </w:pPr>
            <w:r>
              <w:rPr>
                <w:rFonts w:ascii="Arial Narrow" w:cs="Arial Narrow" w:eastAsia="Arial Narrow" w:hAnsi="Arial Narrow"/>
                <w:sz w:val="20"/>
                <w:szCs w:val="20"/>
                <w:color w:val="auto"/>
              </w:rPr>
              <w:t>(8,765)</w:t>
            </w:r>
          </w:p>
        </w:tc>
        <w:tc>
          <w:tcPr>
            <w:tcW w:w="140" w:type="dxa"/>
            <w:vAlign w:val="bottom"/>
          </w:tcPr>
          <w:p>
            <w:pPr>
              <w:spacing w:after="0"/>
              <w:rPr>
                <w:sz w:val="24"/>
                <w:szCs w:val="24"/>
                <w:color w:val="auto"/>
              </w:rPr>
            </w:pPr>
          </w:p>
        </w:tc>
        <w:tc>
          <w:tcPr>
            <w:tcW w:w="1220" w:type="dxa"/>
            <w:vAlign w:val="bottom"/>
          </w:tcPr>
          <w:p>
            <w:pPr>
              <w:jc w:val="right"/>
              <w:ind w:right="265"/>
              <w:spacing w:after="0"/>
              <w:rPr>
                <w:sz w:val="20"/>
                <w:szCs w:val="20"/>
                <w:color w:val="auto"/>
              </w:rPr>
            </w:pPr>
            <w:r>
              <w:rPr>
                <w:rFonts w:ascii="Arial Narrow" w:cs="Arial Narrow" w:eastAsia="Arial Narrow" w:hAnsi="Arial Narrow"/>
                <w:sz w:val="20"/>
                <w:szCs w:val="20"/>
                <w:color w:val="auto"/>
              </w:rPr>
              <w:t>n/m</w:t>
            </w:r>
          </w:p>
        </w:tc>
        <w:tc>
          <w:tcPr>
            <w:tcW w:w="0" w:type="dxa"/>
            <w:vAlign w:val="bottom"/>
          </w:tcPr>
          <w:p>
            <w:pPr>
              <w:spacing w:after="0"/>
              <w:rPr>
                <w:sz w:val="1"/>
                <w:szCs w:val="1"/>
                <w:color w:val="auto"/>
              </w:rPr>
            </w:pPr>
          </w:p>
        </w:tc>
      </w:tr>
      <w:tr>
        <w:trPr>
          <w:trHeight w:val="65"/>
        </w:trPr>
        <w:tc>
          <w:tcPr>
            <w:tcW w:w="3840" w:type="dxa"/>
            <w:vAlign w:val="bottom"/>
            <w:tcBorders>
              <w:bottom w:val="single" w:sz="8" w:color="A6A6A6"/>
            </w:tcBorders>
          </w:tcPr>
          <w:p>
            <w:pPr>
              <w:spacing w:after="0"/>
              <w:rPr>
                <w:sz w:val="5"/>
                <w:szCs w:val="5"/>
                <w:color w:val="auto"/>
              </w:rPr>
            </w:pPr>
          </w:p>
        </w:tc>
        <w:tc>
          <w:tcPr>
            <w:tcW w:w="1260" w:type="dxa"/>
            <w:vAlign w:val="bottom"/>
            <w:tcBorders>
              <w:bottom w:val="single" w:sz="8" w:color="A6A6A6"/>
            </w:tcBorders>
          </w:tcPr>
          <w:p>
            <w:pPr>
              <w:spacing w:after="0"/>
              <w:rPr>
                <w:sz w:val="5"/>
                <w:szCs w:val="5"/>
                <w:color w:val="auto"/>
              </w:rPr>
            </w:pPr>
          </w:p>
        </w:tc>
        <w:tc>
          <w:tcPr>
            <w:tcW w:w="200" w:type="dxa"/>
            <w:vAlign w:val="bottom"/>
            <w:tcBorders>
              <w:bottom w:val="single" w:sz="8" w:color="A6A6A6"/>
            </w:tcBorders>
          </w:tcPr>
          <w:p>
            <w:pPr>
              <w:spacing w:after="0"/>
              <w:rPr>
                <w:sz w:val="5"/>
                <w:szCs w:val="5"/>
                <w:color w:val="auto"/>
              </w:rPr>
            </w:pPr>
          </w:p>
        </w:tc>
        <w:tc>
          <w:tcPr>
            <w:tcW w:w="120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340" w:type="dxa"/>
            <w:vAlign w:val="bottom"/>
            <w:tcBorders>
              <w:bottom w:val="single" w:sz="8" w:color="A6A6A6"/>
            </w:tcBorders>
          </w:tcPr>
          <w:p>
            <w:pPr>
              <w:spacing w:after="0"/>
              <w:rPr>
                <w:sz w:val="5"/>
                <w:szCs w:val="5"/>
                <w:color w:val="auto"/>
              </w:rPr>
            </w:pPr>
          </w:p>
        </w:tc>
        <w:tc>
          <w:tcPr>
            <w:tcW w:w="104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122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318" w:lineRule="exact"/>
        <w:rPr>
          <w:sz w:val="20"/>
          <w:szCs w:val="20"/>
          <w:color w:val="auto"/>
        </w:rPr>
      </w:pPr>
    </w:p>
    <w:p>
      <w:pPr>
        <w:ind w:right="60"/>
        <w:spacing w:after="0" w:line="292" w:lineRule="auto"/>
        <w:rPr>
          <w:sz w:val="20"/>
          <w:szCs w:val="20"/>
          <w:color w:val="auto"/>
        </w:rPr>
      </w:pPr>
      <w:r>
        <w:rPr>
          <w:rFonts w:ascii="Arial" w:cs="Arial" w:eastAsia="Arial" w:hAnsi="Arial"/>
          <w:sz w:val="20"/>
          <w:szCs w:val="20"/>
          <w:color w:val="auto"/>
        </w:rPr>
        <w:t>Concrete and Aggregates Revenue increased 19% to $299.5 million in fiscal 2026. Excluding the Aggregates Acquisitions, Revenue increased 12% to $268.9 million. The increase in Revenue was due to higher Concrete gross sales prices of $5.9 million and higher Aggregates Sales Volume of $13.3 million, which were partially offset by lower Aggregates gross sales prices and lower Concrete Sales Volume, which reduced revenue by $3.7 million and $0.4 million, respectively.</w:t>
      </w:r>
    </w:p>
    <w:p>
      <w:pPr>
        <w:spacing w:after="0" w:line="71" w:lineRule="exact"/>
        <w:rPr>
          <w:sz w:val="20"/>
          <w:szCs w:val="20"/>
          <w:color w:val="auto"/>
        </w:rPr>
      </w:pPr>
    </w:p>
    <w:p>
      <w:pPr>
        <w:ind w:right="180"/>
        <w:spacing w:after="0" w:line="290" w:lineRule="auto"/>
        <w:rPr>
          <w:sz w:val="20"/>
          <w:szCs w:val="20"/>
          <w:color w:val="auto"/>
        </w:rPr>
      </w:pPr>
      <w:r>
        <w:rPr>
          <w:rFonts w:ascii="Arial" w:cs="Arial" w:eastAsia="Arial" w:hAnsi="Arial"/>
          <w:sz w:val="20"/>
          <w:szCs w:val="20"/>
          <w:color w:val="auto"/>
        </w:rPr>
        <w:t>Operating Earnings improved to $12.9 million in fiscal 2026. Excluding the Aggregates Acquisitions, Operating Earnings increased to $10.1 million for fiscal 2026. The increase in Operating Earnings was due to $2.2 million and $2.1 million of higher gross sales prices and Sales Volume, respectively, as well as lower operating expenses of $11.2 million. The lower operating expenses were primarily due to lower cost of materials, maintenance, delivery, and fixed costs of $1.3 million, $3.8 million, $2.4 million, and $4.5 million, respectively.</w:t>
      </w:r>
    </w:p>
    <w:p>
      <w:pPr>
        <w:sectPr>
          <w:pgSz w:w="11880" w:h="15480" w:orient="portrait"/>
          <w:cols w:equalWidth="0" w:num="1">
            <w:col w:w="9360"/>
          </w:cols>
          <w:pgMar w:left="1260" w:top="1264"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57</w:t>
      </w:r>
    </w:p>
    <w:p>
      <w:pPr>
        <w:sectPr>
          <w:pgSz w:w="11880" w:h="15480" w:orient="portrait"/>
          <w:cols w:equalWidth="0" w:num="1">
            <w:col w:w="9360"/>
          </w:cols>
          <w:pgMar w:left="1260" w:top="1264" w:right="1260" w:bottom="0" w:gutter="0" w:footer="0" w:header="0"/>
          <w:type w:val="continuous"/>
        </w:sectPr>
      </w:pPr>
    </w:p>
    <w:bookmarkStart w:id="65" w:name="page66"/>
    <w:bookmarkEnd w:id="65"/>
    <w:p>
      <w:pPr>
        <w:spacing w:after="0"/>
        <w:rPr>
          <w:sz w:val="20"/>
          <w:szCs w:val="20"/>
          <w:color w:val="auto"/>
        </w:rPr>
      </w:pPr>
      <w:r>
        <w:rPr>
          <w:rFonts w:ascii="Arial" w:cs="Arial" w:eastAsia="Arial" w:hAnsi="Arial"/>
          <w:sz w:val="22"/>
          <w:szCs w:val="22"/>
          <w:b w:val="1"/>
          <w:bCs w:val="1"/>
          <w:u w:val="single" w:color="auto"/>
          <w:color w:val="0E2910"/>
        </w:rPr>
        <w:t>Light Materials</w:t>
      </w:r>
    </w:p>
    <w:p>
      <w:pPr>
        <w:spacing w:after="0" w:line="398" w:lineRule="exact"/>
        <w:rPr>
          <w:sz w:val="20"/>
          <w:szCs w:val="20"/>
          <w:color w:val="auto"/>
        </w:rPr>
      </w:pPr>
    </w:p>
    <w:p>
      <w:pPr>
        <w:spacing w:after="0"/>
        <w:rPr>
          <w:sz w:val="20"/>
          <w:szCs w:val="20"/>
          <w:color w:val="auto"/>
        </w:rPr>
      </w:pPr>
      <w:r>
        <w:rPr>
          <w:rFonts w:ascii="Arial" w:cs="Arial" w:eastAsia="Arial" w:hAnsi="Arial"/>
          <w:sz w:val="20"/>
          <w:szCs w:val="20"/>
          <w:b w:val="1"/>
          <w:bCs w:val="1"/>
          <w:color w:val="5F7D1D"/>
        </w:rPr>
        <w:t>GYPSUM WALLBOARD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5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0" w:type="dxa"/>
            <w:vAlign w:val="bottom"/>
            <w:gridSpan w:val="4"/>
          </w:tcPr>
          <w:p>
            <w:pPr>
              <w:jc w:val="right"/>
              <w:ind w:right="281"/>
              <w:spacing w:after="0"/>
              <w:rPr>
                <w:sz w:val="20"/>
                <w:szCs w:val="20"/>
                <w:color w:val="auto"/>
              </w:rPr>
            </w:pPr>
            <w:r>
              <w:rPr>
                <w:rFonts w:ascii="Arial Narrow" w:cs="Arial Narrow" w:eastAsia="Arial Narrow" w:hAnsi="Arial Narrow"/>
                <w:sz w:val="18"/>
                <w:szCs w:val="18"/>
                <w:b w:val="1"/>
                <w:bCs w:val="1"/>
                <w:color w:val="auto"/>
              </w:rPr>
              <w:t>For the Years Ended March 31,</w:t>
            </w: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5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vMerge w:val="restart"/>
          </w:tcPr>
          <w:p>
            <w:pPr>
              <w:jc w:val="right"/>
              <w:ind w:right="350"/>
              <w:spacing w:after="0"/>
              <w:rPr>
                <w:sz w:val="20"/>
                <w:szCs w:val="20"/>
                <w:color w:val="auto"/>
              </w:rPr>
            </w:pPr>
            <w:r>
              <w:rPr>
                <w:rFonts w:ascii="Arial Narrow" w:cs="Arial Narrow" w:eastAsia="Arial Narrow" w:hAnsi="Arial Narrow"/>
                <w:sz w:val="18"/>
                <w:szCs w:val="18"/>
                <w:b w:val="1"/>
                <w:bCs w:val="1"/>
                <w:color w:val="auto"/>
              </w:rPr>
              <w:t>Percentage</w:t>
            </w:r>
          </w:p>
        </w:tc>
        <w:tc>
          <w:tcPr>
            <w:tcW w:w="0" w:type="dxa"/>
            <w:vAlign w:val="bottom"/>
          </w:tcPr>
          <w:p>
            <w:pPr>
              <w:spacing w:after="0"/>
              <w:rPr>
                <w:sz w:val="1"/>
                <w:szCs w:val="1"/>
                <w:color w:val="auto"/>
              </w:rPr>
            </w:pPr>
          </w:p>
        </w:tc>
      </w:tr>
      <w:tr>
        <w:trPr>
          <w:trHeight w:val="222"/>
        </w:trPr>
        <w:tc>
          <w:tcPr>
            <w:tcW w:w="5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5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jc w:val="right"/>
              <w:ind w:right="104"/>
              <w:spacing w:after="0"/>
              <w:rPr>
                <w:sz w:val="20"/>
                <w:szCs w:val="20"/>
                <w:color w:val="auto"/>
              </w:rPr>
            </w:pPr>
            <w:r>
              <w:rPr>
                <w:rFonts w:ascii="Arial Narrow" w:cs="Arial Narrow" w:eastAsia="Arial Narrow" w:hAnsi="Arial Narrow"/>
                <w:sz w:val="18"/>
                <w:szCs w:val="18"/>
                <w:b w:val="1"/>
                <w:bCs w:val="1"/>
                <w:color w:val="auto"/>
              </w:rPr>
              <w:t>2026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121"/>
              <w:spacing w:after="0"/>
              <w:rPr>
                <w:sz w:val="20"/>
                <w:szCs w:val="20"/>
                <w:color w:val="auto"/>
              </w:rPr>
            </w:pPr>
            <w:r>
              <w:rPr>
                <w:rFonts w:ascii="Arial Narrow" w:cs="Arial Narrow" w:eastAsia="Arial Narrow" w:hAnsi="Arial Narrow"/>
                <w:sz w:val="18"/>
                <w:szCs w:val="18"/>
                <w:b w:val="1"/>
                <w:bCs w:val="1"/>
                <w:color w:val="auto"/>
              </w:rPr>
              <w:t>2025</w:t>
            </w:r>
          </w:p>
        </w:tc>
        <w:tc>
          <w:tcPr>
            <w:tcW w:w="120" w:type="dxa"/>
            <w:vAlign w:val="bottom"/>
          </w:tcPr>
          <w:p>
            <w:pPr>
              <w:spacing w:after="0"/>
              <w:rPr>
                <w:sz w:val="22"/>
                <w:szCs w:val="22"/>
                <w:color w:val="auto"/>
              </w:rPr>
            </w:pPr>
          </w:p>
        </w:tc>
        <w:tc>
          <w:tcPr>
            <w:tcW w:w="1300" w:type="dxa"/>
            <w:vAlign w:val="bottom"/>
          </w:tcPr>
          <w:p>
            <w:pPr>
              <w:jc w:val="right"/>
              <w:ind w:right="350"/>
              <w:spacing w:after="0"/>
              <w:rPr>
                <w:sz w:val="20"/>
                <w:szCs w:val="20"/>
                <w:color w:val="auto"/>
              </w:rPr>
            </w:pPr>
            <w:r>
              <w:rPr>
                <w:rFonts w:ascii="Arial Narrow" w:cs="Arial Narrow" w:eastAsia="Arial Narrow" w:hAnsi="Arial Narrow"/>
                <w:sz w:val="18"/>
                <w:szCs w:val="18"/>
                <w:b w:val="1"/>
                <w:bCs w:val="1"/>
                <w:color w:val="auto"/>
              </w:rPr>
              <w:t>Change</w:t>
            </w:r>
          </w:p>
        </w:tc>
        <w:tc>
          <w:tcPr>
            <w:tcW w:w="0" w:type="dxa"/>
            <w:vAlign w:val="bottom"/>
          </w:tcPr>
          <w:p>
            <w:pPr>
              <w:spacing w:after="0"/>
              <w:rPr>
                <w:sz w:val="1"/>
                <w:szCs w:val="1"/>
                <w:color w:val="auto"/>
              </w:rPr>
            </w:pPr>
          </w:p>
        </w:tc>
      </w:tr>
      <w:tr>
        <w:trPr>
          <w:trHeight w:val="21"/>
        </w:trPr>
        <w:tc>
          <w:tcPr>
            <w:tcW w:w="5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0" w:type="dxa"/>
            <w:vAlign w:val="bottom"/>
            <w:gridSpan w:val="4"/>
          </w:tcPr>
          <w:p>
            <w:pPr>
              <w:jc w:val="right"/>
              <w:ind w:right="41"/>
              <w:spacing w:after="0"/>
              <w:rPr>
                <w:sz w:val="20"/>
                <w:szCs w:val="20"/>
                <w:color w:val="auto"/>
              </w:rPr>
            </w:pPr>
            <w:r>
              <w:rPr>
                <w:rFonts w:ascii="Arial Narrow" w:cs="Arial Narrow" w:eastAsia="Arial Narrow" w:hAnsi="Arial Narrow"/>
                <w:sz w:val="16"/>
                <w:szCs w:val="16"/>
                <w:color w:val="auto"/>
              </w:rPr>
              <w:t>(in thousands, except per MMSF information)</w:t>
            </w: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5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gridSpan w:val="2"/>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344"/>
        </w:trPr>
        <w:tc>
          <w:tcPr>
            <w:tcW w:w="5040" w:type="dxa"/>
            <w:vAlign w:val="bottom"/>
          </w:tcPr>
          <w:p>
            <w:pPr>
              <w:spacing w:after="0"/>
              <w:rPr>
                <w:sz w:val="20"/>
                <w:szCs w:val="20"/>
                <w:color w:val="auto"/>
              </w:rPr>
            </w:pPr>
            <w:r>
              <w:rPr>
                <w:rFonts w:ascii="Arial Narrow" w:cs="Arial Narrow" w:eastAsia="Arial Narrow" w:hAnsi="Arial Narrow"/>
                <w:sz w:val="20"/>
                <w:szCs w:val="20"/>
                <w:b w:val="1"/>
                <w:bCs w:val="1"/>
                <w:color w:val="5F7D1D"/>
              </w:rPr>
              <w:t>Revenue</w:t>
            </w:r>
          </w:p>
        </w:tc>
        <w:tc>
          <w:tcPr>
            <w:tcW w:w="100" w:type="dxa"/>
            <w:vAlign w:val="bottom"/>
          </w:tcPr>
          <w:p>
            <w:pPr>
              <w:jc w:val="right"/>
              <w:spacing w:after="0"/>
              <w:rPr>
                <w:sz w:val="20"/>
                <w:szCs w:val="20"/>
                <w:color w:val="auto"/>
              </w:rPr>
            </w:pPr>
            <w:r>
              <w:rPr>
                <w:rFonts w:ascii="Arial Narrow" w:cs="Arial Narrow" w:eastAsia="Arial Narrow" w:hAnsi="Arial Narrow"/>
                <w:sz w:val="20"/>
                <w:szCs w:val="20"/>
                <w:color w:val="auto"/>
                <w:w w:val="87"/>
              </w:rPr>
              <w:t>$</w:t>
            </w:r>
          </w:p>
        </w:tc>
        <w:tc>
          <w:tcPr>
            <w:tcW w:w="1300" w:type="dxa"/>
            <w:vAlign w:val="bottom"/>
          </w:tcPr>
          <w:p>
            <w:pPr>
              <w:jc w:val="right"/>
              <w:ind w:right="104"/>
              <w:spacing w:after="0"/>
              <w:rPr>
                <w:sz w:val="20"/>
                <w:szCs w:val="20"/>
                <w:color w:val="auto"/>
              </w:rPr>
            </w:pPr>
            <w:r>
              <w:rPr>
                <w:rFonts w:ascii="Arial Narrow" w:cs="Arial Narrow" w:eastAsia="Arial Narrow" w:hAnsi="Arial Narrow"/>
                <w:sz w:val="20"/>
                <w:szCs w:val="20"/>
                <w:color w:val="auto"/>
              </w:rPr>
              <w:t>764,493</w:t>
            </w:r>
          </w:p>
        </w:tc>
        <w:tc>
          <w:tcPr>
            <w:tcW w:w="420" w:type="dxa"/>
            <w:vAlign w:val="bottom"/>
            <w:gridSpan w:val="2"/>
          </w:tcPr>
          <w:p>
            <w:pPr>
              <w:jc w:val="right"/>
              <w:ind w:right="200"/>
              <w:spacing w:after="0"/>
              <w:rPr>
                <w:sz w:val="20"/>
                <w:szCs w:val="20"/>
                <w:color w:val="auto"/>
              </w:rPr>
            </w:pPr>
            <w:r>
              <w:rPr>
                <w:rFonts w:ascii="Arial Narrow" w:cs="Arial Narrow" w:eastAsia="Arial Narrow" w:hAnsi="Arial Narrow"/>
                <w:sz w:val="20"/>
                <w:szCs w:val="20"/>
                <w:color w:val="auto"/>
              </w:rPr>
              <w:t>$</w:t>
            </w:r>
          </w:p>
        </w:tc>
        <w:tc>
          <w:tcPr>
            <w:tcW w:w="1080" w:type="dxa"/>
            <w:vAlign w:val="bottom"/>
          </w:tcPr>
          <w:p>
            <w:pPr>
              <w:jc w:val="right"/>
              <w:ind w:right="121"/>
              <w:spacing w:after="0"/>
              <w:rPr>
                <w:sz w:val="20"/>
                <w:szCs w:val="20"/>
                <w:color w:val="auto"/>
              </w:rPr>
            </w:pPr>
            <w:r>
              <w:rPr>
                <w:rFonts w:ascii="Arial Narrow" w:cs="Arial Narrow" w:eastAsia="Arial Narrow" w:hAnsi="Arial Narrow"/>
                <w:sz w:val="20"/>
                <w:szCs w:val="20"/>
                <w:color w:val="auto"/>
              </w:rPr>
              <w:t>846,499</w:t>
            </w:r>
          </w:p>
        </w:tc>
        <w:tc>
          <w:tcPr>
            <w:tcW w:w="1420" w:type="dxa"/>
            <w:vAlign w:val="bottom"/>
            <w:gridSpan w:val="2"/>
          </w:tcPr>
          <w:p>
            <w:pPr>
              <w:jc w:val="right"/>
              <w:ind w:right="150"/>
              <w:spacing w:after="0"/>
              <w:rPr>
                <w:sz w:val="20"/>
                <w:szCs w:val="20"/>
                <w:color w:val="auto"/>
              </w:rPr>
            </w:pPr>
            <w:r>
              <w:rPr>
                <w:rFonts w:ascii="Arial Narrow" w:cs="Arial Narrow" w:eastAsia="Arial Narrow" w:hAnsi="Arial Narrow"/>
                <w:sz w:val="20"/>
                <w:szCs w:val="20"/>
                <w:color w:val="auto"/>
              </w:rPr>
              <w:t>(10)%</w:t>
            </w:r>
          </w:p>
        </w:tc>
        <w:tc>
          <w:tcPr>
            <w:tcW w:w="0" w:type="dxa"/>
            <w:vAlign w:val="bottom"/>
          </w:tcPr>
          <w:p>
            <w:pPr>
              <w:spacing w:after="0"/>
              <w:rPr>
                <w:sz w:val="1"/>
                <w:szCs w:val="1"/>
                <w:color w:val="auto"/>
              </w:rPr>
            </w:pPr>
          </w:p>
        </w:tc>
      </w:tr>
      <w:tr>
        <w:trPr>
          <w:trHeight w:val="65"/>
        </w:trPr>
        <w:tc>
          <w:tcPr>
            <w:tcW w:w="504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30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300" w:type="dxa"/>
            <w:vAlign w:val="bottom"/>
            <w:tcBorders>
              <w:bottom w:val="single" w:sz="8" w:color="A6A6A6"/>
            </w:tcBorders>
          </w:tcPr>
          <w:p>
            <w:pPr>
              <w:spacing w:after="0"/>
              <w:rPr>
                <w:sz w:val="5"/>
                <w:szCs w:val="5"/>
                <w:color w:val="auto"/>
              </w:rPr>
            </w:pPr>
          </w:p>
        </w:tc>
        <w:tc>
          <w:tcPr>
            <w:tcW w:w="1080" w:type="dxa"/>
            <w:vAlign w:val="bottom"/>
            <w:tcBorders>
              <w:bottom w:val="single" w:sz="8" w:color="A6A6A6"/>
            </w:tcBorders>
          </w:tcPr>
          <w:p>
            <w:pPr>
              <w:spacing w:after="0"/>
              <w:rPr>
                <w:sz w:val="5"/>
                <w:szCs w:val="5"/>
                <w:color w:val="auto"/>
              </w:rPr>
            </w:pPr>
          </w:p>
        </w:tc>
        <w:tc>
          <w:tcPr>
            <w:tcW w:w="1420" w:type="dxa"/>
            <w:vAlign w:val="bottom"/>
            <w:tcBorders>
              <w:bottom w:val="single" w:sz="8" w:color="A6A6A6"/>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5040" w:type="dxa"/>
            <w:vAlign w:val="bottom"/>
          </w:tcPr>
          <w:p>
            <w:pPr>
              <w:spacing w:after="0"/>
              <w:rPr>
                <w:sz w:val="20"/>
                <w:szCs w:val="20"/>
                <w:color w:val="auto"/>
              </w:rPr>
            </w:pPr>
            <w:r>
              <w:rPr>
                <w:rFonts w:ascii="Arial Narrow" w:cs="Arial Narrow" w:eastAsia="Arial Narrow" w:hAnsi="Arial Narrow"/>
                <w:sz w:val="20"/>
                <w:szCs w:val="20"/>
                <w:b w:val="1"/>
                <w:bCs w:val="1"/>
                <w:color w:val="5F7D1D"/>
              </w:rPr>
              <w:t>Sales Volume (MMSF)</w:t>
            </w:r>
          </w:p>
        </w:tc>
        <w:tc>
          <w:tcPr>
            <w:tcW w:w="100" w:type="dxa"/>
            <w:vAlign w:val="bottom"/>
          </w:tcPr>
          <w:p>
            <w:pPr>
              <w:spacing w:after="0"/>
              <w:rPr>
                <w:sz w:val="24"/>
                <w:szCs w:val="24"/>
                <w:color w:val="auto"/>
              </w:rPr>
            </w:pPr>
          </w:p>
        </w:tc>
        <w:tc>
          <w:tcPr>
            <w:tcW w:w="1300" w:type="dxa"/>
            <w:vAlign w:val="bottom"/>
          </w:tcPr>
          <w:p>
            <w:pPr>
              <w:jc w:val="right"/>
              <w:ind w:right="104"/>
              <w:spacing w:after="0"/>
              <w:rPr>
                <w:sz w:val="20"/>
                <w:szCs w:val="20"/>
                <w:color w:val="auto"/>
              </w:rPr>
            </w:pPr>
            <w:r>
              <w:rPr>
                <w:rFonts w:ascii="Arial Narrow" w:cs="Arial Narrow" w:eastAsia="Arial Narrow" w:hAnsi="Arial Narrow"/>
                <w:sz w:val="20"/>
                <w:szCs w:val="20"/>
                <w:color w:val="auto"/>
              </w:rPr>
              <w:t>2,759</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ind w:right="121"/>
              <w:spacing w:after="0"/>
              <w:rPr>
                <w:sz w:val="20"/>
                <w:szCs w:val="20"/>
                <w:color w:val="auto"/>
              </w:rPr>
            </w:pPr>
            <w:r>
              <w:rPr>
                <w:rFonts w:ascii="Arial Narrow" w:cs="Arial Narrow" w:eastAsia="Arial Narrow" w:hAnsi="Arial Narrow"/>
                <w:sz w:val="20"/>
                <w:szCs w:val="20"/>
                <w:color w:val="auto"/>
              </w:rPr>
              <w:t>2,968</w:t>
            </w:r>
          </w:p>
        </w:tc>
        <w:tc>
          <w:tcPr>
            <w:tcW w:w="1420" w:type="dxa"/>
            <w:vAlign w:val="bottom"/>
            <w:gridSpan w:val="2"/>
          </w:tcPr>
          <w:p>
            <w:pPr>
              <w:jc w:val="right"/>
              <w:ind w:right="150"/>
              <w:spacing w:after="0"/>
              <w:rPr>
                <w:sz w:val="20"/>
                <w:szCs w:val="20"/>
                <w:color w:val="auto"/>
              </w:rPr>
            </w:pPr>
            <w:r>
              <w:rPr>
                <w:rFonts w:ascii="Arial Narrow" w:cs="Arial Narrow" w:eastAsia="Arial Narrow" w:hAnsi="Arial Narrow"/>
                <w:sz w:val="20"/>
                <w:szCs w:val="20"/>
                <w:color w:val="auto"/>
              </w:rPr>
              <w:t>(7)%</w:t>
            </w:r>
          </w:p>
        </w:tc>
        <w:tc>
          <w:tcPr>
            <w:tcW w:w="0" w:type="dxa"/>
            <w:vAlign w:val="bottom"/>
          </w:tcPr>
          <w:p>
            <w:pPr>
              <w:spacing w:after="0"/>
              <w:rPr>
                <w:sz w:val="1"/>
                <w:szCs w:val="1"/>
                <w:color w:val="auto"/>
              </w:rPr>
            </w:pPr>
          </w:p>
        </w:tc>
      </w:tr>
      <w:tr>
        <w:trPr>
          <w:trHeight w:val="65"/>
        </w:trPr>
        <w:tc>
          <w:tcPr>
            <w:tcW w:w="504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300" w:type="dxa"/>
            <w:vAlign w:val="bottom"/>
            <w:tcBorders>
              <w:bottom w:val="single" w:sz="8" w:color="A6A6A6"/>
            </w:tcBorders>
          </w:tcPr>
          <w:p>
            <w:pPr>
              <w:spacing w:after="0"/>
              <w:rPr>
                <w:sz w:val="5"/>
                <w:szCs w:val="5"/>
                <w:color w:val="auto"/>
              </w:rPr>
            </w:pPr>
          </w:p>
        </w:tc>
        <w:tc>
          <w:tcPr>
            <w:tcW w:w="420" w:type="dxa"/>
            <w:vAlign w:val="bottom"/>
            <w:tcBorders>
              <w:bottom w:val="single" w:sz="8" w:color="A6A6A6"/>
            </w:tcBorders>
            <w:gridSpan w:val="2"/>
          </w:tcPr>
          <w:p>
            <w:pPr>
              <w:spacing w:after="0"/>
              <w:rPr>
                <w:sz w:val="5"/>
                <w:szCs w:val="5"/>
                <w:color w:val="auto"/>
              </w:rPr>
            </w:pPr>
          </w:p>
        </w:tc>
        <w:tc>
          <w:tcPr>
            <w:tcW w:w="1080" w:type="dxa"/>
            <w:vAlign w:val="bottom"/>
            <w:tcBorders>
              <w:bottom w:val="single" w:sz="8" w:color="A6A6A6"/>
            </w:tcBorders>
          </w:tcPr>
          <w:p>
            <w:pPr>
              <w:spacing w:after="0"/>
              <w:rPr>
                <w:sz w:val="5"/>
                <w:szCs w:val="5"/>
                <w:color w:val="auto"/>
              </w:rPr>
            </w:pPr>
          </w:p>
        </w:tc>
        <w:tc>
          <w:tcPr>
            <w:tcW w:w="1420" w:type="dxa"/>
            <w:vAlign w:val="bottom"/>
            <w:tcBorders>
              <w:bottom w:val="single" w:sz="8" w:color="A6A6A6"/>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5040" w:type="dxa"/>
            <w:vAlign w:val="bottom"/>
          </w:tcPr>
          <w:p>
            <w:pPr>
              <w:spacing w:after="0"/>
              <w:rPr>
                <w:sz w:val="20"/>
                <w:szCs w:val="20"/>
                <w:color w:val="auto"/>
              </w:rPr>
            </w:pPr>
            <w:r>
              <w:rPr>
                <w:rFonts w:ascii="Arial Narrow" w:cs="Arial Narrow" w:eastAsia="Arial Narrow" w:hAnsi="Arial Narrow"/>
                <w:sz w:val="20"/>
                <w:szCs w:val="20"/>
                <w:b w:val="1"/>
                <w:bCs w:val="1"/>
                <w:color w:val="5F7D1D"/>
              </w:rPr>
              <w:t>Freight and Delivery Costs Billed to Customers</w:t>
            </w:r>
          </w:p>
        </w:tc>
        <w:tc>
          <w:tcPr>
            <w:tcW w:w="100" w:type="dxa"/>
            <w:vAlign w:val="bottom"/>
          </w:tcPr>
          <w:p>
            <w:pPr>
              <w:jc w:val="right"/>
              <w:spacing w:after="0"/>
              <w:rPr>
                <w:sz w:val="20"/>
                <w:szCs w:val="20"/>
                <w:color w:val="auto"/>
              </w:rPr>
            </w:pPr>
            <w:r>
              <w:rPr>
                <w:rFonts w:ascii="Arial Narrow" w:cs="Arial Narrow" w:eastAsia="Arial Narrow" w:hAnsi="Arial Narrow"/>
                <w:sz w:val="20"/>
                <w:szCs w:val="20"/>
                <w:color w:val="auto"/>
                <w:w w:val="87"/>
              </w:rPr>
              <w:t>$</w:t>
            </w:r>
          </w:p>
        </w:tc>
        <w:tc>
          <w:tcPr>
            <w:tcW w:w="1300" w:type="dxa"/>
            <w:vAlign w:val="bottom"/>
          </w:tcPr>
          <w:p>
            <w:pPr>
              <w:jc w:val="right"/>
              <w:ind w:right="44"/>
              <w:spacing w:after="0"/>
              <w:rPr>
                <w:sz w:val="20"/>
                <w:szCs w:val="20"/>
                <w:color w:val="auto"/>
              </w:rPr>
            </w:pPr>
            <w:r>
              <w:rPr>
                <w:rFonts w:ascii="Arial Narrow" w:cs="Arial Narrow" w:eastAsia="Arial Narrow" w:hAnsi="Arial Narrow"/>
                <w:sz w:val="20"/>
                <w:szCs w:val="20"/>
                <w:color w:val="auto"/>
              </w:rPr>
              <w:t>(140,719)</w:t>
            </w:r>
          </w:p>
        </w:tc>
        <w:tc>
          <w:tcPr>
            <w:tcW w:w="420" w:type="dxa"/>
            <w:vAlign w:val="bottom"/>
            <w:gridSpan w:val="2"/>
          </w:tcPr>
          <w:p>
            <w:pPr>
              <w:jc w:val="right"/>
              <w:ind w:right="200"/>
              <w:spacing w:after="0"/>
              <w:rPr>
                <w:sz w:val="20"/>
                <w:szCs w:val="20"/>
                <w:color w:val="auto"/>
              </w:rPr>
            </w:pPr>
            <w:r>
              <w:rPr>
                <w:rFonts w:ascii="Arial Narrow" w:cs="Arial Narrow" w:eastAsia="Arial Narrow" w:hAnsi="Arial Narrow"/>
                <w:sz w:val="20"/>
                <w:szCs w:val="20"/>
                <w:color w:val="auto"/>
              </w:rPr>
              <w:t>$</w:t>
            </w:r>
          </w:p>
        </w:tc>
        <w:tc>
          <w:tcPr>
            <w:tcW w:w="1080" w:type="dxa"/>
            <w:vAlign w:val="bottom"/>
          </w:tcPr>
          <w:p>
            <w:pPr>
              <w:jc w:val="right"/>
              <w:ind w:right="41"/>
              <w:spacing w:after="0"/>
              <w:rPr>
                <w:sz w:val="20"/>
                <w:szCs w:val="20"/>
                <w:color w:val="auto"/>
              </w:rPr>
            </w:pPr>
            <w:r>
              <w:rPr>
                <w:rFonts w:ascii="Arial Narrow" w:cs="Arial Narrow" w:eastAsia="Arial Narrow" w:hAnsi="Arial Narrow"/>
                <w:sz w:val="20"/>
                <w:szCs w:val="20"/>
                <w:color w:val="auto"/>
              </w:rPr>
              <w:t>(146,000)</w:t>
            </w:r>
          </w:p>
        </w:tc>
        <w:tc>
          <w:tcPr>
            <w:tcW w:w="1420" w:type="dxa"/>
            <w:vAlign w:val="bottom"/>
            <w:gridSpan w:val="2"/>
          </w:tcPr>
          <w:p>
            <w:pPr>
              <w:jc w:val="right"/>
              <w:ind w:right="150"/>
              <w:spacing w:after="0"/>
              <w:rPr>
                <w:sz w:val="20"/>
                <w:szCs w:val="20"/>
                <w:color w:val="auto"/>
              </w:rPr>
            </w:pPr>
            <w:r>
              <w:rPr>
                <w:rFonts w:ascii="Arial Narrow" w:cs="Arial Narrow" w:eastAsia="Arial Narrow" w:hAnsi="Arial Narrow"/>
                <w:sz w:val="20"/>
                <w:szCs w:val="20"/>
                <w:color w:val="auto"/>
              </w:rPr>
              <w:t>(4)%</w:t>
            </w:r>
          </w:p>
        </w:tc>
        <w:tc>
          <w:tcPr>
            <w:tcW w:w="0" w:type="dxa"/>
            <w:vAlign w:val="bottom"/>
          </w:tcPr>
          <w:p>
            <w:pPr>
              <w:spacing w:after="0"/>
              <w:rPr>
                <w:sz w:val="1"/>
                <w:szCs w:val="1"/>
                <w:color w:val="auto"/>
              </w:rPr>
            </w:pPr>
          </w:p>
        </w:tc>
      </w:tr>
      <w:tr>
        <w:trPr>
          <w:trHeight w:val="65"/>
        </w:trPr>
        <w:tc>
          <w:tcPr>
            <w:tcW w:w="504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300" w:type="dxa"/>
            <w:vAlign w:val="bottom"/>
            <w:tcBorders>
              <w:bottom w:val="single" w:sz="8" w:color="A6A6A6"/>
            </w:tcBorders>
          </w:tcPr>
          <w:p>
            <w:pPr>
              <w:spacing w:after="0"/>
              <w:rPr>
                <w:sz w:val="5"/>
                <w:szCs w:val="5"/>
                <w:color w:val="auto"/>
              </w:rPr>
            </w:pPr>
          </w:p>
        </w:tc>
        <w:tc>
          <w:tcPr>
            <w:tcW w:w="420" w:type="dxa"/>
            <w:vAlign w:val="bottom"/>
            <w:tcBorders>
              <w:bottom w:val="single" w:sz="8" w:color="A6A6A6"/>
            </w:tcBorders>
            <w:gridSpan w:val="2"/>
          </w:tcPr>
          <w:p>
            <w:pPr>
              <w:spacing w:after="0"/>
              <w:rPr>
                <w:sz w:val="5"/>
                <w:szCs w:val="5"/>
                <w:color w:val="auto"/>
              </w:rPr>
            </w:pPr>
          </w:p>
        </w:tc>
        <w:tc>
          <w:tcPr>
            <w:tcW w:w="1080" w:type="dxa"/>
            <w:vAlign w:val="bottom"/>
            <w:tcBorders>
              <w:bottom w:val="single" w:sz="8" w:color="A6A6A6"/>
            </w:tcBorders>
          </w:tcPr>
          <w:p>
            <w:pPr>
              <w:spacing w:after="0"/>
              <w:rPr>
                <w:sz w:val="5"/>
                <w:szCs w:val="5"/>
                <w:color w:val="auto"/>
              </w:rPr>
            </w:pPr>
          </w:p>
        </w:tc>
        <w:tc>
          <w:tcPr>
            <w:tcW w:w="1420" w:type="dxa"/>
            <w:vAlign w:val="bottom"/>
            <w:tcBorders>
              <w:bottom w:val="single" w:sz="8" w:color="A6A6A6"/>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5040" w:type="dxa"/>
            <w:vAlign w:val="bottom"/>
          </w:tcPr>
          <w:p>
            <w:pPr>
              <w:spacing w:after="0"/>
              <w:rPr>
                <w:sz w:val="20"/>
                <w:szCs w:val="20"/>
                <w:color w:val="auto"/>
              </w:rPr>
            </w:pPr>
            <w:r>
              <w:rPr>
                <w:rFonts w:ascii="Arial Narrow" w:cs="Arial Narrow" w:eastAsia="Arial Narrow" w:hAnsi="Arial Narrow"/>
                <w:sz w:val="20"/>
                <w:szCs w:val="20"/>
                <w:b w:val="1"/>
                <w:bCs w:val="1"/>
                <w:color w:val="5F7D1D"/>
              </w:rPr>
              <w:t xml:space="preserve">Average Net Sales Price, per MSF </w:t>
            </w:r>
            <w:r>
              <w:rPr>
                <w:rFonts w:ascii="Arial Narrow" w:cs="Arial Narrow" w:eastAsia="Arial Narrow" w:hAnsi="Arial Narrow"/>
                <w:sz w:val="13"/>
                <w:szCs w:val="13"/>
                <w:b w:val="1"/>
                <w:bCs w:val="1"/>
                <w:color w:val="5F7D1D"/>
              </w:rPr>
              <w:t>(1)</w:t>
            </w:r>
          </w:p>
        </w:tc>
        <w:tc>
          <w:tcPr>
            <w:tcW w:w="100" w:type="dxa"/>
            <w:vAlign w:val="bottom"/>
          </w:tcPr>
          <w:p>
            <w:pPr>
              <w:jc w:val="right"/>
              <w:spacing w:after="0"/>
              <w:rPr>
                <w:sz w:val="20"/>
                <w:szCs w:val="20"/>
                <w:color w:val="auto"/>
              </w:rPr>
            </w:pPr>
            <w:r>
              <w:rPr>
                <w:rFonts w:ascii="Arial Narrow" w:cs="Arial Narrow" w:eastAsia="Arial Narrow" w:hAnsi="Arial Narrow"/>
                <w:sz w:val="20"/>
                <w:szCs w:val="20"/>
                <w:color w:val="auto"/>
                <w:w w:val="87"/>
              </w:rPr>
              <w:t>$</w:t>
            </w:r>
          </w:p>
        </w:tc>
        <w:tc>
          <w:tcPr>
            <w:tcW w:w="1300" w:type="dxa"/>
            <w:vAlign w:val="bottom"/>
          </w:tcPr>
          <w:p>
            <w:pPr>
              <w:jc w:val="right"/>
              <w:ind w:right="104"/>
              <w:spacing w:after="0"/>
              <w:rPr>
                <w:sz w:val="20"/>
                <w:szCs w:val="20"/>
                <w:color w:val="auto"/>
              </w:rPr>
            </w:pPr>
            <w:r>
              <w:rPr>
                <w:rFonts w:ascii="Arial Narrow" w:cs="Arial Narrow" w:eastAsia="Arial Narrow" w:hAnsi="Arial Narrow"/>
                <w:sz w:val="20"/>
                <w:szCs w:val="20"/>
                <w:color w:val="auto"/>
              </w:rPr>
              <w:t>226.08</w:t>
            </w:r>
          </w:p>
        </w:tc>
        <w:tc>
          <w:tcPr>
            <w:tcW w:w="420" w:type="dxa"/>
            <w:vAlign w:val="bottom"/>
            <w:gridSpan w:val="2"/>
          </w:tcPr>
          <w:p>
            <w:pPr>
              <w:jc w:val="right"/>
              <w:ind w:right="200"/>
              <w:spacing w:after="0"/>
              <w:rPr>
                <w:sz w:val="20"/>
                <w:szCs w:val="20"/>
                <w:color w:val="auto"/>
              </w:rPr>
            </w:pPr>
            <w:r>
              <w:rPr>
                <w:rFonts w:ascii="Arial Narrow" w:cs="Arial Narrow" w:eastAsia="Arial Narrow" w:hAnsi="Arial Narrow"/>
                <w:sz w:val="20"/>
                <w:szCs w:val="20"/>
                <w:color w:val="auto"/>
              </w:rPr>
              <w:t>$</w:t>
            </w:r>
          </w:p>
        </w:tc>
        <w:tc>
          <w:tcPr>
            <w:tcW w:w="1080" w:type="dxa"/>
            <w:vAlign w:val="bottom"/>
          </w:tcPr>
          <w:p>
            <w:pPr>
              <w:jc w:val="right"/>
              <w:ind w:right="121"/>
              <w:spacing w:after="0"/>
              <w:rPr>
                <w:sz w:val="20"/>
                <w:szCs w:val="20"/>
                <w:color w:val="auto"/>
              </w:rPr>
            </w:pPr>
            <w:r>
              <w:rPr>
                <w:rFonts w:ascii="Arial Narrow" w:cs="Arial Narrow" w:eastAsia="Arial Narrow" w:hAnsi="Arial Narrow"/>
                <w:sz w:val="20"/>
                <w:szCs w:val="20"/>
                <w:color w:val="auto"/>
              </w:rPr>
              <w:t>236.04</w:t>
            </w:r>
          </w:p>
        </w:tc>
        <w:tc>
          <w:tcPr>
            <w:tcW w:w="1420" w:type="dxa"/>
            <w:vAlign w:val="bottom"/>
            <w:gridSpan w:val="2"/>
          </w:tcPr>
          <w:p>
            <w:pPr>
              <w:jc w:val="right"/>
              <w:ind w:right="150"/>
              <w:spacing w:after="0"/>
              <w:rPr>
                <w:sz w:val="20"/>
                <w:szCs w:val="20"/>
                <w:color w:val="auto"/>
              </w:rPr>
            </w:pPr>
            <w:r>
              <w:rPr>
                <w:rFonts w:ascii="Arial Narrow" w:cs="Arial Narrow" w:eastAsia="Arial Narrow" w:hAnsi="Arial Narrow"/>
                <w:sz w:val="20"/>
                <w:szCs w:val="20"/>
                <w:color w:val="auto"/>
              </w:rPr>
              <w:t>(4)%</w:t>
            </w:r>
          </w:p>
        </w:tc>
        <w:tc>
          <w:tcPr>
            <w:tcW w:w="0" w:type="dxa"/>
            <w:vAlign w:val="bottom"/>
          </w:tcPr>
          <w:p>
            <w:pPr>
              <w:spacing w:after="0"/>
              <w:rPr>
                <w:sz w:val="1"/>
                <w:szCs w:val="1"/>
                <w:color w:val="auto"/>
              </w:rPr>
            </w:pPr>
          </w:p>
        </w:tc>
      </w:tr>
      <w:tr>
        <w:trPr>
          <w:trHeight w:val="65"/>
        </w:trPr>
        <w:tc>
          <w:tcPr>
            <w:tcW w:w="504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300" w:type="dxa"/>
            <w:vAlign w:val="bottom"/>
            <w:tcBorders>
              <w:bottom w:val="single" w:sz="8" w:color="A6A6A6"/>
            </w:tcBorders>
          </w:tcPr>
          <w:p>
            <w:pPr>
              <w:spacing w:after="0"/>
              <w:rPr>
                <w:sz w:val="5"/>
                <w:szCs w:val="5"/>
                <w:color w:val="auto"/>
              </w:rPr>
            </w:pPr>
          </w:p>
        </w:tc>
        <w:tc>
          <w:tcPr>
            <w:tcW w:w="420" w:type="dxa"/>
            <w:vAlign w:val="bottom"/>
            <w:tcBorders>
              <w:bottom w:val="single" w:sz="8" w:color="A6A6A6"/>
            </w:tcBorders>
            <w:gridSpan w:val="2"/>
          </w:tcPr>
          <w:p>
            <w:pPr>
              <w:spacing w:after="0"/>
              <w:rPr>
                <w:sz w:val="5"/>
                <w:szCs w:val="5"/>
                <w:color w:val="auto"/>
              </w:rPr>
            </w:pPr>
          </w:p>
        </w:tc>
        <w:tc>
          <w:tcPr>
            <w:tcW w:w="1080" w:type="dxa"/>
            <w:vAlign w:val="bottom"/>
            <w:tcBorders>
              <w:bottom w:val="single" w:sz="8" w:color="A6A6A6"/>
            </w:tcBorders>
          </w:tcPr>
          <w:p>
            <w:pPr>
              <w:spacing w:after="0"/>
              <w:rPr>
                <w:sz w:val="5"/>
                <w:szCs w:val="5"/>
                <w:color w:val="auto"/>
              </w:rPr>
            </w:pPr>
          </w:p>
        </w:tc>
        <w:tc>
          <w:tcPr>
            <w:tcW w:w="1420" w:type="dxa"/>
            <w:vAlign w:val="bottom"/>
            <w:tcBorders>
              <w:bottom w:val="single" w:sz="8" w:color="A6A6A6"/>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5040" w:type="dxa"/>
            <w:vAlign w:val="bottom"/>
          </w:tcPr>
          <w:p>
            <w:pPr>
              <w:spacing w:after="0"/>
              <w:rPr>
                <w:sz w:val="20"/>
                <w:szCs w:val="20"/>
                <w:color w:val="auto"/>
              </w:rPr>
            </w:pPr>
            <w:r>
              <w:rPr>
                <w:rFonts w:ascii="Arial Narrow" w:cs="Arial Narrow" w:eastAsia="Arial Narrow" w:hAnsi="Arial Narrow"/>
                <w:sz w:val="20"/>
                <w:szCs w:val="20"/>
                <w:b w:val="1"/>
                <w:bCs w:val="1"/>
                <w:color w:val="5F7D1D"/>
              </w:rPr>
              <w:t>Freight, per MSF</w:t>
            </w:r>
          </w:p>
        </w:tc>
        <w:tc>
          <w:tcPr>
            <w:tcW w:w="100" w:type="dxa"/>
            <w:vAlign w:val="bottom"/>
          </w:tcPr>
          <w:p>
            <w:pPr>
              <w:jc w:val="right"/>
              <w:spacing w:after="0"/>
              <w:rPr>
                <w:sz w:val="20"/>
                <w:szCs w:val="20"/>
                <w:color w:val="auto"/>
              </w:rPr>
            </w:pPr>
            <w:r>
              <w:rPr>
                <w:rFonts w:ascii="Arial Narrow" w:cs="Arial Narrow" w:eastAsia="Arial Narrow" w:hAnsi="Arial Narrow"/>
                <w:sz w:val="20"/>
                <w:szCs w:val="20"/>
                <w:color w:val="auto"/>
                <w:w w:val="87"/>
              </w:rPr>
              <w:t>$</w:t>
            </w:r>
          </w:p>
        </w:tc>
        <w:tc>
          <w:tcPr>
            <w:tcW w:w="1300" w:type="dxa"/>
            <w:vAlign w:val="bottom"/>
          </w:tcPr>
          <w:p>
            <w:pPr>
              <w:jc w:val="right"/>
              <w:ind w:right="104"/>
              <w:spacing w:after="0"/>
              <w:rPr>
                <w:sz w:val="20"/>
                <w:szCs w:val="20"/>
                <w:color w:val="auto"/>
              </w:rPr>
            </w:pPr>
            <w:r>
              <w:rPr>
                <w:rFonts w:ascii="Arial Narrow" w:cs="Arial Narrow" w:eastAsia="Arial Narrow" w:hAnsi="Arial Narrow"/>
                <w:sz w:val="20"/>
                <w:szCs w:val="20"/>
                <w:color w:val="auto"/>
              </w:rPr>
              <w:t>51.00</w:t>
            </w:r>
          </w:p>
        </w:tc>
        <w:tc>
          <w:tcPr>
            <w:tcW w:w="420" w:type="dxa"/>
            <w:vAlign w:val="bottom"/>
            <w:gridSpan w:val="2"/>
          </w:tcPr>
          <w:p>
            <w:pPr>
              <w:jc w:val="right"/>
              <w:ind w:right="200"/>
              <w:spacing w:after="0"/>
              <w:rPr>
                <w:sz w:val="20"/>
                <w:szCs w:val="20"/>
                <w:color w:val="auto"/>
              </w:rPr>
            </w:pPr>
            <w:r>
              <w:rPr>
                <w:rFonts w:ascii="Arial Narrow" w:cs="Arial Narrow" w:eastAsia="Arial Narrow" w:hAnsi="Arial Narrow"/>
                <w:sz w:val="20"/>
                <w:szCs w:val="20"/>
                <w:color w:val="auto"/>
              </w:rPr>
              <w:t>$</w:t>
            </w:r>
          </w:p>
        </w:tc>
        <w:tc>
          <w:tcPr>
            <w:tcW w:w="1080" w:type="dxa"/>
            <w:vAlign w:val="bottom"/>
          </w:tcPr>
          <w:p>
            <w:pPr>
              <w:jc w:val="right"/>
              <w:ind w:right="121"/>
              <w:spacing w:after="0"/>
              <w:rPr>
                <w:sz w:val="20"/>
                <w:szCs w:val="20"/>
                <w:color w:val="auto"/>
              </w:rPr>
            </w:pPr>
            <w:r>
              <w:rPr>
                <w:rFonts w:ascii="Arial Narrow" w:cs="Arial Narrow" w:eastAsia="Arial Narrow" w:hAnsi="Arial Narrow"/>
                <w:sz w:val="20"/>
                <w:szCs w:val="20"/>
                <w:color w:val="auto"/>
              </w:rPr>
              <w:t>49.19</w:t>
            </w:r>
          </w:p>
        </w:tc>
        <w:tc>
          <w:tcPr>
            <w:tcW w:w="1420" w:type="dxa"/>
            <w:vAlign w:val="bottom"/>
            <w:gridSpan w:val="2"/>
          </w:tcPr>
          <w:p>
            <w:pPr>
              <w:jc w:val="right"/>
              <w:ind w:right="190"/>
              <w:spacing w:after="0"/>
              <w:rPr>
                <w:sz w:val="20"/>
                <w:szCs w:val="20"/>
                <w:color w:val="auto"/>
              </w:rPr>
            </w:pPr>
            <w:r>
              <w:rPr>
                <w:rFonts w:ascii="Arial Narrow" w:cs="Arial Narrow" w:eastAsia="Arial Narrow" w:hAnsi="Arial Narrow"/>
                <w:sz w:val="20"/>
                <w:szCs w:val="20"/>
                <w:color w:val="auto"/>
              </w:rPr>
              <w:t>4%</w:t>
            </w:r>
          </w:p>
        </w:tc>
        <w:tc>
          <w:tcPr>
            <w:tcW w:w="0" w:type="dxa"/>
            <w:vAlign w:val="bottom"/>
          </w:tcPr>
          <w:p>
            <w:pPr>
              <w:spacing w:after="0"/>
              <w:rPr>
                <w:sz w:val="1"/>
                <w:szCs w:val="1"/>
                <w:color w:val="auto"/>
              </w:rPr>
            </w:pPr>
          </w:p>
        </w:tc>
      </w:tr>
      <w:tr>
        <w:trPr>
          <w:trHeight w:val="65"/>
        </w:trPr>
        <w:tc>
          <w:tcPr>
            <w:tcW w:w="504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300" w:type="dxa"/>
            <w:vAlign w:val="bottom"/>
            <w:tcBorders>
              <w:bottom w:val="single" w:sz="8" w:color="A6A6A6"/>
            </w:tcBorders>
          </w:tcPr>
          <w:p>
            <w:pPr>
              <w:spacing w:after="0"/>
              <w:rPr>
                <w:sz w:val="5"/>
                <w:szCs w:val="5"/>
                <w:color w:val="auto"/>
              </w:rPr>
            </w:pPr>
          </w:p>
        </w:tc>
        <w:tc>
          <w:tcPr>
            <w:tcW w:w="420" w:type="dxa"/>
            <w:vAlign w:val="bottom"/>
            <w:tcBorders>
              <w:bottom w:val="single" w:sz="8" w:color="A6A6A6"/>
            </w:tcBorders>
            <w:gridSpan w:val="2"/>
          </w:tcPr>
          <w:p>
            <w:pPr>
              <w:spacing w:after="0"/>
              <w:rPr>
                <w:sz w:val="5"/>
                <w:szCs w:val="5"/>
                <w:color w:val="auto"/>
              </w:rPr>
            </w:pPr>
          </w:p>
        </w:tc>
        <w:tc>
          <w:tcPr>
            <w:tcW w:w="1080" w:type="dxa"/>
            <w:vAlign w:val="bottom"/>
            <w:tcBorders>
              <w:bottom w:val="single" w:sz="8" w:color="A6A6A6"/>
            </w:tcBorders>
          </w:tcPr>
          <w:p>
            <w:pPr>
              <w:spacing w:after="0"/>
              <w:rPr>
                <w:sz w:val="5"/>
                <w:szCs w:val="5"/>
                <w:color w:val="auto"/>
              </w:rPr>
            </w:pPr>
          </w:p>
        </w:tc>
        <w:tc>
          <w:tcPr>
            <w:tcW w:w="1420" w:type="dxa"/>
            <w:vAlign w:val="bottom"/>
            <w:tcBorders>
              <w:bottom w:val="single" w:sz="8" w:color="A6A6A6"/>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5040" w:type="dxa"/>
            <w:vAlign w:val="bottom"/>
          </w:tcPr>
          <w:p>
            <w:pPr>
              <w:spacing w:after="0"/>
              <w:rPr>
                <w:sz w:val="20"/>
                <w:szCs w:val="20"/>
                <w:color w:val="auto"/>
              </w:rPr>
            </w:pPr>
            <w:r>
              <w:rPr>
                <w:rFonts w:ascii="Arial Narrow" w:cs="Arial Narrow" w:eastAsia="Arial Narrow" w:hAnsi="Arial Narrow"/>
                <w:sz w:val="20"/>
                <w:szCs w:val="20"/>
                <w:b w:val="1"/>
                <w:bCs w:val="1"/>
                <w:color w:val="5F7D1D"/>
              </w:rPr>
              <w:t>Operating Margin, per MSF</w:t>
            </w:r>
          </w:p>
        </w:tc>
        <w:tc>
          <w:tcPr>
            <w:tcW w:w="100" w:type="dxa"/>
            <w:vAlign w:val="bottom"/>
          </w:tcPr>
          <w:p>
            <w:pPr>
              <w:jc w:val="right"/>
              <w:spacing w:after="0"/>
              <w:rPr>
                <w:sz w:val="20"/>
                <w:szCs w:val="20"/>
                <w:color w:val="auto"/>
              </w:rPr>
            </w:pPr>
            <w:r>
              <w:rPr>
                <w:rFonts w:ascii="Arial Narrow" w:cs="Arial Narrow" w:eastAsia="Arial Narrow" w:hAnsi="Arial Narrow"/>
                <w:sz w:val="20"/>
                <w:szCs w:val="20"/>
                <w:color w:val="auto"/>
                <w:w w:val="87"/>
              </w:rPr>
              <w:t>$</w:t>
            </w:r>
          </w:p>
        </w:tc>
        <w:tc>
          <w:tcPr>
            <w:tcW w:w="1300" w:type="dxa"/>
            <w:vAlign w:val="bottom"/>
          </w:tcPr>
          <w:p>
            <w:pPr>
              <w:jc w:val="right"/>
              <w:ind w:right="104"/>
              <w:spacing w:after="0"/>
              <w:rPr>
                <w:sz w:val="20"/>
                <w:szCs w:val="20"/>
                <w:color w:val="auto"/>
              </w:rPr>
            </w:pPr>
            <w:r>
              <w:rPr>
                <w:rFonts w:ascii="Arial Narrow" w:cs="Arial Narrow" w:eastAsia="Arial Narrow" w:hAnsi="Arial Narrow"/>
                <w:sz w:val="20"/>
                <w:szCs w:val="20"/>
                <w:color w:val="auto"/>
              </w:rPr>
              <w:t>103.96</w:t>
            </w:r>
          </w:p>
        </w:tc>
        <w:tc>
          <w:tcPr>
            <w:tcW w:w="420" w:type="dxa"/>
            <w:vAlign w:val="bottom"/>
            <w:gridSpan w:val="2"/>
          </w:tcPr>
          <w:p>
            <w:pPr>
              <w:jc w:val="right"/>
              <w:ind w:right="200"/>
              <w:spacing w:after="0"/>
              <w:rPr>
                <w:sz w:val="20"/>
                <w:szCs w:val="20"/>
                <w:color w:val="auto"/>
              </w:rPr>
            </w:pPr>
            <w:r>
              <w:rPr>
                <w:rFonts w:ascii="Arial Narrow" w:cs="Arial Narrow" w:eastAsia="Arial Narrow" w:hAnsi="Arial Narrow"/>
                <w:sz w:val="20"/>
                <w:szCs w:val="20"/>
                <w:color w:val="auto"/>
              </w:rPr>
              <w:t>$</w:t>
            </w:r>
          </w:p>
        </w:tc>
        <w:tc>
          <w:tcPr>
            <w:tcW w:w="1080" w:type="dxa"/>
            <w:vAlign w:val="bottom"/>
          </w:tcPr>
          <w:p>
            <w:pPr>
              <w:jc w:val="right"/>
              <w:ind w:right="121"/>
              <w:spacing w:after="0"/>
              <w:rPr>
                <w:sz w:val="20"/>
                <w:szCs w:val="20"/>
                <w:color w:val="auto"/>
              </w:rPr>
            </w:pPr>
            <w:r>
              <w:rPr>
                <w:rFonts w:ascii="Arial Narrow" w:cs="Arial Narrow" w:eastAsia="Arial Narrow" w:hAnsi="Arial Narrow"/>
                <w:sz w:val="20"/>
                <w:szCs w:val="20"/>
                <w:color w:val="auto"/>
              </w:rPr>
              <w:t>118.18</w:t>
            </w:r>
          </w:p>
        </w:tc>
        <w:tc>
          <w:tcPr>
            <w:tcW w:w="1420" w:type="dxa"/>
            <w:vAlign w:val="bottom"/>
            <w:gridSpan w:val="2"/>
          </w:tcPr>
          <w:p>
            <w:pPr>
              <w:jc w:val="right"/>
              <w:ind w:right="150"/>
              <w:spacing w:after="0"/>
              <w:rPr>
                <w:sz w:val="20"/>
                <w:szCs w:val="20"/>
                <w:color w:val="auto"/>
              </w:rPr>
            </w:pPr>
            <w:r>
              <w:rPr>
                <w:rFonts w:ascii="Arial Narrow" w:cs="Arial Narrow" w:eastAsia="Arial Narrow" w:hAnsi="Arial Narrow"/>
                <w:sz w:val="20"/>
                <w:szCs w:val="20"/>
                <w:color w:val="auto"/>
              </w:rPr>
              <w:t>(12)%</w:t>
            </w:r>
          </w:p>
        </w:tc>
        <w:tc>
          <w:tcPr>
            <w:tcW w:w="0" w:type="dxa"/>
            <w:vAlign w:val="bottom"/>
          </w:tcPr>
          <w:p>
            <w:pPr>
              <w:spacing w:after="0"/>
              <w:rPr>
                <w:sz w:val="1"/>
                <w:szCs w:val="1"/>
                <w:color w:val="auto"/>
              </w:rPr>
            </w:pPr>
          </w:p>
        </w:tc>
      </w:tr>
      <w:tr>
        <w:trPr>
          <w:trHeight w:val="65"/>
        </w:trPr>
        <w:tc>
          <w:tcPr>
            <w:tcW w:w="504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300" w:type="dxa"/>
            <w:vAlign w:val="bottom"/>
            <w:tcBorders>
              <w:bottom w:val="single" w:sz="8" w:color="A6A6A6"/>
            </w:tcBorders>
          </w:tcPr>
          <w:p>
            <w:pPr>
              <w:spacing w:after="0"/>
              <w:rPr>
                <w:sz w:val="5"/>
                <w:szCs w:val="5"/>
                <w:color w:val="auto"/>
              </w:rPr>
            </w:pPr>
          </w:p>
        </w:tc>
        <w:tc>
          <w:tcPr>
            <w:tcW w:w="420" w:type="dxa"/>
            <w:vAlign w:val="bottom"/>
            <w:tcBorders>
              <w:bottom w:val="single" w:sz="8" w:color="A6A6A6"/>
            </w:tcBorders>
            <w:gridSpan w:val="2"/>
          </w:tcPr>
          <w:p>
            <w:pPr>
              <w:spacing w:after="0"/>
              <w:rPr>
                <w:sz w:val="5"/>
                <w:szCs w:val="5"/>
                <w:color w:val="auto"/>
              </w:rPr>
            </w:pPr>
          </w:p>
        </w:tc>
        <w:tc>
          <w:tcPr>
            <w:tcW w:w="1080" w:type="dxa"/>
            <w:vAlign w:val="bottom"/>
            <w:tcBorders>
              <w:bottom w:val="single" w:sz="8" w:color="A6A6A6"/>
            </w:tcBorders>
          </w:tcPr>
          <w:p>
            <w:pPr>
              <w:spacing w:after="0"/>
              <w:rPr>
                <w:sz w:val="5"/>
                <w:szCs w:val="5"/>
                <w:color w:val="auto"/>
              </w:rPr>
            </w:pPr>
          </w:p>
        </w:tc>
        <w:tc>
          <w:tcPr>
            <w:tcW w:w="1420" w:type="dxa"/>
            <w:vAlign w:val="bottom"/>
            <w:tcBorders>
              <w:bottom w:val="single" w:sz="8" w:color="A6A6A6"/>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5040" w:type="dxa"/>
            <w:vAlign w:val="bottom"/>
          </w:tcPr>
          <w:p>
            <w:pPr>
              <w:spacing w:after="0"/>
              <w:rPr>
                <w:sz w:val="20"/>
                <w:szCs w:val="20"/>
                <w:color w:val="auto"/>
              </w:rPr>
            </w:pPr>
            <w:r>
              <w:rPr>
                <w:rFonts w:ascii="Arial Narrow" w:cs="Arial Narrow" w:eastAsia="Arial Narrow" w:hAnsi="Arial Narrow"/>
                <w:sz w:val="20"/>
                <w:szCs w:val="20"/>
                <w:b w:val="1"/>
                <w:bCs w:val="1"/>
                <w:color w:val="5F7D1D"/>
              </w:rPr>
              <w:t>Operating Earnings</w:t>
            </w:r>
          </w:p>
        </w:tc>
        <w:tc>
          <w:tcPr>
            <w:tcW w:w="100" w:type="dxa"/>
            <w:vAlign w:val="bottom"/>
          </w:tcPr>
          <w:p>
            <w:pPr>
              <w:jc w:val="right"/>
              <w:spacing w:after="0"/>
              <w:rPr>
                <w:sz w:val="20"/>
                <w:szCs w:val="20"/>
                <w:color w:val="auto"/>
              </w:rPr>
            </w:pPr>
            <w:r>
              <w:rPr>
                <w:rFonts w:ascii="Arial Narrow" w:cs="Arial Narrow" w:eastAsia="Arial Narrow" w:hAnsi="Arial Narrow"/>
                <w:sz w:val="20"/>
                <w:szCs w:val="20"/>
                <w:color w:val="auto"/>
                <w:w w:val="87"/>
              </w:rPr>
              <w:t>$</w:t>
            </w:r>
          </w:p>
        </w:tc>
        <w:tc>
          <w:tcPr>
            <w:tcW w:w="1300" w:type="dxa"/>
            <w:vAlign w:val="bottom"/>
          </w:tcPr>
          <w:p>
            <w:pPr>
              <w:jc w:val="right"/>
              <w:ind w:right="104"/>
              <w:spacing w:after="0"/>
              <w:rPr>
                <w:sz w:val="20"/>
                <w:szCs w:val="20"/>
                <w:color w:val="auto"/>
              </w:rPr>
            </w:pPr>
            <w:r>
              <w:rPr>
                <w:rFonts w:ascii="Arial Narrow" w:cs="Arial Narrow" w:eastAsia="Arial Narrow" w:hAnsi="Arial Narrow"/>
                <w:sz w:val="20"/>
                <w:szCs w:val="20"/>
                <w:color w:val="auto"/>
              </w:rPr>
              <w:t>286,831</w:t>
            </w:r>
          </w:p>
        </w:tc>
        <w:tc>
          <w:tcPr>
            <w:tcW w:w="420" w:type="dxa"/>
            <w:vAlign w:val="bottom"/>
            <w:gridSpan w:val="2"/>
          </w:tcPr>
          <w:p>
            <w:pPr>
              <w:jc w:val="right"/>
              <w:ind w:right="200"/>
              <w:spacing w:after="0"/>
              <w:rPr>
                <w:sz w:val="20"/>
                <w:szCs w:val="20"/>
                <w:color w:val="auto"/>
              </w:rPr>
            </w:pPr>
            <w:r>
              <w:rPr>
                <w:rFonts w:ascii="Arial Narrow" w:cs="Arial Narrow" w:eastAsia="Arial Narrow" w:hAnsi="Arial Narrow"/>
                <w:sz w:val="20"/>
                <w:szCs w:val="20"/>
                <w:color w:val="auto"/>
              </w:rPr>
              <w:t>$</w:t>
            </w:r>
          </w:p>
        </w:tc>
        <w:tc>
          <w:tcPr>
            <w:tcW w:w="1080" w:type="dxa"/>
            <w:vAlign w:val="bottom"/>
          </w:tcPr>
          <w:p>
            <w:pPr>
              <w:jc w:val="right"/>
              <w:ind w:right="121"/>
              <w:spacing w:after="0"/>
              <w:rPr>
                <w:sz w:val="20"/>
                <w:szCs w:val="20"/>
                <w:color w:val="auto"/>
              </w:rPr>
            </w:pPr>
            <w:r>
              <w:rPr>
                <w:rFonts w:ascii="Arial Narrow" w:cs="Arial Narrow" w:eastAsia="Arial Narrow" w:hAnsi="Arial Narrow"/>
                <w:sz w:val="20"/>
                <w:szCs w:val="20"/>
                <w:color w:val="auto"/>
              </w:rPr>
              <w:t>350,764</w:t>
            </w:r>
          </w:p>
        </w:tc>
        <w:tc>
          <w:tcPr>
            <w:tcW w:w="1420" w:type="dxa"/>
            <w:vAlign w:val="bottom"/>
            <w:gridSpan w:val="2"/>
          </w:tcPr>
          <w:p>
            <w:pPr>
              <w:jc w:val="right"/>
              <w:ind w:right="150"/>
              <w:spacing w:after="0"/>
              <w:rPr>
                <w:sz w:val="20"/>
                <w:szCs w:val="20"/>
                <w:color w:val="auto"/>
              </w:rPr>
            </w:pPr>
            <w:r>
              <w:rPr>
                <w:rFonts w:ascii="Arial Narrow" w:cs="Arial Narrow" w:eastAsia="Arial Narrow" w:hAnsi="Arial Narrow"/>
                <w:sz w:val="20"/>
                <w:szCs w:val="20"/>
                <w:color w:val="auto"/>
              </w:rPr>
              <w:t>(18)%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5943600" cy="95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1">
                      <a:extLst>
                        <a:ext uri="{28A0092B-C50C-407E-A947-70E740481C1C}"/>
                      </a:extLst>
                    </a:blip>
                    <a:srcRect/>
                    <a:stretch>
                      <a:fillRect/>
                    </a:stretch>
                  </pic:blipFill>
                  <pic:spPr bwMode="auto">
                    <a:xfrm>
                      <a:off x="0" y="0"/>
                      <a:ext cx="5943600" cy="9525"/>
                    </a:xfrm>
                    <a:prstGeom prst="rect">
                      <a:avLst/>
                    </a:prstGeom>
                    <a:noFill/>
                  </pic:spPr>
                </pic:pic>
              </a:graphicData>
            </a:graphic>
          </wp:anchor>
        </w:drawing>
      </w:r>
    </w:p>
    <w:p>
      <w:pPr>
        <w:spacing w:after="0" w:line="164" w:lineRule="exact"/>
        <w:rPr>
          <w:sz w:val="20"/>
          <w:szCs w:val="20"/>
          <w:color w:val="auto"/>
        </w:rPr>
      </w:pPr>
    </w:p>
    <w:p>
      <w:pPr>
        <w:ind w:left="180" w:hanging="180"/>
        <w:spacing w:after="0"/>
        <w:tabs>
          <w:tab w:leader="none" w:pos="180" w:val="left"/>
        </w:tabs>
        <w:numPr>
          <w:ilvl w:val="0"/>
          <w:numId w:val="29"/>
        </w:numPr>
        <w:rPr>
          <w:rFonts w:ascii="Arial" w:cs="Arial" w:eastAsia="Arial" w:hAnsi="Arial"/>
          <w:sz w:val="10"/>
          <w:szCs w:val="10"/>
          <w:color w:val="auto"/>
        </w:rPr>
      </w:pPr>
      <w:r>
        <w:rPr>
          <w:rFonts w:ascii="Arial" w:cs="Arial" w:eastAsia="Arial" w:hAnsi="Arial"/>
          <w:sz w:val="16"/>
          <w:szCs w:val="16"/>
          <w:color w:val="auto"/>
        </w:rPr>
        <w:t>Net of freight per MSF.</w:t>
      </w:r>
    </w:p>
    <w:p>
      <w:pPr>
        <w:spacing w:after="0" w:line="144" w:lineRule="exact"/>
        <w:rPr>
          <w:sz w:val="20"/>
          <w:szCs w:val="20"/>
          <w:color w:val="auto"/>
        </w:rPr>
      </w:pPr>
    </w:p>
    <w:p>
      <w:pPr>
        <w:ind w:right="20"/>
        <w:spacing w:after="0" w:line="303" w:lineRule="auto"/>
        <w:rPr>
          <w:sz w:val="20"/>
          <w:szCs w:val="20"/>
          <w:color w:val="auto"/>
        </w:rPr>
      </w:pPr>
      <w:r>
        <w:rPr>
          <w:rFonts w:ascii="Arial" w:cs="Arial" w:eastAsia="Arial" w:hAnsi="Arial"/>
          <w:sz w:val="20"/>
          <w:szCs w:val="20"/>
          <w:color w:val="auto"/>
        </w:rPr>
        <w:t>Gypsum Wallboard Revenue decreased 10% to $764.5 million in fiscal 2026. The decrease was due to lower gross sales prices and Sales Volume, which decreased Revenue by $22.4 million and $59.6 million, respectively. Our market share remained relatively flat in fiscal 2026 compared with fiscal 2025.</w:t>
      </w:r>
    </w:p>
    <w:p>
      <w:pPr>
        <w:spacing w:after="0" w:line="59" w:lineRule="exact"/>
        <w:rPr>
          <w:sz w:val="20"/>
          <w:szCs w:val="20"/>
          <w:color w:val="auto"/>
        </w:rPr>
      </w:pPr>
    </w:p>
    <w:p>
      <w:pPr>
        <w:ind w:right="20"/>
        <w:spacing w:after="0" w:line="290" w:lineRule="auto"/>
        <w:rPr>
          <w:sz w:val="20"/>
          <w:szCs w:val="20"/>
          <w:color w:val="auto"/>
        </w:rPr>
      </w:pPr>
      <w:r>
        <w:rPr>
          <w:rFonts w:ascii="Arial" w:cs="Arial" w:eastAsia="Arial" w:hAnsi="Arial"/>
          <w:sz w:val="20"/>
          <w:szCs w:val="20"/>
          <w:color w:val="auto"/>
        </w:rPr>
        <w:t>Operating Earnings decreased 18% to $286.8 million in fiscal 2026. The decrease was primarily related to lower gross sales prices of $22.4 million, lower Sales Volume of $24.7 million, and higher operating expenses of $16.8 million. The increase in operating costs was due primarily to $5.3 million of freight costs, $0.7 million of energy costs, $2.4 million of maintenance costs, and $5.2 million of raw materials. During fiscal 2026, Gypsum Wallboard Operating Margin decreased to 38%, due to lower gross sales price and increased operating expenses.</w:t>
      </w:r>
    </w:p>
    <w:p>
      <w:pPr>
        <w:sectPr>
          <w:pgSz w:w="11880" w:h="15480" w:orient="portrait"/>
          <w:cols w:equalWidth="0" w:num="1">
            <w:col w:w="9360"/>
          </w:cols>
          <w:pgMar w:left="1260" w:top="1243"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58</w:t>
      </w:r>
    </w:p>
    <w:p>
      <w:pPr>
        <w:sectPr>
          <w:pgSz w:w="11880" w:h="15480" w:orient="portrait"/>
          <w:cols w:equalWidth="0" w:num="1">
            <w:col w:w="9360"/>
          </w:cols>
          <w:pgMar w:left="1260" w:top="1243" w:right="1260" w:bottom="0" w:gutter="0" w:footer="0" w:header="0"/>
          <w:type w:val="continuous"/>
        </w:sectPr>
      </w:pPr>
    </w:p>
    <w:bookmarkStart w:id="66" w:name="page67"/>
    <w:bookmarkEnd w:id="66"/>
    <w:p>
      <w:pPr>
        <w:spacing w:after="0"/>
        <w:rPr>
          <w:sz w:val="20"/>
          <w:szCs w:val="20"/>
          <w:color w:val="auto"/>
        </w:rPr>
      </w:pPr>
      <w:r>
        <w:rPr>
          <w:rFonts w:ascii="Arial" w:cs="Arial" w:eastAsia="Arial" w:hAnsi="Arial"/>
          <w:sz w:val="20"/>
          <w:szCs w:val="20"/>
          <w:b w:val="1"/>
          <w:bCs w:val="1"/>
          <w:color w:val="7AB05A"/>
        </w:rPr>
        <w:t>RECYCLED PAPERBOARD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50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720" w:type="dxa"/>
            <w:vAlign w:val="bottom"/>
            <w:gridSpan w:val="4"/>
          </w:tcPr>
          <w:p>
            <w:pPr>
              <w:jc w:val="right"/>
              <w:ind w:right="261"/>
              <w:spacing w:after="0"/>
              <w:rPr>
                <w:sz w:val="20"/>
                <w:szCs w:val="20"/>
                <w:color w:val="auto"/>
              </w:rPr>
            </w:pPr>
            <w:r>
              <w:rPr>
                <w:rFonts w:ascii="Arial Narrow" w:cs="Arial Narrow" w:eastAsia="Arial Narrow" w:hAnsi="Arial Narrow"/>
                <w:sz w:val="18"/>
                <w:szCs w:val="18"/>
                <w:b w:val="1"/>
                <w:bCs w:val="1"/>
                <w:color w:val="auto"/>
              </w:rPr>
              <w:t>For the Years Ended March 31,</w:t>
            </w: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5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vMerge w:val="restart"/>
          </w:tcPr>
          <w:p>
            <w:pPr>
              <w:jc w:val="right"/>
              <w:ind w:right="350"/>
              <w:spacing w:after="0"/>
              <w:rPr>
                <w:sz w:val="20"/>
                <w:szCs w:val="20"/>
                <w:color w:val="auto"/>
              </w:rPr>
            </w:pPr>
            <w:r>
              <w:rPr>
                <w:rFonts w:ascii="Arial Narrow" w:cs="Arial Narrow" w:eastAsia="Arial Narrow" w:hAnsi="Arial Narrow"/>
                <w:sz w:val="18"/>
                <w:szCs w:val="18"/>
                <w:b w:val="1"/>
                <w:bCs w:val="1"/>
                <w:color w:val="auto"/>
              </w:rPr>
              <w:t>Percentage</w:t>
            </w:r>
          </w:p>
        </w:tc>
        <w:tc>
          <w:tcPr>
            <w:tcW w:w="0" w:type="dxa"/>
            <w:vAlign w:val="bottom"/>
          </w:tcPr>
          <w:p>
            <w:pPr>
              <w:spacing w:after="0"/>
              <w:rPr>
                <w:sz w:val="1"/>
                <w:szCs w:val="1"/>
                <w:color w:val="auto"/>
              </w:rPr>
            </w:pPr>
          </w:p>
        </w:tc>
      </w:tr>
      <w:tr>
        <w:trPr>
          <w:trHeight w:val="222"/>
        </w:trPr>
        <w:tc>
          <w:tcPr>
            <w:tcW w:w="5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50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jc w:val="right"/>
              <w:ind w:right="124"/>
              <w:spacing w:after="0"/>
              <w:rPr>
                <w:sz w:val="20"/>
                <w:szCs w:val="20"/>
                <w:color w:val="auto"/>
              </w:rPr>
            </w:pPr>
            <w:r>
              <w:rPr>
                <w:rFonts w:ascii="Arial Narrow" w:cs="Arial Narrow" w:eastAsia="Arial Narrow" w:hAnsi="Arial Narrow"/>
                <w:sz w:val="18"/>
                <w:szCs w:val="18"/>
                <w:b w:val="1"/>
                <w:bCs w:val="1"/>
                <w:color w:val="auto"/>
              </w:rPr>
              <w:t>2026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101"/>
              <w:spacing w:after="0"/>
              <w:rPr>
                <w:sz w:val="20"/>
                <w:szCs w:val="20"/>
                <w:color w:val="auto"/>
              </w:rPr>
            </w:pPr>
            <w:r>
              <w:rPr>
                <w:rFonts w:ascii="Arial Narrow" w:cs="Arial Narrow" w:eastAsia="Arial Narrow" w:hAnsi="Arial Narrow"/>
                <w:sz w:val="18"/>
                <w:szCs w:val="18"/>
                <w:b w:val="1"/>
                <w:bCs w:val="1"/>
                <w:color w:val="auto"/>
              </w:rPr>
              <w:t>2025</w:t>
            </w:r>
          </w:p>
        </w:tc>
        <w:tc>
          <w:tcPr>
            <w:tcW w:w="140" w:type="dxa"/>
            <w:vAlign w:val="bottom"/>
          </w:tcPr>
          <w:p>
            <w:pPr>
              <w:spacing w:after="0"/>
              <w:rPr>
                <w:sz w:val="22"/>
                <w:szCs w:val="22"/>
                <w:color w:val="auto"/>
              </w:rPr>
            </w:pPr>
          </w:p>
        </w:tc>
        <w:tc>
          <w:tcPr>
            <w:tcW w:w="1300" w:type="dxa"/>
            <w:vAlign w:val="bottom"/>
          </w:tcPr>
          <w:p>
            <w:pPr>
              <w:jc w:val="right"/>
              <w:ind w:right="350"/>
              <w:spacing w:after="0"/>
              <w:rPr>
                <w:sz w:val="20"/>
                <w:szCs w:val="20"/>
                <w:color w:val="auto"/>
              </w:rPr>
            </w:pPr>
            <w:r>
              <w:rPr>
                <w:rFonts w:ascii="Arial Narrow" w:cs="Arial Narrow" w:eastAsia="Arial Narrow" w:hAnsi="Arial Narrow"/>
                <w:sz w:val="18"/>
                <w:szCs w:val="18"/>
                <w:b w:val="1"/>
                <w:bCs w:val="1"/>
                <w:color w:val="auto"/>
              </w:rPr>
              <w:t>Change</w:t>
            </w:r>
          </w:p>
        </w:tc>
        <w:tc>
          <w:tcPr>
            <w:tcW w:w="0" w:type="dxa"/>
            <w:vAlign w:val="bottom"/>
          </w:tcPr>
          <w:p>
            <w:pPr>
              <w:spacing w:after="0"/>
              <w:rPr>
                <w:sz w:val="1"/>
                <w:szCs w:val="1"/>
                <w:color w:val="auto"/>
              </w:rPr>
            </w:pPr>
          </w:p>
        </w:tc>
      </w:tr>
      <w:tr>
        <w:trPr>
          <w:trHeight w:val="21"/>
        </w:trPr>
        <w:tc>
          <w:tcPr>
            <w:tcW w:w="5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720" w:type="dxa"/>
            <w:vAlign w:val="bottom"/>
            <w:gridSpan w:val="4"/>
          </w:tcPr>
          <w:p>
            <w:pPr>
              <w:jc w:val="right"/>
              <w:ind w:right="121"/>
              <w:spacing w:after="0"/>
              <w:rPr>
                <w:sz w:val="20"/>
                <w:szCs w:val="20"/>
                <w:color w:val="auto"/>
              </w:rPr>
            </w:pPr>
            <w:r>
              <w:rPr>
                <w:rFonts w:ascii="Arial Narrow" w:cs="Arial Narrow" w:eastAsia="Arial Narrow" w:hAnsi="Arial Narrow"/>
                <w:sz w:val="16"/>
                <w:szCs w:val="16"/>
                <w:color w:val="auto"/>
              </w:rPr>
              <w:t>(in thousands, except per ton information)</w:t>
            </w: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50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gridSpan w:val="2"/>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344"/>
        </w:trPr>
        <w:tc>
          <w:tcPr>
            <w:tcW w:w="5040" w:type="dxa"/>
            <w:vAlign w:val="bottom"/>
          </w:tcPr>
          <w:p>
            <w:pPr>
              <w:spacing w:after="0"/>
              <w:rPr>
                <w:sz w:val="20"/>
                <w:szCs w:val="20"/>
                <w:color w:val="auto"/>
              </w:rPr>
            </w:pPr>
            <w:r>
              <w:rPr>
                <w:rFonts w:ascii="Arial Narrow" w:cs="Arial Narrow" w:eastAsia="Arial Narrow" w:hAnsi="Arial Narrow"/>
                <w:sz w:val="20"/>
                <w:szCs w:val="20"/>
                <w:b w:val="1"/>
                <w:bCs w:val="1"/>
                <w:color w:val="7BB25C"/>
              </w:rPr>
              <w:t>Revenue, including Intersegment</w:t>
            </w:r>
          </w:p>
        </w:tc>
        <w:tc>
          <w:tcPr>
            <w:tcW w:w="160" w:type="dxa"/>
            <w:vAlign w:val="bottom"/>
          </w:tcPr>
          <w:p>
            <w:pPr>
              <w:jc w:val="right"/>
              <w:spacing w:after="0"/>
              <w:rPr>
                <w:sz w:val="20"/>
                <w:szCs w:val="20"/>
                <w:color w:val="auto"/>
              </w:rPr>
            </w:pPr>
            <w:r>
              <w:rPr>
                <w:rFonts w:ascii="Arial Narrow" w:cs="Arial Narrow" w:eastAsia="Arial Narrow" w:hAnsi="Arial Narrow"/>
                <w:sz w:val="20"/>
                <w:szCs w:val="20"/>
                <w:color w:val="auto"/>
                <w:w w:val="87"/>
              </w:rPr>
              <w:t>$</w:t>
            </w:r>
          </w:p>
        </w:tc>
        <w:tc>
          <w:tcPr>
            <w:tcW w:w="1240" w:type="dxa"/>
            <w:vAlign w:val="bottom"/>
          </w:tcPr>
          <w:p>
            <w:pPr>
              <w:jc w:val="right"/>
              <w:ind w:right="124"/>
              <w:spacing w:after="0"/>
              <w:rPr>
                <w:sz w:val="20"/>
                <w:szCs w:val="20"/>
                <w:color w:val="auto"/>
              </w:rPr>
            </w:pPr>
            <w:r>
              <w:rPr>
                <w:rFonts w:ascii="Arial Narrow" w:cs="Arial Narrow" w:eastAsia="Arial Narrow" w:hAnsi="Arial Narrow"/>
                <w:sz w:val="20"/>
                <w:szCs w:val="20"/>
                <w:color w:val="auto"/>
              </w:rPr>
              <w:t>199,215</w:t>
            </w:r>
          </w:p>
        </w:tc>
        <w:tc>
          <w:tcPr>
            <w:tcW w:w="460" w:type="dxa"/>
            <w:vAlign w:val="bottom"/>
            <w:gridSpan w:val="2"/>
          </w:tcPr>
          <w:p>
            <w:pPr>
              <w:jc w:val="right"/>
              <w:ind w:right="240"/>
              <w:spacing w:after="0"/>
              <w:rPr>
                <w:sz w:val="20"/>
                <w:szCs w:val="20"/>
                <w:color w:val="auto"/>
              </w:rPr>
            </w:pPr>
            <w:r>
              <w:rPr>
                <w:rFonts w:ascii="Arial Narrow" w:cs="Arial Narrow" w:eastAsia="Arial Narrow" w:hAnsi="Arial Narrow"/>
                <w:sz w:val="20"/>
                <w:szCs w:val="20"/>
                <w:color w:val="auto"/>
              </w:rPr>
              <w:t>$</w:t>
            </w:r>
          </w:p>
        </w:tc>
        <w:tc>
          <w:tcPr>
            <w:tcW w:w="1020" w:type="dxa"/>
            <w:vAlign w:val="bottom"/>
          </w:tcPr>
          <w:p>
            <w:pPr>
              <w:jc w:val="right"/>
              <w:ind w:right="101"/>
              <w:spacing w:after="0"/>
              <w:rPr>
                <w:sz w:val="20"/>
                <w:szCs w:val="20"/>
                <w:color w:val="auto"/>
              </w:rPr>
            </w:pPr>
            <w:r>
              <w:rPr>
                <w:rFonts w:ascii="Arial Narrow" w:cs="Arial Narrow" w:eastAsia="Arial Narrow" w:hAnsi="Arial Narrow"/>
                <w:sz w:val="20"/>
                <w:szCs w:val="20"/>
                <w:color w:val="auto"/>
              </w:rPr>
              <w:t>211,724</w:t>
            </w:r>
          </w:p>
        </w:tc>
        <w:tc>
          <w:tcPr>
            <w:tcW w:w="1440" w:type="dxa"/>
            <w:vAlign w:val="bottom"/>
            <w:gridSpan w:val="2"/>
          </w:tcPr>
          <w:p>
            <w:pPr>
              <w:jc w:val="right"/>
              <w:ind w:right="150"/>
              <w:spacing w:after="0"/>
              <w:rPr>
                <w:sz w:val="20"/>
                <w:szCs w:val="20"/>
                <w:color w:val="auto"/>
              </w:rPr>
            </w:pPr>
            <w:r>
              <w:rPr>
                <w:rFonts w:ascii="Arial Narrow" w:cs="Arial Narrow" w:eastAsia="Arial Narrow" w:hAnsi="Arial Narrow"/>
                <w:sz w:val="20"/>
                <w:szCs w:val="20"/>
                <w:color w:val="auto"/>
              </w:rPr>
              <w:t>(6)%</w:t>
            </w:r>
          </w:p>
        </w:tc>
        <w:tc>
          <w:tcPr>
            <w:tcW w:w="0" w:type="dxa"/>
            <w:vAlign w:val="bottom"/>
          </w:tcPr>
          <w:p>
            <w:pPr>
              <w:spacing w:after="0"/>
              <w:rPr>
                <w:sz w:val="1"/>
                <w:szCs w:val="1"/>
                <w:color w:val="auto"/>
              </w:rPr>
            </w:pPr>
          </w:p>
        </w:tc>
      </w:tr>
      <w:tr>
        <w:trPr>
          <w:trHeight w:val="65"/>
        </w:trPr>
        <w:tc>
          <w:tcPr>
            <w:tcW w:w="504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124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340" w:type="dxa"/>
            <w:vAlign w:val="bottom"/>
            <w:tcBorders>
              <w:bottom w:val="single" w:sz="8" w:color="A6A6A6"/>
            </w:tcBorders>
          </w:tcPr>
          <w:p>
            <w:pPr>
              <w:spacing w:after="0"/>
              <w:rPr>
                <w:sz w:val="5"/>
                <w:szCs w:val="5"/>
                <w:color w:val="auto"/>
              </w:rPr>
            </w:pPr>
          </w:p>
        </w:tc>
        <w:tc>
          <w:tcPr>
            <w:tcW w:w="1020" w:type="dxa"/>
            <w:vAlign w:val="bottom"/>
            <w:tcBorders>
              <w:bottom w:val="single" w:sz="8" w:color="A6A6A6"/>
            </w:tcBorders>
          </w:tcPr>
          <w:p>
            <w:pPr>
              <w:spacing w:after="0"/>
              <w:rPr>
                <w:sz w:val="5"/>
                <w:szCs w:val="5"/>
                <w:color w:val="auto"/>
              </w:rPr>
            </w:pPr>
          </w:p>
        </w:tc>
        <w:tc>
          <w:tcPr>
            <w:tcW w:w="1440" w:type="dxa"/>
            <w:vAlign w:val="bottom"/>
            <w:tcBorders>
              <w:bottom w:val="single" w:sz="8" w:color="A6A6A6"/>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5040" w:type="dxa"/>
            <w:vAlign w:val="bottom"/>
          </w:tcPr>
          <w:p>
            <w:pPr>
              <w:spacing w:after="0"/>
              <w:rPr>
                <w:sz w:val="20"/>
                <w:szCs w:val="20"/>
                <w:color w:val="auto"/>
              </w:rPr>
            </w:pPr>
            <w:r>
              <w:rPr>
                <w:rFonts w:ascii="Arial Narrow" w:cs="Arial Narrow" w:eastAsia="Arial Narrow" w:hAnsi="Arial Narrow"/>
                <w:sz w:val="20"/>
                <w:szCs w:val="20"/>
                <w:b w:val="1"/>
                <w:bCs w:val="1"/>
                <w:color w:val="7BB25C"/>
              </w:rPr>
              <w:t>Less Intersegment Revenue</w:t>
            </w:r>
          </w:p>
        </w:tc>
        <w:tc>
          <w:tcPr>
            <w:tcW w:w="160" w:type="dxa"/>
            <w:vAlign w:val="bottom"/>
          </w:tcPr>
          <w:p>
            <w:pPr>
              <w:spacing w:after="0"/>
              <w:rPr>
                <w:sz w:val="24"/>
                <w:szCs w:val="24"/>
                <w:color w:val="auto"/>
              </w:rPr>
            </w:pPr>
          </w:p>
        </w:tc>
        <w:tc>
          <w:tcPr>
            <w:tcW w:w="1240" w:type="dxa"/>
            <w:vAlign w:val="bottom"/>
          </w:tcPr>
          <w:p>
            <w:pPr>
              <w:jc w:val="right"/>
              <w:ind w:right="44"/>
              <w:spacing w:after="0"/>
              <w:rPr>
                <w:sz w:val="20"/>
                <w:szCs w:val="20"/>
                <w:color w:val="auto"/>
              </w:rPr>
            </w:pPr>
            <w:r>
              <w:rPr>
                <w:rFonts w:ascii="Arial Narrow" w:cs="Arial Narrow" w:eastAsia="Arial Narrow" w:hAnsi="Arial Narrow"/>
                <w:sz w:val="20"/>
                <w:szCs w:val="20"/>
                <w:color w:val="auto"/>
              </w:rPr>
              <w:t>(82,356)</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ind w:right="21"/>
              <w:spacing w:after="0"/>
              <w:rPr>
                <w:sz w:val="20"/>
                <w:szCs w:val="20"/>
                <w:color w:val="auto"/>
              </w:rPr>
            </w:pPr>
            <w:r>
              <w:rPr>
                <w:rFonts w:ascii="Arial Narrow" w:cs="Arial Narrow" w:eastAsia="Arial Narrow" w:hAnsi="Arial Narrow"/>
                <w:sz w:val="20"/>
                <w:szCs w:val="20"/>
                <w:color w:val="auto"/>
              </w:rPr>
              <w:t>(89,058)</w:t>
            </w:r>
          </w:p>
        </w:tc>
        <w:tc>
          <w:tcPr>
            <w:tcW w:w="1440" w:type="dxa"/>
            <w:vAlign w:val="bottom"/>
            <w:gridSpan w:val="2"/>
          </w:tcPr>
          <w:p>
            <w:pPr>
              <w:jc w:val="right"/>
              <w:ind w:right="150"/>
              <w:spacing w:after="0"/>
              <w:rPr>
                <w:sz w:val="20"/>
                <w:szCs w:val="20"/>
                <w:color w:val="auto"/>
              </w:rPr>
            </w:pPr>
            <w:r>
              <w:rPr>
                <w:rFonts w:ascii="Arial Narrow" w:cs="Arial Narrow" w:eastAsia="Arial Narrow" w:hAnsi="Arial Narrow"/>
                <w:sz w:val="20"/>
                <w:szCs w:val="20"/>
                <w:color w:val="auto"/>
              </w:rPr>
              <w:t>(8)%</w:t>
            </w:r>
          </w:p>
        </w:tc>
        <w:tc>
          <w:tcPr>
            <w:tcW w:w="0" w:type="dxa"/>
            <w:vAlign w:val="bottom"/>
          </w:tcPr>
          <w:p>
            <w:pPr>
              <w:spacing w:after="0"/>
              <w:rPr>
                <w:sz w:val="1"/>
                <w:szCs w:val="1"/>
                <w:color w:val="auto"/>
              </w:rPr>
            </w:pPr>
          </w:p>
        </w:tc>
      </w:tr>
      <w:tr>
        <w:trPr>
          <w:trHeight w:val="90"/>
        </w:trPr>
        <w:tc>
          <w:tcPr>
            <w:tcW w:w="5040" w:type="dxa"/>
            <w:vAlign w:val="bottom"/>
            <w:tcBorders>
              <w:bottom w:val="single" w:sz="8" w:color="A6A6A6"/>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40" w:type="dxa"/>
            <w:vAlign w:val="bottom"/>
            <w:tcBorders>
              <w:bottom w:val="single" w:sz="8" w:color="A6A6A6"/>
            </w:tcBorders>
          </w:tcPr>
          <w:p>
            <w:pPr>
              <w:spacing w:after="0"/>
              <w:rPr>
                <w:sz w:val="7"/>
                <w:szCs w:val="7"/>
                <w:color w:val="auto"/>
              </w:rPr>
            </w:pPr>
          </w:p>
        </w:tc>
        <w:tc>
          <w:tcPr>
            <w:tcW w:w="1300" w:type="dxa"/>
            <w:vAlign w:val="bottom"/>
            <w:tcBorders>
              <w:bottom w:val="single" w:sz="8" w:color="A6A6A6"/>
            </w:tcBorders>
          </w:tcPr>
          <w:p>
            <w:pPr>
              <w:spacing w:after="0"/>
              <w:rPr>
                <w:sz w:val="7"/>
                <w:szCs w:val="7"/>
                <w:color w:val="auto"/>
              </w:rPr>
            </w:pPr>
          </w:p>
        </w:tc>
        <w:tc>
          <w:tcPr>
            <w:tcW w:w="0" w:type="dxa"/>
            <w:vAlign w:val="bottom"/>
          </w:tcPr>
          <w:p>
            <w:pPr>
              <w:spacing w:after="0"/>
              <w:rPr>
                <w:sz w:val="1"/>
                <w:szCs w:val="1"/>
                <w:color w:val="auto"/>
              </w:rPr>
            </w:pPr>
          </w:p>
        </w:tc>
      </w:tr>
      <w:tr>
        <w:trPr>
          <w:trHeight w:val="344"/>
        </w:trPr>
        <w:tc>
          <w:tcPr>
            <w:tcW w:w="5040" w:type="dxa"/>
            <w:vAlign w:val="bottom"/>
          </w:tcPr>
          <w:p>
            <w:pPr>
              <w:spacing w:after="0"/>
              <w:rPr>
                <w:sz w:val="20"/>
                <w:szCs w:val="20"/>
                <w:color w:val="auto"/>
              </w:rPr>
            </w:pPr>
            <w:r>
              <w:rPr>
                <w:rFonts w:ascii="Arial Narrow" w:cs="Arial Narrow" w:eastAsia="Arial Narrow" w:hAnsi="Arial Narrow"/>
                <w:sz w:val="20"/>
                <w:szCs w:val="20"/>
                <w:b w:val="1"/>
                <w:bCs w:val="1"/>
                <w:color w:val="7BB25C"/>
              </w:rPr>
              <w:t>Revenue</w:t>
            </w:r>
          </w:p>
        </w:tc>
        <w:tc>
          <w:tcPr>
            <w:tcW w:w="160" w:type="dxa"/>
            <w:vAlign w:val="bottom"/>
          </w:tcPr>
          <w:p>
            <w:pPr>
              <w:jc w:val="right"/>
              <w:spacing w:after="0"/>
              <w:rPr>
                <w:sz w:val="20"/>
                <w:szCs w:val="20"/>
                <w:color w:val="auto"/>
              </w:rPr>
            </w:pPr>
            <w:r>
              <w:rPr>
                <w:rFonts w:ascii="Arial Narrow" w:cs="Arial Narrow" w:eastAsia="Arial Narrow" w:hAnsi="Arial Narrow"/>
                <w:sz w:val="20"/>
                <w:szCs w:val="20"/>
                <w:color w:val="auto"/>
                <w:w w:val="87"/>
              </w:rPr>
              <w:t>$</w:t>
            </w:r>
          </w:p>
        </w:tc>
        <w:tc>
          <w:tcPr>
            <w:tcW w:w="1240" w:type="dxa"/>
            <w:vAlign w:val="bottom"/>
          </w:tcPr>
          <w:p>
            <w:pPr>
              <w:jc w:val="right"/>
              <w:ind w:right="124"/>
              <w:spacing w:after="0"/>
              <w:rPr>
                <w:sz w:val="20"/>
                <w:szCs w:val="20"/>
                <w:color w:val="auto"/>
              </w:rPr>
            </w:pPr>
            <w:r>
              <w:rPr>
                <w:rFonts w:ascii="Arial Narrow" w:cs="Arial Narrow" w:eastAsia="Arial Narrow" w:hAnsi="Arial Narrow"/>
                <w:sz w:val="20"/>
                <w:szCs w:val="20"/>
                <w:color w:val="auto"/>
              </w:rPr>
              <w:t>116,859</w:t>
            </w:r>
          </w:p>
        </w:tc>
        <w:tc>
          <w:tcPr>
            <w:tcW w:w="460" w:type="dxa"/>
            <w:vAlign w:val="bottom"/>
            <w:gridSpan w:val="2"/>
          </w:tcPr>
          <w:p>
            <w:pPr>
              <w:jc w:val="right"/>
              <w:ind w:right="240"/>
              <w:spacing w:after="0"/>
              <w:rPr>
                <w:sz w:val="20"/>
                <w:szCs w:val="20"/>
                <w:color w:val="auto"/>
              </w:rPr>
            </w:pPr>
            <w:r>
              <w:rPr>
                <w:rFonts w:ascii="Arial Narrow" w:cs="Arial Narrow" w:eastAsia="Arial Narrow" w:hAnsi="Arial Narrow"/>
                <w:sz w:val="20"/>
                <w:szCs w:val="20"/>
                <w:color w:val="auto"/>
              </w:rPr>
              <w:t>$</w:t>
            </w:r>
          </w:p>
        </w:tc>
        <w:tc>
          <w:tcPr>
            <w:tcW w:w="1020" w:type="dxa"/>
            <w:vAlign w:val="bottom"/>
          </w:tcPr>
          <w:p>
            <w:pPr>
              <w:jc w:val="right"/>
              <w:ind w:right="101"/>
              <w:spacing w:after="0"/>
              <w:rPr>
                <w:sz w:val="20"/>
                <w:szCs w:val="20"/>
                <w:color w:val="auto"/>
              </w:rPr>
            </w:pPr>
            <w:r>
              <w:rPr>
                <w:rFonts w:ascii="Arial Narrow" w:cs="Arial Narrow" w:eastAsia="Arial Narrow" w:hAnsi="Arial Narrow"/>
                <w:sz w:val="20"/>
                <w:szCs w:val="20"/>
                <w:color w:val="auto"/>
              </w:rPr>
              <w:t>122,666</w:t>
            </w:r>
          </w:p>
        </w:tc>
        <w:tc>
          <w:tcPr>
            <w:tcW w:w="1440" w:type="dxa"/>
            <w:vAlign w:val="bottom"/>
            <w:gridSpan w:val="2"/>
          </w:tcPr>
          <w:p>
            <w:pPr>
              <w:jc w:val="right"/>
              <w:ind w:right="150"/>
              <w:spacing w:after="0"/>
              <w:rPr>
                <w:sz w:val="20"/>
                <w:szCs w:val="20"/>
                <w:color w:val="auto"/>
              </w:rPr>
            </w:pPr>
            <w:r>
              <w:rPr>
                <w:rFonts w:ascii="Arial Narrow" w:cs="Arial Narrow" w:eastAsia="Arial Narrow" w:hAnsi="Arial Narrow"/>
                <w:sz w:val="20"/>
                <w:szCs w:val="20"/>
                <w:color w:val="auto"/>
              </w:rPr>
              <w:t>(5)%</w:t>
            </w:r>
          </w:p>
        </w:tc>
        <w:tc>
          <w:tcPr>
            <w:tcW w:w="0" w:type="dxa"/>
            <w:vAlign w:val="bottom"/>
          </w:tcPr>
          <w:p>
            <w:pPr>
              <w:spacing w:after="0"/>
              <w:rPr>
                <w:sz w:val="1"/>
                <w:szCs w:val="1"/>
                <w:color w:val="auto"/>
              </w:rPr>
            </w:pPr>
          </w:p>
        </w:tc>
      </w:tr>
      <w:tr>
        <w:trPr>
          <w:trHeight w:val="65"/>
        </w:trPr>
        <w:tc>
          <w:tcPr>
            <w:tcW w:w="504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124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340" w:type="dxa"/>
            <w:vAlign w:val="bottom"/>
            <w:tcBorders>
              <w:bottom w:val="single" w:sz="8" w:color="A6A6A6"/>
            </w:tcBorders>
          </w:tcPr>
          <w:p>
            <w:pPr>
              <w:spacing w:after="0"/>
              <w:rPr>
                <w:sz w:val="5"/>
                <w:szCs w:val="5"/>
                <w:color w:val="auto"/>
              </w:rPr>
            </w:pPr>
          </w:p>
        </w:tc>
        <w:tc>
          <w:tcPr>
            <w:tcW w:w="1020" w:type="dxa"/>
            <w:vAlign w:val="bottom"/>
            <w:tcBorders>
              <w:bottom w:val="single" w:sz="8" w:color="A6A6A6"/>
            </w:tcBorders>
          </w:tcPr>
          <w:p>
            <w:pPr>
              <w:spacing w:after="0"/>
              <w:rPr>
                <w:sz w:val="5"/>
                <w:szCs w:val="5"/>
                <w:color w:val="auto"/>
              </w:rPr>
            </w:pPr>
          </w:p>
        </w:tc>
        <w:tc>
          <w:tcPr>
            <w:tcW w:w="1440" w:type="dxa"/>
            <w:vAlign w:val="bottom"/>
            <w:tcBorders>
              <w:bottom w:val="single" w:sz="8" w:color="A6A6A6"/>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5040" w:type="dxa"/>
            <w:vAlign w:val="bottom"/>
          </w:tcPr>
          <w:p>
            <w:pPr>
              <w:spacing w:after="0"/>
              <w:rPr>
                <w:sz w:val="20"/>
                <w:szCs w:val="20"/>
                <w:color w:val="auto"/>
              </w:rPr>
            </w:pPr>
            <w:r>
              <w:rPr>
                <w:rFonts w:ascii="Arial Narrow" w:cs="Arial Narrow" w:eastAsia="Arial Narrow" w:hAnsi="Arial Narrow"/>
                <w:sz w:val="20"/>
                <w:szCs w:val="20"/>
                <w:b w:val="1"/>
                <w:bCs w:val="1"/>
                <w:color w:val="7BB25C"/>
              </w:rPr>
              <w:t>Sales Volume (M Tons)</w:t>
            </w:r>
          </w:p>
        </w:tc>
        <w:tc>
          <w:tcPr>
            <w:tcW w:w="160" w:type="dxa"/>
            <w:vAlign w:val="bottom"/>
          </w:tcPr>
          <w:p>
            <w:pPr>
              <w:spacing w:after="0"/>
              <w:rPr>
                <w:sz w:val="24"/>
                <w:szCs w:val="24"/>
                <w:color w:val="auto"/>
              </w:rPr>
            </w:pPr>
          </w:p>
        </w:tc>
        <w:tc>
          <w:tcPr>
            <w:tcW w:w="1240" w:type="dxa"/>
            <w:vAlign w:val="bottom"/>
          </w:tcPr>
          <w:p>
            <w:pPr>
              <w:jc w:val="right"/>
              <w:ind w:right="124"/>
              <w:spacing w:after="0"/>
              <w:rPr>
                <w:sz w:val="20"/>
                <w:szCs w:val="20"/>
                <w:color w:val="auto"/>
              </w:rPr>
            </w:pPr>
            <w:r>
              <w:rPr>
                <w:rFonts w:ascii="Arial Narrow" w:cs="Arial Narrow" w:eastAsia="Arial Narrow" w:hAnsi="Arial Narrow"/>
                <w:sz w:val="20"/>
                <w:szCs w:val="20"/>
                <w:color w:val="auto"/>
              </w:rPr>
              <w:t>341</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ind w:right="101"/>
              <w:spacing w:after="0"/>
              <w:rPr>
                <w:sz w:val="20"/>
                <w:szCs w:val="20"/>
                <w:color w:val="auto"/>
              </w:rPr>
            </w:pPr>
            <w:r>
              <w:rPr>
                <w:rFonts w:ascii="Arial Narrow" w:cs="Arial Narrow" w:eastAsia="Arial Narrow" w:hAnsi="Arial Narrow"/>
                <w:sz w:val="20"/>
                <w:szCs w:val="20"/>
                <w:color w:val="auto"/>
              </w:rPr>
              <w:t>350</w:t>
            </w:r>
          </w:p>
        </w:tc>
        <w:tc>
          <w:tcPr>
            <w:tcW w:w="1440" w:type="dxa"/>
            <w:vAlign w:val="bottom"/>
            <w:gridSpan w:val="2"/>
          </w:tcPr>
          <w:p>
            <w:pPr>
              <w:jc w:val="right"/>
              <w:ind w:right="150"/>
              <w:spacing w:after="0"/>
              <w:rPr>
                <w:sz w:val="20"/>
                <w:szCs w:val="20"/>
                <w:color w:val="auto"/>
              </w:rPr>
            </w:pPr>
            <w:r>
              <w:rPr>
                <w:rFonts w:ascii="Arial Narrow" w:cs="Arial Narrow" w:eastAsia="Arial Narrow" w:hAnsi="Arial Narrow"/>
                <w:sz w:val="20"/>
                <w:szCs w:val="20"/>
                <w:color w:val="auto"/>
              </w:rPr>
              <w:t>(3)%</w:t>
            </w:r>
          </w:p>
        </w:tc>
        <w:tc>
          <w:tcPr>
            <w:tcW w:w="0" w:type="dxa"/>
            <w:vAlign w:val="bottom"/>
          </w:tcPr>
          <w:p>
            <w:pPr>
              <w:spacing w:after="0"/>
              <w:rPr>
                <w:sz w:val="1"/>
                <w:szCs w:val="1"/>
                <w:color w:val="auto"/>
              </w:rPr>
            </w:pPr>
          </w:p>
        </w:tc>
      </w:tr>
      <w:tr>
        <w:trPr>
          <w:trHeight w:val="65"/>
        </w:trPr>
        <w:tc>
          <w:tcPr>
            <w:tcW w:w="504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1240" w:type="dxa"/>
            <w:vAlign w:val="bottom"/>
            <w:tcBorders>
              <w:bottom w:val="single" w:sz="8" w:color="A6A6A6"/>
            </w:tcBorders>
          </w:tcPr>
          <w:p>
            <w:pPr>
              <w:spacing w:after="0"/>
              <w:rPr>
                <w:sz w:val="5"/>
                <w:szCs w:val="5"/>
                <w:color w:val="auto"/>
              </w:rPr>
            </w:pPr>
          </w:p>
        </w:tc>
        <w:tc>
          <w:tcPr>
            <w:tcW w:w="460" w:type="dxa"/>
            <w:vAlign w:val="bottom"/>
            <w:tcBorders>
              <w:bottom w:val="single" w:sz="8" w:color="A6A6A6"/>
            </w:tcBorders>
            <w:gridSpan w:val="2"/>
          </w:tcPr>
          <w:p>
            <w:pPr>
              <w:spacing w:after="0"/>
              <w:rPr>
                <w:sz w:val="5"/>
                <w:szCs w:val="5"/>
                <w:color w:val="auto"/>
              </w:rPr>
            </w:pPr>
          </w:p>
        </w:tc>
        <w:tc>
          <w:tcPr>
            <w:tcW w:w="1020" w:type="dxa"/>
            <w:vAlign w:val="bottom"/>
            <w:tcBorders>
              <w:bottom w:val="single" w:sz="8" w:color="A6A6A6"/>
            </w:tcBorders>
          </w:tcPr>
          <w:p>
            <w:pPr>
              <w:spacing w:after="0"/>
              <w:rPr>
                <w:sz w:val="5"/>
                <w:szCs w:val="5"/>
                <w:color w:val="auto"/>
              </w:rPr>
            </w:pPr>
          </w:p>
        </w:tc>
        <w:tc>
          <w:tcPr>
            <w:tcW w:w="1440" w:type="dxa"/>
            <w:vAlign w:val="bottom"/>
            <w:tcBorders>
              <w:bottom w:val="single" w:sz="8" w:color="A6A6A6"/>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5040" w:type="dxa"/>
            <w:vAlign w:val="bottom"/>
          </w:tcPr>
          <w:p>
            <w:pPr>
              <w:spacing w:after="0"/>
              <w:rPr>
                <w:sz w:val="20"/>
                <w:szCs w:val="20"/>
                <w:color w:val="auto"/>
              </w:rPr>
            </w:pPr>
            <w:r>
              <w:rPr>
                <w:rFonts w:ascii="Arial Narrow" w:cs="Arial Narrow" w:eastAsia="Arial Narrow" w:hAnsi="Arial Narrow"/>
                <w:sz w:val="20"/>
                <w:szCs w:val="20"/>
                <w:b w:val="1"/>
                <w:bCs w:val="1"/>
                <w:color w:val="7BB25C"/>
              </w:rPr>
              <w:t xml:space="preserve">Average Net Sales Price, per ton </w:t>
            </w:r>
            <w:r>
              <w:rPr>
                <w:rFonts w:ascii="Arial Narrow" w:cs="Arial Narrow" w:eastAsia="Arial Narrow" w:hAnsi="Arial Narrow"/>
                <w:sz w:val="13"/>
                <w:szCs w:val="13"/>
                <w:b w:val="1"/>
                <w:bCs w:val="1"/>
                <w:color w:val="7BB25C"/>
              </w:rPr>
              <w:t>(1)</w:t>
            </w:r>
          </w:p>
        </w:tc>
        <w:tc>
          <w:tcPr>
            <w:tcW w:w="160" w:type="dxa"/>
            <w:vAlign w:val="bottom"/>
          </w:tcPr>
          <w:p>
            <w:pPr>
              <w:jc w:val="right"/>
              <w:spacing w:after="0"/>
              <w:rPr>
                <w:sz w:val="20"/>
                <w:szCs w:val="20"/>
                <w:color w:val="auto"/>
              </w:rPr>
            </w:pPr>
            <w:r>
              <w:rPr>
                <w:rFonts w:ascii="Arial Narrow" w:cs="Arial Narrow" w:eastAsia="Arial Narrow" w:hAnsi="Arial Narrow"/>
                <w:sz w:val="20"/>
                <w:szCs w:val="20"/>
                <w:color w:val="auto"/>
                <w:w w:val="87"/>
              </w:rPr>
              <w:t>$</w:t>
            </w:r>
          </w:p>
        </w:tc>
        <w:tc>
          <w:tcPr>
            <w:tcW w:w="1240" w:type="dxa"/>
            <w:vAlign w:val="bottom"/>
          </w:tcPr>
          <w:p>
            <w:pPr>
              <w:jc w:val="right"/>
              <w:ind w:right="124"/>
              <w:spacing w:after="0"/>
              <w:rPr>
                <w:sz w:val="20"/>
                <w:szCs w:val="20"/>
                <w:color w:val="auto"/>
              </w:rPr>
            </w:pPr>
            <w:r>
              <w:rPr>
                <w:rFonts w:ascii="Arial Narrow" w:cs="Arial Narrow" w:eastAsia="Arial Narrow" w:hAnsi="Arial Narrow"/>
                <w:sz w:val="20"/>
                <w:szCs w:val="20"/>
                <w:color w:val="auto"/>
              </w:rPr>
              <w:t>584.77</w:t>
            </w:r>
          </w:p>
        </w:tc>
        <w:tc>
          <w:tcPr>
            <w:tcW w:w="460" w:type="dxa"/>
            <w:vAlign w:val="bottom"/>
            <w:gridSpan w:val="2"/>
          </w:tcPr>
          <w:p>
            <w:pPr>
              <w:jc w:val="right"/>
              <w:ind w:right="240"/>
              <w:spacing w:after="0"/>
              <w:rPr>
                <w:sz w:val="20"/>
                <w:szCs w:val="20"/>
                <w:color w:val="auto"/>
              </w:rPr>
            </w:pPr>
            <w:r>
              <w:rPr>
                <w:rFonts w:ascii="Arial Narrow" w:cs="Arial Narrow" w:eastAsia="Arial Narrow" w:hAnsi="Arial Narrow"/>
                <w:sz w:val="20"/>
                <w:szCs w:val="20"/>
                <w:color w:val="auto"/>
              </w:rPr>
              <w:t>$</w:t>
            </w:r>
          </w:p>
        </w:tc>
        <w:tc>
          <w:tcPr>
            <w:tcW w:w="1020" w:type="dxa"/>
            <w:vAlign w:val="bottom"/>
          </w:tcPr>
          <w:p>
            <w:pPr>
              <w:jc w:val="right"/>
              <w:ind w:right="101"/>
              <w:spacing w:after="0"/>
              <w:rPr>
                <w:sz w:val="20"/>
                <w:szCs w:val="20"/>
                <w:color w:val="auto"/>
              </w:rPr>
            </w:pPr>
            <w:r>
              <w:rPr>
                <w:rFonts w:ascii="Arial Narrow" w:cs="Arial Narrow" w:eastAsia="Arial Narrow" w:hAnsi="Arial Narrow"/>
                <w:sz w:val="20"/>
                <w:szCs w:val="20"/>
                <w:color w:val="auto"/>
              </w:rPr>
              <w:t>604.02</w:t>
            </w:r>
          </w:p>
        </w:tc>
        <w:tc>
          <w:tcPr>
            <w:tcW w:w="1440" w:type="dxa"/>
            <w:vAlign w:val="bottom"/>
            <w:gridSpan w:val="2"/>
          </w:tcPr>
          <w:p>
            <w:pPr>
              <w:jc w:val="right"/>
              <w:ind w:right="150"/>
              <w:spacing w:after="0"/>
              <w:rPr>
                <w:sz w:val="20"/>
                <w:szCs w:val="20"/>
                <w:color w:val="auto"/>
              </w:rPr>
            </w:pPr>
            <w:r>
              <w:rPr>
                <w:rFonts w:ascii="Arial Narrow" w:cs="Arial Narrow" w:eastAsia="Arial Narrow" w:hAnsi="Arial Narrow"/>
                <w:sz w:val="20"/>
                <w:szCs w:val="20"/>
                <w:color w:val="auto"/>
              </w:rPr>
              <w:t>(3)%</w:t>
            </w:r>
          </w:p>
        </w:tc>
        <w:tc>
          <w:tcPr>
            <w:tcW w:w="0" w:type="dxa"/>
            <w:vAlign w:val="bottom"/>
          </w:tcPr>
          <w:p>
            <w:pPr>
              <w:spacing w:after="0"/>
              <w:rPr>
                <w:sz w:val="1"/>
                <w:szCs w:val="1"/>
                <w:color w:val="auto"/>
              </w:rPr>
            </w:pPr>
          </w:p>
        </w:tc>
      </w:tr>
      <w:tr>
        <w:trPr>
          <w:trHeight w:val="65"/>
        </w:trPr>
        <w:tc>
          <w:tcPr>
            <w:tcW w:w="504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1240" w:type="dxa"/>
            <w:vAlign w:val="bottom"/>
            <w:tcBorders>
              <w:bottom w:val="single" w:sz="8" w:color="A6A6A6"/>
            </w:tcBorders>
          </w:tcPr>
          <w:p>
            <w:pPr>
              <w:spacing w:after="0"/>
              <w:rPr>
                <w:sz w:val="5"/>
                <w:szCs w:val="5"/>
                <w:color w:val="auto"/>
              </w:rPr>
            </w:pPr>
          </w:p>
        </w:tc>
        <w:tc>
          <w:tcPr>
            <w:tcW w:w="460" w:type="dxa"/>
            <w:vAlign w:val="bottom"/>
            <w:tcBorders>
              <w:bottom w:val="single" w:sz="8" w:color="A6A6A6"/>
            </w:tcBorders>
            <w:gridSpan w:val="2"/>
          </w:tcPr>
          <w:p>
            <w:pPr>
              <w:spacing w:after="0"/>
              <w:rPr>
                <w:sz w:val="5"/>
                <w:szCs w:val="5"/>
                <w:color w:val="auto"/>
              </w:rPr>
            </w:pPr>
          </w:p>
        </w:tc>
        <w:tc>
          <w:tcPr>
            <w:tcW w:w="1020" w:type="dxa"/>
            <w:vAlign w:val="bottom"/>
            <w:tcBorders>
              <w:bottom w:val="single" w:sz="8" w:color="A6A6A6"/>
            </w:tcBorders>
          </w:tcPr>
          <w:p>
            <w:pPr>
              <w:spacing w:after="0"/>
              <w:rPr>
                <w:sz w:val="5"/>
                <w:szCs w:val="5"/>
                <w:color w:val="auto"/>
              </w:rPr>
            </w:pPr>
          </w:p>
        </w:tc>
        <w:tc>
          <w:tcPr>
            <w:tcW w:w="1440" w:type="dxa"/>
            <w:vAlign w:val="bottom"/>
            <w:tcBorders>
              <w:bottom w:val="single" w:sz="8" w:color="A6A6A6"/>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5040" w:type="dxa"/>
            <w:vAlign w:val="bottom"/>
          </w:tcPr>
          <w:p>
            <w:pPr>
              <w:spacing w:after="0"/>
              <w:rPr>
                <w:sz w:val="20"/>
                <w:szCs w:val="20"/>
                <w:color w:val="auto"/>
              </w:rPr>
            </w:pPr>
            <w:r>
              <w:rPr>
                <w:rFonts w:ascii="Arial Narrow" w:cs="Arial Narrow" w:eastAsia="Arial Narrow" w:hAnsi="Arial Narrow"/>
                <w:sz w:val="20"/>
                <w:szCs w:val="20"/>
                <w:b w:val="1"/>
                <w:bCs w:val="1"/>
                <w:color w:val="7BB25C"/>
              </w:rPr>
              <w:t>Operating Margin, per ton</w:t>
            </w:r>
          </w:p>
        </w:tc>
        <w:tc>
          <w:tcPr>
            <w:tcW w:w="160" w:type="dxa"/>
            <w:vAlign w:val="bottom"/>
          </w:tcPr>
          <w:p>
            <w:pPr>
              <w:jc w:val="right"/>
              <w:spacing w:after="0"/>
              <w:rPr>
                <w:sz w:val="20"/>
                <w:szCs w:val="20"/>
                <w:color w:val="auto"/>
              </w:rPr>
            </w:pPr>
            <w:r>
              <w:rPr>
                <w:rFonts w:ascii="Arial Narrow" w:cs="Arial Narrow" w:eastAsia="Arial Narrow" w:hAnsi="Arial Narrow"/>
                <w:sz w:val="20"/>
                <w:szCs w:val="20"/>
                <w:color w:val="auto"/>
                <w:w w:val="87"/>
              </w:rPr>
              <w:t>$</w:t>
            </w:r>
          </w:p>
        </w:tc>
        <w:tc>
          <w:tcPr>
            <w:tcW w:w="1240" w:type="dxa"/>
            <w:vAlign w:val="bottom"/>
          </w:tcPr>
          <w:p>
            <w:pPr>
              <w:jc w:val="right"/>
              <w:ind w:right="124"/>
              <w:spacing w:after="0"/>
              <w:rPr>
                <w:sz w:val="20"/>
                <w:szCs w:val="20"/>
                <w:color w:val="auto"/>
              </w:rPr>
            </w:pPr>
            <w:r>
              <w:rPr>
                <w:rFonts w:ascii="Arial Narrow" w:cs="Arial Narrow" w:eastAsia="Arial Narrow" w:hAnsi="Arial Narrow"/>
                <w:sz w:val="20"/>
                <w:szCs w:val="20"/>
                <w:color w:val="auto"/>
              </w:rPr>
              <w:t>130.59</w:t>
            </w:r>
          </w:p>
        </w:tc>
        <w:tc>
          <w:tcPr>
            <w:tcW w:w="460" w:type="dxa"/>
            <w:vAlign w:val="bottom"/>
            <w:gridSpan w:val="2"/>
          </w:tcPr>
          <w:p>
            <w:pPr>
              <w:jc w:val="right"/>
              <w:ind w:right="240"/>
              <w:spacing w:after="0"/>
              <w:rPr>
                <w:sz w:val="20"/>
                <w:szCs w:val="20"/>
                <w:color w:val="auto"/>
              </w:rPr>
            </w:pPr>
            <w:r>
              <w:rPr>
                <w:rFonts w:ascii="Arial Narrow" w:cs="Arial Narrow" w:eastAsia="Arial Narrow" w:hAnsi="Arial Narrow"/>
                <w:sz w:val="20"/>
                <w:szCs w:val="20"/>
                <w:color w:val="auto"/>
              </w:rPr>
              <w:t>$</w:t>
            </w:r>
          </w:p>
        </w:tc>
        <w:tc>
          <w:tcPr>
            <w:tcW w:w="1020" w:type="dxa"/>
            <w:vAlign w:val="bottom"/>
          </w:tcPr>
          <w:p>
            <w:pPr>
              <w:jc w:val="right"/>
              <w:ind w:right="101"/>
              <w:spacing w:after="0"/>
              <w:rPr>
                <w:sz w:val="20"/>
                <w:szCs w:val="20"/>
                <w:color w:val="auto"/>
              </w:rPr>
            </w:pPr>
            <w:r>
              <w:rPr>
                <w:rFonts w:ascii="Arial Narrow" w:cs="Arial Narrow" w:eastAsia="Arial Narrow" w:hAnsi="Arial Narrow"/>
                <w:sz w:val="20"/>
                <w:szCs w:val="20"/>
                <w:color w:val="auto"/>
              </w:rPr>
              <w:t>108.79</w:t>
            </w:r>
          </w:p>
        </w:tc>
        <w:tc>
          <w:tcPr>
            <w:tcW w:w="1440" w:type="dxa"/>
            <w:vAlign w:val="bottom"/>
            <w:gridSpan w:val="2"/>
          </w:tcPr>
          <w:p>
            <w:pPr>
              <w:jc w:val="right"/>
              <w:ind w:right="190"/>
              <w:spacing w:after="0"/>
              <w:rPr>
                <w:sz w:val="20"/>
                <w:szCs w:val="20"/>
                <w:color w:val="auto"/>
              </w:rPr>
            </w:pPr>
            <w:r>
              <w:rPr>
                <w:rFonts w:ascii="Arial Narrow" w:cs="Arial Narrow" w:eastAsia="Arial Narrow" w:hAnsi="Arial Narrow"/>
                <w:sz w:val="20"/>
                <w:szCs w:val="20"/>
                <w:color w:val="auto"/>
              </w:rPr>
              <w:t>20%</w:t>
            </w:r>
          </w:p>
        </w:tc>
        <w:tc>
          <w:tcPr>
            <w:tcW w:w="0" w:type="dxa"/>
            <w:vAlign w:val="bottom"/>
          </w:tcPr>
          <w:p>
            <w:pPr>
              <w:spacing w:after="0"/>
              <w:rPr>
                <w:sz w:val="1"/>
                <w:szCs w:val="1"/>
                <w:color w:val="auto"/>
              </w:rPr>
            </w:pPr>
          </w:p>
        </w:tc>
      </w:tr>
      <w:tr>
        <w:trPr>
          <w:trHeight w:val="65"/>
        </w:trPr>
        <w:tc>
          <w:tcPr>
            <w:tcW w:w="504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1240" w:type="dxa"/>
            <w:vAlign w:val="bottom"/>
            <w:tcBorders>
              <w:bottom w:val="single" w:sz="8" w:color="A6A6A6"/>
            </w:tcBorders>
          </w:tcPr>
          <w:p>
            <w:pPr>
              <w:spacing w:after="0"/>
              <w:rPr>
                <w:sz w:val="5"/>
                <w:szCs w:val="5"/>
                <w:color w:val="auto"/>
              </w:rPr>
            </w:pPr>
          </w:p>
        </w:tc>
        <w:tc>
          <w:tcPr>
            <w:tcW w:w="460" w:type="dxa"/>
            <w:vAlign w:val="bottom"/>
            <w:tcBorders>
              <w:bottom w:val="single" w:sz="8" w:color="A6A6A6"/>
            </w:tcBorders>
            <w:gridSpan w:val="2"/>
          </w:tcPr>
          <w:p>
            <w:pPr>
              <w:spacing w:after="0"/>
              <w:rPr>
                <w:sz w:val="5"/>
                <w:szCs w:val="5"/>
                <w:color w:val="auto"/>
              </w:rPr>
            </w:pPr>
          </w:p>
        </w:tc>
        <w:tc>
          <w:tcPr>
            <w:tcW w:w="1020" w:type="dxa"/>
            <w:vAlign w:val="bottom"/>
            <w:tcBorders>
              <w:bottom w:val="single" w:sz="8" w:color="A6A6A6"/>
            </w:tcBorders>
          </w:tcPr>
          <w:p>
            <w:pPr>
              <w:spacing w:after="0"/>
              <w:rPr>
                <w:sz w:val="5"/>
                <w:szCs w:val="5"/>
                <w:color w:val="auto"/>
              </w:rPr>
            </w:pPr>
          </w:p>
        </w:tc>
        <w:tc>
          <w:tcPr>
            <w:tcW w:w="1440" w:type="dxa"/>
            <w:vAlign w:val="bottom"/>
            <w:tcBorders>
              <w:bottom w:val="single" w:sz="8" w:color="A6A6A6"/>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5040" w:type="dxa"/>
            <w:vAlign w:val="bottom"/>
          </w:tcPr>
          <w:p>
            <w:pPr>
              <w:spacing w:after="0"/>
              <w:rPr>
                <w:sz w:val="20"/>
                <w:szCs w:val="20"/>
                <w:color w:val="auto"/>
              </w:rPr>
            </w:pPr>
            <w:r>
              <w:rPr>
                <w:rFonts w:ascii="Arial Narrow" w:cs="Arial Narrow" w:eastAsia="Arial Narrow" w:hAnsi="Arial Narrow"/>
                <w:sz w:val="20"/>
                <w:szCs w:val="20"/>
                <w:b w:val="1"/>
                <w:bCs w:val="1"/>
                <w:color w:val="7BB25C"/>
              </w:rPr>
              <w:t>Operating Earnings</w:t>
            </w:r>
          </w:p>
        </w:tc>
        <w:tc>
          <w:tcPr>
            <w:tcW w:w="160" w:type="dxa"/>
            <w:vAlign w:val="bottom"/>
          </w:tcPr>
          <w:p>
            <w:pPr>
              <w:jc w:val="right"/>
              <w:spacing w:after="0"/>
              <w:rPr>
                <w:sz w:val="20"/>
                <w:szCs w:val="20"/>
                <w:color w:val="auto"/>
              </w:rPr>
            </w:pPr>
            <w:r>
              <w:rPr>
                <w:rFonts w:ascii="Arial Narrow" w:cs="Arial Narrow" w:eastAsia="Arial Narrow" w:hAnsi="Arial Narrow"/>
                <w:sz w:val="20"/>
                <w:szCs w:val="20"/>
                <w:color w:val="auto"/>
                <w:w w:val="87"/>
              </w:rPr>
              <w:t>$</w:t>
            </w:r>
          </w:p>
        </w:tc>
        <w:tc>
          <w:tcPr>
            <w:tcW w:w="1240" w:type="dxa"/>
            <w:vAlign w:val="bottom"/>
          </w:tcPr>
          <w:p>
            <w:pPr>
              <w:jc w:val="right"/>
              <w:ind w:right="124"/>
              <w:spacing w:after="0"/>
              <w:rPr>
                <w:sz w:val="20"/>
                <w:szCs w:val="20"/>
                <w:color w:val="auto"/>
              </w:rPr>
            </w:pPr>
            <w:r>
              <w:rPr>
                <w:rFonts w:ascii="Arial Narrow" w:cs="Arial Narrow" w:eastAsia="Arial Narrow" w:hAnsi="Arial Narrow"/>
                <w:sz w:val="20"/>
                <w:szCs w:val="20"/>
                <w:color w:val="auto"/>
              </w:rPr>
              <w:t>44,531</w:t>
            </w:r>
          </w:p>
        </w:tc>
        <w:tc>
          <w:tcPr>
            <w:tcW w:w="460" w:type="dxa"/>
            <w:vAlign w:val="bottom"/>
            <w:gridSpan w:val="2"/>
          </w:tcPr>
          <w:p>
            <w:pPr>
              <w:jc w:val="right"/>
              <w:ind w:right="240"/>
              <w:spacing w:after="0"/>
              <w:rPr>
                <w:sz w:val="20"/>
                <w:szCs w:val="20"/>
                <w:color w:val="auto"/>
              </w:rPr>
            </w:pPr>
            <w:r>
              <w:rPr>
                <w:rFonts w:ascii="Arial Narrow" w:cs="Arial Narrow" w:eastAsia="Arial Narrow" w:hAnsi="Arial Narrow"/>
                <w:sz w:val="20"/>
                <w:szCs w:val="20"/>
                <w:color w:val="auto"/>
              </w:rPr>
              <w:t>$</w:t>
            </w:r>
          </w:p>
        </w:tc>
        <w:tc>
          <w:tcPr>
            <w:tcW w:w="1020" w:type="dxa"/>
            <w:vAlign w:val="bottom"/>
          </w:tcPr>
          <w:p>
            <w:pPr>
              <w:jc w:val="right"/>
              <w:ind w:right="101"/>
              <w:spacing w:after="0"/>
              <w:rPr>
                <w:sz w:val="20"/>
                <w:szCs w:val="20"/>
                <w:color w:val="auto"/>
              </w:rPr>
            </w:pPr>
            <w:r>
              <w:rPr>
                <w:rFonts w:ascii="Arial Narrow" w:cs="Arial Narrow" w:eastAsia="Arial Narrow" w:hAnsi="Arial Narrow"/>
                <w:sz w:val="20"/>
                <w:szCs w:val="20"/>
                <w:color w:val="auto"/>
              </w:rPr>
              <w:t>38,078</w:t>
            </w:r>
          </w:p>
        </w:tc>
        <w:tc>
          <w:tcPr>
            <w:tcW w:w="1440" w:type="dxa"/>
            <w:vAlign w:val="bottom"/>
            <w:gridSpan w:val="2"/>
          </w:tcPr>
          <w:p>
            <w:pPr>
              <w:jc w:val="right"/>
              <w:ind w:right="190"/>
              <w:spacing w:after="0"/>
              <w:rPr>
                <w:sz w:val="20"/>
                <w:szCs w:val="20"/>
                <w:color w:val="auto"/>
              </w:rPr>
            </w:pPr>
            <w:r>
              <w:rPr>
                <w:rFonts w:ascii="Arial Narrow" w:cs="Arial Narrow" w:eastAsia="Arial Narrow" w:hAnsi="Arial Narrow"/>
                <w:sz w:val="20"/>
                <w:szCs w:val="20"/>
                <w:color w:val="auto"/>
              </w:rPr>
              <w:t>17%</w:t>
            </w:r>
          </w:p>
        </w:tc>
        <w:tc>
          <w:tcPr>
            <w:tcW w:w="0" w:type="dxa"/>
            <w:vAlign w:val="bottom"/>
          </w:tcPr>
          <w:p>
            <w:pPr>
              <w:spacing w:after="0"/>
              <w:rPr>
                <w:sz w:val="1"/>
                <w:szCs w:val="1"/>
                <w:color w:val="auto"/>
              </w:rPr>
            </w:pPr>
          </w:p>
        </w:tc>
      </w:tr>
      <w:tr>
        <w:trPr>
          <w:trHeight w:val="65"/>
        </w:trPr>
        <w:tc>
          <w:tcPr>
            <w:tcW w:w="504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124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340" w:type="dxa"/>
            <w:vAlign w:val="bottom"/>
            <w:tcBorders>
              <w:bottom w:val="single" w:sz="8" w:color="A6A6A6"/>
            </w:tcBorders>
          </w:tcPr>
          <w:p>
            <w:pPr>
              <w:spacing w:after="0"/>
              <w:rPr>
                <w:sz w:val="5"/>
                <w:szCs w:val="5"/>
                <w:color w:val="auto"/>
              </w:rPr>
            </w:pPr>
          </w:p>
        </w:tc>
        <w:tc>
          <w:tcPr>
            <w:tcW w:w="102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130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180" w:hanging="180"/>
        <w:spacing w:after="0"/>
        <w:tabs>
          <w:tab w:leader="none" w:pos="180" w:val="left"/>
        </w:tabs>
        <w:numPr>
          <w:ilvl w:val="0"/>
          <w:numId w:val="30"/>
        </w:numPr>
        <w:rPr>
          <w:rFonts w:ascii="Arial" w:cs="Arial" w:eastAsia="Arial" w:hAnsi="Arial"/>
          <w:sz w:val="10"/>
          <w:szCs w:val="10"/>
          <w:color w:val="auto"/>
        </w:rPr>
      </w:pPr>
      <w:r>
        <w:rPr>
          <w:rFonts w:ascii="Arial" w:cs="Arial" w:eastAsia="Arial" w:hAnsi="Arial"/>
          <w:sz w:val="16"/>
          <w:szCs w:val="16"/>
          <w:color w:val="auto"/>
        </w:rPr>
        <w:t>Net of freight per ton.</w:t>
      </w:r>
    </w:p>
    <w:p>
      <w:pPr>
        <w:spacing w:after="0" w:line="144" w:lineRule="exact"/>
        <w:rPr>
          <w:sz w:val="20"/>
          <w:szCs w:val="20"/>
          <w:color w:val="auto"/>
        </w:rPr>
      </w:pPr>
    </w:p>
    <w:p>
      <w:pPr>
        <w:ind w:right="180"/>
        <w:spacing w:after="0" w:line="296" w:lineRule="auto"/>
        <w:rPr>
          <w:sz w:val="20"/>
          <w:szCs w:val="20"/>
          <w:color w:val="auto"/>
        </w:rPr>
      </w:pPr>
      <w:r>
        <w:rPr>
          <w:rFonts w:ascii="Arial" w:cs="Arial" w:eastAsia="Arial" w:hAnsi="Arial"/>
          <w:sz w:val="20"/>
          <w:szCs w:val="20"/>
          <w:color w:val="auto"/>
        </w:rPr>
        <w:t>Recycled Paperboard Revenue, including Intersegment Revenue, decreased 6% to $199.2 million in fiscal 2026, due to a decrease of approximately $6.6 million in gross sales prices and a $5.9 million decrease in Sales Volume. The decline in gross sales prices was due to the price adjustment provisions in our long-term sales agreements.</w:t>
      </w:r>
    </w:p>
    <w:p>
      <w:pPr>
        <w:spacing w:after="0" w:line="65" w:lineRule="exact"/>
        <w:rPr>
          <w:sz w:val="20"/>
          <w:szCs w:val="20"/>
          <w:color w:val="auto"/>
        </w:rPr>
      </w:pPr>
    </w:p>
    <w:p>
      <w:pPr>
        <w:ind w:right="320"/>
        <w:spacing w:after="0" w:line="290" w:lineRule="auto"/>
        <w:rPr>
          <w:sz w:val="20"/>
          <w:szCs w:val="20"/>
          <w:color w:val="auto"/>
        </w:rPr>
      </w:pPr>
      <w:r>
        <w:rPr>
          <w:rFonts w:ascii="Arial" w:cs="Arial" w:eastAsia="Arial" w:hAnsi="Arial"/>
          <w:sz w:val="20"/>
          <w:szCs w:val="20"/>
          <w:color w:val="auto"/>
        </w:rPr>
        <w:t>Operating Earnings increased 17% to $44.5 million in fiscal 2026, primarily because of lower operating expenses of $14.2 million, partially offset by lower gross sales prices and Sales Volume of $6.6 million and $1.0 million, respectively. The decrease in operating expenses was primarily related to lower raw materials costs of $16.8 million, which was partially offset by higher energy expenses of $2.7 million. During fiscal 2026, Operating Margin increased to 22% from 18% in fiscal 2025, primarily because of lower operating expenses, partially offset by lower gross sales prices.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FISCAL YEAR 2025 COMPARED WITH FISCAL YEAR 2024</w:t>
      </w:r>
    </w:p>
    <w:p>
      <w:pPr>
        <w:spacing w:after="0" w:line="163" w:lineRule="exact"/>
        <w:rPr>
          <w:sz w:val="20"/>
          <w:szCs w:val="20"/>
          <w:color w:val="auto"/>
        </w:rPr>
      </w:pPr>
    </w:p>
    <w:p>
      <w:pPr>
        <w:ind w:right="160"/>
        <w:spacing w:after="0" w:line="303" w:lineRule="auto"/>
        <w:rPr>
          <w:sz w:val="20"/>
          <w:szCs w:val="20"/>
          <w:color w:val="auto"/>
        </w:rPr>
      </w:pPr>
      <w:r>
        <w:rPr>
          <w:rFonts w:ascii="Arial" w:cs="Arial" w:eastAsia="Arial" w:hAnsi="Arial"/>
          <w:sz w:val="20"/>
          <w:szCs w:val="20"/>
          <w:color w:val="auto"/>
        </w:rPr>
        <w:t xml:space="preserve">Please see our Form 10-K for fiscal year 2025 for the discussion of our Results of Operations and Revenue and Operating Earnings by segment for fiscal 2025 compared with fiscal 2024. Our 2025 Form 10-K can be found on the investor page of our website, at </w:t>
      </w:r>
      <w:r>
        <w:rPr>
          <w:rFonts w:ascii="Arial" w:cs="Arial" w:eastAsia="Arial" w:hAnsi="Arial"/>
          <w:sz w:val="20"/>
          <w:szCs w:val="20"/>
          <w:i w:val="1"/>
          <w:iCs w:val="1"/>
          <w:u w:val="single" w:color="auto"/>
          <w:color w:val="001987"/>
        </w:rPr>
        <w:t>eaglematerials.com</w:t>
      </w:r>
      <w:r>
        <w:rPr>
          <w:rFonts w:ascii="Arial" w:cs="Arial" w:eastAsia="Arial" w:hAnsi="Arial"/>
          <w:sz w:val="20"/>
          <w:szCs w:val="20"/>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00085E"/>
        </w:rPr>
        <w:t>CRITICAL ACCOUNTING POLICIES</w:t>
      </w:r>
    </w:p>
    <w:p>
      <w:pPr>
        <w:spacing w:after="0" w:line="163" w:lineRule="exact"/>
        <w:rPr>
          <w:sz w:val="20"/>
          <w:szCs w:val="20"/>
          <w:color w:val="auto"/>
        </w:rPr>
      </w:pPr>
    </w:p>
    <w:p>
      <w:pPr>
        <w:ind w:right="540"/>
        <w:spacing w:after="0" w:line="290" w:lineRule="auto"/>
        <w:rPr>
          <w:sz w:val="20"/>
          <w:szCs w:val="20"/>
          <w:color w:val="auto"/>
        </w:rPr>
      </w:pPr>
      <w:r>
        <w:rPr>
          <w:rFonts w:ascii="Arial" w:cs="Arial" w:eastAsia="Arial" w:hAnsi="Arial"/>
          <w:sz w:val="20"/>
          <w:szCs w:val="20"/>
          <w:color w:val="auto"/>
        </w:rPr>
        <w:t>Certain of our critical accounting policies require the use of judgment in their application or require estimates of inherently uncertain matters. Although our accounting policies are in compliance with generally accepted accounting principles, a change in the facts and circumstances of the underlying transactions could significantly change the application of the accounting policies and the resulting financial statements. Listed below are those policies we believe are critical and require the use of complex judgment in their application.</w:t>
      </w:r>
    </w:p>
    <w:p>
      <w:pPr>
        <w:sectPr>
          <w:pgSz w:w="11880" w:h="15480" w:orient="portrait"/>
          <w:cols w:equalWidth="0" w:num="1">
            <w:col w:w="9360"/>
          </w:cols>
          <w:pgMar w:left="1260" w:top="1264"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59</w:t>
      </w:r>
    </w:p>
    <w:p>
      <w:pPr>
        <w:sectPr>
          <w:pgSz w:w="11880" w:h="15480" w:orient="portrait"/>
          <w:cols w:equalWidth="0" w:num="1">
            <w:col w:w="9360"/>
          </w:cols>
          <w:pgMar w:left="1260" w:top="1264" w:right="1260" w:bottom="0" w:gutter="0" w:footer="0" w:header="0"/>
          <w:type w:val="continuous"/>
        </w:sectPr>
      </w:pPr>
    </w:p>
    <w:bookmarkStart w:id="67" w:name="page68"/>
    <w:bookmarkEnd w:id="67"/>
    <w:p>
      <w:pPr>
        <w:spacing w:after="0"/>
        <w:rPr>
          <w:sz w:val="20"/>
          <w:szCs w:val="20"/>
          <w:color w:val="auto"/>
        </w:rPr>
      </w:pPr>
      <w:r>
        <w:rPr>
          <w:rFonts w:ascii="Arial" w:cs="Arial" w:eastAsia="Arial" w:hAnsi="Arial"/>
          <w:sz w:val="22"/>
          <w:szCs w:val="22"/>
          <w:b w:val="1"/>
          <w:bCs w:val="1"/>
          <w:u w:val="single" w:color="auto"/>
          <w:color w:val="00085E"/>
        </w:rPr>
        <w:t>Goodwill</w:t>
      </w:r>
    </w:p>
    <w:p>
      <w:pPr>
        <w:spacing w:after="0" w:line="161" w:lineRule="exact"/>
        <w:rPr>
          <w:sz w:val="20"/>
          <w:szCs w:val="20"/>
          <w:color w:val="auto"/>
        </w:rPr>
      </w:pPr>
    </w:p>
    <w:p>
      <w:pPr>
        <w:ind w:right="40"/>
        <w:spacing w:after="0" w:line="303" w:lineRule="auto"/>
        <w:rPr>
          <w:sz w:val="20"/>
          <w:szCs w:val="20"/>
          <w:color w:val="auto"/>
        </w:rPr>
      </w:pPr>
      <w:r>
        <w:rPr>
          <w:rFonts w:ascii="Arial" w:cs="Arial" w:eastAsia="Arial" w:hAnsi="Arial"/>
          <w:sz w:val="20"/>
          <w:szCs w:val="20"/>
          <w:color w:val="auto"/>
        </w:rPr>
        <w:t>We assess Goodwill for impairment annually in the fourth quarter of our fiscal year, or more frequently when indicators of impairment exist. Impairment testing for Goodwill is done at the reporting unit, which is consistent with our reportable segments.</w:t>
      </w:r>
    </w:p>
    <w:p>
      <w:pPr>
        <w:spacing w:after="0" w:line="59" w:lineRule="exact"/>
        <w:rPr>
          <w:sz w:val="20"/>
          <w:szCs w:val="20"/>
          <w:color w:val="auto"/>
        </w:rPr>
      </w:pPr>
    </w:p>
    <w:p>
      <w:pPr>
        <w:spacing w:after="0" w:line="286" w:lineRule="auto"/>
        <w:rPr>
          <w:sz w:val="20"/>
          <w:szCs w:val="20"/>
          <w:color w:val="auto"/>
        </w:rPr>
      </w:pPr>
      <w:r>
        <w:rPr>
          <w:rFonts w:ascii="Arial" w:cs="Arial" w:eastAsia="Arial" w:hAnsi="Arial"/>
          <w:sz w:val="20"/>
          <w:szCs w:val="20"/>
          <w:color w:val="auto"/>
        </w:rPr>
        <w:t>Goodwill is considered impaired if the carrying value of the reporting unit exceeds its fair value. Prior to performing the Step 1 quantitative test, we may, at our discretion, perform an optional qualitative analysis, or we may choose to proceed directly to the Step 1 quantitative analysis. The qualitative test considers the impact of the following events and circumstances on the reporting unit being tested: macroeconomic conditions, industry and market considerations, cost factors, overall financial performance, and other relevant entity-specific events. If, as a result of this qualitative analysis, we conclude that it is more likely than not (a likelihood of greater than 50%) that the fair value of the reporting unit exceeds its carrying value, then an impairment does not exist, and the Step 1 quantitative test is not required. If we are unable to conclude that it is more likely than not that the fair value of the reporting unit exceeds its carrying value, then we proceed to the Step 1 quantitative test.</w:t>
      </w:r>
    </w:p>
    <w:p>
      <w:pPr>
        <w:spacing w:after="0" w:line="79" w:lineRule="exact"/>
        <w:rPr>
          <w:sz w:val="20"/>
          <w:szCs w:val="20"/>
          <w:color w:val="auto"/>
        </w:rPr>
      </w:pPr>
    </w:p>
    <w:p>
      <w:pPr>
        <w:ind w:right="80"/>
        <w:spacing w:after="0" w:line="290" w:lineRule="auto"/>
        <w:rPr>
          <w:sz w:val="20"/>
          <w:szCs w:val="20"/>
          <w:color w:val="auto"/>
        </w:rPr>
      </w:pPr>
      <w:r>
        <w:rPr>
          <w:rFonts w:ascii="Arial" w:cs="Arial" w:eastAsia="Arial" w:hAnsi="Arial"/>
          <w:sz w:val="20"/>
          <w:szCs w:val="20"/>
          <w:color w:val="auto"/>
        </w:rPr>
        <w:t>Step 1 of the quantitative test for impairment compares the fair value of the reporting unit to its carrying value. If the carrying value exceeds the fair value, then an impairment is indicated. If facts and circumstances related to our business change in subsequent years, we may choose to perform a quantitative analysis in those future years. If we perform a Step 1 test, and the carrying value of the reporting unit exceeds its fair value, then an impairment charge equal to the difference, not to exceed the total amount of Goodwill, is recorded.</w:t>
      </w:r>
    </w:p>
    <w:p>
      <w:pPr>
        <w:spacing w:after="0" w:line="73" w:lineRule="exact"/>
        <w:rPr>
          <w:sz w:val="20"/>
          <w:szCs w:val="20"/>
          <w:color w:val="auto"/>
        </w:rPr>
      </w:pPr>
    </w:p>
    <w:p>
      <w:pPr>
        <w:spacing w:after="0" w:line="289" w:lineRule="auto"/>
        <w:rPr>
          <w:sz w:val="20"/>
          <w:szCs w:val="20"/>
          <w:color w:val="auto"/>
        </w:rPr>
      </w:pPr>
      <w:r>
        <w:rPr>
          <w:rFonts w:ascii="Arial" w:cs="Arial" w:eastAsia="Arial" w:hAnsi="Arial"/>
          <w:sz w:val="20"/>
          <w:szCs w:val="20"/>
          <w:color w:val="auto"/>
        </w:rPr>
        <w:t>The fair values of the reporting units are estimated by using both the market and income approaches. The market approach considers market factors and certain multiples in comparison to similar companies, while the income approach uses discounted cash flows to determine the estimated fair values of the reporting units. Key assumptions in the model include estimated average net sales prices, sales volume, and the estimated weighted-average cost of capital specific to each industry. We also perform an overall comparison of all reporting units to our market capitalization to test the reasonableness of our fair value calculations.</w:t>
      </w:r>
    </w:p>
    <w:p>
      <w:pPr>
        <w:spacing w:after="0" w:line="71" w:lineRule="exact"/>
        <w:rPr>
          <w:sz w:val="20"/>
          <w:szCs w:val="20"/>
          <w:color w:val="auto"/>
        </w:rPr>
      </w:pPr>
    </w:p>
    <w:p>
      <w:pPr>
        <w:spacing w:after="0" w:line="303" w:lineRule="auto"/>
        <w:rPr>
          <w:sz w:val="20"/>
          <w:szCs w:val="20"/>
          <w:color w:val="auto"/>
        </w:rPr>
      </w:pPr>
      <w:r>
        <w:rPr>
          <w:rFonts w:ascii="Arial" w:cs="Arial" w:eastAsia="Arial" w:hAnsi="Arial"/>
          <w:sz w:val="19"/>
          <w:szCs w:val="19"/>
          <w:color w:val="auto"/>
        </w:rPr>
        <w:t>Determining the fair value of our reporting units involves the use of significant estimates and assumptions and considerable management judgment. We base our fair value estimates on assumptions we believe to be reasonable at the time, but such assumptions are subject to inherent uncertainty. The most important assumption underlying our estimates is the projection of construction spending in the U.S. over the next several years. Actual results may differ materially from those estimates. Changes in market conditions, market trends, interest rates, or other factors outside of our control, such as a worldwide pandemic, global energy crisis, or military conflict, could cause us to change key assumptions and our judgment about a reporting unit’s prospects. Similarly, in a specific period, a reporting unit could significantly underperform relative to its historical or projected future operating results. Either situation could result in a meaningfully different estimate of the fair value of our reporting units, and a consequent future impairment charge.</w:t>
      </w:r>
    </w:p>
    <w:p>
      <w:pPr>
        <w:sectPr>
          <w:pgSz w:w="11880" w:h="15480" w:orient="portrait"/>
          <w:cols w:equalWidth="0" w:num="1">
            <w:col w:w="9340"/>
          </w:cols>
          <w:pgMar w:left="1260" w:top="1243"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60</w:t>
      </w:r>
    </w:p>
    <w:p>
      <w:pPr>
        <w:sectPr>
          <w:pgSz w:w="11880" w:h="15480" w:orient="portrait"/>
          <w:cols w:equalWidth="0" w:num="1">
            <w:col w:w="9340"/>
          </w:cols>
          <w:pgMar w:left="1260" w:top="1243" w:right="1280" w:bottom="0" w:gutter="0" w:footer="0" w:header="0"/>
          <w:type w:val="continuous"/>
        </w:sectPr>
      </w:pPr>
    </w:p>
    <w:bookmarkStart w:id="68" w:name="page69"/>
    <w:bookmarkEnd w:id="68"/>
    <w:p>
      <w:pPr>
        <w:spacing w:after="0"/>
        <w:rPr>
          <w:sz w:val="20"/>
          <w:szCs w:val="20"/>
          <w:color w:val="auto"/>
        </w:rPr>
      </w:pPr>
      <w:r>
        <w:rPr>
          <w:rFonts w:ascii="Arial" w:cs="Arial" w:eastAsia="Arial" w:hAnsi="Arial"/>
          <w:sz w:val="20"/>
          <w:szCs w:val="20"/>
          <w:color w:val="auto"/>
        </w:rPr>
        <w:t>The segment breakdown of Goodwill at March 31, 2026, and 2025, was as follows.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jc w:val="right"/>
              <w:ind w:right="24"/>
              <w:spacing w:after="0"/>
              <w:rPr>
                <w:sz w:val="20"/>
                <w:szCs w:val="20"/>
                <w:color w:val="auto"/>
              </w:rPr>
            </w:pPr>
            <w:r>
              <w:rPr>
                <w:rFonts w:ascii="Arial Narrow" w:cs="Arial Narrow" w:eastAsia="Arial Narrow" w:hAnsi="Arial Narrow"/>
                <w:sz w:val="18"/>
                <w:szCs w:val="18"/>
                <w:b w:val="1"/>
                <w:bCs w:val="1"/>
                <w:color w:val="auto"/>
              </w:rPr>
              <w:t>2026</w:t>
            </w: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20" w:type="dxa"/>
            <w:vAlign w:val="bottom"/>
          </w:tcPr>
          <w:p>
            <w:pPr>
              <w:jc w:val="right"/>
              <w:ind w:right="2"/>
              <w:spacing w:after="0"/>
              <w:rPr>
                <w:sz w:val="20"/>
                <w:szCs w:val="20"/>
                <w:color w:val="auto"/>
              </w:rPr>
            </w:pPr>
            <w:r>
              <w:rPr>
                <w:rFonts w:ascii="Arial Narrow" w:cs="Arial Narrow" w:eastAsia="Arial Narrow" w:hAnsi="Arial Narrow"/>
                <w:sz w:val="18"/>
                <w:szCs w:val="18"/>
                <w:b w:val="1"/>
                <w:bCs w:val="1"/>
                <w:color w:val="auto"/>
              </w:rPr>
              <w:t>2025</w:t>
            </w:r>
          </w:p>
        </w:tc>
      </w:tr>
      <w:tr>
        <w:trPr>
          <w:trHeight w:val="233"/>
        </w:trPr>
        <w:tc>
          <w:tcPr>
            <w:tcW w:w="6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20" w:type="dxa"/>
            <w:vAlign w:val="bottom"/>
            <w:gridSpan w:val="3"/>
          </w:tcPr>
          <w:p>
            <w:pPr>
              <w:jc w:val="right"/>
              <w:ind w:right="140"/>
              <w:spacing w:after="0"/>
              <w:rPr>
                <w:sz w:val="20"/>
                <w:szCs w:val="20"/>
                <w:color w:val="auto"/>
              </w:rPr>
            </w:pPr>
            <w:r>
              <w:rPr>
                <w:rFonts w:ascii="Arial Narrow" w:cs="Arial Narrow" w:eastAsia="Arial Narrow" w:hAnsi="Arial Narrow"/>
                <w:sz w:val="16"/>
                <w:szCs w:val="16"/>
                <w:color w:val="auto"/>
              </w:rPr>
              <w:t>(dollars in thousands)</w:t>
            </w:r>
          </w:p>
        </w:tc>
        <w:tc>
          <w:tcPr>
            <w:tcW w:w="820" w:type="dxa"/>
            <w:vAlign w:val="bottom"/>
          </w:tcPr>
          <w:p>
            <w:pPr>
              <w:spacing w:after="0"/>
              <w:rPr>
                <w:sz w:val="20"/>
                <w:szCs w:val="20"/>
                <w:color w:val="auto"/>
              </w:rPr>
            </w:pPr>
          </w:p>
        </w:tc>
      </w:tr>
      <w:tr>
        <w:trPr>
          <w:trHeight w:val="48"/>
        </w:trPr>
        <w:tc>
          <w:tcPr>
            <w:tcW w:w="63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gridSpan w:val="2"/>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344"/>
        </w:trPr>
        <w:tc>
          <w:tcPr>
            <w:tcW w:w="6300" w:type="dxa"/>
            <w:vAlign w:val="bottom"/>
          </w:tcPr>
          <w:p>
            <w:pPr>
              <w:spacing w:after="0"/>
              <w:rPr>
                <w:sz w:val="20"/>
                <w:szCs w:val="20"/>
                <w:color w:val="auto"/>
              </w:rPr>
            </w:pPr>
            <w:r>
              <w:rPr>
                <w:rFonts w:ascii="Arial Narrow" w:cs="Arial Narrow" w:eastAsia="Arial Narrow" w:hAnsi="Arial Narrow"/>
                <w:sz w:val="20"/>
                <w:szCs w:val="20"/>
                <w:b w:val="1"/>
                <w:bCs w:val="1"/>
                <w:color w:val="2A64A7"/>
              </w:rPr>
              <w:t>Cement</w:t>
            </w:r>
          </w:p>
        </w:tc>
        <w:tc>
          <w:tcPr>
            <w:tcW w:w="420" w:type="dxa"/>
            <w:vAlign w:val="bottom"/>
          </w:tcPr>
          <w:p>
            <w:pPr>
              <w:jc w:val="right"/>
              <w:ind w:right="250"/>
              <w:spacing w:after="0"/>
              <w:rPr>
                <w:sz w:val="20"/>
                <w:szCs w:val="20"/>
                <w:color w:val="auto"/>
              </w:rPr>
            </w:pPr>
            <w:r>
              <w:rPr>
                <w:rFonts w:ascii="Arial Narrow" w:cs="Arial Narrow" w:eastAsia="Arial Narrow" w:hAnsi="Arial Narrow"/>
                <w:sz w:val="18"/>
                <w:szCs w:val="18"/>
                <w:color w:val="auto"/>
                <w:w w:val="72"/>
              </w:rPr>
              <w:t>$</w:t>
            </w:r>
          </w:p>
        </w:tc>
        <w:tc>
          <w:tcPr>
            <w:tcW w:w="1040" w:type="dxa"/>
            <w:vAlign w:val="bottom"/>
          </w:tcPr>
          <w:p>
            <w:pPr>
              <w:jc w:val="right"/>
              <w:ind w:right="24"/>
              <w:spacing w:after="0"/>
              <w:rPr>
                <w:sz w:val="20"/>
                <w:szCs w:val="20"/>
                <w:color w:val="auto"/>
              </w:rPr>
            </w:pPr>
            <w:r>
              <w:rPr>
                <w:rFonts w:ascii="Arial Narrow" w:cs="Arial Narrow" w:eastAsia="Arial Narrow" w:hAnsi="Arial Narrow"/>
                <w:sz w:val="20"/>
                <w:szCs w:val="20"/>
                <w:color w:val="auto"/>
              </w:rPr>
              <w:t>227,639</w:t>
            </w:r>
          </w:p>
        </w:tc>
        <w:tc>
          <w:tcPr>
            <w:tcW w:w="780" w:type="dxa"/>
            <w:vAlign w:val="bottom"/>
            <w:gridSpan w:val="2"/>
          </w:tcPr>
          <w:p>
            <w:pPr>
              <w:jc w:val="right"/>
              <w:ind w:right="540"/>
              <w:spacing w:after="0"/>
              <w:rPr>
                <w:sz w:val="20"/>
                <w:szCs w:val="20"/>
                <w:color w:val="auto"/>
              </w:rPr>
            </w:pPr>
            <w:r>
              <w:rPr>
                <w:rFonts w:ascii="Arial Narrow" w:cs="Arial Narrow" w:eastAsia="Arial Narrow" w:hAnsi="Arial Narrow"/>
                <w:sz w:val="20"/>
                <w:szCs w:val="20"/>
                <w:color w:val="auto"/>
              </w:rPr>
              <w:t>$</w:t>
            </w:r>
          </w:p>
        </w:tc>
        <w:tc>
          <w:tcPr>
            <w:tcW w:w="820" w:type="dxa"/>
            <w:vAlign w:val="bottom"/>
          </w:tcPr>
          <w:p>
            <w:pPr>
              <w:jc w:val="right"/>
              <w:ind w:right="2"/>
              <w:spacing w:after="0"/>
              <w:rPr>
                <w:sz w:val="20"/>
                <w:szCs w:val="20"/>
                <w:color w:val="auto"/>
              </w:rPr>
            </w:pPr>
            <w:r>
              <w:rPr>
                <w:rFonts w:ascii="Arial Narrow" w:cs="Arial Narrow" w:eastAsia="Arial Narrow" w:hAnsi="Arial Narrow"/>
                <w:sz w:val="20"/>
                <w:szCs w:val="20"/>
                <w:color w:val="auto"/>
              </w:rPr>
              <w:t>227,639</w:t>
            </w:r>
          </w:p>
        </w:tc>
      </w:tr>
      <w:tr>
        <w:trPr>
          <w:trHeight w:val="65"/>
        </w:trPr>
        <w:tc>
          <w:tcPr>
            <w:tcW w:w="6300" w:type="dxa"/>
            <w:vAlign w:val="bottom"/>
            <w:tcBorders>
              <w:bottom w:val="single" w:sz="8" w:color="A6A6A6"/>
            </w:tcBorders>
          </w:tcPr>
          <w:p>
            <w:pPr>
              <w:spacing w:after="0"/>
              <w:rPr>
                <w:sz w:val="5"/>
                <w:szCs w:val="5"/>
                <w:color w:val="auto"/>
              </w:rPr>
            </w:pPr>
          </w:p>
        </w:tc>
        <w:tc>
          <w:tcPr>
            <w:tcW w:w="420" w:type="dxa"/>
            <w:vAlign w:val="bottom"/>
            <w:tcBorders>
              <w:bottom w:val="single" w:sz="8" w:color="A6A6A6"/>
            </w:tcBorders>
          </w:tcPr>
          <w:p>
            <w:pPr>
              <w:spacing w:after="0"/>
              <w:rPr>
                <w:sz w:val="5"/>
                <w:szCs w:val="5"/>
                <w:color w:val="auto"/>
              </w:rPr>
            </w:pPr>
          </w:p>
        </w:tc>
        <w:tc>
          <w:tcPr>
            <w:tcW w:w="104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620" w:type="dxa"/>
            <w:vAlign w:val="bottom"/>
            <w:tcBorders>
              <w:bottom w:val="single" w:sz="8" w:color="A6A6A6"/>
            </w:tcBorders>
          </w:tcPr>
          <w:p>
            <w:pPr>
              <w:spacing w:after="0"/>
              <w:rPr>
                <w:sz w:val="5"/>
                <w:szCs w:val="5"/>
                <w:color w:val="auto"/>
              </w:rPr>
            </w:pPr>
          </w:p>
        </w:tc>
        <w:tc>
          <w:tcPr>
            <w:tcW w:w="820" w:type="dxa"/>
            <w:vAlign w:val="bottom"/>
            <w:tcBorders>
              <w:bottom w:val="single" w:sz="8" w:color="A6A6A6"/>
            </w:tcBorders>
          </w:tcPr>
          <w:p>
            <w:pPr>
              <w:spacing w:after="0"/>
              <w:rPr>
                <w:sz w:val="5"/>
                <w:szCs w:val="5"/>
                <w:color w:val="auto"/>
              </w:rPr>
            </w:pPr>
          </w:p>
        </w:tc>
      </w:tr>
      <w:tr>
        <w:trPr>
          <w:trHeight w:val="339"/>
        </w:trPr>
        <w:tc>
          <w:tcPr>
            <w:tcW w:w="6300" w:type="dxa"/>
            <w:vAlign w:val="bottom"/>
          </w:tcPr>
          <w:p>
            <w:pPr>
              <w:spacing w:after="0"/>
              <w:rPr>
                <w:sz w:val="20"/>
                <w:szCs w:val="20"/>
                <w:color w:val="auto"/>
              </w:rPr>
            </w:pPr>
            <w:r>
              <w:rPr>
                <w:rFonts w:ascii="Arial Narrow" w:cs="Arial Narrow" w:eastAsia="Arial Narrow" w:hAnsi="Arial Narrow"/>
                <w:sz w:val="20"/>
                <w:szCs w:val="20"/>
                <w:b w:val="1"/>
                <w:bCs w:val="1"/>
                <w:color w:val="43A8B4"/>
              </w:rPr>
              <w:t>Concrete and Aggregates</w:t>
            </w:r>
          </w:p>
        </w:tc>
        <w:tc>
          <w:tcPr>
            <w:tcW w:w="420" w:type="dxa"/>
            <w:vAlign w:val="bottom"/>
          </w:tcPr>
          <w:p>
            <w:pPr>
              <w:spacing w:after="0"/>
              <w:rPr>
                <w:sz w:val="24"/>
                <w:szCs w:val="24"/>
                <w:color w:val="auto"/>
              </w:rPr>
            </w:pPr>
          </w:p>
        </w:tc>
        <w:tc>
          <w:tcPr>
            <w:tcW w:w="1040" w:type="dxa"/>
            <w:vAlign w:val="bottom"/>
          </w:tcPr>
          <w:p>
            <w:pPr>
              <w:jc w:val="right"/>
              <w:ind w:right="24"/>
              <w:spacing w:after="0"/>
              <w:rPr>
                <w:sz w:val="20"/>
                <w:szCs w:val="20"/>
                <w:color w:val="auto"/>
              </w:rPr>
            </w:pPr>
            <w:r>
              <w:rPr>
                <w:rFonts w:ascii="Arial Narrow" w:cs="Arial Narrow" w:eastAsia="Arial Narrow" w:hAnsi="Arial Narrow"/>
                <w:sz w:val="20"/>
                <w:szCs w:val="20"/>
                <w:color w:val="auto"/>
              </w:rPr>
              <w:t>118,878</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jc w:val="right"/>
              <w:ind w:right="2"/>
              <w:spacing w:after="0"/>
              <w:rPr>
                <w:sz w:val="20"/>
                <w:szCs w:val="20"/>
                <w:color w:val="auto"/>
              </w:rPr>
            </w:pPr>
            <w:r>
              <w:rPr>
                <w:rFonts w:ascii="Arial Narrow" w:cs="Arial Narrow" w:eastAsia="Arial Narrow" w:hAnsi="Arial Narrow"/>
                <w:sz w:val="20"/>
                <w:szCs w:val="20"/>
                <w:color w:val="auto"/>
              </w:rPr>
              <w:t>118,099</w:t>
            </w:r>
          </w:p>
        </w:tc>
      </w:tr>
      <w:tr>
        <w:trPr>
          <w:trHeight w:val="65"/>
        </w:trPr>
        <w:tc>
          <w:tcPr>
            <w:tcW w:w="6300" w:type="dxa"/>
            <w:vAlign w:val="bottom"/>
            <w:tcBorders>
              <w:bottom w:val="single" w:sz="8" w:color="A6A6A6"/>
            </w:tcBorders>
          </w:tcPr>
          <w:p>
            <w:pPr>
              <w:spacing w:after="0"/>
              <w:rPr>
                <w:sz w:val="5"/>
                <w:szCs w:val="5"/>
                <w:color w:val="auto"/>
              </w:rPr>
            </w:pPr>
          </w:p>
        </w:tc>
        <w:tc>
          <w:tcPr>
            <w:tcW w:w="420" w:type="dxa"/>
            <w:vAlign w:val="bottom"/>
            <w:tcBorders>
              <w:bottom w:val="single" w:sz="8" w:color="A6A6A6"/>
            </w:tcBorders>
          </w:tcPr>
          <w:p>
            <w:pPr>
              <w:spacing w:after="0"/>
              <w:rPr>
                <w:sz w:val="5"/>
                <w:szCs w:val="5"/>
                <w:color w:val="auto"/>
              </w:rPr>
            </w:pPr>
          </w:p>
        </w:tc>
        <w:tc>
          <w:tcPr>
            <w:tcW w:w="104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620" w:type="dxa"/>
            <w:vAlign w:val="bottom"/>
            <w:tcBorders>
              <w:bottom w:val="single" w:sz="8" w:color="A6A6A6"/>
            </w:tcBorders>
          </w:tcPr>
          <w:p>
            <w:pPr>
              <w:spacing w:after="0"/>
              <w:rPr>
                <w:sz w:val="5"/>
                <w:szCs w:val="5"/>
                <w:color w:val="auto"/>
              </w:rPr>
            </w:pPr>
          </w:p>
        </w:tc>
        <w:tc>
          <w:tcPr>
            <w:tcW w:w="820" w:type="dxa"/>
            <w:vAlign w:val="bottom"/>
            <w:tcBorders>
              <w:bottom w:val="single" w:sz="8" w:color="A6A6A6"/>
            </w:tcBorders>
          </w:tcPr>
          <w:p>
            <w:pPr>
              <w:spacing w:after="0"/>
              <w:rPr>
                <w:sz w:val="5"/>
                <w:szCs w:val="5"/>
                <w:color w:val="auto"/>
              </w:rPr>
            </w:pPr>
          </w:p>
        </w:tc>
      </w:tr>
      <w:tr>
        <w:trPr>
          <w:trHeight w:val="339"/>
        </w:trPr>
        <w:tc>
          <w:tcPr>
            <w:tcW w:w="6300" w:type="dxa"/>
            <w:vAlign w:val="bottom"/>
          </w:tcPr>
          <w:p>
            <w:pPr>
              <w:spacing w:after="0"/>
              <w:rPr>
                <w:sz w:val="20"/>
                <w:szCs w:val="20"/>
                <w:color w:val="auto"/>
              </w:rPr>
            </w:pPr>
            <w:r>
              <w:rPr>
                <w:rFonts w:ascii="Arial Narrow" w:cs="Arial Narrow" w:eastAsia="Arial Narrow" w:hAnsi="Arial Narrow"/>
                <w:sz w:val="20"/>
                <w:szCs w:val="20"/>
                <w:b w:val="1"/>
                <w:bCs w:val="1"/>
                <w:color w:val="5F7D1D"/>
              </w:rPr>
              <w:t>Gypsum Wallboard</w:t>
            </w:r>
          </w:p>
        </w:tc>
        <w:tc>
          <w:tcPr>
            <w:tcW w:w="420" w:type="dxa"/>
            <w:vAlign w:val="bottom"/>
          </w:tcPr>
          <w:p>
            <w:pPr>
              <w:spacing w:after="0"/>
              <w:rPr>
                <w:sz w:val="24"/>
                <w:szCs w:val="24"/>
                <w:color w:val="auto"/>
              </w:rPr>
            </w:pPr>
          </w:p>
        </w:tc>
        <w:tc>
          <w:tcPr>
            <w:tcW w:w="1040" w:type="dxa"/>
            <w:vAlign w:val="bottom"/>
          </w:tcPr>
          <w:p>
            <w:pPr>
              <w:jc w:val="right"/>
              <w:ind w:right="24"/>
              <w:spacing w:after="0"/>
              <w:rPr>
                <w:sz w:val="20"/>
                <w:szCs w:val="20"/>
                <w:color w:val="auto"/>
              </w:rPr>
            </w:pPr>
            <w:r>
              <w:rPr>
                <w:rFonts w:ascii="Arial Narrow" w:cs="Arial Narrow" w:eastAsia="Arial Narrow" w:hAnsi="Arial Narrow"/>
                <w:sz w:val="20"/>
                <w:szCs w:val="20"/>
                <w:color w:val="auto"/>
              </w:rPr>
              <w:t>116,618</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jc w:val="right"/>
              <w:ind w:right="2"/>
              <w:spacing w:after="0"/>
              <w:rPr>
                <w:sz w:val="20"/>
                <w:szCs w:val="20"/>
                <w:color w:val="auto"/>
              </w:rPr>
            </w:pPr>
            <w:r>
              <w:rPr>
                <w:rFonts w:ascii="Arial Narrow" w:cs="Arial Narrow" w:eastAsia="Arial Narrow" w:hAnsi="Arial Narrow"/>
                <w:sz w:val="20"/>
                <w:szCs w:val="20"/>
                <w:color w:val="auto"/>
              </w:rPr>
              <w:t>116,618</w:t>
            </w:r>
          </w:p>
        </w:tc>
      </w:tr>
      <w:tr>
        <w:trPr>
          <w:trHeight w:val="65"/>
        </w:trPr>
        <w:tc>
          <w:tcPr>
            <w:tcW w:w="6300" w:type="dxa"/>
            <w:vAlign w:val="bottom"/>
            <w:tcBorders>
              <w:bottom w:val="single" w:sz="8" w:color="A6A6A6"/>
            </w:tcBorders>
          </w:tcPr>
          <w:p>
            <w:pPr>
              <w:spacing w:after="0"/>
              <w:rPr>
                <w:sz w:val="5"/>
                <w:szCs w:val="5"/>
                <w:color w:val="auto"/>
              </w:rPr>
            </w:pPr>
          </w:p>
        </w:tc>
        <w:tc>
          <w:tcPr>
            <w:tcW w:w="420" w:type="dxa"/>
            <w:vAlign w:val="bottom"/>
            <w:tcBorders>
              <w:bottom w:val="single" w:sz="8" w:color="A6A6A6"/>
            </w:tcBorders>
          </w:tcPr>
          <w:p>
            <w:pPr>
              <w:spacing w:after="0"/>
              <w:rPr>
                <w:sz w:val="5"/>
                <w:szCs w:val="5"/>
                <w:color w:val="auto"/>
              </w:rPr>
            </w:pPr>
          </w:p>
        </w:tc>
        <w:tc>
          <w:tcPr>
            <w:tcW w:w="104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620" w:type="dxa"/>
            <w:vAlign w:val="bottom"/>
            <w:tcBorders>
              <w:bottom w:val="single" w:sz="8" w:color="A6A6A6"/>
            </w:tcBorders>
          </w:tcPr>
          <w:p>
            <w:pPr>
              <w:spacing w:after="0"/>
              <w:rPr>
                <w:sz w:val="5"/>
                <w:szCs w:val="5"/>
                <w:color w:val="auto"/>
              </w:rPr>
            </w:pPr>
          </w:p>
        </w:tc>
        <w:tc>
          <w:tcPr>
            <w:tcW w:w="820" w:type="dxa"/>
            <w:vAlign w:val="bottom"/>
            <w:tcBorders>
              <w:bottom w:val="single" w:sz="8" w:color="A6A6A6"/>
            </w:tcBorders>
          </w:tcPr>
          <w:p>
            <w:pPr>
              <w:spacing w:after="0"/>
              <w:rPr>
                <w:sz w:val="5"/>
                <w:szCs w:val="5"/>
                <w:color w:val="auto"/>
              </w:rPr>
            </w:pPr>
          </w:p>
        </w:tc>
      </w:tr>
      <w:tr>
        <w:trPr>
          <w:trHeight w:val="339"/>
        </w:trPr>
        <w:tc>
          <w:tcPr>
            <w:tcW w:w="6300" w:type="dxa"/>
            <w:vAlign w:val="bottom"/>
          </w:tcPr>
          <w:p>
            <w:pPr>
              <w:spacing w:after="0"/>
              <w:rPr>
                <w:sz w:val="20"/>
                <w:szCs w:val="20"/>
                <w:color w:val="auto"/>
              </w:rPr>
            </w:pPr>
            <w:r>
              <w:rPr>
                <w:rFonts w:ascii="Arial Narrow" w:cs="Arial Narrow" w:eastAsia="Arial Narrow" w:hAnsi="Arial Narrow"/>
                <w:sz w:val="20"/>
                <w:szCs w:val="20"/>
                <w:b w:val="1"/>
                <w:bCs w:val="1"/>
                <w:color w:val="7BB25C"/>
              </w:rPr>
              <w:t>Recycled Paperboard</w:t>
            </w:r>
          </w:p>
        </w:tc>
        <w:tc>
          <w:tcPr>
            <w:tcW w:w="420" w:type="dxa"/>
            <w:vAlign w:val="bottom"/>
          </w:tcPr>
          <w:p>
            <w:pPr>
              <w:spacing w:after="0"/>
              <w:rPr>
                <w:sz w:val="24"/>
                <w:szCs w:val="24"/>
                <w:color w:val="auto"/>
              </w:rPr>
            </w:pPr>
          </w:p>
        </w:tc>
        <w:tc>
          <w:tcPr>
            <w:tcW w:w="1040" w:type="dxa"/>
            <w:vAlign w:val="bottom"/>
          </w:tcPr>
          <w:p>
            <w:pPr>
              <w:jc w:val="right"/>
              <w:ind w:right="24"/>
              <w:spacing w:after="0"/>
              <w:rPr>
                <w:sz w:val="20"/>
                <w:szCs w:val="20"/>
                <w:color w:val="auto"/>
              </w:rPr>
            </w:pPr>
            <w:r>
              <w:rPr>
                <w:rFonts w:ascii="Arial Narrow" w:cs="Arial Narrow" w:eastAsia="Arial Narrow" w:hAnsi="Arial Narrow"/>
                <w:sz w:val="20"/>
                <w:szCs w:val="20"/>
                <w:color w:val="auto"/>
              </w:rPr>
              <w:t>7,538</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jc w:val="right"/>
              <w:ind w:right="2"/>
              <w:spacing w:after="0"/>
              <w:rPr>
                <w:sz w:val="20"/>
                <w:szCs w:val="20"/>
                <w:color w:val="auto"/>
              </w:rPr>
            </w:pPr>
            <w:r>
              <w:rPr>
                <w:rFonts w:ascii="Arial Narrow" w:cs="Arial Narrow" w:eastAsia="Arial Narrow" w:hAnsi="Arial Narrow"/>
                <w:sz w:val="20"/>
                <w:szCs w:val="20"/>
                <w:color w:val="auto"/>
              </w:rPr>
              <w:t>7,538</w:t>
            </w:r>
          </w:p>
        </w:tc>
      </w:tr>
      <w:tr>
        <w:trPr>
          <w:trHeight w:val="90"/>
        </w:trPr>
        <w:tc>
          <w:tcPr>
            <w:tcW w:w="6300" w:type="dxa"/>
            <w:vAlign w:val="bottom"/>
            <w:tcBorders>
              <w:bottom w:val="single" w:sz="8" w:color="A6A6A6"/>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r>
      <w:tr>
        <w:trPr>
          <w:trHeight w:val="344"/>
        </w:trPr>
        <w:tc>
          <w:tcPr>
            <w:tcW w:w="6300" w:type="dxa"/>
            <w:vAlign w:val="bottom"/>
          </w:tcPr>
          <w:p>
            <w:pPr>
              <w:spacing w:after="0"/>
              <w:rPr>
                <w:sz w:val="24"/>
                <w:szCs w:val="24"/>
                <w:color w:val="auto"/>
              </w:rPr>
            </w:pPr>
          </w:p>
        </w:tc>
        <w:tc>
          <w:tcPr>
            <w:tcW w:w="420" w:type="dxa"/>
            <w:vAlign w:val="bottom"/>
          </w:tcPr>
          <w:p>
            <w:pPr>
              <w:jc w:val="right"/>
              <w:ind w:right="250"/>
              <w:spacing w:after="0"/>
              <w:rPr>
                <w:sz w:val="20"/>
                <w:szCs w:val="20"/>
                <w:color w:val="auto"/>
              </w:rPr>
            </w:pPr>
            <w:r>
              <w:rPr>
                <w:rFonts w:ascii="Arial Narrow" w:cs="Arial Narrow" w:eastAsia="Arial Narrow" w:hAnsi="Arial Narrow"/>
                <w:sz w:val="18"/>
                <w:szCs w:val="18"/>
                <w:b w:val="1"/>
                <w:bCs w:val="1"/>
                <w:color w:val="auto"/>
                <w:w w:val="72"/>
              </w:rPr>
              <w:t>$</w:t>
            </w:r>
          </w:p>
        </w:tc>
        <w:tc>
          <w:tcPr>
            <w:tcW w:w="1040" w:type="dxa"/>
            <w:vAlign w:val="bottom"/>
          </w:tcPr>
          <w:p>
            <w:pPr>
              <w:jc w:val="right"/>
              <w:ind w:right="24"/>
              <w:spacing w:after="0"/>
              <w:rPr>
                <w:sz w:val="20"/>
                <w:szCs w:val="20"/>
                <w:color w:val="auto"/>
              </w:rPr>
            </w:pPr>
            <w:r>
              <w:rPr>
                <w:rFonts w:ascii="Arial Narrow" w:cs="Arial Narrow" w:eastAsia="Arial Narrow" w:hAnsi="Arial Narrow"/>
                <w:sz w:val="20"/>
                <w:szCs w:val="20"/>
                <w:b w:val="1"/>
                <w:bCs w:val="1"/>
                <w:color w:val="auto"/>
              </w:rPr>
              <w:t>470,673</w:t>
            </w:r>
          </w:p>
        </w:tc>
        <w:tc>
          <w:tcPr>
            <w:tcW w:w="780" w:type="dxa"/>
            <w:vAlign w:val="bottom"/>
            <w:gridSpan w:val="2"/>
          </w:tcPr>
          <w:p>
            <w:pPr>
              <w:jc w:val="right"/>
              <w:ind w:right="540"/>
              <w:spacing w:after="0"/>
              <w:rPr>
                <w:sz w:val="20"/>
                <w:szCs w:val="20"/>
                <w:color w:val="auto"/>
              </w:rPr>
            </w:pPr>
            <w:r>
              <w:rPr>
                <w:rFonts w:ascii="Arial Narrow" w:cs="Arial Narrow" w:eastAsia="Arial Narrow" w:hAnsi="Arial Narrow"/>
                <w:sz w:val="20"/>
                <w:szCs w:val="20"/>
                <w:b w:val="1"/>
                <w:bCs w:val="1"/>
                <w:color w:val="auto"/>
              </w:rPr>
              <w:t>$</w:t>
            </w:r>
          </w:p>
        </w:tc>
        <w:tc>
          <w:tcPr>
            <w:tcW w:w="820" w:type="dxa"/>
            <w:vAlign w:val="bottom"/>
          </w:tcPr>
          <w:p>
            <w:pPr>
              <w:jc w:val="right"/>
              <w:ind w:right="2"/>
              <w:spacing w:after="0"/>
              <w:rPr>
                <w:sz w:val="20"/>
                <w:szCs w:val="20"/>
                <w:color w:val="auto"/>
              </w:rPr>
            </w:pPr>
            <w:r>
              <w:rPr>
                <w:rFonts w:ascii="Arial Narrow" w:cs="Arial Narrow" w:eastAsia="Arial Narrow" w:hAnsi="Arial Narrow"/>
                <w:sz w:val="20"/>
                <w:szCs w:val="20"/>
                <w:b w:val="1"/>
                <w:bCs w:val="1"/>
                <w:color w:val="auto"/>
              </w:rPr>
              <w:t>469,894</w:t>
            </w:r>
          </w:p>
        </w:tc>
      </w:tr>
      <w:tr>
        <w:trPr>
          <w:trHeight w:val="65"/>
        </w:trPr>
        <w:tc>
          <w:tcPr>
            <w:tcW w:w="6300" w:type="dxa"/>
            <w:vAlign w:val="bottom"/>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r>
      <w:tr>
        <w:trPr>
          <w:trHeight w:val="20"/>
        </w:trPr>
        <w:tc>
          <w:tcPr>
            <w:tcW w:w="6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085E"/>
        </w:rPr>
        <w:t>Business Combinations</w:t>
      </w:r>
    </w:p>
    <w:p>
      <w:pPr>
        <w:spacing w:after="0" w:line="154" w:lineRule="exact"/>
        <w:rPr>
          <w:sz w:val="20"/>
          <w:szCs w:val="20"/>
          <w:color w:val="auto"/>
        </w:rPr>
      </w:pPr>
    </w:p>
    <w:p>
      <w:pPr>
        <w:ind w:right="20"/>
        <w:spacing w:after="0" w:line="286" w:lineRule="auto"/>
        <w:rPr>
          <w:sz w:val="20"/>
          <w:szCs w:val="20"/>
          <w:color w:val="auto"/>
        </w:rPr>
      </w:pPr>
      <w:r>
        <w:rPr>
          <w:rFonts w:ascii="Arial" w:cs="Arial" w:eastAsia="Arial" w:hAnsi="Arial"/>
          <w:sz w:val="20"/>
          <w:szCs w:val="20"/>
          <w:color w:val="auto"/>
        </w:rPr>
        <w:t>The acquisition method of accounting requires that we recognize the assets acquired and liabilities assumed at their acquisition date fair values. Goodwill is measured as the excess of consideration transferred over the acquisition date net fair values of the assets acquired and the liabilities assumed. The purchase price allocation is a critical accounting policy because the estimation of fair values of acquired assets and assumed liabilities is judgmental and requires various assumptions. Further, the amounts and useful lives assigned to depreciable and amortizable assets versus amounts assigned to Goodwill, which is not amortized, can significantly affect the results of operations in the period of and for periods subsequent to a business combination. Although independent appraisals may be used to assist in the determination of the fair values of certain assets and liabilities, the appraised values are usually based on significant estimates provided by management, such as forecasted revenue or profit, and the replacement cost and useful lives of the acquired property, plant, and equipment.</w:t>
      </w:r>
    </w:p>
    <w:p>
      <w:pPr>
        <w:spacing w:after="0" w:line="75" w:lineRule="exact"/>
        <w:rPr>
          <w:sz w:val="20"/>
          <w:szCs w:val="20"/>
          <w:color w:val="auto"/>
        </w:rPr>
      </w:pPr>
    </w:p>
    <w:p>
      <w:pPr>
        <w:ind w:right="220"/>
        <w:spacing w:after="0" w:line="292" w:lineRule="auto"/>
        <w:rPr>
          <w:sz w:val="20"/>
          <w:szCs w:val="20"/>
          <w:color w:val="auto"/>
        </w:rPr>
      </w:pPr>
      <w:r>
        <w:rPr>
          <w:rFonts w:ascii="Arial" w:cs="Arial" w:eastAsia="Arial" w:hAnsi="Arial"/>
          <w:sz w:val="20"/>
          <w:szCs w:val="20"/>
          <w:color w:val="auto"/>
        </w:rPr>
        <w:t>Fair value is the price that would be received to sell an asset or paid to transfer a liability in an orderly transaction and therefore represents an exit price. A fair value measurement assumes the highest and best use of the asset by market participants, considering the use of the asset that is physically possible, legally permissible, and financially feasible at the measurement date. We assign the highest level of fair value available to assets acquired and liabilities assumed based on the following options:</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Level 1 </w:t>
      </w:r>
      <w:r>
        <w:rPr>
          <w:rFonts w:ascii="Arial" w:cs="Arial" w:eastAsia="Arial" w:hAnsi="Arial"/>
          <w:sz w:val="20"/>
          <w:szCs w:val="20"/>
          <w:color w:val="auto"/>
        </w:rPr>
        <w:t>– Quoted prices in active markets for identical assets and liabilities.</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Level 2 </w:t>
      </w:r>
      <w:r>
        <w:rPr>
          <w:rFonts w:ascii="Arial" w:cs="Arial" w:eastAsia="Arial" w:hAnsi="Arial"/>
          <w:sz w:val="20"/>
          <w:szCs w:val="20"/>
          <w:color w:val="auto"/>
        </w:rPr>
        <w:t>– Observable inputs, other than quoted prices, for similar assets or liabilities in active markets.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Level 3 </w:t>
      </w:r>
      <w:r>
        <w:rPr>
          <w:rFonts w:ascii="Arial" w:cs="Arial" w:eastAsia="Arial" w:hAnsi="Arial"/>
          <w:sz w:val="20"/>
          <w:szCs w:val="20"/>
          <w:color w:val="auto"/>
        </w:rPr>
        <w:t>– Unobservable inputs, which includes the use of valuation models.</w:t>
      </w:r>
    </w:p>
    <w:p>
      <w:pPr>
        <w:spacing w:after="0" w:line="160" w:lineRule="exact"/>
        <w:rPr>
          <w:sz w:val="20"/>
          <w:szCs w:val="20"/>
          <w:color w:val="auto"/>
        </w:rPr>
      </w:pPr>
    </w:p>
    <w:p>
      <w:pPr>
        <w:ind w:right="340"/>
        <w:spacing w:after="0" w:line="303" w:lineRule="auto"/>
        <w:rPr>
          <w:sz w:val="20"/>
          <w:szCs w:val="20"/>
          <w:color w:val="auto"/>
        </w:rPr>
      </w:pPr>
      <w:r>
        <w:rPr>
          <w:rFonts w:ascii="Arial" w:cs="Arial" w:eastAsia="Arial" w:hAnsi="Arial"/>
          <w:sz w:val="20"/>
          <w:szCs w:val="20"/>
          <w:color w:val="auto"/>
        </w:rPr>
        <w:t>Level 2 fair values are typically used to value acquired receivables, inventories, machinery and equipment, land, buildings, deferred income tax assets and liabilities, and accruals for payables, asset retirement obligations, and contingencies.</w:t>
      </w:r>
    </w:p>
    <w:p>
      <w:pPr>
        <w:spacing w:after="0" w:line="59" w:lineRule="exact"/>
        <w:rPr>
          <w:sz w:val="20"/>
          <w:szCs w:val="20"/>
          <w:color w:val="auto"/>
        </w:rPr>
      </w:pPr>
    </w:p>
    <w:p>
      <w:pPr>
        <w:ind w:right="460"/>
        <w:spacing w:after="0" w:line="325" w:lineRule="auto"/>
        <w:rPr>
          <w:sz w:val="20"/>
          <w:szCs w:val="20"/>
          <w:color w:val="auto"/>
        </w:rPr>
      </w:pPr>
      <w:r>
        <w:rPr>
          <w:rFonts w:ascii="Arial" w:cs="Arial" w:eastAsia="Arial" w:hAnsi="Arial"/>
          <w:sz w:val="20"/>
          <w:szCs w:val="20"/>
          <w:color w:val="auto"/>
        </w:rPr>
        <w:t>Level 3 inputs are used to estimate the fair value of acquired mineral reserves, mineral interests, and separately identifiable intangible assets.</w:t>
      </w:r>
    </w:p>
    <w:p>
      <w:pPr>
        <w:sectPr>
          <w:pgSz w:w="11880" w:h="15480" w:orient="portrait"/>
          <w:cols w:equalWidth="0" w:num="1">
            <w:col w:w="9360"/>
          </w:cols>
          <w:pgMar w:left="1260" w:top="1267"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61</w:t>
      </w:r>
    </w:p>
    <w:p>
      <w:pPr>
        <w:sectPr>
          <w:pgSz w:w="11880" w:h="15480" w:orient="portrait"/>
          <w:cols w:equalWidth="0" w:num="1">
            <w:col w:w="9360"/>
          </w:cols>
          <w:pgMar w:left="1260" w:top="1267" w:right="1260" w:bottom="0" w:gutter="0" w:footer="0" w:header="0"/>
          <w:type w:val="continuous"/>
        </w:sectPr>
      </w:pPr>
    </w:p>
    <w:bookmarkStart w:id="69" w:name="page70"/>
    <w:bookmarkEnd w:id="69"/>
    <w:p>
      <w:pPr>
        <w:spacing w:after="0" w:line="296" w:lineRule="auto"/>
        <w:rPr>
          <w:sz w:val="20"/>
          <w:szCs w:val="20"/>
          <w:color w:val="auto"/>
        </w:rPr>
      </w:pPr>
      <w:r>
        <w:rPr>
          <w:rFonts w:ascii="Arial" w:cs="Arial" w:eastAsia="Arial" w:hAnsi="Arial"/>
          <w:sz w:val="20"/>
          <w:szCs w:val="20"/>
          <w:color w:val="auto"/>
        </w:rPr>
        <w:t>In determining the fair value of property, plant, and equipment, replacement cost, adjusted for the age and condition of the acquired machinery and equipment, is used. The replacement cost is based on estimates of current cost to construct similar machinery and equipment and is compared to amounts paid for similar assets in market transactions for consistency.</w:t>
      </w:r>
    </w:p>
    <w:p>
      <w:pPr>
        <w:spacing w:after="0" w:line="65" w:lineRule="exact"/>
        <w:rPr>
          <w:sz w:val="20"/>
          <w:szCs w:val="20"/>
          <w:color w:val="auto"/>
        </w:rPr>
      </w:pPr>
    </w:p>
    <w:p>
      <w:pPr>
        <w:ind w:right="60"/>
        <w:spacing w:after="0" w:line="289" w:lineRule="auto"/>
        <w:rPr>
          <w:sz w:val="20"/>
          <w:szCs w:val="20"/>
          <w:color w:val="auto"/>
        </w:rPr>
      </w:pPr>
      <w:r>
        <w:rPr>
          <w:rFonts w:ascii="Arial" w:cs="Arial" w:eastAsia="Arial" w:hAnsi="Arial"/>
          <w:sz w:val="20"/>
          <w:szCs w:val="20"/>
          <w:color w:val="auto"/>
        </w:rPr>
        <w:t>In determining the fair value of intangible assets, an income approach is generally used and may incorporate the use of a discounted cash flow method. In applying the discounted cash flow analysis, the estimated future cash flows and residual values for each intangible asset are discounted to a present value using a discount rate based on an estimated weighted-average cost of capital for the building materials industry. These cash flow projections are based on management’s estimates of economic and market conditions including revenue growth rates, operating margins, capital expenditures, customer attrition rates, and working capital requirements.</w:t>
      </w:r>
    </w:p>
    <w:p>
      <w:pPr>
        <w:spacing w:after="0" w:line="71" w:lineRule="exact"/>
        <w:rPr>
          <w:sz w:val="20"/>
          <w:szCs w:val="20"/>
          <w:color w:val="auto"/>
        </w:rPr>
      </w:pPr>
    </w:p>
    <w:p>
      <w:pPr>
        <w:ind w:right="220"/>
        <w:spacing w:after="0" w:line="289" w:lineRule="auto"/>
        <w:rPr>
          <w:sz w:val="20"/>
          <w:szCs w:val="20"/>
          <w:color w:val="auto"/>
        </w:rPr>
      </w:pPr>
      <w:r>
        <w:rPr>
          <w:rFonts w:ascii="Arial" w:cs="Arial" w:eastAsia="Arial" w:hAnsi="Arial"/>
          <w:sz w:val="20"/>
          <w:szCs w:val="20"/>
          <w:color w:val="auto"/>
        </w:rPr>
        <w:t>While we use our best estimates and assumptions as part of the process to value assets acquired and liabilities assumed at the acquisition date, our estimates are inherently uncertain and subject to refinement. During the measurement period, which occurs before finalization of the purchase price allocation, changes in assumptions and estimates that result in adjustments to the fair values of assets acquired and liabilities assumed are recorded on a retroactive basis as of the acquisition date, with the corresponding offset to Goodwill. Any adjustments subsequent to the conclusion of the measurement period will be recorded on our Consolidated Statements of Earnings.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00085E"/>
        </w:rPr>
        <w:t>LIQUIDITY AND CAPITAL RESOURCES</w:t>
      </w:r>
    </w:p>
    <w:p>
      <w:pPr>
        <w:spacing w:after="0" w:line="163" w:lineRule="exact"/>
        <w:rPr>
          <w:sz w:val="20"/>
          <w:szCs w:val="20"/>
          <w:color w:val="auto"/>
        </w:rPr>
      </w:pPr>
    </w:p>
    <w:p>
      <w:pPr>
        <w:ind w:right="40"/>
        <w:spacing w:after="0" w:line="304" w:lineRule="auto"/>
        <w:rPr>
          <w:sz w:val="20"/>
          <w:szCs w:val="20"/>
          <w:color w:val="auto"/>
        </w:rPr>
      </w:pPr>
      <w:r>
        <w:rPr>
          <w:rFonts w:ascii="Arial" w:cs="Arial" w:eastAsia="Arial" w:hAnsi="Arial"/>
          <w:sz w:val="19"/>
          <w:szCs w:val="19"/>
          <w:color w:val="auto"/>
        </w:rPr>
        <w:t>We believe we have access at the present time to sufficient financial resources from our liquidity sources to fund our business and operations, including contractual obligations, capital expenditures, and debt service obligations, for at least the next 12 months. In the long term, we intend to rely on our existing financial resources, together with borrowings under existing and future credit facilities and potential offerings of our securities in private or public markets. We regularly monitor any potential disruptions to the economy, and to our operations, particularly changing fiscal policy or economic conditions affecting our industries. Please see the Debt Financing Activities section below for a discussion of our revolving credit facility and the amount of borrowings available to us in the next 12 month period.</w:t>
      </w:r>
    </w:p>
    <w:p>
      <w:pPr>
        <w:sectPr>
          <w:pgSz w:w="11880" w:h="15480" w:orient="portrait"/>
          <w:cols w:equalWidth="0" w:num="1">
            <w:col w:w="9280"/>
          </w:cols>
          <w:pgMar w:left="1260" w:top="1267" w:right="13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62</w:t>
      </w:r>
    </w:p>
    <w:p>
      <w:pPr>
        <w:sectPr>
          <w:pgSz w:w="11880" w:h="15480" w:orient="portrait"/>
          <w:cols w:equalWidth="0" w:num="1">
            <w:col w:w="9280"/>
          </w:cols>
          <w:pgMar w:left="1260" w:top="1267" w:right="1340" w:bottom="0" w:gutter="0" w:footer="0" w:header="0"/>
          <w:type w:val="continuous"/>
        </w:sectPr>
      </w:pPr>
    </w:p>
    <w:bookmarkStart w:id="70" w:name="page71"/>
    <w:bookmarkEnd w:id="70"/>
    <w:p>
      <w:pPr>
        <w:spacing w:after="0"/>
        <w:rPr>
          <w:sz w:val="20"/>
          <w:szCs w:val="20"/>
          <w:color w:val="auto"/>
        </w:rPr>
      </w:pPr>
      <w:r>
        <w:rPr>
          <w:rFonts w:ascii="Arial" w:cs="Arial" w:eastAsia="Arial" w:hAnsi="Arial"/>
          <w:sz w:val="22"/>
          <w:szCs w:val="22"/>
          <w:b w:val="1"/>
          <w:bCs w:val="1"/>
          <w:u w:val="single" w:color="auto"/>
          <w:color w:val="00085E"/>
        </w:rPr>
        <w:t>Cash Flow</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provides a summary of our Cash Flows.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5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80" w:type="dxa"/>
            <w:vAlign w:val="bottom"/>
            <w:gridSpan w:val="4"/>
          </w:tcPr>
          <w:p>
            <w:pPr>
              <w:jc w:val="right"/>
              <w:ind w:right="221"/>
              <w:spacing w:after="0"/>
              <w:rPr>
                <w:sz w:val="20"/>
                <w:szCs w:val="20"/>
                <w:color w:val="auto"/>
              </w:rPr>
            </w:pPr>
            <w:r>
              <w:rPr>
                <w:rFonts w:ascii="Arial Narrow" w:cs="Arial Narrow" w:eastAsia="Arial Narrow" w:hAnsi="Arial Narrow"/>
                <w:sz w:val="18"/>
                <w:szCs w:val="18"/>
                <w:b w:val="1"/>
                <w:bCs w:val="1"/>
                <w:color w:val="auto"/>
              </w:rPr>
              <w:t>For the Fiscal Years Ended March 31,</w:t>
            </w:r>
          </w:p>
        </w:tc>
        <w:tc>
          <w:tcPr>
            <w:tcW w:w="80" w:type="dxa"/>
            <w:vAlign w:val="bottom"/>
          </w:tcPr>
          <w:p>
            <w:pPr>
              <w:spacing w:after="0"/>
              <w:rPr>
                <w:sz w:val="22"/>
                <w:szCs w:val="22"/>
                <w:color w:val="auto"/>
              </w:rPr>
            </w:pPr>
          </w:p>
        </w:tc>
      </w:tr>
      <w:tr>
        <w:trPr>
          <w:trHeight w:val="21"/>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269"/>
        </w:trPr>
        <w:tc>
          <w:tcPr>
            <w:tcW w:w="5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20" w:type="dxa"/>
            <w:vAlign w:val="bottom"/>
          </w:tcPr>
          <w:p>
            <w:pPr>
              <w:jc w:val="right"/>
              <w:ind w:right="162"/>
              <w:spacing w:after="0"/>
              <w:rPr>
                <w:sz w:val="20"/>
                <w:szCs w:val="20"/>
                <w:color w:val="auto"/>
              </w:rPr>
            </w:pPr>
            <w:r>
              <w:rPr>
                <w:rFonts w:ascii="Arial Narrow" w:cs="Arial Narrow" w:eastAsia="Arial Narrow" w:hAnsi="Arial Narrow"/>
                <w:sz w:val="18"/>
                <w:szCs w:val="18"/>
                <w:b w:val="1"/>
                <w:bCs w:val="1"/>
                <w:color w:val="auto"/>
              </w:rPr>
              <w:t>2026</w:t>
            </w: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80" w:type="dxa"/>
            <w:vAlign w:val="bottom"/>
          </w:tcPr>
          <w:p>
            <w:pPr>
              <w:jc w:val="right"/>
              <w:ind w:right="21"/>
              <w:spacing w:after="0"/>
              <w:rPr>
                <w:sz w:val="20"/>
                <w:szCs w:val="20"/>
                <w:color w:val="auto"/>
              </w:rPr>
            </w:pPr>
            <w:r>
              <w:rPr>
                <w:rFonts w:ascii="Arial Narrow" w:cs="Arial Narrow" w:eastAsia="Arial Narrow" w:hAnsi="Arial Narrow"/>
                <w:sz w:val="18"/>
                <w:szCs w:val="18"/>
                <w:b w:val="1"/>
                <w:bCs w:val="1"/>
                <w:color w:val="auto"/>
              </w:rPr>
              <w:t>2025</w:t>
            </w:r>
          </w:p>
        </w:tc>
        <w:tc>
          <w:tcPr>
            <w:tcW w:w="80" w:type="dxa"/>
            <w:vAlign w:val="bottom"/>
          </w:tcPr>
          <w:p>
            <w:pPr>
              <w:spacing w:after="0"/>
              <w:rPr>
                <w:sz w:val="23"/>
                <w:szCs w:val="23"/>
                <w:color w:val="auto"/>
              </w:rPr>
            </w:pPr>
          </w:p>
        </w:tc>
      </w:tr>
      <w:tr>
        <w:trPr>
          <w:trHeight w:val="21"/>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244"/>
        </w:trPr>
        <w:tc>
          <w:tcPr>
            <w:tcW w:w="5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0" w:type="dxa"/>
            <w:vAlign w:val="bottom"/>
            <w:gridSpan w:val="3"/>
          </w:tcPr>
          <w:p>
            <w:pPr>
              <w:jc w:val="right"/>
              <w:ind w:right="120"/>
              <w:spacing w:after="0"/>
              <w:rPr>
                <w:sz w:val="20"/>
                <w:szCs w:val="20"/>
                <w:color w:val="auto"/>
              </w:rPr>
            </w:pPr>
            <w:r>
              <w:rPr>
                <w:rFonts w:ascii="Arial Narrow" w:cs="Arial Narrow" w:eastAsia="Arial Narrow" w:hAnsi="Arial Narrow"/>
                <w:sz w:val="16"/>
                <w:szCs w:val="16"/>
                <w:color w:val="auto"/>
              </w:rPr>
              <w:t>(dollars in thousands)</w:t>
            </w: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48"/>
        </w:trPr>
        <w:tc>
          <w:tcPr>
            <w:tcW w:w="59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gridSpan w:val="2"/>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344"/>
        </w:trPr>
        <w:tc>
          <w:tcPr>
            <w:tcW w:w="5960" w:type="dxa"/>
            <w:vAlign w:val="bottom"/>
          </w:tcPr>
          <w:p>
            <w:pPr>
              <w:spacing w:after="0"/>
              <w:rPr>
                <w:sz w:val="20"/>
                <w:szCs w:val="20"/>
                <w:color w:val="auto"/>
              </w:rPr>
            </w:pPr>
            <w:r>
              <w:rPr>
                <w:rFonts w:ascii="Arial Narrow" w:cs="Arial Narrow" w:eastAsia="Arial Narrow" w:hAnsi="Arial Narrow"/>
                <w:sz w:val="20"/>
                <w:szCs w:val="20"/>
                <w:b w:val="1"/>
                <w:bCs w:val="1"/>
                <w:color w:val="00085E"/>
              </w:rPr>
              <w:t>Net Cash Provided by Operating Activities</w:t>
            </w:r>
          </w:p>
        </w:tc>
        <w:tc>
          <w:tcPr>
            <w:tcW w:w="240" w:type="dxa"/>
            <w:vAlign w:val="bottom"/>
          </w:tcPr>
          <w:p>
            <w:pPr>
              <w:jc w:val="right"/>
              <w:ind w:right="70"/>
              <w:spacing w:after="0"/>
              <w:rPr>
                <w:sz w:val="20"/>
                <w:szCs w:val="20"/>
                <w:color w:val="auto"/>
              </w:rPr>
            </w:pPr>
            <w:r>
              <w:rPr>
                <w:rFonts w:ascii="Arial Narrow" w:cs="Arial Narrow" w:eastAsia="Arial Narrow" w:hAnsi="Arial Narrow"/>
                <w:sz w:val="18"/>
                <w:szCs w:val="18"/>
                <w:b w:val="1"/>
                <w:bCs w:val="1"/>
                <w:color w:val="auto"/>
                <w:w w:val="72"/>
              </w:rPr>
              <w:t>$</w:t>
            </w:r>
          </w:p>
        </w:tc>
        <w:tc>
          <w:tcPr>
            <w:tcW w:w="1420" w:type="dxa"/>
            <w:vAlign w:val="bottom"/>
          </w:tcPr>
          <w:p>
            <w:pPr>
              <w:jc w:val="right"/>
              <w:ind w:right="162"/>
              <w:spacing w:after="0"/>
              <w:rPr>
                <w:sz w:val="20"/>
                <w:szCs w:val="20"/>
                <w:color w:val="auto"/>
              </w:rPr>
            </w:pPr>
            <w:r>
              <w:rPr>
                <w:rFonts w:ascii="Arial Narrow" w:cs="Arial Narrow" w:eastAsia="Arial Narrow" w:hAnsi="Arial Narrow"/>
                <w:sz w:val="20"/>
                <w:szCs w:val="20"/>
                <w:b w:val="1"/>
                <w:bCs w:val="1"/>
                <w:color w:val="auto"/>
              </w:rPr>
              <w:t>614,166</w:t>
            </w:r>
          </w:p>
        </w:tc>
        <w:tc>
          <w:tcPr>
            <w:tcW w:w="780" w:type="dxa"/>
            <w:vAlign w:val="bottom"/>
            <w:gridSpan w:val="2"/>
          </w:tcPr>
          <w:p>
            <w:pPr>
              <w:jc w:val="right"/>
              <w:ind w:right="540"/>
              <w:spacing w:after="0"/>
              <w:rPr>
                <w:sz w:val="20"/>
                <w:szCs w:val="20"/>
                <w:color w:val="auto"/>
              </w:rPr>
            </w:pPr>
            <w:r>
              <w:rPr>
                <w:rFonts w:ascii="Arial Narrow" w:cs="Arial Narrow" w:eastAsia="Arial Narrow" w:hAnsi="Arial Narrow"/>
                <w:sz w:val="20"/>
                <w:szCs w:val="20"/>
                <w:b w:val="1"/>
                <w:bCs w:val="1"/>
                <w:color w:val="auto"/>
              </w:rPr>
              <w:t>$</w:t>
            </w:r>
          </w:p>
        </w:tc>
        <w:tc>
          <w:tcPr>
            <w:tcW w:w="880" w:type="dxa"/>
            <w:vAlign w:val="bottom"/>
          </w:tcPr>
          <w:p>
            <w:pPr>
              <w:jc w:val="right"/>
              <w:ind w:right="21"/>
              <w:spacing w:after="0"/>
              <w:rPr>
                <w:sz w:val="20"/>
                <w:szCs w:val="20"/>
                <w:color w:val="auto"/>
              </w:rPr>
            </w:pPr>
            <w:r>
              <w:rPr>
                <w:rFonts w:ascii="Arial Narrow" w:cs="Arial Narrow" w:eastAsia="Arial Narrow" w:hAnsi="Arial Narrow"/>
                <w:sz w:val="20"/>
                <w:szCs w:val="20"/>
                <w:b w:val="1"/>
                <w:bCs w:val="1"/>
                <w:color w:val="auto"/>
              </w:rPr>
              <w:t>548,548</w:t>
            </w:r>
          </w:p>
        </w:tc>
        <w:tc>
          <w:tcPr>
            <w:tcW w:w="80" w:type="dxa"/>
            <w:vAlign w:val="bottom"/>
          </w:tcPr>
          <w:p>
            <w:pPr>
              <w:spacing w:after="0"/>
              <w:rPr>
                <w:sz w:val="24"/>
                <w:szCs w:val="24"/>
                <w:color w:val="auto"/>
              </w:rPr>
            </w:pPr>
          </w:p>
        </w:tc>
      </w:tr>
      <w:tr>
        <w:trPr>
          <w:trHeight w:val="65"/>
        </w:trPr>
        <w:tc>
          <w:tcPr>
            <w:tcW w:w="5960" w:type="dxa"/>
            <w:vAlign w:val="bottom"/>
            <w:tcBorders>
              <w:bottom w:val="single" w:sz="8" w:color="A6A6A6"/>
            </w:tcBorders>
          </w:tcPr>
          <w:p>
            <w:pPr>
              <w:spacing w:after="0"/>
              <w:rPr>
                <w:sz w:val="5"/>
                <w:szCs w:val="5"/>
                <w:color w:val="auto"/>
              </w:rPr>
            </w:pPr>
          </w:p>
        </w:tc>
        <w:tc>
          <w:tcPr>
            <w:tcW w:w="240" w:type="dxa"/>
            <w:vAlign w:val="bottom"/>
            <w:tcBorders>
              <w:bottom w:val="single" w:sz="8" w:color="A6A6A6"/>
            </w:tcBorders>
          </w:tcPr>
          <w:p>
            <w:pPr>
              <w:spacing w:after="0"/>
              <w:rPr>
                <w:sz w:val="5"/>
                <w:szCs w:val="5"/>
                <w:color w:val="auto"/>
              </w:rPr>
            </w:pPr>
          </w:p>
        </w:tc>
        <w:tc>
          <w:tcPr>
            <w:tcW w:w="142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620" w:type="dxa"/>
            <w:vAlign w:val="bottom"/>
            <w:tcBorders>
              <w:bottom w:val="single" w:sz="8" w:color="A6A6A6"/>
            </w:tcBorders>
          </w:tcPr>
          <w:p>
            <w:pPr>
              <w:spacing w:after="0"/>
              <w:rPr>
                <w:sz w:val="5"/>
                <w:szCs w:val="5"/>
                <w:color w:val="auto"/>
              </w:rPr>
            </w:pPr>
          </w:p>
        </w:tc>
        <w:tc>
          <w:tcPr>
            <w:tcW w:w="88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r>
      <w:tr>
        <w:trPr>
          <w:trHeight w:val="339"/>
        </w:trPr>
        <w:tc>
          <w:tcPr>
            <w:tcW w:w="5960" w:type="dxa"/>
            <w:vAlign w:val="bottom"/>
          </w:tcPr>
          <w:p>
            <w:pPr>
              <w:spacing w:after="0"/>
              <w:rPr>
                <w:sz w:val="20"/>
                <w:szCs w:val="20"/>
                <w:color w:val="auto"/>
              </w:rPr>
            </w:pPr>
            <w:r>
              <w:rPr>
                <w:rFonts w:ascii="Arial Narrow" w:cs="Arial Narrow" w:eastAsia="Arial Narrow" w:hAnsi="Arial Narrow"/>
                <w:sz w:val="20"/>
                <w:szCs w:val="20"/>
                <w:b w:val="1"/>
                <w:bCs w:val="1"/>
                <w:color w:val="00085E"/>
              </w:rPr>
              <w:t>Investing Activities:</w:t>
            </w: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5"/>
        </w:trPr>
        <w:tc>
          <w:tcPr>
            <w:tcW w:w="5960" w:type="dxa"/>
            <w:vAlign w:val="bottom"/>
            <w:tcBorders>
              <w:bottom w:val="single" w:sz="8" w:color="A6A6A6"/>
            </w:tcBorders>
          </w:tcPr>
          <w:p>
            <w:pPr>
              <w:spacing w:after="0"/>
              <w:rPr>
                <w:sz w:val="5"/>
                <w:szCs w:val="5"/>
                <w:color w:val="auto"/>
              </w:rPr>
            </w:pPr>
          </w:p>
        </w:tc>
        <w:tc>
          <w:tcPr>
            <w:tcW w:w="240" w:type="dxa"/>
            <w:vAlign w:val="bottom"/>
            <w:tcBorders>
              <w:bottom w:val="single" w:sz="8" w:color="A6A6A6"/>
            </w:tcBorders>
          </w:tcPr>
          <w:p>
            <w:pPr>
              <w:spacing w:after="0"/>
              <w:rPr>
                <w:sz w:val="5"/>
                <w:szCs w:val="5"/>
                <w:color w:val="auto"/>
              </w:rPr>
            </w:pPr>
          </w:p>
        </w:tc>
        <w:tc>
          <w:tcPr>
            <w:tcW w:w="142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620" w:type="dxa"/>
            <w:vAlign w:val="bottom"/>
            <w:tcBorders>
              <w:bottom w:val="single" w:sz="8" w:color="A6A6A6"/>
            </w:tcBorders>
          </w:tcPr>
          <w:p>
            <w:pPr>
              <w:spacing w:after="0"/>
              <w:rPr>
                <w:sz w:val="5"/>
                <w:szCs w:val="5"/>
                <w:color w:val="auto"/>
              </w:rPr>
            </w:pPr>
          </w:p>
        </w:tc>
        <w:tc>
          <w:tcPr>
            <w:tcW w:w="88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r>
      <w:tr>
        <w:trPr>
          <w:trHeight w:val="339"/>
        </w:trPr>
        <w:tc>
          <w:tcPr>
            <w:tcW w:w="5960" w:type="dxa"/>
            <w:vAlign w:val="bottom"/>
          </w:tcPr>
          <w:p>
            <w:pPr>
              <w:ind w:left="200"/>
              <w:spacing w:after="0"/>
              <w:rPr>
                <w:sz w:val="20"/>
                <w:szCs w:val="20"/>
                <w:color w:val="auto"/>
              </w:rPr>
            </w:pPr>
            <w:r>
              <w:rPr>
                <w:rFonts w:ascii="Arial Narrow" w:cs="Arial Narrow" w:eastAsia="Arial Narrow" w:hAnsi="Arial Narrow"/>
                <w:sz w:val="20"/>
                <w:szCs w:val="20"/>
                <w:b w:val="1"/>
                <w:bCs w:val="1"/>
                <w:color w:val="00085E"/>
              </w:rPr>
              <w:t>Additions to Property, Plant, and Equipment</w:t>
            </w:r>
          </w:p>
        </w:tc>
        <w:tc>
          <w:tcPr>
            <w:tcW w:w="240" w:type="dxa"/>
            <w:vAlign w:val="bottom"/>
          </w:tcPr>
          <w:p>
            <w:pPr>
              <w:spacing w:after="0"/>
              <w:rPr>
                <w:sz w:val="24"/>
                <w:szCs w:val="24"/>
                <w:color w:val="auto"/>
              </w:rPr>
            </w:pPr>
          </w:p>
        </w:tc>
        <w:tc>
          <w:tcPr>
            <w:tcW w:w="1420" w:type="dxa"/>
            <w:vAlign w:val="bottom"/>
          </w:tcPr>
          <w:p>
            <w:pPr>
              <w:jc w:val="right"/>
              <w:ind w:right="102"/>
              <w:spacing w:after="0"/>
              <w:rPr>
                <w:sz w:val="20"/>
                <w:szCs w:val="20"/>
                <w:color w:val="auto"/>
              </w:rPr>
            </w:pPr>
            <w:r>
              <w:rPr>
                <w:rFonts w:ascii="Arial Narrow" w:cs="Arial Narrow" w:eastAsia="Arial Narrow" w:hAnsi="Arial Narrow"/>
                <w:sz w:val="20"/>
                <w:szCs w:val="20"/>
                <w:color w:val="auto"/>
              </w:rPr>
              <w:t>(416,739)</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Narrow" w:cs="Arial Narrow" w:eastAsia="Arial Narrow" w:hAnsi="Arial Narrow"/>
                <w:sz w:val="20"/>
                <w:szCs w:val="20"/>
                <w:color w:val="auto"/>
              </w:rPr>
              <w:t>(195,281)</w:t>
            </w:r>
          </w:p>
        </w:tc>
        <w:tc>
          <w:tcPr>
            <w:tcW w:w="80" w:type="dxa"/>
            <w:vAlign w:val="bottom"/>
          </w:tcPr>
          <w:p>
            <w:pPr>
              <w:spacing w:after="0"/>
              <w:rPr>
                <w:sz w:val="24"/>
                <w:szCs w:val="24"/>
                <w:color w:val="auto"/>
              </w:rPr>
            </w:pPr>
          </w:p>
        </w:tc>
      </w:tr>
      <w:tr>
        <w:trPr>
          <w:trHeight w:val="65"/>
        </w:trPr>
        <w:tc>
          <w:tcPr>
            <w:tcW w:w="5960" w:type="dxa"/>
            <w:vAlign w:val="bottom"/>
            <w:tcBorders>
              <w:bottom w:val="single" w:sz="8" w:color="A6A6A6"/>
            </w:tcBorders>
          </w:tcPr>
          <w:p>
            <w:pPr>
              <w:spacing w:after="0"/>
              <w:rPr>
                <w:sz w:val="5"/>
                <w:szCs w:val="5"/>
                <w:color w:val="auto"/>
              </w:rPr>
            </w:pPr>
          </w:p>
        </w:tc>
        <w:tc>
          <w:tcPr>
            <w:tcW w:w="240" w:type="dxa"/>
            <w:vAlign w:val="bottom"/>
            <w:tcBorders>
              <w:bottom w:val="single" w:sz="8" w:color="A6A6A6"/>
            </w:tcBorders>
          </w:tcPr>
          <w:p>
            <w:pPr>
              <w:spacing w:after="0"/>
              <w:rPr>
                <w:sz w:val="5"/>
                <w:szCs w:val="5"/>
                <w:color w:val="auto"/>
              </w:rPr>
            </w:pPr>
          </w:p>
        </w:tc>
        <w:tc>
          <w:tcPr>
            <w:tcW w:w="142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620" w:type="dxa"/>
            <w:vAlign w:val="bottom"/>
            <w:tcBorders>
              <w:bottom w:val="single" w:sz="8" w:color="A6A6A6"/>
            </w:tcBorders>
          </w:tcPr>
          <w:p>
            <w:pPr>
              <w:spacing w:after="0"/>
              <w:rPr>
                <w:sz w:val="5"/>
                <w:szCs w:val="5"/>
                <w:color w:val="auto"/>
              </w:rPr>
            </w:pPr>
          </w:p>
        </w:tc>
        <w:tc>
          <w:tcPr>
            <w:tcW w:w="88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r>
      <w:tr>
        <w:trPr>
          <w:trHeight w:val="339"/>
        </w:trPr>
        <w:tc>
          <w:tcPr>
            <w:tcW w:w="5960" w:type="dxa"/>
            <w:vAlign w:val="bottom"/>
          </w:tcPr>
          <w:p>
            <w:pPr>
              <w:ind w:left="200"/>
              <w:spacing w:after="0"/>
              <w:rPr>
                <w:sz w:val="20"/>
                <w:szCs w:val="20"/>
                <w:color w:val="auto"/>
              </w:rPr>
            </w:pPr>
            <w:r>
              <w:rPr>
                <w:rFonts w:ascii="Arial Narrow" w:cs="Arial Narrow" w:eastAsia="Arial Narrow" w:hAnsi="Arial Narrow"/>
                <w:sz w:val="20"/>
                <w:szCs w:val="20"/>
                <w:b w:val="1"/>
                <w:bCs w:val="1"/>
                <w:color w:val="00085E"/>
              </w:rPr>
              <w:t>Minority Investment</w:t>
            </w:r>
          </w:p>
        </w:tc>
        <w:tc>
          <w:tcPr>
            <w:tcW w:w="240" w:type="dxa"/>
            <w:vAlign w:val="bottom"/>
          </w:tcPr>
          <w:p>
            <w:pPr>
              <w:spacing w:after="0"/>
              <w:rPr>
                <w:sz w:val="24"/>
                <w:szCs w:val="24"/>
                <w:color w:val="auto"/>
              </w:rPr>
            </w:pPr>
          </w:p>
        </w:tc>
        <w:tc>
          <w:tcPr>
            <w:tcW w:w="1420" w:type="dxa"/>
            <w:vAlign w:val="bottom"/>
          </w:tcPr>
          <w:p>
            <w:pPr>
              <w:jc w:val="right"/>
              <w:ind w:right="102"/>
              <w:spacing w:after="0"/>
              <w:rPr>
                <w:sz w:val="20"/>
                <w:szCs w:val="20"/>
                <w:color w:val="auto"/>
              </w:rPr>
            </w:pPr>
            <w:r>
              <w:rPr>
                <w:rFonts w:ascii="Arial Narrow" w:cs="Arial Narrow" w:eastAsia="Arial Narrow" w:hAnsi="Arial Narrow"/>
                <w:sz w:val="20"/>
                <w:szCs w:val="20"/>
                <w:color w:val="auto"/>
              </w:rPr>
              <w:t>(15,000)</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jc w:val="right"/>
              <w:ind w:right="21"/>
              <w:spacing w:after="0"/>
              <w:rPr>
                <w:sz w:val="20"/>
                <w:szCs w:val="20"/>
                <w:color w:val="auto"/>
              </w:rPr>
            </w:pPr>
            <w:r>
              <w:rPr>
                <w:rFonts w:ascii="Arial Narrow" w:cs="Arial Narrow" w:eastAsia="Arial Narrow" w:hAnsi="Arial Narrow"/>
                <w:sz w:val="20"/>
                <w:szCs w:val="20"/>
                <w:color w:val="auto"/>
              </w:rPr>
              <w:t>—</w:t>
            </w:r>
          </w:p>
        </w:tc>
        <w:tc>
          <w:tcPr>
            <w:tcW w:w="80" w:type="dxa"/>
            <w:vAlign w:val="bottom"/>
          </w:tcPr>
          <w:p>
            <w:pPr>
              <w:spacing w:after="0"/>
              <w:rPr>
                <w:sz w:val="24"/>
                <w:szCs w:val="24"/>
                <w:color w:val="auto"/>
              </w:rPr>
            </w:pPr>
          </w:p>
        </w:tc>
      </w:tr>
      <w:tr>
        <w:trPr>
          <w:trHeight w:val="65"/>
        </w:trPr>
        <w:tc>
          <w:tcPr>
            <w:tcW w:w="5960" w:type="dxa"/>
            <w:vAlign w:val="bottom"/>
            <w:tcBorders>
              <w:bottom w:val="single" w:sz="8" w:color="A6A6A6"/>
            </w:tcBorders>
          </w:tcPr>
          <w:p>
            <w:pPr>
              <w:spacing w:after="0"/>
              <w:rPr>
                <w:sz w:val="5"/>
                <w:szCs w:val="5"/>
                <w:color w:val="auto"/>
              </w:rPr>
            </w:pPr>
          </w:p>
        </w:tc>
        <w:tc>
          <w:tcPr>
            <w:tcW w:w="240" w:type="dxa"/>
            <w:vAlign w:val="bottom"/>
            <w:tcBorders>
              <w:bottom w:val="single" w:sz="8" w:color="A6A6A6"/>
            </w:tcBorders>
          </w:tcPr>
          <w:p>
            <w:pPr>
              <w:spacing w:after="0"/>
              <w:rPr>
                <w:sz w:val="5"/>
                <w:szCs w:val="5"/>
                <w:color w:val="auto"/>
              </w:rPr>
            </w:pPr>
          </w:p>
        </w:tc>
        <w:tc>
          <w:tcPr>
            <w:tcW w:w="142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620" w:type="dxa"/>
            <w:vAlign w:val="bottom"/>
            <w:tcBorders>
              <w:bottom w:val="single" w:sz="8" w:color="A6A6A6"/>
            </w:tcBorders>
          </w:tcPr>
          <w:p>
            <w:pPr>
              <w:spacing w:after="0"/>
              <w:rPr>
                <w:sz w:val="5"/>
                <w:szCs w:val="5"/>
                <w:color w:val="auto"/>
              </w:rPr>
            </w:pPr>
          </w:p>
        </w:tc>
        <w:tc>
          <w:tcPr>
            <w:tcW w:w="88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r>
      <w:tr>
        <w:trPr>
          <w:trHeight w:val="339"/>
        </w:trPr>
        <w:tc>
          <w:tcPr>
            <w:tcW w:w="5960" w:type="dxa"/>
            <w:vAlign w:val="bottom"/>
          </w:tcPr>
          <w:p>
            <w:pPr>
              <w:ind w:left="200"/>
              <w:spacing w:after="0"/>
              <w:rPr>
                <w:sz w:val="20"/>
                <w:szCs w:val="20"/>
                <w:color w:val="auto"/>
              </w:rPr>
            </w:pPr>
            <w:r>
              <w:rPr>
                <w:rFonts w:ascii="Arial Narrow" w:cs="Arial Narrow" w:eastAsia="Arial Narrow" w:hAnsi="Arial Narrow"/>
                <w:sz w:val="20"/>
                <w:szCs w:val="20"/>
                <w:b w:val="1"/>
                <w:bCs w:val="1"/>
                <w:color w:val="00085E"/>
              </w:rPr>
              <w:t>Acquisition Spending</w:t>
            </w:r>
          </w:p>
        </w:tc>
        <w:tc>
          <w:tcPr>
            <w:tcW w:w="240" w:type="dxa"/>
            <w:vAlign w:val="bottom"/>
          </w:tcPr>
          <w:p>
            <w:pPr>
              <w:spacing w:after="0"/>
              <w:rPr>
                <w:sz w:val="24"/>
                <w:szCs w:val="24"/>
                <w:color w:val="auto"/>
              </w:rPr>
            </w:pPr>
          </w:p>
        </w:tc>
        <w:tc>
          <w:tcPr>
            <w:tcW w:w="1420" w:type="dxa"/>
            <w:vAlign w:val="bottom"/>
          </w:tcPr>
          <w:p>
            <w:pPr>
              <w:jc w:val="right"/>
              <w:ind w:right="162"/>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Narrow" w:cs="Arial Narrow" w:eastAsia="Arial Narrow" w:hAnsi="Arial Narrow"/>
                <w:sz w:val="20"/>
                <w:szCs w:val="20"/>
                <w:color w:val="auto"/>
              </w:rPr>
              <w:t>(174,850)</w:t>
            </w:r>
          </w:p>
        </w:tc>
        <w:tc>
          <w:tcPr>
            <w:tcW w:w="80" w:type="dxa"/>
            <w:vAlign w:val="bottom"/>
          </w:tcPr>
          <w:p>
            <w:pPr>
              <w:spacing w:after="0"/>
              <w:rPr>
                <w:sz w:val="24"/>
                <w:szCs w:val="24"/>
                <w:color w:val="auto"/>
              </w:rPr>
            </w:pPr>
          </w:p>
        </w:tc>
      </w:tr>
      <w:tr>
        <w:trPr>
          <w:trHeight w:val="90"/>
        </w:trPr>
        <w:tc>
          <w:tcPr>
            <w:tcW w:w="5960" w:type="dxa"/>
            <w:vAlign w:val="bottom"/>
            <w:tcBorders>
              <w:bottom w:val="single" w:sz="8" w:color="A6A6A6"/>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r>
      <w:tr>
        <w:trPr>
          <w:trHeight w:val="344"/>
        </w:trPr>
        <w:tc>
          <w:tcPr>
            <w:tcW w:w="5960" w:type="dxa"/>
            <w:vAlign w:val="bottom"/>
          </w:tcPr>
          <w:p>
            <w:pPr>
              <w:spacing w:after="0"/>
              <w:rPr>
                <w:sz w:val="20"/>
                <w:szCs w:val="20"/>
                <w:color w:val="auto"/>
              </w:rPr>
            </w:pPr>
            <w:r>
              <w:rPr>
                <w:rFonts w:ascii="Arial Narrow" w:cs="Arial Narrow" w:eastAsia="Arial Narrow" w:hAnsi="Arial Narrow"/>
                <w:sz w:val="20"/>
                <w:szCs w:val="20"/>
                <w:b w:val="1"/>
                <w:bCs w:val="1"/>
                <w:color w:val="00085E"/>
              </w:rPr>
              <w:t>Net Cash Used in Investing Activities</w:t>
            </w:r>
          </w:p>
        </w:tc>
        <w:tc>
          <w:tcPr>
            <w:tcW w:w="240" w:type="dxa"/>
            <w:vAlign w:val="bottom"/>
          </w:tcPr>
          <w:p>
            <w:pPr>
              <w:spacing w:after="0"/>
              <w:rPr>
                <w:sz w:val="24"/>
                <w:szCs w:val="24"/>
                <w:color w:val="auto"/>
              </w:rPr>
            </w:pPr>
          </w:p>
        </w:tc>
        <w:tc>
          <w:tcPr>
            <w:tcW w:w="1420" w:type="dxa"/>
            <w:vAlign w:val="bottom"/>
          </w:tcPr>
          <w:p>
            <w:pPr>
              <w:jc w:val="right"/>
              <w:ind w:right="102"/>
              <w:spacing w:after="0"/>
              <w:rPr>
                <w:sz w:val="20"/>
                <w:szCs w:val="20"/>
                <w:color w:val="auto"/>
              </w:rPr>
            </w:pPr>
            <w:r>
              <w:rPr>
                <w:rFonts w:ascii="Arial Narrow" w:cs="Arial Narrow" w:eastAsia="Arial Narrow" w:hAnsi="Arial Narrow"/>
                <w:sz w:val="20"/>
                <w:szCs w:val="20"/>
                <w:b w:val="1"/>
                <w:bCs w:val="1"/>
                <w:color w:val="auto"/>
              </w:rPr>
              <w:t>(431,739)</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Narrow" w:cs="Arial Narrow" w:eastAsia="Arial Narrow" w:hAnsi="Arial Narrow"/>
                <w:sz w:val="20"/>
                <w:szCs w:val="20"/>
                <w:b w:val="1"/>
                <w:bCs w:val="1"/>
                <w:color w:val="auto"/>
              </w:rPr>
              <w:t>(370,131)</w:t>
            </w:r>
          </w:p>
        </w:tc>
        <w:tc>
          <w:tcPr>
            <w:tcW w:w="80" w:type="dxa"/>
            <w:vAlign w:val="bottom"/>
          </w:tcPr>
          <w:p>
            <w:pPr>
              <w:spacing w:after="0"/>
              <w:rPr>
                <w:sz w:val="24"/>
                <w:szCs w:val="24"/>
                <w:color w:val="auto"/>
              </w:rPr>
            </w:pPr>
          </w:p>
        </w:tc>
      </w:tr>
      <w:tr>
        <w:trPr>
          <w:trHeight w:val="90"/>
        </w:trPr>
        <w:tc>
          <w:tcPr>
            <w:tcW w:w="5960" w:type="dxa"/>
            <w:vAlign w:val="bottom"/>
            <w:tcBorders>
              <w:bottom w:val="single" w:sz="8" w:color="A6A6A6"/>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r>
      <w:tr>
        <w:trPr>
          <w:trHeight w:val="344"/>
        </w:trPr>
        <w:tc>
          <w:tcPr>
            <w:tcW w:w="5960" w:type="dxa"/>
            <w:vAlign w:val="bottom"/>
          </w:tcPr>
          <w:p>
            <w:pPr>
              <w:spacing w:after="0"/>
              <w:rPr>
                <w:sz w:val="20"/>
                <w:szCs w:val="20"/>
                <w:color w:val="auto"/>
              </w:rPr>
            </w:pPr>
            <w:r>
              <w:rPr>
                <w:rFonts w:ascii="Arial Narrow" w:cs="Arial Narrow" w:eastAsia="Arial Narrow" w:hAnsi="Arial Narrow"/>
                <w:sz w:val="20"/>
                <w:szCs w:val="20"/>
                <w:b w:val="1"/>
                <w:bCs w:val="1"/>
                <w:color w:val="00085E"/>
              </w:rPr>
              <w:t>Financing Activities:</w:t>
            </w: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5"/>
        </w:trPr>
        <w:tc>
          <w:tcPr>
            <w:tcW w:w="5960" w:type="dxa"/>
            <w:vAlign w:val="bottom"/>
            <w:tcBorders>
              <w:bottom w:val="single" w:sz="8" w:color="A6A6A6"/>
            </w:tcBorders>
          </w:tcPr>
          <w:p>
            <w:pPr>
              <w:spacing w:after="0"/>
              <w:rPr>
                <w:sz w:val="5"/>
                <w:szCs w:val="5"/>
                <w:color w:val="auto"/>
              </w:rPr>
            </w:pPr>
          </w:p>
        </w:tc>
        <w:tc>
          <w:tcPr>
            <w:tcW w:w="240" w:type="dxa"/>
            <w:vAlign w:val="bottom"/>
            <w:tcBorders>
              <w:bottom w:val="single" w:sz="8" w:color="A6A6A6"/>
            </w:tcBorders>
          </w:tcPr>
          <w:p>
            <w:pPr>
              <w:spacing w:after="0"/>
              <w:rPr>
                <w:sz w:val="5"/>
                <w:szCs w:val="5"/>
                <w:color w:val="auto"/>
              </w:rPr>
            </w:pPr>
          </w:p>
        </w:tc>
        <w:tc>
          <w:tcPr>
            <w:tcW w:w="142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620" w:type="dxa"/>
            <w:vAlign w:val="bottom"/>
            <w:tcBorders>
              <w:bottom w:val="single" w:sz="8" w:color="A6A6A6"/>
            </w:tcBorders>
          </w:tcPr>
          <w:p>
            <w:pPr>
              <w:spacing w:after="0"/>
              <w:rPr>
                <w:sz w:val="5"/>
                <w:szCs w:val="5"/>
                <w:color w:val="auto"/>
              </w:rPr>
            </w:pPr>
          </w:p>
        </w:tc>
        <w:tc>
          <w:tcPr>
            <w:tcW w:w="88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r>
      <w:tr>
        <w:trPr>
          <w:trHeight w:val="339"/>
        </w:trPr>
        <w:tc>
          <w:tcPr>
            <w:tcW w:w="5960" w:type="dxa"/>
            <w:vAlign w:val="bottom"/>
          </w:tcPr>
          <w:p>
            <w:pPr>
              <w:spacing w:after="0"/>
              <w:rPr>
                <w:sz w:val="20"/>
                <w:szCs w:val="20"/>
                <w:color w:val="auto"/>
              </w:rPr>
            </w:pPr>
            <w:r>
              <w:rPr>
                <w:rFonts w:ascii="Arial Narrow" w:cs="Arial Narrow" w:eastAsia="Arial Narrow" w:hAnsi="Arial Narrow"/>
                <w:sz w:val="20"/>
                <w:szCs w:val="20"/>
                <w:b w:val="1"/>
                <w:bCs w:val="1"/>
                <w:color w:val="00085E"/>
              </w:rPr>
              <w:t>Borrowings Under Revolving Credit Facility</w:t>
            </w:r>
          </w:p>
        </w:tc>
        <w:tc>
          <w:tcPr>
            <w:tcW w:w="240" w:type="dxa"/>
            <w:vAlign w:val="bottom"/>
          </w:tcPr>
          <w:p>
            <w:pPr>
              <w:spacing w:after="0"/>
              <w:rPr>
                <w:sz w:val="24"/>
                <w:szCs w:val="24"/>
                <w:color w:val="auto"/>
              </w:rPr>
            </w:pPr>
          </w:p>
        </w:tc>
        <w:tc>
          <w:tcPr>
            <w:tcW w:w="1420" w:type="dxa"/>
            <w:vAlign w:val="bottom"/>
          </w:tcPr>
          <w:p>
            <w:pPr>
              <w:jc w:val="right"/>
              <w:ind w:right="162"/>
              <w:spacing w:after="0"/>
              <w:rPr>
                <w:sz w:val="20"/>
                <w:szCs w:val="20"/>
                <w:color w:val="auto"/>
              </w:rPr>
            </w:pPr>
            <w:r>
              <w:rPr>
                <w:rFonts w:ascii="Arial Narrow" w:cs="Arial Narrow" w:eastAsia="Arial Narrow" w:hAnsi="Arial Narrow"/>
                <w:sz w:val="20"/>
                <w:szCs w:val="20"/>
                <w:color w:val="auto"/>
              </w:rPr>
              <w:t>145,000</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jc w:val="right"/>
              <w:ind w:right="21"/>
              <w:spacing w:after="0"/>
              <w:rPr>
                <w:sz w:val="20"/>
                <w:szCs w:val="20"/>
                <w:color w:val="auto"/>
              </w:rPr>
            </w:pPr>
            <w:r>
              <w:rPr>
                <w:rFonts w:ascii="Arial Narrow" w:cs="Arial Narrow" w:eastAsia="Arial Narrow" w:hAnsi="Arial Narrow"/>
                <w:sz w:val="20"/>
                <w:szCs w:val="20"/>
                <w:color w:val="auto"/>
              </w:rPr>
              <w:t>335,000</w:t>
            </w:r>
          </w:p>
        </w:tc>
        <w:tc>
          <w:tcPr>
            <w:tcW w:w="80" w:type="dxa"/>
            <w:vAlign w:val="bottom"/>
          </w:tcPr>
          <w:p>
            <w:pPr>
              <w:spacing w:after="0"/>
              <w:rPr>
                <w:sz w:val="24"/>
                <w:szCs w:val="24"/>
                <w:color w:val="auto"/>
              </w:rPr>
            </w:pPr>
          </w:p>
        </w:tc>
      </w:tr>
      <w:tr>
        <w:trPr>
          <w:trHeight w:val="65"/>
        </w:trPr>
        <w:tc>
          <w:tcPr>
            <w:tcW w:w="5960" w:type="dxa"/>
            <w:vAlign w:val="bottom"/>
            <w:tcBorders>
              <w:bottom w:val="single" w:sz="8" w:color="A6A6A6"/>
            </w:tcBorders>
          </w:tcPr>
          <w:p>
            <w:pPr>
              <w:spacing w:after="0"/>
              <w:rPr>
                <w:sz w:val="5"/>
                <w:szCs w:val="5"/>
                <w:color w:val="auto"/>
              </w:rPr>
            </w:pPr>
          </w:p>
        </w:tc>
        <w:tc>
          <w:tcPr>
            <w:tcW w:w="240" w:type="dxa"/>
            <w:vAlign w:val="bottom"/>
            <w:tcBorders>
              <w:bottom w:val="single" w:sz="8" w:color="A6A6A6"/>
            </w:tcBorders>
          </w:tcPr>
          <w:p>
            <w:pPr>
              <w:spacing w:after="0"/>
              <w:rPr>
                <w:sz w:val="5"/>
                <w:szCs w:val="5"/>
                <w:color w:val="auto"/>
              </w:rPr>
            </w:pPr>
          </w:p>
        </w:tc>
        <w:tc>
          <w:tcPr>
            <w:tcW w:w="142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620" w:type="dxa"/>
            <w:vAlign w:val="bottom"/>
            <w:tcBorders>
              <w:bottom w:val="single" w:sz="8" w:color="A6A6A6"/>
            </w:tcBorders>
          </w:tcPr>
          <w:p>
            <w:pPr>
              <w:spacing w:after="0"/>
              <w:rPr>
                <w:sz w:val="5"/>
                <w:szCs w:val="5"/>
                <w:color w:val="auto"/>
              </w:rPr>
            </w:pPr>
          </w:p>
        </w:tc>
        <w:tc>
          <w:tcPr>
            <w:tcW w:w="88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r>
      <w:tr>
        <w:trPr>
          <w:trHeight w:val="339"/>
        </w:trPr>
        <w:tc>
          <w:tcPr>
            <w:tcW w:w="5960" w:type="dxa"/>
            <w:vAlign w:val="bottom"/>
          </w:tcPr>
          <w:p>
            <w:pPr>
              <w:spacing w:after="0"/>
              <w:rPr>
                <w:sz w:val="20"/>
                <w:szCs w:val="20"/>
                <w:color w:val="auto"/>
              </w:rPr>
            </w:pPr>
            <w:r>
              <w:rPr>
                <w:rFonts w:ascii="Arial Narrow" w:cs="Arial Narrow" w:eastAsia="Arial Narrow" w:hAnsi="Arial Narrow"/>
                <w:sz w:val="20"/>
                <w:szCs w:val="20"/>
                <w:b w:val="1"/>
                <w:bCs w:val="1"/>
                <w:color w:val="00085E"/>
              </w:rPr>
              <w:t>Repayment of Borrowings Under Revolving Credit Facility</w:t>
            </w:r>
          </w:p>
        </w:tc>
        <w:tc>
          <w:tcPr>
            <w:tcW w:w="240" w:type="dxa"/>
            <w:vAlign w:val="bottom"/>
          </w:tcPr>
          <w:p>
            <w:pPr>
              <w:spacing w:after="0"/>
              <w:rPr>
                <w:sz w:val="24"/>
                <w:szCs w:val="24"/>
                <w:color w:val="auto"/>
              </w:rPr>
            </w:pPr>
          </w:p>
        </w:tc>
        <w:tc>
          <w:tcPr>
            <w:tcW w:w="1420" w:type="dxa"/>
            <w:vAlign w:val="bottom"/>
          </w:tcPr>
          <w:p>
            <w:pPr>
              <w:jc w:val="right"/>
              <w:ind w:right="102"/>
              <w:spacing w:after="0"/>
              <w:rPr>
                <w:sz w:val="20"/>
                <w:szCs w:val="20"/>
                <w:color w:val="auto"/>
              </w:rPr>
            </w:pPr>
            <w:r>
              <w:rPr>
                <w:rFonts w:ascii="Arial Narrow" w:cs="Arial Narrow" w:eastAsia="Arial Narrow" w:hAnsi="Arial Narrow"/>
                <w:sz w:val="20"/>
                <w:szCs w:val="20"/>
                <w:color w:val="auto"/>
              </w:rPr>
              <w:t>(345,000)</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Narrow" w:cs="Arial Narrow" w:eastAsia="Arial Narrow" w:hAnsi="Arial Narrow"/>
                <w:sz w:val="20"/>
                <w:szCs w:val="20"/>
                <w:color w:val="auto"/>
              </w:rPr>
              <w:t>(305,000)</w:t>
            </w:r>
          </w:p>
        </w:tc>
        <w:tc>
          <w:tcPr>
            <w:tcW w:w="80" w:type="dxa"/>
            <w:vAlign w:val="bottom"/>
          </w:tcPr>
          <w:p>
            <w:pPr>
              <w:spacing w:after="0"/>
              <w:rPr>
                <w:sz w:val="24"/>
                <w:szCs w:val="24"/>
                <w:color w:val="auto"/>
              </w:rPr>
            </w:pPr>
          </w:p>
        </w:tc>
      </w:tr>
      <w:tr>
        <w:trPr>
          <w:trHeight w:val="65"/>
        </w:trPr>
        <w:tc>
          <w:tcPr>
            <w:tcW w:w="5960" w:type="dxa"/>
            <w:vAlign w:val="bottom"/>
            <w:tcBorders>
              <w:bottom w:val="single" w:sz="8" w:color="A6A6A6"/>
            </w:tcBorders>
          </w:tcPr>
          <w:p>
            <w:pPr>
              <w:spacing w:after="0"/>
              <w:rPr>
                <w:sz w:val="5"/>
                <w:szCs w:val="5"/>
                <w:color w:val="auto"/>
              </w:rPr>
            </w:pPr>
          </w:p>
        </w:tc>
        <w:tc>
          <w:tcPr>
            <w:tcW w:w="240" w:type="dxa"/>
            <w:vAlign w:val="bottom"/>
            <w:tcBorders>
              <w:bottom w:val="single" w:sz="8" w:color="A6A6A6"/>
            </w:tcBorders>
          </w:tcPr>
          <w:p>
            <w:pPr>
              <w:spacing w:after="0"/>
              <w:rPr>
                <w:sz w:val="5"/>
                <w:szCs w:val="5"/>
                <w:color w:val="auto"/>
              </w:rPr>
            </w:pPr>
          </w:p>
        </w:tc>
        <w:tc>
          <w:tcPr>
            <w:tcW w:w="142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620" w:type="dxa"/>
            <w:vAlign w:val="bottom"/>
            <w:tcBorders>
              <w:bottom w:val="single" w:sz="8" w:color="A6A6A6"/>
            </w:tcBorders>
          </w:tcPr>
          <w:p>
            <w:pPr>
              <w:spacing w:after="0"/>
              <w:rPr>
                <w:sz w:val="5"/>
                <w:szCs w:val="5"/>
                <w:color w:val="auto"/>
              </w:rPr>
            </w:pPr>
          </w:p>
        </w:tc>
        <w:tc>
          <w:tcPr>
            <w:tcW w:w="88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r>
      <w:tr>
        <w:trPr>
          <w:trHeight w:val="339"/>
        </w:trPr>
        <w:tc>
          <w:tcPr>
            <w:tcW w:w="5960" w:type="dxa"/>
            <w:vAlign w:val="bottom"/>
          </w:tcPr>
          <w:p>
            <w:pPr>
              <w:spacing w:after="0"/>
              <w:rPr>
                <w:sz w:val="20"/>
                <w:szCs w:val="20"/>
                <w:color w:val="auto"/>
              </w:rPr>
            </w:pPr>
            <w:r>
              <w:rPr>
                <w:rFonts w:ascii="Arial Narrow" w:cs="Arial Narrow" w:eastAsia="Arial Narrow" w:hAnsi="Arial Narrow"/>
                <w:sz w:val="20"/>
                <w:szCs w:val="20"/>
                <w:b w:val="1"/>
                <w:bCs w:val="1"/>
                <w:color w:val="00085E"/>
              </w:rPr>
              <w:t>Borrowings Under Term Loan</w:t>
            </w:r>
          </w:p>
        </w:tc>
        <w:tc>
          <w:tcPr>
            <w:tcW w:w="240" w:type="dxa"/>
            <w:vAlign w:val="bottom"/>
          </w:tcPr>
          <w:p>
            <w:pPr>
              <w:spacing w:after="0"/>
              <w:rPr>
                <w:sz w:val="24"/>
                <w:szCs w:val="24"/>
                <w:color w:val="auto"/>
              </w:rPr>
            </w:pPr>
          </w:p>
        </w:tc>
        <w:tc>
          <w:tcPr>
            <w:tcW w:w="1420" w:type="dxa"/>
            <w:vAlign w:val="bottom"/>
          </w:tcPr>
          <w:p>
            <w:pPr>
              <w:jc w:val="right"/>
              <w:ind w:right="162"/>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jc w:val="right"/>
              <w:ind w:right="21"/>
              <w:spacing w:after="0"/>
              <w:rPr>
                <w:sz w:val="20"/>
                <w:szCs w:val="20"/>
                <w:color w:val="auto"/>
              </w:rPr>
            </w:pPr>
            <w:r>
              <w:rPr>
                <w:rFonts w:ascii="Arial Narrow" w:cs="Arial Narrow" w:eastAsia="Arial Narrow" w:hAnsi="Arial Narrow"/>
                <w:sz w:val="20"/>
                <w:szCs w:val="20"/>
                <w:color w:val="auto"/>
              </w:rPr>
              <w:t>125,000</w:t>
            </w:r>
          </w:p>
        </w:tc>
        <w:tc>
          <w:tcPr>
            <w:tcW w:w="80" w:type="dxa"/>
            <w:vAlign w:val="bottom"/>
          </w:tcPr>
          <w:p>
            <w:pPr>
              <w:spacing w:after="0"/>
              <w:rPr>
                <w:sz w:val="24"/>
                <w:szCs w:val="24"/>
                <w:color w:val="auto"/>
              </w:rPr>
            </w:pPr>
          </w:p>
        </w:tc>
      </w:tr>
      <w:tr>
        <w:trPr>
          <w:trHeight w:val="65"/>
        </w:trPr>
        <w:tc>
          <w:tcPr>
            <w:tcW w:w="5960" w:type="dxa"/>
            <w:vAlign w:val="bottom"/>
            <w:tcBorders>
              <w:bottom w:val="single" w:sz="8" w:color="A6A6A6"/>
            </w:tcBorders>
          </w:tcPr>
          <w:p>
            <w:pPr>
              <w:spacing w:after="0"/>
              <w:rPr>
                <w:sz w:val="5"/>
                <w:szCs w:val="5"/>
                <w:color w:val="auto"/>
              </w:rPr>
            </w:pPr>
          </w:p>
        </w:tc>
        <w:tc>
          <w:tcPr>
            <w:tcW w:w="240" w:type="dxa"/>
            <w:vAlign w:val="bottom"/>
            <w:tcBorders>
              <w:bottom w:val="single" w:sz="8" w:color="A6A6A6"/>
            </w:tcBorders>
          </w:tcPr>
          <w:p>
            <w:pPr>
              <w:spacing w:after="0"/>
              <w:rPr>
                <w:sz w:val="5"/>
                <w:szCs w:val="5"/>
                <w:color w:val="auto"/>
              </w:rPr>
            </w:pPr>
          </w:p>
        </w:tc>
        <w:tc>
          <w:tcPr>
            <w:tcW w:w="142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620" w:type="dxa"/>
            <w:vAlign w:val="bottom"/>
            <w:tcBorders>
              <w:bottom w:val="single" w:sz="8" w:color="A6A6A6"/>
            </w:tcBorders>
          </w:tcPr>
          <w:p>
            <w:pPr>
              <w:spacing w:after="0"/>
              <w:rPr>
                <w:sz w:val="5"/>
                <w:szCs w:val="5"/>
                <w:color w:val="auto"/>
              </w:rPr>
            </w:pPr>
          </w:p>
        </w:tc>
        <w:tc>
          <w:tcPr>
            <w:tcW w:w="88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r>
      <w:tr>
        <w:trPr>
          <w:trHeight w:val="339"/>
        </w:trPr>
        <w:tc>
          <w:tcPr>
            <w:tcW w:w="5960" w:type="dxa"/>
            <w:vAlign w:val="bottom"/>
          </w:tcPr>
          <w:p>
            <w:pPr>
              <w:spacing w:after="0"/>
              <w:rPr>
                <w:sz w:val="20"/>
                <w:szCs w:val="20"/>
                <w:color w:val="auto"/>
              </w:rPr>
            </w:pPr>
            <w:r>
              <w:rPr>
                <w:rFonts w:ascii="Arial Narrow" w:cs="Arial Narrow" w:eastAsia="Arial Narrow" w:hAnsi="Arial Narrow"/>
                <w:sz w:val="20"/>
                <w:szCs w:val="20"/>
                <w:b w:val="1"/>
                <w:bCs w:val="1"/>
                <w:color w:val="00085E"/>
              </w:rPr>
              <w:t>Repayment of Term Loan</w:t>
            </w:r>
          </w:p>
        </w:tc>
        <w:tc>
          <w:tcPr>
            <w:tcW w:w="240" w:type="dxa"/>
            <w:vAlign w:val="bottom"/>
          </w:tcPr>
          <w:p>
            <w:pPr>
              <w:spacing w:after="0"/>
              <w:rPr>
                <w:sz w:val="24"/>
                <w:szCs w:val="24"/>
                <w:color w:val="auto"/>
              </w:rPr>
            </w:pPr>
          </w:p>
        </w:tc>
        <w:tc>
          <w:tcPr>
            <w:tcW w:w="1420" w:type="dxa"/>
            <w:vAlign w:val="bottom"/>
          </w:tcPr>
          <w:p>
            <w:pPr>
              <w:jc w:val="right"/>
              <w:ind w:right="102"/>
              <w:spacing w:after="0"/>
              <w:rPr>
                <w:sz w:val="20"/>
                <w:szCs w:val="20"/>
                <w:color w:val="auto"/>
              </w:rPr>
            </w:pPr>
            <w:r>
              <w:rPr>
                <w:rFonts w:ascii="Arial Narrow" w:cs="Arial Narrow" w:eastAsia="Arial Narrow" w:hAnsi="Arial Narrow"/>
                <w:sz w:val="20"/>
                <w:szCs w:val="20"/>
                <w:color w:val="auto"/>
              </w:rPr>
              <w:t>(15,000)</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Narrow" w:cs="Arial Narrow" w:eastAsia="Arial Narrow" w:hAnsi="Arial Narrow"/>
                <w:sz w:val="20"/>
                <w:szCs w:val="20"/>
                <w:color w:val="auto"/>
              </w:rPr>
              <w:t>(11,250)</w:t>
            </w:r>
          </w:p>
        </w:tc>
        <w:tc>
          <w:tcPr>
            <w:tcW w:w="80" w:type="dxa"/>
            <w:vAlign w:val="bottom"/>
          </w:tcPr>
          <w:p>
            <w:pPr>
              <w:spacing w:after="0"/>
              <w:rPr>
                <w:sz w:val="24"/>
                <w:szCs w:val="24"/>
                <w:color w:val="auto"/>
              </w:rPr>
            </w:pPr>
          </w:p>
        </w:tc>
      </w:tr>
      <w:tr>
        <w:trPr>
          <w:trHeight w:val="65"/>
        </w:trPr>
        <w:tc>
          <w:tcPr>
            <w:tcW w:w="5960" w:type="dxa"/>
            <w:vAlign w:val="bottom"/>
            <w:tcBorders>
              <w:bottom w:val="single" w:sz="8" w:color="A6A6A6"/>
            </w:tcBorders>
          </w:tcPr>
          <w:p>
            <w:pPr>
              <w:spacing w:after="0"/>
              <w:rPr>
                <w:sz w:val="5"/>
                <w:szCs w:val="5"/>
                <w:color w:val="auto"/>
              </w:rPr>
            </w:pPr>
          </w:p>
        </w:tc>
        <w:tc>
          <w:tcPr>
            <w:tcW w:w="240" w:type="dxa"/>
            <w:vAlign w:val="bottom"/>
            <w:tcBorders>
              <w:bottom w:val="single" w:sz="8" w:color="A6A6A6"/>
            </w:tcBorders>
          </w:tcPr>
          <w:p>
            <w:pPr>
              <w:spacing w:after="0"/>
              <w:rPr>
                <w:sz w:val="5"/>
                <w:szCs w:val="5"/>
                <w:color w:val="auto"/>
              </w:rPr>
            </w:pPr>
          </w:p>
        </w:tc>
        <w:tc>
          <w:tcPr>
            <w:tcW w:w="142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620" w:type="dxa"/>
            <w:vAlign w:val="bottom"/>
            <w:tcBorders>
              <w:bottom w:val="single" w:sz="8" w:color="A6A6A6"/>
            </w:tcBorders>
          </w:tcPr>
          <w:p>
            <w:pPr>
              <w:spacing w:after="0"/>
              <w:rPr>
                <w:sz w:val="5"/>
                <w:szCs w:val="5"/>
                <w:color w:val="auto"/>
              </w:rPr>
            </w:pPr>
          </w:p>
        </w:tc>
        <w:tc>
          <w:tcPr>
            <w:tcW w:w="88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r>
      <w:tr>
        <w:trPr>
          <w:trHeight w:val="339"/>
        </w:trPr>
        <w:tc>
          <w:tcPr>
            <w:tcW w:w="5960" w:type="dxa"/>
            <w:vAlign w:val="bottom"/>
          </w:tcPr>
          <w:p>
            <w:pPr>
              <w:spacing w:after="0"/>
              <w:rPr>
                <w:sz w:val="20"/>
                <w:szCs w:val="20"/>
                <w:color w:val="auto"/>
              </w:rPr>
            </w:pPr>
            <w:r>
              <w:rPr>
                <w:rFonts w:ascii="Arial Narrow" w:cs="Arial Narrow" w:eastAsia="Arial Narrow" w:hAnsi="Arial Narrow"/>
                <w:sz w:val="20"/>
                <w:szCs w:val="20"/>
                <w:b w:val="1"/>
                <w:bCs w:val="1"/>
                <w:color w:val="00085E"/>
              </w:rPr>
              <w:t>Proceeds from Issuance of 5.000% Senior Notes</w:t>
            </w:r>
          </w:p>
        </w:tc>
        <w:tc>
          <w:tcPr>
            <w:tcW w:w="240" w:type="dxa"/>
            <w:vAlign w:val="bottom"/>
          </w:tcPr>
          <w:p>
            <w:pPr>
              <w:spacing w:after="0"/>
              <w:rPr>
                <w:sz w:val="24"/>
                <w:szCs w:val="24"/>
                <w:color w:val="auto"/>
              </w:rPr>
            </w:pPr>
          </w:p>
        </w:tc>
        <w:tc>
          <w:tcPr>
            <w:tcW w:w="1420" w:type="dxa"/>
            <w:vAlign w:val="bottom"/>
          </w:tcPr>
          <w:p>
            <w:pPr>
              <w:jc w:val="right"/>
              <w:ind w:right="162"/>
              <w:spacing w:after="0"/>
              <w:rPr>
                <w:sz w:val="20"/>
                <w:szCs w:val="20"/>
                <w:color w:val="auto"/>
              </w:rPr>
            </w:pPr>
            <w:r>
              <w:rPr>
                <w:rFonts w:ascii="Arial Narrow" w:cs="Arial Narrow" w:eastAsia="Arial Narrow" w:hAnsi="Arial Narrow"/>
                <w:sz w:val="20"/>
                <w:szCs w:val="20"/>
                <w:color w:val="auto"/>
              </w:rPr>
              <w:t>741,772</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jc w:val="right"/>
              <w:ind w:right="21"/>
              <w:spacing w:after="0"/>
              <w:rPr>
                <w:sz w:val="20"/>
                <w:szCs w:val="20"/>
                <w:color w:val="auto"/>
              </w:rPr>
            </w:pPr>
            <w:r>
              <w:rPr>
                <w:rFonts w:ascii="Arial Narrow" w:cs="Arial Narrow" w:eastAsia="Arial Narrow" w:hAnsi="Arial Narrow"/>
                <w:sz w:val="20"/>
                <w:szCs w:val="20"/>
                <w:color w:val="auto"/>
              </w:rPr>
              <w:t>—</w:t>
            </w:r>
          </w:p>
        </w:tc>
        <w:tc>
          <w:tcPr>
            <w:tcW w:w="80" w:type="dxa"/>
            <w:vAlign w:val="bottom"/>
          </w:tcPr>
          <w:p>
            <w:pPr>
              <w:spacing w:after="0"/>
              <w:rPr>
                <w:sz w:val="24"/>
                <w:szCs w:val="24"/>
                <w:color w:val="auto"/>
              </w:rPr>
            </w:pPr>
          </w:p>
        </w:tc>
      </w:tr>
      <w:tr>
        <w:trPr>
          <w:trHeight w:val="65"/>
        </w:trPr>
        <w:tc>
          <w:tcPr>
            <w:tcW w:w="5960" w:type="dxa"/>
            <w:vAlign w:val="bottom"/>
            <w:tcBorders>
              <w:bottom w:val="single" w:sz="8" w:color="A6A6A6"/>
            </w:tcBorders>
          </w:tcPr>
          <w:p>
            <w:pPr>
              <w:spacing w:after="0"/>
              <w:rPr>
                <w:sz w:val="5"/>
                <w:szCs w:val="5"/>
                <w:color w:val="auto"/>
              </w:rPr>
            </w:pPr>
          </w:p>
        </w:tc>
        <w:tc>
          <w:tcPr>
            <w:tcW w:w="240" w:type="dxa"/>
            <w:vAlign w:val="bottom"/>
            <w:tcBorders>
              <w:bottom w:val="single" w:sz="8" w:color="A6A6A6"/>
            </w:tcBorders>
          </w:tcPr>
          <w:p>
            <w:pPr>
              <w:spacing w:after="0"/>
              <w:rPr>
                <w:sz w:val="5"/>
                <w:szCs w:val="5"/>
                <w:color w:val="auto"/>
              </w:rPr>
            </w:pPr>
          </w:p>
        </w:tc>
        <w:tc>
          <w:tcPr>
            <w:tcW w:w="142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620" w:type="dxa"/>
            <w:vAlign w:val="bottom"/>
            <w:tcBorders>
              <w:bottom w:val="single" w:sz="8" w:color="A6A6A6"/>
            </w:tcBorders>
          </w:tcPr>
          <w:p>
            <w:pPr>
              <w:spacing w:after="0"/>
              <w:rPr>
                <w:sz w:val="5"/>
                <w:szCs w:val="5"/>
                <w:color w:val="auto"/>
              </w:rPr>
            </w:pPr>
          </w:p>
        </w:tc>
        <w:tc>
          <w:tcPr>
            <w:tcW w:w="880" w:type="dxa"/>
            <w:vAlign w:val="bottom"/>
            <w:tcBorders>
              <w:bottom w:val="single" w:sz="8" w:color="A6A6A6"/>
            </w:tcBorders>
          </w:tcPr>
          <w:p>
            <w:pPr>
              <w:spacing w:after="0"/>
              <w:rPr>
                <w:sz w:val="5"/>
                <w:szCs w:val="5"/>
                <w:color w:val="auto"/>
              </w:rPr>
            </w:pPr>
          </w:p>
        </w:tc>
        <w:tc>
          <w:tcPr>
            <w:tcW w:w="80" w:type="dxa"/>
            <w:vAlign w:val="bottom"/>
          </w:tcPr>
          <w:p>
            <w:pPr>
              <w:spacing w:after="0"/>
              <w:rPr>
                <w:sz w:val="5"/>
                <w:szCs w:val="5"/>
                <w:color w:val="auto"/>
              </w:rPr>
            </w:pPr>
          </w:p>
        </w:tc>
      </w:tr>
      <w:tr>
        <w:trPr>
          <w:trHeight w:val="339"/>
        </w:trPr>
        <w:tc>
          <w:tcPr>
            <w:tcW w:w="5960" w:type="dxa"/>
            <w:vAlign w:val="bottom"/>
          </w:tcPr>
          <w:p>
            <w:pPr>
              <w:spacing w:after="0"/>
              <w:rPr>
                <w:sz w:val="20"/>
                <w:szCs w:val="20"/>
                <w:color w:val="auto"/>
              </w:rPr>
            </w:pPr>
            <w:r>
              <w:rPr>
                <w:rFonts w:ascii="Arial Narrow" w:cs="Arial Narrow" w:eastAsia="Arial Narrow" w:hAnsi="Arial Narrow"/>
                <w:sz w:val="20"/>
                <w:szCs w:val="20"/>
                <w:b w:val="1"/>
                <w:bCs w:val="1"/>
                <w:color w:val="00085E"/>
              </w:rPr>
              <w:t>Dividends Paid to Stockholders</w:t>
            </w:r>
          </w:p>
        </w:tc>
        <w:tc>
          <w:tcPr>
            <w:tcW w:w="240" w:type="dxa"/>
            <w:vAlign w:val="bottom"/>
          </w:tcPr>
          <w:p>
            <w:pPr>
              <w:spacing w:after="0"/>
              <w:rPr>
                <w:sz w:val="24"/>
                <w:szCs w:val="24"/>
                <w:color w:val="auto"/>
              </w:rPr>
            </w:pPr>
          </w:p>
        </w:tc>
        <w:tc>
          <w:tcPr>
            <w:tcW w:w="1420" w:type="dxa"/>
            <w:vAlign w:val="bottom"/>
          </w:tcPr>
          <w:p>
            <w:pPr>
              <w:jc w:val="right"/>
              <w:ind w:right="102"/>
              <w:spacing w:after="0"/>
              <w:rPr>
                <w:sz w:val="20"/>
                <w:szCs w:val="20"/>
                <w:color w:val="auto"/>
              </w:rPr>
            </w:pPr>
            <w:r>
              <w:rPr>
                <w:rFonts w:ascii="Arial Narrow" w:cs="Arial Narrow" w:eastAsia="Arial Narrow" w:hAnsi="Arial Narrow"/>
                <w:sz w:val="20"/>
                <w:szCs w:val="20"/>
                <w:color w:val="auto"/>
              </w:rPr>
              <w:t>(32,385)</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Narrow" w:cs="Arial Narrow" w:eastAsia="Arial Narrow" w:hAnsi="Arial Narrow"/>
                <w:sz w:val="20"/>
                <w:szCs w:val="20"/>
                <w:color w:val="auto"/>
              </w:rPr>
              <w:t>(33,722)</w:t>
            </w:r>
          </w:p>
        </w:tc>
        <w:tc>
          <w:tcPr>
            <w:tcW w:w="80" w:type="dxa"/>
            <w:vAlign w:val="bottom"/>
          </w:tcPr>
          <w:p>
            <w:pPr>
              <w:spacing w:after="0"/>
              <w:rPr>
                <w:sz w:val="24"/>
                <w:szCs w:val="24"/>
                <w:color w:val="auto"/>
              </w:rPr>
            </w:pPr>
          </w:p>
        </w:tc>
      </w:tr>
      <w:tr>
        <w:trPr>
          <w:trHeight w:val="65"/>
        </w:trPr>
        <w:tc>
          <w:tcPr>
            <w:tcW w:w="5960" w:type="dxa"/>
            <w:vAlign w:val="bottom"/>
            <w:tcBorders>
              <w:bottom w:val="single" w:sz="8" w:color="A6A6A6"/>
            </w:tcBorders>
          </w:tcPr>
          <w:p>
            <w:pPr>
              <w:spacing w:after="0"/>
              <w:rPr>
                <w:sz w:val="5"/>
                <w:szCs w:val="5"/>
                <w:color w:val="auto"/>
              </w:rPr>
            </w:pPr>
          </w:p>
        </w:tc>
        <w:tc>
          <w:tcPr>
            <w:tcW w:w="240" w:type="dxa"/>
            <w:vAlign w:val="bottom"/>
            <w:tcBorders>
              <w:bottom w:val="single" w:sz="8" w:color="A6A6A6"/>
            </w:tcBorders>
          </w:tcPr>
          <w:p>
            <w:pPr>
              <w:spacing w:after="0"/>
              <w:rPr>
                <w:sz w:val="5"/>
                <w:szCs w:val="5"/>
                <w:color w:val="auto"/>
              </w:rPr>
            </w:pPr>
          </w:p>
        </w:tc>
        <w:tc>
          <w:tcPr>
            <w:tcW w:w="142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620" w:type="dxa"/>
            <w:vAlign w:val="bottom"/>
            <w:tcBorders>
              <w:bottom w:val="single" w:sz="8" w:color="A6A6A6"/>
            </w:tcBorders>
          </w:tcPr>
          <w:p>
            <w:pPr>
              <w:spacing w:after="0"/>
              <w:rPr>
                <w:sz w:val="5"/>
                <w:szCs w:val="5"/>
                <w:color w:val="auto"/>
              </w:rPr>
            </w:pPr>
          </w:p>
        </w:tc>
        <w:tc>
          <w:tcPr>
            <w:tcW w:w="88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r>
      <w:tr>
        <w:trPr>
          <w:trHeight w:val="339"/>
        </w:trPr>
        <w:tc>
          <w:tcPr>
            <w:tcW w:w="5960" w:type="dxa"/>
            <w:vAlign w:val="bottom"/>
          </w:tcPr>
          <w:p>
            <w:pPr>
              <w:spacing w:after="0"/>
              <w:rPr>
                <w:sz w:val="20"/>
                <w:szCs w:val="20"/>
                <w:color w:val="auto"/>
              </w:rPr>
            </w:pPr>
            <w:r>
              <w:rPr>
                <w:rFonts w:ascii="Arial Narrow" w:cs="Arial Narrow" w:eastAsia="Arial Narrow" w:hAnsi="Arial Narrow"/>
                <w:sz w:val="20"/>
                <w:szCs w:val="20"/>
                <w:b w:val="1"/>
                <w:bCs w:val="1"/>
                <w:color w:val="00085E"/>
              </w:rPr>
              <w:t>Purchase and Retirement of Common Stock</w:t>
            </w:r>
          </w:p>
        </w:tc>
        <w:tc>
          <w:tcPr>
            <w:tcW w:w="240" w:type="dxa"/>
            <w:vAlign w:val="bottom"/>
          </w:tcPr>
          <w:p>
            <w:pPr>
              <w:spacing w:after="0"/>
              <w:rPr>
                <w:sz w:val="24"/>
                <w:szCs w:val="24"/>
                <w:color w:val="auto"/>
              </w:rPr>
            </w:pPr>
          </w:p>
        </w:tc>
        <w:tc>
          <w:tcPr>
            <w:tcW w:w="1420" w:type="dxa"/>
            <w:vAlign w:val="bottom"/>
          </w:tcPr>
          <w:p>
            <w:pPr>
              <w:jc w:val="right"/>
              <w:ind w:right="102"/>
              <w:spacing w:after="0"/>
              <w:rPr>
                <w:sz w:val="20"/>
                <w:szCs w:val="20"/>
                <w:color w:val="auto"/>
              </w:rPr>
            </w:pPr>
            <w:r>
              <w:rPr>
                <w:rFonts w:ascii="Arial Narrow" w:cs="Arial Narrow" w:eastAsia="Arial Narrow" w:hAnsi="Arial Narrow"/>
                <w:sz w:val="20"/>
                <w:szCs w:val="20"/>
                <w:color w:val="auto"/>
              </w:rPr>
              <w:t>(381,809)</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Narrow" w:cs="Arial Narrow" w:eastAsia="Arial Narrow" w:hAnsi="Arial Narrow"/>
                <w:sz w:val="20"/>
                <w:szCs w:val="20"/>
                <w:color w:val="auto"/>
              </w:rPr>
              <w:t>(298,286)</w:t>
            </w:r>
          </w:p>
        </w:tc>
        <w:tc>
          <w:tcPr>
            <w:tcW w:w="80" w:type="dxa"/>
            <w:vAlign w:val="bottom"/>
          </w:tcPr>
          <w:p>
            <w:pPr>
              <w:spacing w:after="0"/>
              <w:rPr>
                <w:sz w:val="24"/>
                <w:szCs w:val="24"/>
                <w:color w:val="auto"/>
              </w:rPr>
            </w:pPr>
          </w:p>
        </w:tc>
      </w:tr>
      <w:tr>
        <w:trPr>
          <w:trHeight w:val="65"/>
        </w:trPr>
        <w:tc>
          <w:tcPr>
            <w:tcW w:w="5960" w:type="dxa"/>
            <w:vAlign w:val="bottom"/>
            <w:tcBorders>
              <w:bottom w:val="single" w:sz="8" w:color="A6A6A6"/>
            </w:tcBorders>
          </w:tcPr>
          <w:p>
            <w:pPr>
              <w:spacing w:after="0"/>
              <w:rPr>
                <w:sz w:val="5"/>
                <w:szCs w:val="5"/>
                <w:color w:val="auto"/>
              </w:rPr>
            </w:pPr>
          </w:p>
        </w:tc>
        <w:tc>
          <w:tcPr>
            <w:tcW w:w="240" w:type="dxa"/>
            <w:vAlign w:val="bottom"/>
            <w:tcBorders>
              <w:bottom w:val="single" w:sz="8" w:color="A6A6A6"/>
            </w:tcBorders>
          </w:tcPr>
          <w:p>
            <w:pPr>
              <w:spacing w:after="0"/>
              <w:rPr>
                <w:sz w:val="5"/>
                <w:szCs w:val="5"/>
                <w:color w:val="auto"/>
              </w:rPr>
            </w:pPr>
          </w:p>
        </w:tc>
        <w:tc>
          <w:tcPr>
            <w:tcW w:w="142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620" w:type="dxa"/>
            <w:vAlign w:val="bottom"/>
            <w:tcBorders>
              <w:bottom w:val="single" w:sz="8" w:color="A6A6A6"/>
            </w:tcBorders>
          </w:tcPr>
          <w:p>
            <w:pPr>
              <w:spacing w:after="0"/>
              <w:rPr>
                <w:sz w:val="5"/>
                <w:szCs w:val="5"/>
                <w:color w:val="auto"/>
              </w:rPr>
            </w:pPr>
          </w:p>
        </w:tc>
        <w:tc>
          <w:tcPr>
            <w:tcW w:w="88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r>
      <w:tr>
        <w:trPr>
          <w:trHeight w:val="339"/>
        </w:trPr>
        <w:tc>
          <w:tcPr>
            <w:tcW w:w="5960" w:type="dxa"/>
            <w:vAlign w:val="bottom"/>
          </w:tcPr>
          <w:p>
            <w:pPr>
              <w:spacing w:after="0"/>
              <w:rPr>
                <w:sz w:val="20"/>
                <w:szCs w:val="20"/>
                <w:color w:val="auto"/>
              </w:rPr>
            </w:pPr>
            <w:r>
              <w:rPr>
                <w:rFonts w:ascii="Arial Narrow" w:cs="Arial Narrow" w:eastAsia="Arial Narrow" w:hAnsi="Arial Narrow"/>
                <w:sz w:val="20"/>
                <w:szCs w:val="20"/>
                <w:b w:val="1"/>
                <w:bCs w:val="1"/>
                <w:color w:val="00085E"/>
              </w:rPr>
              <w:t>Payment of Excise Tax on Purchases and Retirement of Common Stock</w:t>
            </w:r>
          </w:p>
        </w:tc>
        <w:tc>
          <w:tcPr>
            <w:tcW w:w="240" w:type="dxa"/>
            <w:vAlign w:val="bottom"/>
          </w:tcPr>
          <w:p>
            <w:pPr>
              <w:spacing w:after="0"/>
              <w:rPr>
                <w:sz w:val="24"/>
                <w:szCs w:val="24"/>
                <w:color w:val="auto"/>
              </w:rPr>
            </w:pPr>
          </w:p>
        </w:tc>
        <w:tc>
          <w:tcPr>
            <w:tcW w:w="1420" w:type="dxa"/>
            <w:vAlign w:val="bottom"/>
          </w:tcPr>
          <w:p>
            <w:pPr>
              <w:jc w:val="right"/>
              <w:ind w:right="102"/>
              <w:spacing w:after="0"/>
              <w:rPr>
                <w:sz w:val="20"/>
                <w:szCs w:val="20"/>
                <w:color w:val="auto"/>
              </w:rPr>
            </w:pPr>
            <w:r>
              <w:rPr>
                <w:rFonts w:ascii="Arial Narrow" w:cs="Arial Narrow" w:eastAsia="Arial Narrow" w:hAnsi="Arial Narrow"/>
                <w:sz w:val="20"/>
                <w:szCs w:val="20"/>
                <w:color w:val="auto"/>
              </w:rPr>
              <w:t>(2,587)</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Narrow" w:cs="Arial Narrow" w:eastAsia="Arial Narrow" w:hAnsi="Arial Narrow"/>
                <w:sz w:val="20"/>
                <w:szCs w:val="20"/>
                <w:color w:val="auto"/>
              </w:rPr>
              <w:t>(3,331)</w:t>
            </w:r>
          </w:p>
        </w:tc>
        <w:tc>
          <w:tcPr>
            <w:tcW w:w="80" w:type="dxa"/>
            <w:vAlign w:val="bottom"/>
          </w:tcPr>
          <w:p>
            <w:pPr>
              <w:spacing w:after="0"/>
              <w:rPr>
                <w:sz w:val="24"/>
                <w:szCs w:val="24"/>
                <w:color w:val="auto"/>
              </w:rPr>
            </w:pPr>
          </w:p>
        </w:tc>
      </w:tr>
      <w:tr>
        <w:trPr>
          <w:trHeight w:val="65"/>
        </w:trPr>
        <w:tc>
          <w:tcPr>
            <w:tcW w:w="5960" w:type="dxa"/>
            <w:vAlign w:val="bottom"/>
            <w:tcBorders>
              <w:bottom w:val="single" w:sz="8" w:color="A6A6A6"/>
            </w:tcBorders>
          </w:tcPr>
          <w:p>
            <w:pPr>
              <w:spacing w:after="0"/>
              <w:rPr>
                <w:sz w:val="5"/>
                <w:szCs w:val="5"/>
                <w:color w:val="auto"/>
              </w:rPr>
            </w:pPr>
          </w:p>
        </w:tc>
        <w:tc>
          <w:tcPr>
            <w:tcW w:w="240" w:type="dxa"/>
            <w:vAlign w:val="bottom"/>
            <w:tcBorders>
              <w:bottom w:val="single" w:sz="8" w:color="A6A6A6"/>
            </w:tcBorders>
          </w:tcPr>
          <w:p>
            <w:pPr>
              <w:spacing w:after="0"/>
              <w:rPr>
                <w:sz w:val="5"/>
                <w:szCs w:val="5"/>
                <w:color w:val="auto"/>
              </w:rPr>
            </w:pPr>
          </w:p>
        </w:tc>
        <w:tc>
          <w:tcPr>
            <w:tcW w:w="142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620" w:type="dxa"/>
            <w:vAlign w:val="bottom"/>
            <w:tcBorders>
              <w:bottom w:val="single" w:sz="8" w:color="A6A6A6"/>
            </w:tcBorders>
          </w:tcPr>
          <w:p>
            <w:pPr>
              <w:spacing w:after="0"/>
              <w:rPr>
                <w:sz w:val="5"/>
                <w:szCs w:val="5"/>
                <w:color w:val="auto"/>
              </w:rPr>
            </w:pPr>
          </w:p>
        </w:tc>
        <w:tc>
          <w:tcPr>
            <w:tcW w:w="88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r>
      <w:tr>
        <w:trPr>
          <w:trHeight w:val="339"/>
        </w:trPr>
        <w:tc>
          <w:tcPr>
            <w:tcW w:w="5960" w:type="dxa"/>
            <w:vAlign w:val="bottom"/>
          </w:tcPr>
          <w:p>
            <w:pPr>
              <w:spacing w:after="0"/>
              <w:rPr>
                <w:sz w:val="20"/>
                <w:szCs w:val="20"/>
                <w:color w:val="auto"/>
              </w:rPr>
            </w:pPr>
            <w:r>
              <w:rPr>
                <w:rFonts w:ascii="Arial Narrow" w:cs="Arial Narrow" w:eastAsia="Arial Narrow" w:hAnsi="Arial Narrow"/>
                <w:sz w:val="20"/>
                <w:szCs w:val="20"/>
                <w:b w:val="1"/>
                <w:bCs w:val="1"/>
                <w:color w:val="00085E"/>
              </w:rPr>
              <w:t>Proceeds from Stock Option Exercises</w:t>
            </w:r>
          </w:p>
        </w:tc>
        <w:tc>
          <w:tcPr>
            <w:tcW w:w="240" w:type="dxa"/>
            <w:vAlign w:val="bottom"/>
          </w:tcPr>
          <w:p>
            <w:pPr>
              <w:spacing w:after="0"/>
              <w:rPr>
                <w:sz w:val="24"/>
                <w:szCs w:val="24"/>
                <w:color w:val="auto"/>
              </w:rPr>
            </w:pPr>
          </w:p>
        </w:tc>
        <w:tc>
          <w:tcPr>
            <w:tcW w:w="1420" w:type="dxa"/>
            <w:vAlign w:val="bottom"/>
          </w:tcPr>
          <w:p>
            <w:pPr>
              <w:jc w:val="right"/>
              <w:ind w:right="162"/>
              <w:spacing w:after="0"/>
              <w:rPr>
                <w:sz w:val="20"/>
                <w:szCs w:val="20"/>
                <w:color w:val="auto"/>
              </w:rPr>
            </w:pPr>
            <w:r>
              <w:rPr>
                <w:rFonts w:ascii="Arial Narrow" w:cs="Arial Narrow" w:eastAsia="Arial Narrow" w:hAnsi="Arial Narrow"/>
                <w:sz w:val="20"/>
                <w:szCs w:val="20"/>
                <w:color w:val="auto"/>
              </w:rPr>
              <w:t>535</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jc w:val="right"/>
              <w:ind w:right="21"/>
              <w:spacing w:after="0"/>
              <w:rPr>
                <w:sz w:val="20"/>
                <w:szCs w:val="20"/>
                <w:color w:val="auto"/>
              </w:rPr>
            </w:pPr>
            <w:r>
              <w:rPr>
                <w:rFonts w:ascii="Arial Narrow" w:cs="Arial Narrow" w:eastAsia="Arial Narrow" w:hAnsi="Arial Narrow"/>
                <w:sz w:val="20"/>
                <w:szCs w:val="20"/>
                <w:color w:val="auto"/>
              </w:rPr>
              <w:t>6,380</w:t>
            </w:r>
          </w:p>
        </w:tc>
        <w:tc>
          <w:tcPr>
            <w:tcW w:w="80" w:type="dxa"/>
            <w:vAlign w:val="bottom"/>
          </w:tcPr>
          <w:p>
            <w:pPr>
              <w:spacing w:after="0"/>
              <w:rPr>
                <w:sz w:val="24"/>
                <w:szCs w:val="24"/>
                <w:color w:val="auto"/>
              </w:rPr>
            </w:pPr>
          </w:p>
        </w:tc>
      </w:tr>
      <w:tr>
        <w:trPr>
          <w:trHeight w:val="65"/>
        </w:trPr>
        <w:tc>
          <w:tcPr>
            <w:tcW w:w="5960" w:type="dxa"/>
            <w:vAlign w:val="bottom"/>
            <w:tcBorders>
              <w:bottom w:val="single" w:sz="8" w:color="A6A6A6"/>
            </w:tcBorders>
          </w:tcPr>
          <w:p>
            <w:pPr>
              <w:spacing w:after="0"/>
              <w:rPr>
                <w:sz w:val="5"/>
                <w:szCs w:val="5"/>
                <w:color w:val="auto"/>
              </w:rPr>
            </w:pPr>
          </w:p>
        </w:tc>
        <w:tc>
          <w:tcPr>
            <w:tcW w:w="240" w:type="dxa"/>
            <w:vAlign w:val="bottom"/>
            <w:tcBorders>
              <w:bottom w:val="single" w:sz="8" w:color="A6A6A6"/>
            </w:tcBorders>
          </w:tcPr>
          <w:p>
            <w:pPr>
              <w:spacing w:after="0"/>
              <w:rPr>
                <w:sz w:val="5"/>
                <w:szCs w:val="5"/>
                <w:color w:val="auto"/>
              </w:rPr>
            </w:pPr>
          </w:p>
        </w:tc>
        <w:tc>
          <w:tcPr>
            <w:tcW w:w="142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620" w:type="dxa"/>
            <w:vAlign w:val="bottom"/>
            <w:tcBorders>
              <w:bottom w:val="single" w:sz="8" w:color="A6A6A6"/>
            </w:tcBorders>
          </w:tcPr>
          <w:p>
            <w:pPr>
              <w:spacing w:after="0"/>
              <w:rPr>
                <w:sz w:val="5"/>
                <w:szCs w:val="5"/>
                <w:color w:val="auto"/>
              </w:rPr>
            </w:pPr>
          </w:p>
        </w:tc>
        <w:tc>
          <w:tcPr>
            <w:tcW w:w="88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r>
      <w:tr>
        <w:trPr>
          <w:trHeight w:val="339"/>
        </w:trPr>
        <w:tc>
          <w:tcPr>
            <w:tcW w:w="5960" w:type="dxa"/>
            <w:vAlign w:val="bottom"/>
          </w:tcPr>
          <w:p>
            <w:pPr>
              <w:spacing w:after="0"/>
              <w:rPr>
                <w:sz w:val="20"/>
                <w:szCs w:val="20"/>
                <w:color w:val="auto"/>
              </w:rPr>
            </w:pPr>
            <w:r>
              <w:rPr>
                <w:rFonts w:ascii="Arial Narrow" w:cs="Arial Narrow" w:eastAsia="Arial Narrow" w:hAnsi="Arial Narrow"/>
                <w:sz w:val="20"/>
                <w:szCs w:val="20"/>
                <w:b w:val="1"/>
                <w:bCs w:val="1"/>
                <w:color w:val="00085E"/>
              </w:rPr>
              <w:t>Payment of Debt Issuance Costs</w:t>
            </w:r>
          </w:p>
        </w:tc>
        <w:tc>
          <w:tcPr>
            <w:tcW w:w="240" w:type="dxa"/>
            <w:vAlign w:val="bottom"/>
          </w:tcPr>
          <w:p>
            <w:pPr>
              <w:spacing w:after="0"/>
              <w:rPr>
                <w:sz w:val="24"/>
                <w:szCs w:val="24"/>
                <w:color w:val="auto"/>
              </w:rPr>
            </w:pPr>
          </w:p>
        </w:tc>
        <w:tc>
          <w:tcPr>
            <w:tcW w:w="1420" w:type="dxa"/>
            <w:vAlign w:val="bottom"/>
          </w:tcPr>
          <w:p>
            <w:pPr>
              <w:jc w:val="right"/>
              <w:ind w:right="102"/>
              <w:spacing w:after="0"/>
              <w:rPr>
                <w:sz w:val="20"/>
                <w:szCs w:val="20"/>
                <w:color w:val="auto"/>
              </w:rPr>
            </w:pPr>
            <w:r>
              <w:rPr>
                <w:rFonts w:ascii="Arial Narrow" w:cs="Arial Narrow" w:eastAsia="Arial Narrow" w:hAnsi="Arial Narrow"/>
                <w:sz w:val="20"/>
                <w:szCs w:val="20"/>
                <w:color w:val="auto"/>
              </w:rPr>
              <w:t>(6,851)</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Narrow" w:cs="Arial Narrow" w:eastAsia="Arial Narrow" w:hAnsi="Arial Narrow"/>
                <w:sz w:val="20"/>
                <w:szCs w:val="20"/>
                <w:color w:val="auto"/>
              </w:rPr>
              <w:t>(1,834)</w:t>
            </w:r>
          </w:p>
        </w:tc>
        <w:tc>
          <w:tcPr>
            <w:tcW w:w="80" w:type="dxa"/>
            <w:vAlign w:val="bottom"/>
          </w:tcPr>
          <w:p>
            <w:pPr>
              <w:spacing w:after="0"/>
              <w:rPr>
                <w:sz w:val="24"/>
                <w:szCs w:val="24"/>
                <w:color w:val="auto"/>
              </w:rPr>
            </w:pPr>
          </w:p>
        </w:tc>
      </w:tr>
      <w:tr>
        <w:trPr>
          <w:trHeight w:val="65"/>
        </w:trPr>
        <w:tc>
          <w:tcPr>
            <w:tcW w:w="5960" w:type="dxa"/>
            <w:vAlign w:val="bottom"/>
            <w:tcBorders>
              <w:bottom w:val="single" w:sz="8" w:color="A6A6A6"/>
            </w:tcBorders>
          </w:tcPr>
          <w:p>
            <w:pPr>
              <w:spacing w:after="0"/>
              <w:rPr>
                <w:sz w:val="5"/>
                <w:szCs w:val="5"/>
                <w:color w:val="auto"/>
              </w:rPr>
            </w:pPr>
          </w:p>
        </w:tc>
        <w:tc>
          <w:tcPr>
            <w:tcW w:w="240" w:type="dxa"/>
            <w:vAlign w:val="bottom"/>
            <w:tcBorders>
              <w:bottom w:val="single" w:sz="8" w:color="A6A6A6"/>
            </w:tcBorders>
          </w:tcPr>
          <w:p>
            <w:pPr>
              <w:spacing w:after="0"/>
              <w:rPr>
                <w:sz w:val="5"/>
                <w:szCs w:val="5"/>
                <w:color w:val="auto"/>
              </w:rPr>
            </w:pPr>
          </w:p>
        </w:tc>
        <w:tc>
          <w:tcPr>
            <w:tcW w:w="142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620" w:type="dxa"/>
            <w:vAlign w:val="bottom"/>
            <w:tcBorders>
              <w:bottom w:val="single" w:sz="8" w:color="A6A6A6"/>
            </w:tcBorders>
          </w:tcPr>
          <w:p>
            <w:pPr>
              <w:spacing w:after="0"/>
              <w:rPr>
                <w:sz w:val="5"/>
                <w:szCs w:val="5"/>
                <w:color w:val="auto"/>
              </w:rPr>
            </w:pPr>
          </w:p>
        </w:tc>
        <w:tc>
          <w:tcPr>
            <w:tcW w:w="88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r>
      <w:tr>
        <w:trPr>
          <w:trHeight w:val="339"/>
        </w:trPr>
        <w:tc>
          <w:tcPr>
            <w:tcW w:w="5960" w:type="dxa"/>
            <w:vAlign w:val="bottom"/>
          </w:tcPr>
          <w:p>
            <w:pPr>
              <w:spacing w:after="0"/>
              <w:rPr>
                <w:sz w:val="20"/>
                <w:szCs w:val="20"/>
                <w:color w:val="auto"/>
              </w:rPr>
            </w:pPr>
            <w:r>
              <w:rPr>
                <w:rFonts w:ascii="Arial Narrow" w:cs="Arial Narrow" w:eastAsia="Arial Narrow" w:hAnsi="Arial Narrow"/>
                <w:sz w:val="20"/>
                <w:szCs w:val="20"/>
                <w:b w:val="1"/>
                <w:bCs w:val="1"/>
                <w:color w:val="00085E"/>
              </w:rPr>
              <w:t>Shares Redeemed to Settle Employee Taxes on Stock Compensation</w:t>
            </w:r>
          </w:p>
        </w:tc>
        <w:tc>
          <w:tcPr>
            <w:tcW w:w="240" w:type="dxa"/>
            <w:vAlign w:val="bottom"/>
          </w:tcPr>
          <w:p>
            <w:pPr>
              <w:spacing w:after="0"/>
              <w:rPr>
                <w:sz w:val="24"/>
                <w:szCs w:val="24"/>
                <w:color w:val="auto"/>
              </w:rPr>
            </w:pPr>
          </w:p>
        </w:tc>
        <w:tc>
          <w:tcPr>
            <w:tcW w:w="1420" w:type="dxa"/>
            <w:vAlign w:val="bottom"/>
          </w:tcPr>
          <w:p>
            <w:pPr>
              <w:jc w:val="right"/>
              <w:ind w:right="102"/>
              <w:spacing w:after="0"/>
              <w:rPr>
                <w:sz w:val="20"/>
                <w:szCs w:val="20"/>
                <w:color w:val="auto"/>
              </w:rPr>
            </w:pPr>
            <w:r>
              <w:rPr>
                <w:rFonts w:ascii="Arial Narrow" w:cs="Arial Narrow" w:eastAsia="Arial Narrow" w:hAnsi="Arial Narrow"/>
                <w:sz w:val="20"/>
                <w:szCs w:val="20"/>
                <w:color w:val="auto"/>
              </w:rPr>
              <w:t>(8,583)</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Narrow" w:cs="Arial Narrow" w:eastAsia="Arial Narrow" w:hAnsi="Arial Narrow"/>
                <w:sz w:val="20"/>
                <w:szCs w:val="20"/>
                <w:color w:val="auto"/>
              </w:rPr>
              <w:t>(5,898)</w:t>
            </w:r>
          </w:p>
        </w:tc>
        <w:tc>
          <w:tcPr>
            <w:tcW w:w="80" w:type="dxa"/>
            <w:vAlign w:val="bottom"/>
          </w:tcPr>
          <w:p>
            <w:pPr>
              <w:spacing w:after="0"/>
              <w:rPr>
                <w:sz w:val="24"/>
                <w:szCs w:val="24"/>
                <w:color w:val="auto"/>
              </w:rPr>
            </w:pPr>
          </w:p>
        </w:tc>
      </w:tr>
      <w:tr>
        <w:trPr>
          <w:trHeight w:val="90"/>
        </w:trPr>
        <w:tc>
          <w:tcPr>
            <w:tcW w:w="5960" w:type="dxa"/>
            <w:vAlign w:val="bottom"/>
            <w:tcBorders>
              <w:bottom w:val="single" w:sz="8" w:color="A6A6A6"/>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r>
      <w:tr>
        <w:trPr>
          <w:trHeight w:val="344"/>
        </w:trPr>
        <w:tc>
          <w:tcPr>
            <w:tcW w:w="5960" w:type="dxa"/>
            <w:vAlign w:val="bottom"/>
          </w:tcPr>
          <w:p>
            <w:pPr>
              <w:spacing w:after="0"/>
              <w:rPr>
                <w:sz w:val="20"/>
                <w:szCs w:val="20"/>
                <w:color w:val="auto"/>
              </w:rPr>
            </w:pPr>
            <w:r>
              <w:rPr>
                <w:rFonts w:ascii="Arial Narrow" w:cs="Arial Narrow" w:eastAsia="Arial Narrow" w:hAnsi="Arial Narrow"/>
                <w:sz w:val="20"/>
                <w:szCs w:val="20"/>
                <w:b w:val="1"/>
                <w:bCs w:val="1"/>
                <w:color w:val="00085E"/>
              </w:rPr>
              <w:t>Net Cash Provided by (Used in) Financing Activities</w:t>
            </w:r>
          </w:p>
        </w:tc>
        <w:tc>
          <w:tcPr>
            <w:tcW w:w="240" w:type="dxa"/>
            <w:vAlign w:val="bottom"/>
          </w:tcPr>
          <w:p>
            <w:pPr>
              <w:spacing w:after="0"/>
              <w:rPr>
                <w:sz w:val="24"/>
                <w:szCs w:val="24"/>
                <w:color w:val="auto"/>
              </w:rPr>
            </w:pPr>
          </w:p>
        </w:tc>
        <w:tc>
          <w:tcPr>
            <w:tcW w:w="1420" w:type="dxa"/>
            <w:vAlign w:val="bottom"/>
          </w:tcPr>
          <w:p>
            <w:pPr>
              <w:jc w:val="right"/>
              <w:ind w:right="162"/>
              <w:spacing w:after="0"/>
              <w:rPr>
                <w:sz w:val="20"/>
                <w:szCs w:val="20"/>
                <w:color w:val="auto"/>
              </w:rPr>
            </w:pPr>
            <w:r>
              <w:rPr>
                <w:rFonts w:ascii="Arial Narrow" w:cs="Arial Narrow" w:eastAsia="Arial Narrow" w:hAnsi="Arial Narrow"/>
                <w:sz w:val="20"/>
                <w:szCs w:val="20"/>
                <w:b w:val="1"/>
                <w:bCs w:val="1"/>
                <w:color w:val="auto"/>
              </w:rPr>
              <w:t>95,092</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Narrow" w:cs="Arial Narrow" w:eastAsia="Arial Narrow" w:hAnsi="Arial Narrow"/>
                <w:sz w:val="20"/>
                <w:szCs w:val="20"/>
                <w:b w:val="1"/>
                <w:bCs w:val="1"/>
                <w:color w:val="auto"/>
              </w:rPr>
              <w:t>(192,941)</w:t>
            </w:r>
          </w:p>
        </w:tc>
        <w:tc>
          <w:tcPr>
            <w:tcW w:w="80" w:type="dxa"/>
            <w:vAlign w:val="bottom"/>
          </w:tcPr>
          <w:p>
            <w:pPr>
              <w:spacing w:after="0"/>
              <w:rPr>
                <w:sz w:val="24"/>
                <w:szCs w:val="24"/>
                <w:color w:val="auto"/>
              </w:rPr>
            </w:pPr>
          </w:p>
        </w:tc>
      </w:tr>
      <w:tr>
        <w:trPr>
          <w:trHeight w:val="90"/>
        </w:trPr>
        <w:tc>
          <w:tcPr>
            <w:tcW w:w="5960" w:type="dxa"/>
            <w:vAlign w:val="bottom"/>
            <w:tcBorders>
              <w:bottom w:val="single" w:sz="8" w:color="A6A6A6"/>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r>
      <w:tr>
        <w:trPr>
          <w:trHeight w:val="344"/>
        </w:trPr>
        <w:tc>
          <w:tcPr>
            <w:tcW w:w="5960" w:type="dxa"/>
            <w:vAlign w:val="bottom"/>
          </w:tcPr>
          <w:p>
            <w:pPr>
              <w:spacing w:after="0"/>
              <w:rPr>
                <w:sz w:val="20"/>
                <w:szCs w:val="20"/>
                <w:color w:val="auto"/>
              </w:rPr>
            </w:pPr>
            <w:r>
              <w:rPr>
                <w:rFonts w:ascii="Arial Narrow" w:cs="Arial Narrow" w:eastAsia="Arial Narrow" w:hAnsi="Arial Narrow"/>
                <w:sz w:val="20"/>
                <w:szCs w:val="20"/>
                <w:b w:val="1"/>
                <w:bCs w:val="1"/>
                <w:color w:val="00085E"/>
              </w:rPr>
              <w:t>Net Increase (Decrease) in Cash and Cash Equivalents</w:t>
            </w:r>
          </w:p>
        </w:tc>
        <w:tc>
          <w:tcPr>
            <w:tcW w:w="240" w:type="dxa"/>
            <w:vAlign w:val="bottom"/>
          </w:tcPr>
          <w:p>
            <w:pPr>
              <w:jc w:val="right"/>
              <w:ind w:right="70"/>
              <w:spacing w:after="0"/>
              <w:rPr>
                <w:sz w:val="20"/>
                <w:szCs w:val="20"/>
                <w:color w:val="auto"/>
              </w:rPr>
            </w:pPr>
            <w:r>
              <w:rPr>
                <w:rFonts w:ascii="Arial Narrow" w:cs="Arial Narrow" w:eastAsia="Arial Narrow" w:hAnsi="Arial Narrow"/>
                <w:sz w:val="18"/>
                <w:szCs w:val="18"/>
                <w:b w:val="1"/>
                <w:bCs w:val="1"/>
                <w:color w:val="auto"/>
                <w:w w:val="72"/>
              </w:rPr>
              <w:t>$</w:t>
            </w:r>
          </w:p>
        </w:tc>
        <w:tc>
          <w:tcPr>
            <w:tcW w:w="1420" w:type="dxa"/>
            <w:vAlign w:val="bottom"/>
          </w:tcPr>
          <w:p>
            <w:pPr>
              <w:jc w:val="right"/>
              <w:ind w:right="162"/>
              <w:spacing w:after="0"/>
              <w:rPr>
                <w:sz w:val="20"/>
                <w:szCs w:val="20"/>
                <w:color w:val="auto"/>
              </w:rPr>
            </w:pPr>
            <w:r>
              <w:rPr>
                <w:rFonts w:ascii="Arial Narrow" w:cs="Arial Narrow" w:eastAsia="Arial Narrow" w:hAnsi="Arial Narrow"/>
                <w:sz w:val="20"/>
                <w:szCs w:val="20"/>
                <w:b w:val="1"/>
                <w:bCs w:val="1"/>
                <w:color w:val="auto"/>
              </w:rPr>
              <w:t>277,519</w:t>
            </w:r>
          </w:p>
        </w:tc>
        <w:tc>
          <w:tcPr>
            <w:tcW w:w="780" w:type="dxa"/>
            <w:vAlign w:val="bottom"/>
            <w:gridSpan w:val="2"/>
          </w:tcPr>
          <w:p>
            <w:pPr>
              <w:jc w:val="right"/>
              <w:ind w:right="540"/>
              <w:spacing w:after="0"/>
              <w:rPr>
                <w:sz w:val="20"/>
                <w:szCs w:val="20"/>
                <w:color w:val="auto"/>
              </w:rPr>
            </w:pPr>
            <w:r>
              <w:rPr>
                <w:rFonts w:ascii="Arial Narrow" w:cs="Arial Narrow" w:eastAsia="Arial Narrow" w:hAnsi="Arial Narrow"/>
                <w:sz w:val="20"/>
                <w:szCs w:val="20"/>
                <w:b w:val="1"/>
                <w:bCs w:val="1"/>
                <w:color w:val="auto"/>
              </w:rPr>
              <w:t>$</w:t>
            </w:r>
          </w:p>
        </w:tc>
        <w:tc>
          <w:tcPr>
            <w:tcW w:w="880" w:type="dxa"/>
            <w:vAlign w:val="bottom"/>
          </w:tcPr>
          <w:p>
            <w:pPr>
              <w:jc w:val="right"/>
              <w:spacing w:after="0"/>
              <w:rPr>
                <w:sz w:val="20"/>
                <w:szCs w:val="20"/>
                <w:color w:val="auto"/>
              </w:rPr>
            </w:pPr>
            <w:r>
              <w:rPr>
                <w:rFonts w:ascii="Arial Narrow" w:cs="Arial Narrow" w:eastAsia="Arial Narrow" w:hAnsi="Arial Narrow"/>
                <w:sz w:val="20"/>
                <w:szCs w:val="20"/>
                <w:b w:val="1"/>
                <w:bCs w:val="1"/>
                <w:color w:val="auto"/>
              </w:rPr>
              <w:t>(14,524)</w:t>
            </w:r>
          </w:p>
        </w:tc>
        <w:tc>
          <w:tcPr>
            <w:tcW w:w="80" w:type="dxa"/>
            <w:vAlign w:val="bottom"/>
          </w:tcPr>
          <w:p>
            <w:pPr>
              <w:spacing w:after="0"/>
              <w:rPr>
                <w:sz w:val="24"/>
                <w:szCs w:val="24"/>
                <w:color w:val="auto"/>
              </w:rPr>
            </w:pPr>
          </w:p>
        </w:tc>
      </w:tr>
      <w:tr>
        <w:trPr>
          <w:trHeight w:val="65"/>
        </w:trPr>
        <w:tc>
          <w:tcPr>
            <w:tcW w:w="596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right="420"/>
        <w:spacing w:after="0" w:line="303" w:lineRule="auto"/>
        <w:rPr>
          <w:sz w:val="20"/>
          <w:szCs w:val="20"/>
          <w:color w:val="auto"/>
        </w:rPr>
      </w:pPr>
      <w:r>
        <w:rPr>
          <w:rFonts w:ascii="Arial" w:cs="Arial" w:eastAsia="Arial" w:hAnsi="Arial"/>
          <w:sz w:val="20"/>
          <w:szCs w:val="20"/>
          <w:color w:val="auto"/>
        </w:rPr>
        <w:t xml:space="preserve">Cash Flows from Operating Activities increased by $65.6 million to $614.2 million in fiscal 2026. The increase was largely attributable to higher changes in Working Capital of $62.9 million and higher Net Earnings, </w:t>
      </w:r>
      <w:r>
        <w:rPr>
          <w:rFonts w:ascii="Arial" w:cs="Arial" w:eastAsia="Arial" w:hAnsi="Arial"/>
          <w:sz w:val="19"/>
          <w:szCs w:val="19"/>
          <w:color w:val="auto"/>
        </w:rPr>
        <w:t>adjusted for non-cash charges of $2.7 million.</w:t>
      </w:r>
    </w:p>
    <w:p>
      <w:pPr>
        <w:spacing w:after="0" w:line="59" w:lineRule="exact"/>
        <w:rPr>
          <w:sz w:val="20"/>
          <w:szCs w:val="20"/>
          <w:color w:val="auto"/>
        </w:rPr>
      </w:pPr>
    </w:p>
    <w:p>
      <w:pPr>
        <w:ind w:right="80"/>
        <w:spacing w:after="0" w:line="296" w:lineRule="auto"/>
        <w:rPr>
          <w:sz w:val="20"/>
          <w:szCs w:val="20"/>
          <w:color w:val="auto"/>
        </w:rPr>
      </w:pPr>
      <w:r>
        <w:rPr>
          <w:rFonts w:ascii="Arial" w:cs="Arial" w:eastAsia="Arial" w:hAnsi="Arial"/>
          <w:sz w:val="20"/>
          <w:szCs w:val="20"/>
          <w:color w:val="auto"/>
        </w:rPr>
        <w:t>Working Capital increased by $267.1 million to $690.7 million at March 31, 2026, primarily because of higher Cash and Accounts Receivable of $277.5 million and $16.2 million, respectively. This was partially offset by an increase in Accounts Payable and Accrued Liabilities of $9.0 million and $6.1 million, respectively, and a decrease in Inventories of $6.8 million.</w:t>
      </w:r>
    </w:p>
    <w:p>
      <w:pPr>
        <w:sectPr>
          <w:pgSz w:w="11880" w:h="15480" w:orient="portrait"/>
          <w:cols w:equalWidth="0" w:num="1">
            <w:col w:w="9360"/>
          </w:cols>
          <w:pgMar w:left="1260" w:top="1243"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63</w:t>
      </w:r>
    </w:p>
    <w:p>
      <w:pPr>
        <w:sectPr>
          <w:pgSz w:w="11880" w:h="15480" w:orient="portrait"/>
          <w:cols w:equalWidth="0" w:num="1">
            <w:col w:w="9360"/>
          </w:cols>
          <w:pgMar w:left="1260" w:top="1243" w:right="1260" w:bottom="0" w:gutter="0" w:footer="0" w:header="0"/>
          <w:type w:val="continuous"/>
        </w:sectPr>
      </w:pPr>
    </w:p>
    <w:bookmarkStart w:id="71" w:name="page72"/>
    <w:bookmarkEnd w:id="71"/>
    <w:p>
      <w:pPr>
        <w:ind w:right="60"/>
        <w:spacing w:after="0" w:line="308" w:lineRule="auto"/>
        <w:rPr>
          <w:sz w:val="20"/>
          <w:szCs w:val="20"/>
          <w:color w:val="auto"/>
        </w:rPr>
      </w:pPr>
      <w:r>
        <w:rPr>
          <w:rFonts w:ascii="Arial" w:cs="Arial" w:eastAsia="Arial" w:hAnsi="Arial"/>
          <w:sz w:val="19"/>
          <w:szCs w:val="19"/>
          <w:color w:val="auto"/>
        </w:rPr>
        <w:t>The increase in Accounts Receivable at March 31, 2026, was primarily due to the timing of sales and collections during the quarter ended March 31, 2026. As a percentage of quarterly sales generated in the fiscal fourth quarters, Accounts Receivable was 48% at March 31, 2026, and 45% at March 31, 2025. Management measures the change in Accounts Receivable by monitoring the day’s sales outstanding monthly to determine if any deterioration has occurred in the collectability of the Accounts Receivable. No significant deterioration in the collectability of our Accounts Receivable was identified at March 31, 2026.</w:t>
      </w:r>
    </w:p>
    <w:p>
      <w:pPr>
        <w:spacing w:after="0" w:line="58" w:lineRule="exact"/>
        <w:rPr>
          <w:sz w:val="20"/>
          <w:szCs w:val="20"/>
          <w:color w:val="auto"/>
        </w:rPr>
      </w:pPr>
    </w:p>
    <w:p>
      <w:pPr>
        <w:ind w:right="140"/>
        <w:spacing w:after="0" w:line="286" w:lineRule="auto"/>
        <w:rPr>
          <w:sz w:val="20"/>
          <w:szCs w:val="20"/>
          <w:color w:val="auto"/>
        </w:rPr>
      </w:pPr>
      <w:r>
        <w:rPr>
          <w:rFonts w:ascii="Arial" w:cs="Arial" w:eastAsia="Arial" w:hAnsi="Arial"/>
          <w:sz w:val="20"/>
          <w:szCs w:val="20"/>
          <w:color w:val="auto"/>
        </w:rPr>
        <w:t>Our Inventory balance at March 31, 2026, decreased approximately $6.8 million from our balance at March 31, 2025. Within Inventories, Raw Materials and Materials-in-Progress, Finished Cement, Aggregates, and Fuel and Coal decreased by approximately $5.9 million, $4.4 million, $1.6 million, and $5.0 million, respectively, which was partially offset by an increase in Repair Parts and Supplies and Recycled Paperboard of $8.1 million and $2.9 million, respectively. The decreases in Raw Materials and Materials-in-Progress, and Fuel and Coal were mostly due to timing. We have less than one year’s sales of all product inventories, and our inventories have a low risk of obsolescence given that they are basic construction materials. The largest individual balance in our inventory is Repair Parts. The size and complexity of our manufacturing plants, as well as the age of certain of our plants, creates the need to stock a high level of repair parts inventory. We believe all these repair parts are necessary, and we perform semi-annual analyses to identify obsolete parts.</w:t>
      </w:r>
    </w:p>
    <w:p>
      <w:pPr>
        <w:spacing w:after="0" w:line="75" w:lineRule="exact"/>
        <w:rPr>
          <w:sz w:val="20"/>
          <w:szCs w:val="20"/>
          <w:color w:val="auto"/>
        </w:rPr>
      </w:pPr>
    </w:p>
    <w:p>
      <w:pPr>
        <w:ind w:right="40"/>
        <w:spacing w:after="0" w:line="290" w:lineRule="auto"/>
        <w:rPr>
          <w:sz w:val="20"/>
          <w:szCs w:val="20"/>
          <w:color w:val="auto"/>
        </w:rPr>
      </w:pPr>
      <w:r>
        <w:rPr>
          <w:rFonts w:ascii="Arial" w:cs="Arial" w:eastAsia="Arial" w:hAnsi="Arial"/>
          <w:sz w:val="20"/>
          <w:szCs w:val="20"/>
          <w:color w:val="auto"/>
        </w:rPr>
        <w:t>Net Cash Used in Investing Activities in fiscal 2026 was approximately $431.7 million compared with $370.1 million in fiscal 2025, an increase of approximately $61.6 million. This was primarily due to an increase in additions to capital spending and an investment of $221.5 million and $15.0 million, respectively. This was partially offset by a reduction in acquisition spending of $174.9 million. The increase in capital spending was mainly due to the expansion and modernization of our Mountain Cement facility and our gypsum wallboard plant in Oklahoma.</w:t>
      </w:r>
    </w:p>
    <w:p>
      <w:pPr>
        <w:spacing w:after="0" w:line="73" w:lineRule="exact"/>
        <w:rPr>
          <w:sz w:val="20"/>
          <w:szCs w:val="20"/>
          <w:color w:val="auto"/>
        </w:rPr>
      </w:pPr>
    </w:p>
    <w:p>
      <w:pPr>
        <w:ind w:right="140"/>
        <w:spacing w:after="0" w:line="311" w:lineRule="auto"/>
        <w:rPr>
          <w:sz w:val="20"/>
          <w:szCs w:val="20"/>
          <w:color w:val="auto"/>
        </w:rPr>
      </w:pPr>
      <w:r>
        <w:rPr>
          <w:rFonts w:ascii="Arial" w:cs="Arial" w:eastAsia="Arial" w:hAnsi="Arial"/>
          <w:sz w:val="19"/>
          <w:szCs w:val="19"/>
          <w:color w:val="auto"/>
        </w:rPr>
        <w:t>Net Cash Provided by Financing Activities was approximately $95.1 million during fiscal 2026, compared with Net Cash Used in Financing Activities of $192.9 million in fiscal 2025. The $288.0 million increase was mainly related to higher borrowings, net of repayments, of $383.0 million, partially offset by higher Purchases and Retirement of Common Stock and Payment of Debt Issuance Costs of $83.5 million and $5.0 million, respectively, as well as lower Proceeds from Stock Option Exercises of $5.8 million.</w:t>
      </w:r>
    </w:p>
    <w:p>
      <w:pPr>
        <w:spacing w:after="0" w:line="54" w:lineRule="exact"/>
        <w:rPr>
          <w:sz w:val="20"/>
          <w:szCs w:val="20"/>
          <w:color w:val="auto"/>
        </w:rPr>
      </w:pPr>
    </w:p>
    <w:p>
      <w:pPr>
        <w:ind w:right="40"/>
        <w:spacing w:after="0" w:line="325" w:lineRule="auto"/>
        <w:rPr>
          <w:sz w:val="20"/>
          <w:szCs w:val="20"/>
          <w:color w:val="auto"/>
        </w:rPr>
      </w:pPr>
      <w:r>
        <w:rPr>
          <w:rFonts w:ascii="Arial" w:cs="Arial" w:eastAsia="Arial" w:hAnsi="Arial"/>
          <w:sz w:val="20"/>
          <w:szCs w:val="20"/>
          <w:color w:val="auto"/>
        </w:rPr>
        <w:t>Our debt-to-capitalization ratio and net debt-to-capitalization ratio were 54.7% and 50.1%, respectively, at March 31, 2026, compared with 46.1% and 45.7%, respectively, at March 31, 2025.</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085E"/>
        </w:rPr>
        <w:t>Debt Financing Activities</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color w:val="auto"/>
        </w:rPr>
        <w:t>Below is a summary of the Company’s outstanding debt facilities at March 31, 2026.</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5340" w:type="dxa"/>
            <w:vAlign w:val="bottom"/>
          </w:tcPr>
          <w:p>
            <w:pPr>
              <w:spacing w:after="0"/>
              <w:rPr>
                <w:sz w:val="22"/>
                <w:szCs w:val="22"/>
                <w:color w:val="auto"/>
              </w:rPr>
            </w:pPr>
          </w:p>
        </w:tc>
        <w:tc>
          <w:tcPr>
            <w:tcW w:w="4020" w:type="dxa"/>
            <w:vAlign w:val="bottom"/>
          </w:tcPr>
          <w:p>
            <w:pPr>
              <w:jc w:val="right"/>
              <w:ind w:right="22"/>
              <w:spacing w:after="0"/>
              <w:rPr>
                <w:sz w:val="20"/>
                <w:szCs w:val="20"/>
                <w:color w:val="auto"/>
              </w:rPr>
            </w:pPr>
            <w:r>
              <w:rPr>
                <w:rFonts w:ascii="Arial Narrow" w:cs="Arial Narrow" w:eastAsia="Arial Narrow" w:hAnsi="Arial Narrow"/>
                <w:sz w:val="18"/>
                <w:szCs w:val="18"/>
                <w:b w:val="1"/>
                <w:bCs w:val="1"/>
                <w:color w:val="auto"/>
              </w:rPr>
              <w:t>Maturity</w:t>
            </w:r>
          </w:p>
        </w:tc>
      </w:tr>
      <w:tr>
        <w:trPr>
          <w:trHeight w:val="46"/>
        </w:trPr>
        <w:tc>
          <w:tcPr>
            <w:tcW w:w="5340" w:type="dxa"/>
            <w:vAlign w:val="bottom"/>
            <w:tcBorders>
              <w:bottom w:val="single" w:sz="8" w:color="auto"/>
            </w:tcBorders>
          </w:tcPr>
          <w:p>
            <w:pPr>
              <w:spacing w:after="0"/>
              <w:rPr>
                <w:sz w:val="3"/>
                <w:szCs w:val="3"/>
                <w:color w:val="auto"/>
              </w:rPr>
            </w:pPr>
          </w:p>
        </w:tc>
        <w:tc>
          <w:tcPr>
            <w:tcW w:w="4020" w:type="dxa"/>
            <w:vAlign w:val="bottom"/>
            <w:tcBorders>
              <w:bottom w:val="single" w:sz="8" w:color="auto"/>
            </w:tcBorders>
          </w:tcPr>
          <w:p>
            <w:pPr>
              <w:spacing w:after="0"/>
              <w:rPr>
                <w:sz w:val="3"/>
                <w:szCs w:val="3"/>
                <w:color w:val="auto"/>
              </w:rPr>
            </w:pPr>
          </w:p>
        </w:tc>
      </w:tr>
      <w:tr>
        <w:trPr>
          <w:trHeight w:val="344"/>
        </w:trPr>
        <w:tc>
          <w:tcPr>
            <w:tcW w:w="5340" w:type="dxa"/>
            <w:vAlign w:val="bottom"/>
          </w:tcPr>
          <w:p>
            <w:pPr>
              <w:spacing w:after="0"/>
              <w:rPr>
                <w:sz w:val="20"/>
                <w:szCs w:val="20"/>
                <w:color w:val="auto"/>
              </w:rPr>
            </w:pPr>
            <w:r>
              <w:rPr>
                <w:rFonts w:ascii="Arial Narrow" w:cs="Arial Narrow" w:eastAsia="Arial Narrow" w:hAnsi="Arial Narrow"/>
                <w:sz w:val="20"/>
                <w:szCs w:val="20"/>
                <w:b w:val="1"/>
                <w:bCs w:val="1"/>
                <w:color w:val="00085E"/>
              </w:rPr>
              <w:t>Revolving Credit Facility</w:t>
            </w:r>
          </w:p>
        </w:tc>
        <w:tc>
          <w:tcPr>
            <w:tcW w:w="4020" w:type="dxa"/>
            <w:vAlign w:val="bottom"/>
          </w:tcPr>
          <w:p>
            <w:pPr>
              <w:jc w:val="right"/>
              <w:ind w:right="22"/>
              <w:spacing w:after="0"/>
              <w:rPr>
                <w:sz w:val="20"/>
                <w:szCs w:val="20"/>
                <w:color w:val="auto"/>
              </w:rPr>
            </w:pPr>
            <w:r>
              <w:rPr>
                <w:rFonts w:ascii="Arial Narrow" w:cs="Arial Narrow" w:eastAsia="Arial Narrow" w:hAnsi="Arial Narrow"/>
                <w:sz w:val="20"/>
                <w:szCs w:val="20"/>
                <w:color w:val="auto"/>
              </w:rPr>
              <w:t>February 2030</w:t>
            </w:r>
          </w:p>
        </w:tc>
      </w:tr>
      <w:tr>
        <w:trPr>
          <w:trHeight w:val="65"/>
        </w:trPr>
        <w:tc>
          <w:tcPr>
            <w:tcW w:w="5340" w:type="dxa"/>
            <w:vAlign w:val="bottom"/>
            <w:tcBorders>
              <w:bottom w:val="single" w:sz="8" w:color="A6A6A6"/>
            </w:tcBorders>
          </w:tcPr>
          <w:p>
            <w:pPr>
              <w:spacing w:after="0"/>
              <w:rPr>
                <w:sz w:val="5"/>
                <w:szCs w:val="5"/>
                <w:color w:val="auto"/>
              </w:rPr>
            </w:pPr>
          </w:p>
        </w:tc>
        <w:tc>
          <w:tcPr>
            <w:tcW w:w="4020" w:type="dxa"/>
            <w:vAlign w:val="bottom"/>
            <w:tcBorders>
              <w:bottom w:val="single" w:sz="8" w:color="A6A6A6"/>
            </w:tcBorders>
          </w:tcPr>
          <w:p>
            <w:pPr>
              <w:spacing w:after="0"/>
              <w:rPr>
                <w:sz w:val="5"/>
                <w:szCs w:val="5"/>
                <w:color w:val="auto"/>
              </w:rPr>
            </w:pPr>
          </w:p>
        </w:tc>
      </w:tr>
      <w:tr>
        <w:trPr>
          <w:trHeight w:val="339"/>
        </w:trPr>
        <w:tc>
          <w:tcPr>
            <w:tcW w:w="5340" w:type="dxa"/>
            <w:vAlign w:val="bottom"/>
          </w:tcPr>
          <w:p>
            <w:pPr>
              <w:spacing w:after="0"/>
              <w:rPr>
                <w:sz w:val="20"/>
                <w:szCs w:val="20"/>
                <w:color w:val="auto"/>
              </w:rPr>
            </w:pPr>
            <w:r>
              <w:rPr>
                <w:rFonts w:ascii="Arial Narrow" w:cs="Arial Narrow" w:eastAsia="Arial Narrow" w:hAnsi="Arial Narrow"/>
                <w:sz w:val="20"/>
                <w:szCs w:val="20"/>
                <w:b w:val="1"/>
                <w:bCs w:val="1"/>
                <w:color w:val="00085E"/>
              </w:rPr>
              <w:t>Term Loan</w:t>
            </w:r>
          </w:p>
        </w:tc>
        <w:tc>
          <w:tcPr>
            <w:tcW w:w="4020" w:type="dxa"/>
            <w:vAlign w:val="bottom"/>
          </w:tcPr>
          <w:p>
            <w:pPr>
              <w:jc w:val="right"/>
              <w:ind w:right="22"/>
              <w:spacing w:after="0"/>
              <w:rPr>
                <w:sz w:val="20"/>
                <w:szCs w:val="20"/>
                <w:color w:val="auto"/>
              </w:rPr>
            </w:pPr>
            <w:r>
              <w:rPr>
                <w:rFonts w:ascii="Arial Narrow" w:cs="Arial Narrow" w:eastAsia="Arial Narrow" w:hAnsi="Arial Narrow"/>
                <w:sz w:val="20"/>
                <w:szCs w:val="20"/>
                <w:color w:val="auto"/>
              </w:rPr>
              <w:t>February 2030</w:t>
            </w:r>
          </w:p>
        </w:tc>
      </w:tr>
      <w:tr>
        <w:trPr>
          <w:trHeight w:val="65"/>
        </w:trPr>
        <w:tc>
          <w:tcPr>
            <w:tcW w:w="5340" w:type="dxa"/>
            <w:vAlign w:val="bottom"/>
            <w:tcBorders>
              <w:bottom w:val="single" w:sz="8" w:color="A6A6A6"/>
            </w:tcBorders>
          </w:tcPr>
          <w:p>
            <w:pPr>
              <w:spacing w:after="0"/>
              <w:rPr>
                <w:sz w:val="5"/>
                <w:szCs w:val="5"/>
                <w:color w:val="auto"/>
              </w:rPr>
            </w:pPr>
          </w:p>
        </w:tc>
        <w:tc>
          <w:tcPr>
            <w:tcW w:w="4020" w:type="dxa"/>
            <w:vAlign w:val="bottom"/>
            <w:tcBorders>
              <w:bottom w:val="single" w:sz="8" w:color="A6A6A6"/>
            </w:tcBorders>
          </w:tcPr>
          <w:p>
            <w:pPr>
              <w:spacing w:after="0"/>
              <w:rPr>
                <w:sz w:val="5"/>
                <w:szCs w:val="5"/>
                <w:color w:val="auto"/>
              </w:rPr>
            </w:pPr>
          </w:p>
        </w:tc>
      </w:tr>
      <w:tr>
        <w:trPr>
          <w:trHeight w:val="339"/>
        </w:trPr>
        <w:tc>
          <w:tcPr>
            <w:tcW w:w="5340" w:type="dxa"/>
            <w:vAlign w:val="bottom"/>
          </w:tcPr>
          <w:p>
            <w:pPr>
              <w:spacing w:after="0"/>
              <w:rPr>
                <w:sz w:val="20"/>
                <w:szCs w:val="20"/>
                <w:color w:val="auto"/>
              </w:rPr>
            </w:pPr>
            <w:r>
              <w:rPr>
                <w:rFonts w:ascii="Arial Narrow" w:cs="Arial Narrow" w:eastAsia="Arial Narrow" w:hAnsi="Arial Narrow"/>
                <w:sz w:val="20"/>
                <w:szCs w:val="20"/>
                <w:b w:val="1"/>
                <w:bCs w:val="1"/>
                <w:color w:val="00085E"/>
              </w:rPr>
              <w:t>2.500% Senior Unsecured Notes</w:t>
            </w:r>
          </w:p>
        </w:tc>
        <w:tc>
          <w:tcPr>
            <w:tcW w:w="4020" w:type="dxa"/>
            <w:vAlign w:val="bottom"/>
          </w:tcPr>
          <w:p>
            <w:pPr>
              <w:jc w:val="right"/>
              <w:ind w:right="22"/>
              <w:spacing w:after="0"/>
              <w:rPr>
                <w:sz w:val="20"/>
                <w:szCs w:val="20"/>
                <w:color w:val="auto"/>
              </w:rPr>
            </w:pPr>
            <w:r>
              <w:rPr>
                <w:rFonts w:ascii="Arial Narrow" w:cs="Arial Narrow" w:eastAsia="Arial Narrow" w:hAnsi="Arial Narrow"/>
                <w:sz w:val="20"/>
                <w:szCs w:val="20"/>
                <w:color w:val="auto"/>
              </w:rPr>
              <w:t>July 2031</w:t>
            </w:r>
          </w:p>
        </w:tc>
      </w:tr>
      <w:tr>
        <w:trPr>
          <w:trHeight w:val="65"/>
        </w:trPr>
        <w:tc>
          <w:tcPr>
            <w:tcW w:w="5340" w:type="dxa"/>
            <w:vAlign w:val="bottom"/>
            <w:tcBorders>
              <w:bottom w:val="single" w:sz="8" w:color="A6A6A6"/>
            </w:tcBorders>
          </w:tcPr>
          <w:p>
            <w:pPr>
              <w:spacing w:after="0"/>
              <w:rPr>
                <w:sz w:val="5"/>
                <w:szCs w:val="5"/>
                <w:color w:val="auto"/>
              </w:rPr>
            </w:pPr>
          </w:p>
        </w:tc>
        <w:tc>
          <w:tcPr>
            <w:tcW w:w="4020" w:type="dxa"/>
            <w:vAlign w:val="bottom"/>
            <w:tcBorders>
              <w:bottom w:val="single" w:sz="8" w:color="A6A6A6"/>
            </w:tcBorders>
          </w:tcPr>
          <w:p>
            <w:pPr>
              <w:spacing w:after="0"/>
              <w:rPr>
                <w:sz w:val="5"/>
                <w:szCs w:val="5"/>
                <w:color w:val="auto"/>
              </w:rPr>
            </w:pPr>
          </w:p>
        </w:tc>
      </w:tr>
      <w:tr>
        <w:trPr>
          <w:trHeight w:val="339"/>
        </w:trPr>
        <w:tc>
          <w:tcPr>
            <w:tcW w:w="5340" w:type="dxa"/>
            <w:vAlign w:val="bottom"/>
          </w:tcPr>
          <w:p>
            <w:pPr>
              <w:spacing w:after="0"/>
              <w:rPr>
                <w:sz w:val="20"/>
                <w:szCs w:val="20"/>
                <w:color w:val="auto"/>
              </w:rPr>
            </w:pPr>
            <w:r>
              <w:rPr>
                <w:rFonts w:ascii="Arial Narrow" w:cs="Arial Narrow" w:eastAsia="Arial Narrow" w:hAnsi="Arial Narrow"/>
                <w:sz w:val="20"/>
                <w:szCs w:val="20"/>
                <w:b w:val="1"/>
                <w:bCs w:val="1"/>
                <w:color w:val="00085E"/>
              </w:rPr>
              <w:t>5.000% Senior Unsecured Notes</w:t>
            </w:r>
          </w:p>
        </w:tc>
        <w:tc>
          <w:tcPr>
            <w:tcW w:w="4020" w:type="dxa"/>
            <w:vAlign w:val="bottom"/>
          </w:tcPr>
          <w:p>
            <w:pPr>
              <w:jc w:val="right"/>
              <w:ind w:right="22"/>
              <w:spacing w:after="0"/>
              <w:rPr>
                <w:sz w:val="20"/>
                <w:szCs w:val="20"/>
                <w:color w:val="auto"/>
              </w:rPr>
            </w:pPr>
            <w:r>
              <w:rPr>
                <w:rFonts w:ascii="Arial Narrow" w:cs="Arial Narrow" w:eastAsia="Arial Narrow" w:hAnsi="Arial Narrow"/>
                <w:sz w:val="20"/>
                <w:szCs w:val="20"/>
                <w:color w:val="auto"/>
              </w:rPr>
              <w:t>March 2036</w:t>
            </w:r>
          </w:p>
        </w:tc>
      </w:tr>
      <w:tr>
        <w:trPr>
          <w:trHeight w:val="65"/>
        </w:trPr>
        <w:tc>
          <w:tcPr>
            <w:tcW w:w="5340" w:type="dxa"/>
            <w:vAlign w:val="bottom"/>
            <w:tcBorders>
              <w:bottom w:val="single" w:sz="8" w:color="A6A6A6"/>
            </w:tcBorders>
          </w:tcPr>
          <w:p>
            <w:pPr>
              <w:spacing w:after="0"/>
              <w:rPr>
                <w:sz w:val="5"/>
                <w:szCs w:val="5"/>
                <w:color w:val="auto"/>
              </w:rPr>
            </w:pPr>
          </w:p>
        </w:tc>
        <w:tc>
          <w:tcPr>
            <w:tcW w:w="4020" w:type="dxa"/>
            <w:vAlign w:val="bottom"/>
            <w:tcBorders>
              <w:bottom w:val="single" w:sz="8" w:color="A6A6A6"/>
            </w:tcBorders>
          </w:tcPr>
          <w:p>
            <w:pPr>
              <w:spacing w:after="0"/>
              <w:rPr>
                <w:sz w:val="5"/>
                <w:szCs w:val="5"/>
                <w:color w:val="auto"/>
              </w:rPr>
            </w:pPr>
          </w:p>
        </w:tc>
      </w:tr>
    </w:tbl>
    <w:p>
      <w:pPr>
        <w:spacing w:after="0" w:line="128" w:lineRule="exact"/>
        <w:rPr>
          <w:sz w:val="20"/>
          <w:szCs w:val="20"/>
          <w:color w:val="auto"/>
        </w:rPr>
      </w:pPr>
    </w:p>
    <w:p>
      <w:pPr>
        <w:ind w:right="200"/>
        <w:spacing w:after="0" w:line="325" w:lineRule="auto"/>
        <w:rPr>
          <w:sz w:val="20"/>
          <w:szCs w:val="20"/>
          <w:color w:val="auto"/>
        </w:rPr>
      </w:pPr>
      <w:r>
        <w:rPr>
          <w:rFonts w:ascii="Arial" w:cs="Arial" w:eastAsia="Arial" w:hAnsi="Arial"/>
          <w:sz w:val="20"/>
          <w:szCs w:val="20"/>
          <w:color w:val="auto"/>
        </w:rPr>
        <w:t>See Footnote (F) to the Audited Consolidated Financial Statements for further details on the Company's debt facilities, including interest rates, and financial and other covenants and restrictions.</w:t>
      </w:r>
    </w:p>
    <w:p>
      <w:pPr>
        <w:sectPr>
          <w:pgSz w:w="11880" w:h="15480" w:orient="portrait"/>
          <w:cols w:equalWidth="0" w:num="1">
            <w:col w:w="9360"/>
          </w:cols>
          <w:pgMar w:left="1260" w:top="1267"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64</w:t>
      </w:r>
    </w:p>
    <w:p>
      <w:pPr>
        <w:sectPr>
          <w:pgSz w:w="11880" w:h="15480" w:orient="portrait"/>
          <w:cols w:equalWidth="0" w:num="1">
            <w:col w:w="9360"/>
          </w:cols>
          <w:pgMar w:left="1260" w:top="1267" w:right="1260" w:bottom="0" w:gutter="0" w:footer="0" w:header="0"/>
          <w:type w:val="continuous"/>
        </w:sectPr>
      </w:pPr>
    </w:p>
    <w:bookmarkStart w:id="72" w:name="page73"/>
    <w:bookmarkEnd w:id="72"/>
    <w:p>
      <w:pPr>
        <w:ind w:right="60"/>
        <w:spacing w:after="0" w:line="288" w:lineRule="auto"/>
        <w:rPr>
          <w:sz w:val="20"/>
          <w:szCs w:val="20"/>
          <w:color w:val="auto"/>
        </w:rPr>
      </w:pPr>
      <w:r>
        <w:rPr>
          <w:rFonts w:ascii="Arial" w:cs="Arial" w:eastAsia="Arial" w:hAnsi="Arial"/>
          <w:sz w:val="20"/>
          <w:szCs w:val="20"/>
          <w:color w:val="auto"/>
        </w:rPr>
        <w:t>The revolving borrowing capacity of our Revolving Credit Facility is $750.0 million (any revolving loans borrowed under the Revolving Credit Facility, as applicable, the Revolving Loans). The Revolving Credit Facility also includes a swingline loan sublimit of $25.0 million, and a $ 40.0 million letter of credit facility. At March 31, 2026, we had no outstanding Revolving Loans under the Revolving Credit Facility and $9.9 million of outstanding letters of credit, leaving us with $740.1 million of available borrowings under the Revolving Credit Facility, net of outstanding letters of credit. We are contingently liable for performance under $48.7 million in performance bonds relating primarily to our mining operations. We do not have any off-balance-sheet debt or any outstanding debt guarantees as of March 31, 2026.</w:t>
      </w:r>
    </w:p>
    <w:p>
      <w:pPr>
        <w:spacing w:after="0" w:line="72" w:lineRule="exact"/>
        <w:rPr>
          <w:sz w:val="20"/>
          <w:szCs w:val="20"/>
          <w:color w:val="auto"/>
        </w:rPr>
      </w:pPr>
    </w:p>
    <w:p>
      <w:pPr>
        <w:ind w:right="40"/>
        <w:spacing w:after="0" w:line="292" w:lineRule="auto"/>
        <w:rPr>
          <w:sz w:val="20"/>
          <w:szCs w:val="20"/>
          <w:color w:val="auto"/>
        </w:rPr>
      </w:pPr>
      <w:r>
        <w:rPr>
          <w:rFonts w:ascii="Arial" w:cs="Arial" w:eastAsia="Arial" w:hAnsi="Arial"/>
          <w:sz w:val="20"/>
          <w:szCs w:val="20"/>
          <w:color w:val="auto"/>
        </w:rPr>
        <w:t>Other than the Revolving Credit Facility, we have no additional source of committed external financing in place. Should the Revolving Credit Facility be terminated, no assurance can be given as to our ability to secure a new source of financing. Consequently, if any balance were outstanding on the Revolving Credit Facility at the time of termination, and an alternative source of financing could not be secured, it would have a material adverse impact on our business.</w:t>
      </w:r>
    </w:p>
    <w:p>
      <w:pPr>
        <w:spacing w:after="0" w:line="71" w:lineRule="exact"/>
        <w:rPr>
          <w:sz w:val="20"/>
          <w:szCs w:val="20"/>
          <w:color w:val="auto"/>
        </w:rPr>
      </w:pPr>
    </w:p>
    <w:p>
      <w:pPr>
        <w:ind w:right="60"/>
        <w:spacing w:after="0" w:line="286" w:lineRule="auto"/>
        <w:rPr>
          <w:sz w:val="20"/>
          <w:szCs w:val="20"/>
          <w:color w:val="auto"/>
        </w:rPr>
      </w:pPr>
      <w:r>
        <w:rPr>
          <w:rFonts w:ascii="Arial" w:cs="Arial" w:eastAsia="Arial" w:hAnsi="Arial"/>
          <w:sz w:val="20"/>
          <w:szCs w:val="20"/>
          <w:color w:val="auto"/>
        </w:rPr>
        <w:t>We believe that our cash flow from operations and available borrowings under our Revolving Credit Facility, as well as cash on hand, should be sufficient to meet our currently anticipated operating needs, capital expenditures, and debt service requirements for at least the next 12 months. However, our future liquidity and capital requirements may vary depending on several factors, including market conditions in the construction industry, our ability to maintain compliance with covenants in our Revolving Credit Facility, the level of competition, and general and economic factors beyond our control, such as supply chain constraints and inflation. These and other developments could reduce our cash flow or require that we seek additional sources of funding. We cannot predict what effect these factors will have on our future liquidity. See Market Conditions and Outlook section above for further discussion of the possible effects on our business.</w:t>
      </w:r>
    </w:p>
    <w:p>
      <w:pPr>
        <w:spacing w:after="0" w:line="79" w:lineRule="exact"/>
        <w:rPr>
          <w:sz w:val="20"/>
          <w:szCs w:val="20"/>
          <w:color w:val="auto"/>
        </w:rPr>
      </w:pPr>
    </w:p>
    <w:p>
      <w:pPr>
        <w:ind w:right="40"/>
        <w:spacing w:after="0" w:line="289" w:lineRule="auto"/>
        <w:rPr>
          <w:sz w:val="20"/>
          <w:szCs w:val="20"/>
          <w:color w:val="auto"/>
        </w:rPr>
      </w:pPr>
      <w:r>
        <w:rPr>
          <w:rFonts w:ascii="Arial" w:cs="Arial" w:eastAsia="Arial" w:hAnsi="Arial"/>
          <w:sz w:val="20"/>
          <w:szCs w:val="20"/>
          <w:color w:val="auto"/>
        </w:rPr>
        <w:t xml:space="preserve">As market conditions warrant, the Company may from time to time seek to purchase or repay its outstanding debt securities or loans, including the 2.500% Senior Unsecured Notes, </w:t>
      </w:r>
      <w:r>
        <w:rPr>
          <w:rFonts w:ascii="Arial" w:cs="Arial" w:eastAsia="Arial" w:hAnsi="Arial"/>
          <w:sz w:val="19"/>
          <w:szCs w:val="19"/>
          <w:color w:val="auto"/>
        </w:rPr>
        <w:t>5.000% Senior</w:t>
      </w:r>
      <w:r>
        <w:rPr>
          <w:rFonts w:ascii="Arial" w:cs="Arial" w:eastAsia="Arial" w:hAnsi="Arial"/>
          <w:sz w:val="20"/>
          <w:szCs w:val="20"/>
          <w:color w:val="auto"/>
        </w:rPr>
        <w:t xml:space="preserve"> </w:t>
      </w:r>
      <w:r>
        <w:rPr>
          <w:rFonts w:ascii="Arial" w:cs="Arial" w:eastAsia="Arial" w:hAnsi="Arial"/>
          <w:sz w:val="19"/>
          <w:szCs w:val="19"/>
          <w:color w:val="auto"/>
        </w:rPr>
        <w:t xml:space="preserve">Unsecured Notes, </w:t>
      </w:r>
      <w:r>
        <w:rPr>
          <w:rFonts w:ascii="Arial" w:cs="Arial" w:eastAsia="Arial" w:hAnsi="Arial"/>
          <w:sz w:val="20"/>
          <w:szCs w:val="20"/>
          <w:color w:val="auto"/>
        </w:rPr>
        <w:t>the Term Loan, and any Revolving Credit Loans, in each case, in privately negotiated</w:t>
      </w:r>
      <w:r>
        <w:rPr>
          <w:rFonts w:ascii="Arial" w:cs="Arial" w:eastAsia="Arial" w:hAnsi="Arial"/>
          <w:sz w:val="19"/>
          <w:szCs w:val="19"/>
          <w:color w:val="auto"/>
        </w:rPr>
        <w:t xml:space="preserve"> </w:t>
      </w:r>
      <w:r>
        <w:rPr>
          <w:rFonts w:ascii="Arial" w:cs="Arial" w:eastAsia="Arial" w:hAnsi="Arial"/>
          <w:sz w:val="20"/>
          <w:szCs w:val="20"/>
          <w:color w:val="auto"/>
        </w:rPr>
        <w:t>or open market transactions, by tender offer or otherwise. Subject to any applicable limitations contained in the agreements governing our indebtedness, any purchases we make may be funded by using cash on our balance sheet or issuing new debt. The amounts involved in any such purchase transactions, individually or in aggregate, may be material.</w:t>
      </w:r>
    </w:p>
    <w:p>
      <w:pPr>
        <w:spacing w:after="0" w:line="71" w:lineRule="exact"/>
        <w:rPr>
          <w:sz w:val="20"/>
          <w:szCs w:val="20"/>
          <w:color w:val="auto"/>
        </w:rPr>
      </w:pPr>
    </w:p>
    <w:p>
      <w:pPr>
        <w:ind w:right="180"/>
        <w:spacing w:after="0" w:line="296" w:lineRule="auto"/>
        <w:rPr>
          <w:sz w:val="20"/>
          <w:szCs w:val="20"/>
          <w:color w:val="auto"/>
        </w:rPr>
      </w:pPr>
      <w:r>
        <w:rPr>
          <w:rFonts w:ascii="Arial" w:cs="Arial" w:eastAsia="Arial" w:hAnsi="Arial"/>
          <w:sz w:val="20"/>
          <w:szCs w:val="20"/>
          <w:color w:val="auto"/>
        </w:rPr>
        <w:t>Our Senior Unsecured Notes are rated by Moody’s Investor Service (Moody’s) and Standard and Poor’s Global Ratings (S&amp;P). The ratings are typically monitored by stockholders, creditors, or suppliers, and they serve as indicators of the Company’s viability. Below is a summary of the ratings published by the agencies as of the date indicated: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200" w:type="dxa"/>
            <w:vAlign w:val="bottom"/>
          </w:tcPr>
          <w:p>
            <w:pPr>
              <w:spacing w:after="0"/>
              <w:rPr>
                <w:sz w:val="22"/>
                <w:szCs w:val="22"/>
                <w:color w:val="auto"/>
              </w:rPr>
            </w:pPr>
          </w:p>
        </w:tc>
        <w:tc>
          <w:tcPr>
            <w:tcW w:w="3680" w:type="dxa"/>
            <w:vAlign w:val="bottom"/>
          </w:tcPr>
          <w:p>
            <w:pPr>
              <w:jc w:val="right"/>
              <w:ind w:right="202"/>
              <w:spacing w:after="0"/>
              <w:rPr>
                <w:sz w:val="20"/>
                <w:szCs w:val="20"/>
                <w:color w:val="auto"/>
              </w:rPr>
            </w:pPr>
            <w:r>
              <w:rPr>
                <w:rFonts w:ascii="Arial Narrow" w:cs="Arial Narrow" w:eastAsia="Arial Narrow" w:hAnsi="Arial Narrow"/>
                <w:sz w:val="18"/>
                <w:szCs w:val="18"/>
                <w:b w:val="1"/>
                <w:bCs w:val="1"/>
                <w:color w:val="auto"/>
              </w:rPr>
              <w:t>Moody's</w:t>
            </w:r>
          </w:p>
        </w:tc>
        <w:tc>
          <w:tcPr>
            <w:tcW w:w="1480" w:type="dxa"/>
            <w:vAlign w:val="bottom"/>
          </w:tcPr>
          <w:p>
            <w:pPr>
              <w:jc w:val="right"/>
              <w:ind w:right="2"/>
              <w:spacing w:after="0"/>
              <w:rPr>
                <w:sz w:val="20"/>
                <w:szCs w:val="20"/>
                <w:color w:val="auto"/>
              </w:rPr>
            </w:pPr>
            <w:r>
              <w:rPr>
                <w:rFonts w:ascii="Arial Narrow" w:cs="Arial Narrow" w:eastAsia="Arial Narrow" w:hAnsi="Arial Narrow"/>
                <w:sz w:val="18"/>
                <w:szCs w:val="18"/>
                <w:b w:val="1"/>
                <w:bCs w:val="1"/>
                <w:color w:val="auto"/>
              </w:rPr>
              <w:t>S&amp;P</w:t>
            </w:r>
          </w:p>
        </w:tc>
      </w:tr>
      <w:tr>
        <w:trPr>
          <w:trHeight w:val="46"/>
        </w:trPr>
        <w:tc>
          <w:tcPr>
            <w:tcW w:w="4200" w:type="dxa"/>
            <w:vAlign w:val="bottom"/>
            <w:tcBorders>
              <w:bottom w:val="single" w:sz="8" w:color="auto"/>
            </w:tcBorders>
          </w:tcPr>
          <w:p>
            <w:pPr>
              <w:spacing w:after="0"/>
              <w:rPr>
                <w:sz w:val="4"/>
                <w:szCs w:val="4"/>
                <w:color w:val="auto"/>
              </w:rPr>
            </w:pPr>
          </w:p>
        </w:tc>
        <w:tc>
          <w:tcPr>
            <w:tcW w:w="368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r>
      <w:tr>
        <w:trPr>
          <w:trHeight w:val="345"/>
        </w:trPr>
        <w:tc>
          <w:tcPr>
            <w:tcW w:w="4200" w:type="dxa"/>
            <w:vAlign w:val="bottom"/>
          </w:tcPr>
          <w:p>
            <w:pPr>
              <w:spacing w:after="0"/>
              <w:rPr>
                <w:sz w:val="20"/>
                <w:szCs w:val="20"/>
                <w:color w:val="auto"/>
              </w:rPr>
            </w:pPr>
            <w:r>
              <w:rPr>
                <w:rFonts w:ascii="Arial Narrow" w:cs="Arial Narrow" w:eastAsia="Arial Narrow" w:hAnsi="Arial Narrow"/>
                <w:sz w:val="20"/>
                <w:szCs w:val="20"/>
                <w:b w:val="1"/>
                <w:bCs w:val="1"/>
                <w:color w:val="00085E"/>
              </w:rPr>
              <w:t>Corporate/Family Rating</w:t>
            </w:r>
          </w:p>
        </w:tc>
        <w:tc>
          <w:tcPr>
            <w:tcW w:w="3680" w:type="dxa"/>
            <w:vAlign w:val="bottom"/>
          </w:tcPr>
          <w:p>
            <w:pPr>
              <w:jc w:val="right"/>
              <w:ind w:right="202"/>
              <w:spacing w:after="0"/>
              <w:rPr>
                <w:sz w:val="20"/>
                <w:szCs w:val="20"/>
                <w:color w:val="auto"/>
              </w:rPr>
            </w:pPr>
            <w:r>
              <w:rPr>
                <w:rFonts w:ascii="Arial Narrow" w:cs="Arial Narrow" w:eastAsia="Arial Narrow" w:hAnsi="Arial Narrow"/>
                <w:sz w:val="20"/>
                <w:szCs w:val="20"/>
                <w:color w:val="auto"/>
              </w:rPr>
              <w:t>Baa2</w:t>
            </w:r>
          </w:p>
        </w:tc>
        <w:tc>
          <w:tcPr>
            <w:tcW w:w="1480" w:type="dxa"/>
            <w:vAlign w:val="bottom"/>
          </w:tcPr>
          <w:p>
            <w:pPr>
              <w:jc w:val="right"/>
              <w:ind w:right="2"/>
              <w:spacing w:after="0"/>
              <w:rPr>
                <w:sz w:val="20"/>
                <w:szCs w:val="20"/>
                <w:color w:val="auto"/>
              </w:rPr>
            </w:pPr>
            <w:r>
              <w:rPr>
                <w:rFonts w:ascii="Arial Narrow" w:cs="Arial Narrow" w:eastAsia="Arial Narrow" w:hAnsi="Arial Narrow"/>
                <w:sz w:val="20"/>
                <w:szCs w:val="20"/>
                <w:color w:val="auto"/>
              </w:rPr>
              <w:t>BBB</w:t>
            </w:r>
          </w:p>
        </w:tc>
      </w:tr>
      <w:tr>
        <w:trPr>
          <w:trHeight w:val="65"/>
        </w:trPr>
        <w:tc>
          <w:tcPr>
            <w:tcW w:w="4200" w:type="dxa"/>
            <w:vAlign w:val="bottom"/>
            <w:tcBorders>
              <w:bottom w:val="single" w:sz="8" w:color="A6A6A6"/>
            </w:tcBorders>
          </w:tcPr>
          <w:p>
            <w:pPr>
              <w:spacing w:after="0"/>
              <w:rPr>
                <w:sz w:val="5"/>
                <w:szCs w:val="5"/>
                <w:color w:val="auto"/>
              </w:rPr>
            </w:pPr>
          </w:p>
        </w:tc>
        <w:tc>
          <w:tcPr>
            <w:tcW w:w="3680" w:type="dxa"/>
            <w:vAlign w:val="bottom"/>
            <w:tcBorders>
              <w:bottom w:val="single" w:sz="8" w:color="A6A6A6"/>
            </w:tcBorders>
          </w:tcPr>
          <w:p>
            <w:pPr>
              <w:spacing w:after="0"/>
              <w:rPr>
                <w:sz w:val="5"/>
                <w:szCs w:val="5"/>
                <w:color w:val="auto"/>
              </w:rPr>
            </w:pPr>
          </w:p>
        </w:tc>
        <w:tc>
          <w:tcPr>
            <w:tcW w:w="1480" w:type="dxa"/>
            <w:vAlign w:val="bottom"/>
            <w:tcBorders>
              <w:bottom w:val="single" w:sz="8" w:color="A6A6A6"/>
            </w:tcBorders>
          </w:tcPr>
          <w:p>
            <w:pPr>
              <w:spacing w:after="0"/>
              <w:rPr>
                <w:sz w:val="5"/>
                <w:szCs w:val="5"/>
                <w:color w:val="auto"/>
              </w:rPr>
            </w:pPr>
          </w:p>
        </w:tc>
      </w:tr>
      <w:tr>
        <w:trPr>
          <w:trHeight w:val="340"/>
        </w:trPr>
        <w:tc>
          <w:tcPr>
            <w:tcW w:w="4200" w:type="dxa"/>
            <w:vAlign w:val="bottom"/>
          </w:tcPr>
          <w:p>
            <w:pPr>
              <w:spacing w:after="0"/>
              <w:rPr>
                <w:sz w:val="20"/>
                <w:szCs w:val="20"/>
                <w:color w:val="auto"/>
              </w:rPr>
            </w:pPr>
            <w:r>
              <w:rPr>
                <w:rFonts w:ascii="Arial Narrow" w:cs="Arial Narrow" w:eastAsia="Arial Narrow" w:hAnsi="Arial Narrow"/>
                <w:sz w:val="20"/>
                <w:szCs w:val="20"/>
                <w:b w:val="1"/>
                <w:bCs w:val="1"/>
                <w:color w:val="00085E"/>
              </w:rPr>
              <w:t>Outlook</w:t>
            </w:r>
          </w:p>
        </w:tc>
        <w:tc>
          <w:tcPr>
            <w:tcW w:w="3680" w:type="dxa"/>
            <w:vAlign w:val="bottom"/>
          </w:tcPr>
          <w:p>
            <w:pPr>
              <w:jc w:val="right"/>
              <w:ind w:right="202"/>
              <w:spacing w:after="0"/>
              <w:rPr>
                <w:sz w:val="20"/>
                <w:szCs w:val="20"/>
                <w:color w:val="auto"/>
              </w:rPr>
            </w:pPr>
            <w:r>
              <w:rPr>
                <w:rFonts w:ascii="Arial Narrow" w:cs="Arial Narrow" w:eastAsia="Arial Narrow" w:hAnsi="Arial Narrow"/>
                <w:sz w:val="20"/>
                <w:szCs w:val="20"/>
                <w:color w:val="auto"/>
              </w:rPr>
              <w:t>Stable</w:t>
            </w:r>
          </w:p>
        </w:tc>
        <w:tc>
          <w:tcPr>
            <w:tcW w:w="1480" w:type="dxa"/>
            <w:vAlign w:val="bottom"/>
          </w:tcPr>
          <w:p>
            <w:pPr>
              <w:jc w:val="right"/>
              <w:ind w:right="2"/>
              <w:spacing w:after="0"/>
              <w:rPr>
                <w:sz w:val="20"/>
                <w:szCs w:val="20"/>
                <w:color w:val="auto"/>
              </w:rPr>
            </w:pPr>
            <w:r>
              <w:rPr>
                <w:rFonts w:ascii="Arial Narrow" w:cs="Arial Narrow" w:eastAsia="Arial Narrow" w:hAnsi="Arial Narrow"/>
                <w:sz w:val="20"/>
                <w:szCs w:val="20"/>
                <w:color w:val="auto"/>
              </w:rPr>
              <w:t>Stable</w:t>
            </w:r>
          </w:p>
        </w:tc>
      </w:tr>
      <w:tr>
        <w:trPr>
          <w:trHeight w:val="65"/>
        </w:trPr>
        <w:tc>
          <w:tcPr>
            <w:tcW w:w="4200" w:type="dxa"/>
            <w:vAlign w:val="bottom"/>
            <w:tcBorders>
              <w:bottom w:val="single" w:sz="8" w:color="A6A6A6"/>
            </w:tcBorders>
          </w:tcPr>
          <w:p>
            <w:pPr>
              <w:spacing w:after="0"/>
              <w:rPr>
                <w:sz w:val="5"/>
                <w:szCs w:val="5"/>
                <w:color w:val="auto"/>
              </w:rPr>
            </w:pPr>
          </w:p>
        </w:tc>
        <w:tc>
          <w:tcPr>
            <w:tcW w:w="3680" w:type="dxa"/>
            <w:vAlign w:val="bottom"/>
            <w:tcBorders>
              <w:bottom w:val="single" w:sz="8" w:color="A6A6A6"/>
            </w:tcBorders>
          </w:tcPr>
          <w:p>
            <w:pPr>
              <w:spacing w:after="0"/>
              <w:rPr>
                <w:sz w:val="5"/>
                <w:szCs w:val="5"/>
                <w:color w:val="auto"/>
              </w:rPr>
            </w:pPr>
          </w:p>
        </w:tc>
        <w:tc>
          <w:tcPr>
            <w:tcW w:w="1480" w:type="dxa"/>
            <w:vAlign w:val="bottom"/>
            <w:tcBorders>
              <w:bottom w:val="single" w:sz="8" w:color="A6A6A6"/>
            </w:tcBorders>
          </w:tcPr>
          <w:p>
            <w:pPr>
              <w:spacing w:after="0"/>
              <w:rPr>
                <w:sz w:val="5"/>
                <w:szCs w:val="5"/>
                <w:color w:val="auto"/>
              </w:rPr>
            </w:pPr>
          </w:p>
        </w:tc>
      </w:tr>
      <w:tr>
        <w:trPr>
          <w:trHeight w:val="340"/>
        </w:trPr>
        <w:tc>
          <w:tcPr>
            <w:tcW w:w="4200" w:type="dxa"/>
            <w:vAlign w:val="bottom"/>
          </w:tcPr>
          <w:p>
            <w:pPr>
              <w:spacing w:after="0"/>
              <w:rPr>
                <w:sz w:val="20"/>
                <w:szCs w:val="20"/>
                <w:color w:val="auto"/>
              </w:rPr>
            </w:pPr>
            <w:r>
              <w:rPr>
                <w:rFonts w:ascii="Arial Narrow" w:cs="Arial Narrow" w:eastAsia="Arial Narrow" w:hAnsi="Arial Narrow"/>
                <w:sz w:val="20"/>
                <w:szCs w:val="20"/>
                <w:b w:val="1"/>
                <w:bCs w:val="1"/>
                <w:color w:val="00085E"/>
              </w:rPr>
              <w:t>Guaranteed Senior Notes</w:t>
            </w:r>
          </w:p>
        </w:tc>
        <w:tc>
          <w:tcPr>
            <w:tcW w:w="3680" w:type="dxa"/>
            <w:vAlign w:val="bottom"/>
          </w:tcPr>
          <w:p>
            <w:pPr>
              <w:jc w:val="right"/>
              <w:ind w:right="202"/>
              <w:spacing w:after="0"/>
              <w:rPr>
                <w:sz w:val="20"/>
                <w:szCs w:val="20"/>
                <w:color w:val="auto"/>
              </w:rPr>
            </w:pPr>
            <w:r>
              <w:rPr>
                <w:rFonts w:ascii="Arial Narrow" w:cs="Arial Narrow" w:eastAsia="Arial Narrow" w:hAnsi="Arial Narrow"/>
                <w:sz w:val="20"/>
                <w:szCs w:val="20"/>
                <w:color w:val="auto"/>
              </w:rPr>
              <w:t>Baa2</w:t>
            </w:r>
          </w:p>
        </w:tc>
        <w:tc>
          <w:tcPr>
            <w:tcW w:w="1480" w:type="dxa"/>
            <w:vAlign w:val="bottom"/>
          </w:tcPr>
          <w:p>
            <w:pPr>
              <w:jc w:val="right"/>
              <w:ind w:right="2"/>
              <w:spacing w:after="0"/>
              <w:rPr>
                <w:sz w:val="20"/>
                <w:szCs w:val="20"/>
                <w:color w:val="auto"/>
              </w:rPr>
            </w:pPr>
            <w:r>
              <w:rPr>
                <w:rFonts w:ascii="Arial Narrow" w:cs="Arial Narrow" w:eastAsia="Arial Narrow" w:hAnsi="Arial Narrow"/>
                <w:sz w:val="20"/>
                <w:szCs w:val="20"/>
                <w:color w:val="auto"/>
              </w:rPr>
              <w:t>BBB</w:t>
            </w:r>
          </w:p>
        </w:tc>
      </w:tr>
      <w:tr>
        <w:trPr>
          <w:trHeight w:val="65"/>
        </w:trPr>
        <w:tc>
          <w:tcPr>
            <w:tcW w:w="4200" w:type="dxa"/>
            <w:vAlign w:val="bottom"/>
            <w:tcBorders>
              <w:bottom w:val="single" w:sz="8" w:color="A6A6A6"/>
            </w:tcBorders>
          </w:tcPr>
          <w:p>
            <w:pPr>
              <w:spacing w:after="0"/>
              <w:rPr>
                <w:sz w:val="5"/>
                <w:szCs w:val="5"/>
                <w:color w:val="auto"/>
              </w:rPr>
            </w:pPr>
          </w:p>
        </w:tc>
        <w:tc>
          <w:tcPr>
            <w:tcW w:w="3680" w:type="dxa"/>
            <w:vAlign w:val="bottom"/>
            <w:tcBorders>
              <w:bottom w:val="single" w:sz="8" w:color="A6A6A6"/>
            </w:tcBorders>
          </w:tcPr>
          <w:p>
            <w:pPr>
              <w:spacing w:after="0"/>
              <w:rPr>
                <w:sz w:val="5"/>
                <w:szCs w:val="5"/>
                <w:color w:val="auto"/>
              </w:rPr>
            </w:pPr>
          </w:p>
        </w:tc>
        <w:tc>
          <w:tcPr>
            <w:tcW w:w="1480" w:type="dxa"/>
            <w:vAlign w:val="bottom"/>
            <w:tcBorders>
              <w:bottom w:val="single" w:sz="8" w:color="A6A6A6"/>
            </w:tcBorders>
          </w:tcPr>
          <w:p>
            <w:pPr>
              <w:spacing w:after="0"/>
              <w:rPr>
                <w:sz w:val="5"/>
                <w:szCs w:val="5"/>
                <w:color w:val="auto"/>
              </w:rPr>
            </w:pPr>
          </w:p>
        </w:tc>
      </w:tr>
      <w:tr>
        <w:trPr>
          <w:trHeight w:val="340"/>
        </w:trPr>
        <w:tc>
          <w:tcPr>
            <w:tcW w:w="4200" w:type="dxa"/>
            <w:vAlign w:val="bottom"/>
          </w:tcPr>
          <w:p>
            <w:pPr>
              <w:spacing w:after="0"/>
              <w:rPr>
                <w:sz w:val="20"/>
                <w:szCs w:val="20"/>
                <w:color w:val="auto"/>
              </w:rPr>
            </w:pPr>
            <w:r>
              <w:rPr>
                <w:rFonts w:ascii="Arial Narrow" w:cs="Arial Narrow" w:eastAsia="Arial Narrow" w:hAnsi="Arial Narrow"/>
                <w:sz w:val="20"/>
                <w:szCs w:val="20"/>
                <w:b w:val="1"/>
                <w:bCs w:val="1"/>
                <w:color w:val="00085E"/>
              </w:rPr>
              <w:t>Date of Latest Report</w:t>
            </w:r>
          </w:p>
        </w:tc>
        <w:tc>
          <w:tcPr>
            <w:tcW w:w="3680" w:type="dxa"/>
            <w:vAlign w:val="bottom"/>
          </w:tcPr>
          <w:p>
            <w:pPr>
              <w:jc w:val="right"/>
              <w:ind w:right="202"/>
              <w:spacing w:after="0"/>
              <w:rPr>
                <w:sz w:val="20"/>
                <w:szCs w:val="20"/>
                <w:color w:val="auto"/>
              </w:rPr>
            </w:pPr>
            <w:r>
              <w:rPr>
                <w:rFonts w:ascii="Arial Narrow" w:cs="Arial Narrow" w:eastAsia="Arial Narrow" w:hAnsi="Arial Narrow"/>
                <w:sz w:val="20"/>
                <w:szCs w:val="20"/>
                <w:color w:val="auto"/>
              </w:rPr>
              <w:t>November 2025</w:t>
            </w:r>
          </w:p>
        </w:tc>
        <w:tc>
          <w:tcPr>
            <w:tcW w:w="1480" w:type="dxa"/>
            <w:vAlign w:val="bottom"/>
          </w:tcPr>
          <w:p>
            <w:pPr>
              <w:jc w:val="right"/>
              <w:ind w:right="2"/>
              <w:spacing w:after="0"/>
              <w:rPr>
                <w:sz w:val="20"/>
                <w:szCs w:val="20"/>
                <w:color w:val="auto"/>
              </w:rPr>
            </w:pPr>
            <w:r>
              <w:rPr>
                <w:rFonts w:ascii="Arial Narrow" w:cs="Arial Narrow" w:eastAsia="Arial Narrow" w:hAnsi="Arial Narrow"/>
                <w:sz w:val="20"/>
                <w:szCs w:val="20"/>
                <w:color w:val="auto"/>
              </w:rPr>
              <w:t>February 2026</w:t>
            </w:r>
          </w:p>
        </w:tc>
      </w:tr>
      <w:tr>
        <w:trPr>
          <w:trHeight w:val="65"/>
        </w:trPr>
        <w:tc>
          <w:tcPr>
            <w:tcW w:w="4200" w:type="dxa"/>
            <w:vAlign w:val="bottom"/>
            <w:tcBorders>
              <w:bottom w:val="single" w:sz="8" w:color="A6A6A6"/>
            </w:tcBorders>
          </w:tcPr>
          <w:p>
            <w:pPr>
              <w:spacing w:after="0"/>
              <w:rPr>
                <w:sz w:val="5"/>
                <w:szCs w:val="5"/>
                <w:color w:val="auto"/>
              </w:rPr>
            </w:pPr>
          </w:p>
        </w:tc>
        <w:tc>
          <w:tcPr>
            <w:tcW w:w="3680" w:type="dxa"/>
            <w:vAlign w:val="bottom"/>
            <w:tcBorders>
              <w:bottom w:val="single" w:sz="8" w:color="A6A6A6"/>
            </w:tcBorders>
          </w:tcPr>
          <w:p>
            <w:pPr>
              <w:spacing w:after="0"/>
              <w:rPr>
                <w:sz w:val="5"/>
                <w:szCs w:val="5"/>
                <w:color w:val="auto"/>
              </w:rPr>
            </w:pPr>
          </w:p>
        </w:tc>
        <w:tc>
          <w:tcPr>
            <w:tcW w:w="1480" w:type="dxa"/>
            <w:vAlign w:val="bottom"/>
            <w:tcBorders>
              <w:bottom w:val="single" w:sz="8" w:color="A6A6A6"/>
            </w:tcBorders>
          </w:tcPr>
          <w:p>
            <w:pPr>
              <w:spacing w:after="0"/>
              <w:rPr>
                <w:sz w:val="5"/>
                <w:szCs w:val="5"/>
                <w:color w:val="auto"/>
              </w:rPr>
            </w:pPr>
          </w:p>
        </w:tc>
      </w:tr>
    </w:tbl>
    <w:p>
      <w:pPr>
        <w:spacing w:after="0" w:line="248" w:lineRule="exact"/>
        <w:rPr>
          <w:sz w:val="20"/>
          <w:szCs w:val="20"/>
          <w:color w:val="auto"/>
        </w:rPr>
      </w:pPr>
    </w:p>
    <w:p>
      <w:pPr>
        <w:ind w:right="440"/>
        <w:spacing w:after="0" w:line="325" w:lineRule="auto"/>
        <w:rPr>
          <w:sz w:val="20"/>
          <w:szCs w:val="20"/>
          <w:color w:val="auto"/>
        </w:rPr>
      </w:pPr>
      <w:r>
        <w:rPr>
          <w:rFonts w:ascii="Arial" w:cs="Arial" w:eastAsia="Arial" w:hAnsi="Arial"/>
          <w:sz w:val="20"/>
          <w:szCs w:val="20"/>
          <w:color w:val="auto"/>
        </w:rPr>
        <w:t>We also have approximately $36.7 million of lease liabilities at March 31, 2026, that have an average remaining life of approximately 11.7 years.</w:t>
      </w:r>
    </w:p>
    <w:p>
      <w:pPr>
        <w:sectPr>
          <w:pgSz w:w="11880" w:h="15480" w:orient="portrait"/>
          <w:cols w:equalWidth="0" w:num="1">
            <w:col w:w="9360"/>
          </w:cols>
          <w:pgMar w:left="1260" w:top="1267" w:right="1260" w:bottom="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65</w:t>
      </w:r>
    </w:p>
    <w:p>
      <w:pPr>
        <w:sectPr>
          <w:pgSz w:w="11880" w:h="15480" w:orient="portrait"/>
          <w:cols w:equalWidth="0" w:num="1">
            <w:col w:w="9360"/>
          </w:cols>
          <w:pgMar w:left="1260" w:top="1267" w:right="1260" w:bottom="0" w:gutter="0" w:footer="0" w:header="0"/>
          <w:type w:val="continuous"/>
        </w:sectPr>
      </w:pPr>
    </w:p>
    <w:bookmarkStart w:id="73" w:name="page74"/>
    <w:bookmarkEnd w:id="73"/>
    <w:p>
      <w:pPr>
        <w:spacing w:after="0"/>
        <w:rPr>
          <w:sz w:val="20"/>
          <w:szCs w:val="20"/>
          <w:color w:val="auto"/>
        </w:rPr>
      </w:pPr>
      <w:r>
        <w:rPr>
          <w:rFonts w:ascii="Arial" w:cs="Arial" w:eastAsia="Arial" w:hAnsi="Arial"/>
          <w:sz w:val="22"/>
          <w:szCs w:val="22"/>
          <w:b w:val="1"/>
          <w:bCs w:val="1"/>
          <w:u w:val="single" w:color="auto"/>
          <w:color w:val="00085E"/>
        </w:rPr>
        <w:t>Cash Used for Share Repurchases and Stock Repurchase Program</w:t>
      </w:r>
    </w:p>
    <w:p>
      <w:pPr>
        <w:spacing w:after="0" w:line="161" w:lineRule="exact"/>
        <w:rPr>
          <w:sz w:val="20"/>
          <w:szCs w:val="20"/>
          <w:color w:val="auto"/>
        </w:rPr>
      </w:pPr>
    </w:p>
    <w:p>
      <w:pPr>
        <w:ind w:right="580"/>
        <w:spacing w:after="0" w:line="325" w:lineRule="auto"/>
        <w:rPr>
          <w:sz w:val="20"/>
          <w:szCs w:val="20"/>
          <w:color w:val="auto"/>
        </w:rPr>
      </w:pPr>
      <w:r>
        <w:rPr>
          <w:rFonts w:ascii="Arial" w:cs="Arial" w:eastAsia="Arial" w:hAnsi="Arial"/>
          <w:sz w:val="20"/>
          <w:szCs w:val="20"/>
          <w:color w:val="auto"/>
        </w:rPr>
        <w:t>See table under Item 5. “Market for Registrant’s Common Equity, Related Stockholder Matters, and Issuer Purchases of Equity Securities” for additional information.</w:t>
      </w:r>
    </w:p>
    <w:p>
      <w:pPr>
        <w:spacing w:after="0" w:line="37" w:lineRule="exact"/>
        <w:rPr>
          <w:sz w:val="20"/>
          <w:szCs w:val="20"/>
          <w:color w:val="auto"/>
        </w:rPr>
      </w:pPr>
    </w:p>
    <w:p>
      <w:pPr>
        <w:ind w:right="380"/>
        <w:spacing w:after="0" w:line="290" w:lineRule="auto"/>
        <w:rPr>
          <w:sz w:val="20"/>
          <w:szCs w:val="20"/>
          <w:color w:val="auto"/>
        </w:rPr>
      </w:pPr>
      <w:r>
        <w:rPr>
          <w:rFonts w:ascii="Arial" w:cs="Arial" w:eastAsia="Arial" w:hAnsi="Arial"/>
          <w:sz w:val="20"/>
          <w:szCs w:val="20"/>
          <w:color w:val="auto"/>
        </w:rPr>
        <w:t>Share repurchases may be made from time to time in the open market or in privately negotiated transactions. The timing and amount of any share repurchases will be determined by the Company’s management, based on its evaluation of market and economic conditions and other factors. In some cases, repurchases may be made pursuant to plans, programs, or directions established from time to time by the Company’s management, including plans to comply with the safe harbor provided by Rule 10b5-1.</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085E"/>
        </w:rPr>
        <w:t>Capital Expenditures</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shows Capital Expenditures in fiscal years 2026 and 2025.</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940" w:type="dxa"/>
            <w:vAlign w:val="bottom"/>
            <w:gridSpan w:val="4"/>
          </w:tcPr>
          <w:p>
            <w:pPr>
              <w:jc w:val="right"/>
              <w:ind w:right="182"/>
              <w:spacing w:after="0"/>
              <w:rPr>
                <w:sz w:val="20"/>
                <w:szCs w:val="20"/>
                <w:color w:val="auto"/>
              </w:rPr>
            </w:pPr>
            <w:r>
              <w:rPr>
                <w:rFonts w:ascii="Arial Narrow" w:cs="Arial Narrow" w:eastAsia="Arial Narrow" w:hAnsi="Arial Narrow"/>
                <w:sz w:val="18"/>
                <w:szCs w:val="18"/>
                <w:b w:val="1"/>
                <w:bCs w:val="1"/>
                <w:color w:val="auto"/>
              </w:rPr>
              <w:t>For the Fiscal Years Ended March 31,</w:t>
            </w:r>
          </w:p>
        </w:tc>
      </w:tr>
      <w:tr>
        <w:trPr>
          <w:trHeight w:val="21"/>
        </w:trPr>
        <w:tc>
          <w:tcPr>
            <w:tcW w:w="6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69"/>
        </w:trPr>
        <w:tc>
          <w:tcPr>
            <w:tcW w:w="6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jc w:val="right"/>
              <w:ind w:right="26"/>
              <w:spacing w:after="0"/>
              <w:rPr>
                <w:sz w:val="20"/>
                <w:szCs w:val="20"/>
                <w:color w:val="auto"/>
              </w:rPr>
            </w:pPr>
            <w:r>
              <w:rPr>
                <w:rFonts w:ascii="Arial Narrow" w:cs="Arial Narrow" w:eastAsia="Arial Narrow" w:hAnsi="Arial Narrow"/>
                <w:sz w:val="18"/>
                <w:szCs w:val="18"/>
                <w:b w:val="1"/>
                <w:bCs w:val="1"/>
                <w:color w:val="auto"/>
              </w:rPr>
              <w:t>2026</w:t>
            </w: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20" w:type="dxa"/>
            <w:vAlign w:val="bottom"/>
          </w:tcPr>
          <w:p>
            <w:pPr>
              <w:jc w:val="right"/>
              <w:ind w:right="2"/>
              <w:spacing w:after="0"/>
              <w:rPr>
                <w:sz w:val="20"/>
                <w:szCs w:val="20"/>
                <w:color w:val="auto"/>
              </w:rPr>
            </w:pPr>
            <w:r>
              <w:rPr>
                <w:rFonts w:ascii="Arial Narrow" w:cs="Arial Narrow" w:eastAsia="Arial Narrow" w:hAnsi="Arial Narrow"/>
                <w:sz w:val="18"/>
                <w:szCs w:val="18"/>
                <w:b w:val="1"/>
                <w:bCs w:val="1"/>
                <w:color w:val="auto"/>
              </w:rPr>
              <w:t>2025</w:t>
            </w:r>
          </w:p>
        </w:tc>
      </w:tr>
      <w:tr>
        <w:trPr>
          <w:trHeight w:val="21"/>
        </w:trPr>
        <w:tc>
          <w:tcPr>
            <w:tcW w:w="6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44"/>
        </w:trPr>
        <w:tc>
          <w:tcPr>
            <w:tcW w:w="6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20" w:type="dxa"/>
            <w:vAlign w:val="bottom"/>
            <w:gridSpan w:val="3"/>
          </w:tcPr>
          <w:p>
            <w:pPr>
              <w:jc w:val="right"/>
              <w:ind w:right="140"/>
              <w:spacing w:after="0"/>
              <w:rPr>
                <w:sz w:val="20"/>
                <w:szCs w:val="20"/>
                <w:color w:val="auto"/>
              </w:rPr>
            </w:pPr>
            <w:r>
              <w:rPr>
                <w:rFonts w:ascii="Arial Narrow" w:cs="Arial Narrow" w:eastAsia="Arial Narrow" w:hAnsi="Arial Narrow"/>
                <w:sz w:val="16"/>
                <w:szCs w:val="16"/>
                <w:color w:val="auto"/>
              </w:rPr>
              <w:t>(dollars in thousands)</w:t>
            </w:r>
          </w:p>
        </w:tc>
        <w:tc>
          <w:tcPr>
            <w:tcW w:w="820" w:type="dxa"/>
            <w:vAlign w:val="bottom"/>
          </w:tcPr>
          <w:p>
            <w:pPr>
              <w:spacing w:after="0"/>
              <w:rPr>
                <w:sz w:val="21"/>
                <w:szCs w:val="21"/>
                <w:color w:val="auto"/>
              </w:rPr>
            </w:pPr>
          </w:p>
        </w:tc>
      </w:tr>
      <w:tr>
        <w:trPr>
          <w:trHeight w:val="48"/>
        </w:trPr>
        <w:tc>
          <w:tcPr>
            <w:tcW w:w="63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gridSpan w:val="2"/>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344"/>
        </w:trPr>
        <w:tc>
          <w:tcPr>
            <w:tcW w:w="6300" w:type="dxa"/>
            <w:vAlign w:val="bottom"/>
          </w:tcPr>
          <w:p>
            <w:pPr>
              <w:spacing w:after="0"/>
              <w:rPr>
                <w:sz w:val="20"/>
                <w:szCs w:val="20"/>
                <w:color w:val="auto"/>
              </w:rPr>
            </w:pPr>
            <w:r>
              <w:rPr>
                <w:rFonts w:ascii="Arial Narrow" w:cs="Arial Narrow" w:eastAsia="Arial Narrow" w:hAnsi="Arial Narrow"/>
                <w:sz w:val="20"/>
                <w:szCs w:val="20"/>
                <w:b w:val="1"/>
                <w:bCs w:val="1"/>
                <w:color w:val="00085E"/>
              </w:rPr>
              <w:t>Land and Quarries</w:t>
            </w:r>
          </w:p>
        </w:tc>
        <w:tc>
          <w:tcPr>
            <w:tcW w:w="120" w:type="dxa"/>
            <w:vAlign w:val="bottom"/>
          </w:tcPr>
          <w:p>
            <w:pPr>
              <w:jc w:val="right"/>
              <w:spacing w:after="0"/>
              <w:rPr>
                <w:sz w:val="20"/>
                <w:szCs w:val="20"/>
                <w:color w:val="auto"/>
              </w:rPr>
            </w:pPr>
            <w:r>
              <w:rPr>
                <w:rFonts w:ascii="Arial Narrow" w:cs="Arial Narrow" w:eastAsia="Arial Narrow" w:hAnsi="Arial Narrow"/>
                <w:sz w:val="18"/>
                <w:szCs w:val="18"/>
                <w:color w:val="auto"/>
                <w:w w:val="72"/>
              </w:rPr>
              <w:t>$</w:t>
            </w:r>
          </w:p>
        </w:tc>
        <w:tc>
          <w:tcPr>
            <w:tcW w:w="1340" w:type="dxa"/>
            <w:vAlign w:val="bottom"/>
          </w:tcPr>
          <w:p>
            <w:pPr>
              <w:jc w:val="right"/>
              <w:ind w:right="26"/>
              <w:spacing w:after="0"/>
              <w:rPr>
                <w:sz w:val="20"/>
                <w:szCs w:val="20"/>
                <w:color w:val="auto"/>
              </w:rPr>
            </w:pPr>
            <w:r>
              <w:rPr>
                <w:rFonts w:ascii="Arial Narrow" w:cs="Arial Narrow" w:eastAsia="Arial Narrow" w:hAnsi="Arial Narrow"/>
                <w:sz w:val="20"/>
                <w:szCs w:val="20"/>
                <w:color w:val="auto"/>
              </w:rPr>
              <w:t>8,795</w:t>
            </w:r>
          </w:p>
        </w:tc>
        <w:tc>
          <w:tcPr>
            <w:tcW w:w="780" w:type="dxa"/>
            <w:vAlign w:val="bottom"/>
            <w:gridSpan w:val="2"/>
          </w:tcPr>
          <w:p>
            <w:pPr>
              <w:jc w:val="right"/>
              <w:ind w:right="540"/>
              <w:spacing w:after="0"/>
              <w:rPr>
                <w:sz w:val="20"/>
                <w:szCs w:val="20"/>
                <w:color w:val="auto"/>
              </w:rPr>
            </w:pPr>
            <w:r>
              <w:rPr>
                <w:rFonts w:ascii="Arial Narrow" w:cs="Arial Narrow" w:eastAsia="Arial Narrow" w:hAnsi="Arial Narrow"/>
                <w:sz w:val="20"/>
                <w:szCs w:val="20"/>
                <w:color w:val="auto"/>
              </w:rPr>
              <w:t>$</w:t>
            </w:r>
          </w:p>
        </w:tc>
        <w:tc>
          <w:tcPr>
            <w:tcW w:w="820" w:type="dxa"/>
            <w:vAlign w:val="bottom"/>
          </w:tcPr>
          <w:p>
            <w:pPr>
              <w:jc w:val="right"/>
              <w:ind w:right="2"/>
              <w:spacing w:after="0"/>
              <w:rPr>
                <w:sz w:val="20"/>
                <w:szCs w:val="20"/>
                <w:color w:val="auto"/>
              </w:rPr>
            </w:pPr>
            <w:r>
              <w:rPr>
                <w:rFonts w:ascii="Arial Narrow" w:cs="Arial Narrow" w:eastAsia="Arial Narrow" w:hAnsi="Arial Narrow"/>
                <w:sz w:val="20"/>
                <w:szCs w:val="20"/>
                <w:color w:val="auto"/>
              </w:rPr>
              <w:t>9,234</w:t>
            </w:r>
          </w:p>
        </w:tc>
      </w:tr>
      <w:tr>
        <w:trPr>
          <w:trHeight w:val="65"/>
        </w:trPr>
        <w:tc>
          <w:tcPr>
            <w:tcW w:w="630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134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620" w:type="dxa"/>
            <w:vAlign w:val="bottom"/>
            <w:tcBorders>
              <w:bottom w:val="single" w:sz="8" w:color="A6A6A6"/>
            </w:tcBorders>
          </w:tcPr>
          <w:p>
            <w:pPr>
              <w:spacing w:after="0"/>
              <w:rPr>
                <w:sz w:val="5"/>
                <w:szCs w:val="5"/>
                <w:color w:val="auto"/>
              </w:rPr>
            </w:pPr>
          </w:p>
        </w:tc>
        <w:tc>
          <w:tcPr>
            <w:tcW w:w="820" w:type="dxa"/>
            <w:vAlign w:val="bottom"/>
            <w:tcBorders>
              <w:bottom w:val="single" w:sz="8" w:color="A6A6A6"/>
            </w:tcBorders>
          </w:tcPr>
          <w:p>
            <w:pPr>
              <w:spacing w:after="0"/>
              <w:rPr>
                <w:sz w:val="5"/>
                <w:szCs w:val="5"/>
                <w:color w:val="auto"/>
              </w:rPr>
            </w:pPr>
          </w:p>
        </w:tc>
      </w:tr>
      <w:tr>
        <w:trPr>
          <w:trHeight w:val="339"/>
        </w:trPr>
        <w:tc>
          <w:tcPr>
            <w:tcW w:w="6300" w:type="dxa"/>
            <w:vAlign w:val="bottom"/>
          </w:tcPr>
          <w:p>
            <w:pPr>
              <w:spacing w:after="0"/>
              <w:rPr>
                <w:sz w:val="20"/>
                <w:szCs w:val="20"/>
                <w:color w:val="auto"/>
              </w:rPr>
            </w:pPr>
            <w:r>
              <w:rPr>
                <w:rFonts w:ascii="Arial Narrow" w:cs="Arial Narrow" w:eastAsia="Arial Narrow" w:hAnsi="Arial Narrow"/>
                <w:sz w:val="20"/>
                <w:szCs w:val="20"/>
                <w:b w:val="1"/>
                <w:bCs w:val="1"/>
                <w:color w:val="00085E"/>
              </w:rPr>
              <w:t>Plants</w:t>
            </w:r>
          </w:p>
        </w:tc>
        <w:tc>
          <w:tcPr>
            <w:tcW w:w="120" w:type="dxa"/>
            <w:vAlign w:val="bottom"/>
          </w:tcPr>
          <w:p>
            <w:pPr>
              <w:spacing w:after="0"/>
              <w:rPr>
                <w:sz w:val="24"/>
                <w:szCs w:val="24"/>
                <w:color w:val="auto"/>
              </w:rPr>
            </w:pPr>
          </w:p>
        </w:tc>
        <w:tc>
          <w:tcPr>
            <w:tcW w:w="1340" w:type="dxa"/>
            <w:vAlign w:val="bottom"/>
          </w:tcPr>
          <w:p>
            <w:pPr>
              <w:jc w:val="right"/>
              <w:ind w:right="26"/>
              <w:spacing w:after="0"/>
              <w:rPr>
                <w:sz w:val="20"/>
                <w:szCs w:val="20"/>
                <w:color w:val="auto"/>
              </w:rPr>
            </w:pPr>
            <w:r>
              <w:rPr>
                <w:rFonts w:ascii="Arial Narrow" w:cs="Arial Narrow" w:eastAsia="Arial Narrow" w:hAnsi="Arial Narrow"/>
                <w:sz w:val="20"/>
                <w:szCs w:val="20"/>
                <w:color w:val="auto"/>
              </w:rPr>
              <w:t>330,736</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jc w:val="right"/>
              <w:ind w:right="2"/>
              <w:spacing w:after="0"/>
              <w:rPr>
                <w:sz w:val="20"/>
                <w:szCs w:val="20"/>
                <w:color w:val="auto"/>
              </w:rPr>
            </w:pPr>
            <w:r>
              <w:rPr>
                <w:rFonts w:ascii="Arial Narrow" w:cs="Arial Narrow" w:eastAsia="Arial Narrow" w:hAnsi="Arial Narrow"/>
                <w:sz w:val="20"/>
                <w:szCs w:val="20"/>
                <w:color w:val="auto"/>
              </w:rPr>
              <w:t>123,120</w:t>
            </w:r>
          </w:p>
        </w:tc>
      </w:tr>
      <w:tr>
        <w:trPr>
          <w:trHeight w:val="65"/>
        </w:trPr>
        <w:tc>
          <w:tcPr>
            <w:tcW w:w="630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134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620" w:type="dxa"/>
            <w:vAlign w:val="bottom"/>
            <w:tcBorders>
              <w:bottom w:val="single" w:sz="8" w:color="A6A6A6"/>
            </w:tcBorders>
          </w:tcPr>
          <w:p>
            <w:pPr>
              <w:spacing w:after="0"/>
              <w:rPr>
                <w:sz w:val="5"/>
                <w:szCs w:val="5"/>
                <w:color w:val="auto"/>
              </w:rPr>
            </w:pPr>
          </w:p>
        </w:tc>
        <w:tc>
          <w:tcPr>
            <w:tcW w:w="820" w:type="dxa"/>
            <w:vAlign w:val="bottom"/>
            <w:tcBorders>
              <w:bottom w:val="single" w:sz="8" w:color="A6A6A6"/>
            </w:tcBorders>
          </w:tcPr>
          <w:p>
            <w:pPr>
              <w:spacing w:after="0"/>
              <w:rPr>
                <w:sz w:val="5"/>
                <w:szCs w:val="5"/>
                <w:color w:val="auto"/>
              </w:rPr>
            </w:pPr>
          </w:p>
        </w:tc>
      </w:tr>
      <w:tr>
        <w:trPr>
          <w:trHeight w:val="339"/>
        </w:trPr>
        <w:tc>
          <w:tcPr>
            <w:tcW w:w="6300" w:type="dxa"/>
            <w:vAlign w:val="bottom"/>
          </w:tcPr>
          <w:p>
            <w:pPr>
              <w:spacing w:after="0"/>
              <w:rPr>
                <w:sz w:val="20"/>
                <w:szCs w:val="20"/>
                <w:color w:val="auto"/>
              </w:rPr>
            </w:pPr>
            <w:r>
              <w:rPr>
                <w:rFonts w:ascii="Arial Narrow" w:cs="Arial Narrow" w:eastAsia="Arial Narrow" w:hAnsi="Arial Narrow"/>
                <w:sz w:val="20"/>
                <w:szCs w:val="20"/>
                <w:b w:val="1"/>
                <w:bCs w:val="1"/>
                <w:color w:val="00085E"/>
              </w:rPr>
              <w:t>Buildings, Machinery and Equipment</w:t>
            </w:r>
          </w:p>
        </w:tc>
        <w:tc>
          <w:tcPr>
            <w:tcW w:w="120" w:type="dxa"/>
            <w:vAlign w:val="bottom"/>
          </w:tcPr>
          <w:p>
            <w:pPr>
              <w:spacing w:after="0"/>
              <w:rPr>
                <w:sz w:val="24"/>
                <w:szCs w:val="24"/>
                <w:color w:val="auto"/>
              </w:rPr>
            </w:pPr>
          </w:p>
        </w:tc>
        <w:tc>
          <w:tcPr>
            <w:tcW w:w="1340" w:type="dxa"/>
            <w:vAlign w:val="bottom"/>
          </w:tcPr>
          <w:p>
            <w:pPr>
              <w:jc w:val="right"/>
              <w:ind w:right="26"/>
              <w:spacing w:after="0"/>
              <w:rPr>
                <w:sz w:val="20"/>
                <w:szCs w:val="20"/>
                <w:color w:val="auto"/>
              </w:rPr>
            </w:pPr>
            <w:r>
              <w:rPr>
                <w:rFonts w:ascii="Arial Narrow" w:cs="Arial Narrow" w:eastAsia="Arial Narrow" w:hAnsi="Arial Narrow"/>
                <w:sz w:val="20"/>
                <w:szCs w:val="20"/>
                <w:color w:val="auto"/>
              </w:rPr>
              <w:t>77,211</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jc w:val="right"/>
              <w:ind w:right="2"/>
              <w:spacing w:after="0"/>
              <w:rPr>
                <w:sz w:val="20"/>
                <w:szCs w:val="20"/>
                <w:color w:val="auto"/>
              </w:rPr>
            </w:pPr>
            <w:r>
              <w:rPr>
                <w:rFonts w:ascii="Arial Narrow" w:cs="Arial Narrow" w:eastAsia="Arial Narrow" w:hAnsi="Arial Narrow"/>
                <w:sz w:val="20"/>
                <w:szCs w:val="20"/>
                <w:color w:val="auto"/>
              </w:rPr>
              <w:t>62,927</w:t>
            </w:r>
          </w:p>
        </w:tc>
      </w:tr>
      <w:tr>
        <w:trPr>
          <w:trHeight w:val="90"/>
        </w:trPr>
        <w:tc>
          <w:tcPr>
            <w:tcW w:w="6300" w:type="dxa"/>
            <w:vAlign w:val="bottom"/>
            <w:tcBorders>
              <w:bottom w:val="single" w:sz="8" w:color="A6A6A6"/>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r>
      <w:tr>
        <w:trPr>
          <w:trHeight w:val="344"/>
        </w:trPr>
        <w:tc>
          <w:tcPr>
            <w:tcW w:w="6300" w:type="dxa"/>
            <w:vAlign w:val="bottom"/>
          </w:tcPr>
          <w:p>
            <w:pPr>
              <w:ind w:left="100"/>
              <w:spacing w:after="0"/>
              <w:rPr>
                <w:sz w:val="20"/>
                <w:szCs w:val="20"/>
                <w:color w:val="auto"/>
              </w:rPr>
            </w:pPr>
            <w:r>
              <w:rPr>
                <w:rFonts w:ascii="Arial Narrow" w:cs="Arial Narrow" w:eastAsia="Arial Narrow" w:hAnsi="Arial Narrow"/>
                <w:sz w:val="20"/>
                <w:szCs w:val="20"/>
                <w:b w:val="1"/>
                <w:bCs w:val="1"/>
                <w:color w:val="auto"/>
              </w:rPr>
              <w:t>Total Capital Expenditures</w:t>
            </w:r>
          </w:p>
        </w:tc>
        <w:tc>
          <w:tcPr>
            <w:tcW w:w="120" w:type="dxa"/>
            <w:vAlign w:val="bottom"/>
          </w:tcPr>
          <w:p>
            <w:pPr>
              <w:jc w:val="right"/>
              <w:spacing w:after="0"/>
              <w:rPr>
                <w:sz w:val="20"/>
                <w:szCs w:val="20"/>
                <w:color w:val="auto"/>
              </w:rPr>
            </w:pPr>
            <w:r>
              <w:rPr>
                <w:rFonts w:ascii="Arial Narrow" w:cs="Arial Narrow" w:eastAsia="Arial Narrow" w:hAnsi="Arial Narrow"/>
                <w:sz w:val="18"/>
                <w:szCs w:val="18"/>
                <w:b w:val="1"/>
                <w:bCs w:val="1"/>
                <w:color w:val="auto"/>
                <w:w w:val="72"/>
              </w:rPr>
              <w:t>$</w:t>
            </w:r>
          </w:p>
        </w:tc>
        <w:tc>
          <w:tcPr>
            <w:tcW w:w="1340" w:type="dxa"/>
            <w:vAlign w:val="bottom"/>
          </w:tcPr>
          <w:p>
            <w:pPr>
              <w:jc w:val="right"/>
              <w:ind w:right="26"/>
              <w:spacing w:after="0"/>
              <w:rPr>
                <w:sz w:val="20"/>
                <w:szCs w:val="20"/>
                <w:color w:val="auto"/>
              </w:rPr>
            </w:pPr>
            <w:r>
              <w:rPr>
                <w:rFonts w:ascii="Arial Narrow" w:cs="Arial Narrow" w:eastAsia="Arial Narrow" w:hAnsi="Arial Narrow"/>
                <w:sz w:val="20"/>
                <w:szCs w:val="20"/>
                <w:b w:val="1"/>
                <w:bCs w:val="1"/>
                <w:color w:val="auto"/>
              </w:rPr>
              <w:t>416,742</w:t>
            </w:r>
          </w:p>
        </w:tc>
        <w:tc>
          <w:tcPr>
            <w:tcW w:w="780" w:type="dxa"/>
            <w:vAlign w:val="bottom"/>
            <w:gridSpan w:val="2"/>
          </w:tcPr>
          <w:p>
            <w:pPr>
              <w:jc w:val="right"/>
              <w:ind w:right="540"/>
              <w:spacing w:after="0"/>
              <w:rPr>
                <w:sz w:val="20"/>
                <w:szCs w:val="20"/>
                <w:color w:val="auto"/>
              </w:rPr>
            </w:pPr>
            <w:r>
              <w:rPr>
                <w:rFonts w:ascii="Arial Narrow" w:cs="Arial Narrow" w:eastAsia="Arial Narrow" w:hAnsi="Arial Narrow"/>
                <w:sz w:val="20"/>
                <w:szCs w:val="20"/>
                <w:b w:val="1"/>
                <w:bCs w:val="1"/>
                <w:color w:val="auto"/>
              </w:rPr>
              <w:t>$</w:t>
            </w:r>
          </w:p>
        </w:tc>
        <w:tc>
          <w:tcPr>
            <w:tcW w:w="820" w:type="dxa"/>
            <w:vAlign w:val="bottom"/>
          </w:tcPr>
          <w:p>
            <w:pPr>
              <w:jc w:val="right"/>
              <w:ind w:right="2"/>
              <w:spacing w:after="0"/>
              <w:rPr>
                <w:sz w:val="20"/>
                <w:szCs w:val="20"/>
                <w:color w:val="auto"/>
              </w:rPr>
            </w:pPr>
            <w:r>
              <w:rPr>
                <w:rFonts w:ascii="Arial Narrow" w:cs="Arial Narrow" w:eastAsia="Arial Narrow" w:hAnsi="Arial Narrow"/>
                <w:sz w:val="20"/>
                <w:szCs w:val="20"/>
                <w:b w:val="1"/>
                <w:bCs w:val="1"/>
                <w:color w:val="auto"/>
              </w:rPr>
              <w:t>195,281</w:t>
            </w:r>
          </w:p>
        </w:tc>
      </w:tr>
      <w:tr>
        <w:trPr>
          <w:trHeight w:val="65"/>
        </w:trPr>
        <w:tc>
          <w:tcPr>
            <w:tcW w:w="63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r>
      <w:tr>
        <w:trPr>
          <w:trHeight w:val="20"/>
        </w:trPr>
        <w:tc>
          <w:tcPr>
            <w:tcW w:w="6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0"/>
        <w:spacing w:after="0" w:line="292" w:lineRule="auto"/>
        <w:rPr>
          <w:sz w:val="20"/>
          <w:szCs w:val="20"/>
          <w:color w:val="auto"/>
        </w:rPr>
      </w:pPr>
      <w:r>
        <w:rPr>
          <w:rFonts w:ascii="Arial" w:cs="Arial" w:eastAsia="Arial" w:hAnsi="Arial"/>
          <w:sz w:val="20"/>
          <w:szCs w:val="20"/>
          <w:color w:val="auto"/>
        </w:rPr>
        <w:t>Capital expenditures for fiscal 2027 are expected to range from $490.0 million to $525.0 million and to be allocated between the Heavy Materials and Light Materials sectors. These estimated capital expenditures will include the expansion and modernization of our Mountain Cement facility in Wyoming and the modernization and expansion of our gypsum wallboard plant in Oklahoma, as well as maintenance capital expenditures and improvements, and other safety and regulatory projects.</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085E"/>
        </w:rPr>
        <w:t>Dividends</w:t>
      </w:r>
    </w:p>
    <w:p>
      <w:pPr>
        <w:spacing w:after="0" w:line="161" w:lineRule="exact"/>
        <w:rPr>
          <w:sz w:val="20"/>
          <w:szCs w:val="20"/>
          <w:color w:val="auto"/>
        </w:rPr>
      </w:pPr>
    </w:p>
    <w:p>
      <w:pPr>
        <w:ind w:right="200"/>
        <w:spacing w:after="0" w:line="325" w:lineRule="auto"/>
        <w:rPr>
          <w:sz w:val="20"/>
          <w:szCs w:val="20"/>
          <w:color w:val="auto"/>
        </w:rPr>
      </w:pPr>
      <w:r>
        <w:rPr>
          <w:rFonts w:ascii="Arial" w:cs="Arial" w:eastAsia="Arial" w:hAnsi="Arial"/>
          <w:sz w:val="20"/>
          <w:szCs w:val="20"/>
          <w:color w:val="auto"/>
        </w:rPr>
        <w:t>Dividends paid in fiscal years 2026, 2025, and 2024 were $32.4 million, $33.7 million, and $35.3 million, respectively.</w:t>
      </w:r>
    </w:p>
    <w:p>
      <w:pPr>
        <w:sectPr>
          <w:pgSz w:w="11880" w:h="15480" w:orient="portrait"/>
          <w:cols w:equalWidth="0" w:num="1">
            <w:col w:w="9360"/>
          </w:cols>
          <w:pgMar w:left="1260" w:top="1243"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66</w:t>
      </w:r>
    </w:p>
    <w:p>
      <w:pPr>
        <w:sectPr>
          <w:pgSz w:w="11880" w:h="15480" w:orient="portrait"/>
          <w:cols w:equalWidth="0" w:num="1">
            <w:col w:w="9360"/>
          </w:cols>
          <w:pgMar w:left="1260" w:top="1243" w:right="1260" w:bottom="0" w:gutter="0" w:footer="0" w:header="0"/>
          <w:type w:val="continuous"/>
        </w:sectPr>
      </w:pPr>
    </w:p>
    <w:bookmarkStart w:id="74" w:name="page75"/>
    <w:bookmarkEnd w:id="74"/>
    <w:p>
      <w:pPr>
        <w:spacing w:after="0"/>
        <w:rPr>
          <w:sz w:val="20"/>
          <w:szCs w:val="20"/>
          <w:color w:val="auto"/>
        </w:rPr>
      </w:pPr>
      <w:r>
        <w:rPr>
          <w:rFonts w:ascii="Arial" w:cs="Arial" w:eastAsia="Arial" w:hAnsi="Arial"/>
          <w:sz w:val="22"/>
          <w:szCs w:val="22"/>
          <w:b w:val="1"/>
          <w:bCs w:val="1"/>
          <w:u w:val="single" w:color="auto"/>
          <w:color w:val="00085E"/>
        </w:rPr>
        <w:t>Contractual and Other Obligations</w:t>
      </w:r>
    </w:p>
    <w:p>
      <w:pPr>
        <w:spacing w:after="0" w:line="161" w:lineRule="exact"/>
        <w:rPr>
          <w:sz w:val="20"/>
          <w:szCs w:val="20"/>
          <w:color w:val="auto"/>
        </w:rPr>
      </w:pPr>
    </w:p>
    <w:p>
      <w:pPr>
        <w:ind w:right="540"/>
        <w:spacing w:after="0" w:line="355" w:lineRule="auto"/>
        <w:rPr>
          <w:sz w:val="20"/>
          <w:szCs w:val="20"/>
          <w:color w:val="auto"/>
        </w:rPr>
      </w:pPr>
      <w:r>
        <w:rPr>
          <w:rFonts w:ascii="Arial" w:cs="Arial" w:eastAsia="Arial" w:hAnsi="Arial"/>
          <w:sz w:val="19"/>
          <w:szCs w:val="19"/>
          <w:color w:val="auto"/>
        </w:rPr>
        <w:t>We have certain Contractual Obligations arising from indebtedness, operating leases, and purchase obligations. Future payments due, aggregated by type of contractual obligation, are shown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3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300" w:type="dxa"/>
            <w:vAlign w:val="bottom"/>
            <w:gridSpan w:val="7"/>
          </w:tcPr>
          <w:p>
            <w:pPr>
              <w:jc w:val="center"/>
              <w:ind w:left="344"/>
              <w:spacing w:after="0"/>
              <w:rPr>
                <w:sz w:val="20"/>
                <w:szCs w:val="20"/>
                <w:color w:val="auto"/>
              </w:rPr>
            </w:pPr>
            <w:r>
              <w:rPr>
                <w:rFonts w:ascii="Arial Narrow" w:cs="Arial Narrow" w:eastAsia="Arial Narrow" w:hAnsi="Arial Narrow"/>
                <w:sz w:val="18"/>
                <w:szCs w:val="18"/>
                <w:b w:val="1"/>
                <w:bCs w:val="1"/>
                <w:color w:val="auto"/>
              </w:rPr>
              <w:t>Payments Due by Period</w:t>
            </w: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
        </w:trPr>
        <w:tc>
          <w:tcPr>
            <w:tcW w:w="37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3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4"/>
              <w:spacing w:after="0"/>
              <w:rPr>
                <w:sz w:val="20"/>
                <w:szCs w:val="20"/>
                <w:color w:val="auto"/>
              </w:rPr>
            </w:pPr>
            <w:r>
              <w:rPr>
                <w:rFonts w:ascii="Arial Narrow" w:cs="Arial Narrow" w:eastAsia="Arial Narrow" w:hAnsi="Arial Narrow"/>
                <w:sz w:val="18"/>
                <w:szCs w:val="18"/>
                <w:b w:val="1"/>
                <w:bCs w:val="1"/>
                <w:color w:val="auto"/>
              </w:rPr>
              <w:t>Less than</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2"/>
              <w:spacing w:after="0"/>
              <w:rPr>
                <w:sz w:val="20"/>
                <w:szCs w:val="20"/>
                <w:color w:val="auto"/>
              </w:rPr>
            </w:pPr>
            <w:r>
              <w:rPr>
                <w:rFonts w:ascii="Arial Narrow" w:cs="Arial Narrow" w:eastAsia="Arial Narrow" w:hAnsi="Arial Narrow"/>
                <w:sz w:val="18"/>
                <w:szCs w:val="18"/>
                <w:b w:val="1"/>
                <w:bCs w:val="1"/>
                <w:color w:val="auto"/>
              </w:rPr>
              <w:t>More than</w:t>
            </w:r>
          </w:p>
        </w:tc>
        <w:tc>
          <w:tcPr>
            <w:tcW w:w="0" w:type="dxa"/>
            <w:vAlign w:val="bottom"/>
          </w:tcPr>
          <w:p>
            <w:pPr>
              <w:spacing w:after="0"/>
              <w:rPr>
                <w:sz w:val="1"/>
                <w:szCs w:val="1"/>
                <w:color w:val="auto"/>
              </w:rPr>
            </w:pPr>
          </w:p>
        </w:tc>
      </w:tr>
      <w:tr>
        <w:trPr>
          <w:trHeight w:val="254"/>
        </w:trPr>
        <w:tc>
          <w:tcPr>
            <w:tcW w:w="3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1"/>
              <w:spacing w:after="0"/>
              <w:rPr>
                <w:sz w:val="20"/>
                <w:szCs w:val="20"/>
                <w:color w:val="auto"/>
              </w:rPr>
            </w:pPr>
            <w:r>
              <w:rPr>
                <w:rFonts w:ascii="Arial Narrow" w:cs="Arial Narrow" w:eastAsia="Arial Narrow" w:hAnsi="Arial Narrow"/>
                <w:sz w:val="18"/>
                <w:szCs w:val="18"/>
                <w:b w:val="1"/>
                <w:bCs w:val="1"/>
                <w:color w:val="auto"/>
              </w:rPr>
              <w:t>Total</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4"/>
              <w:spacing w:after="0"/>
              <w:rPr>
                <w:sz w:val="20"/>
                <w:szCs w:val="20"/>
                <w:color w:val="auto"/>
              </w:rPr>
            </w:pPr>
            <w:r>
              <w:rPr>
                <w:rFonts w:ascii="Arial Narrow" w:cs="Arial Narrow" w:eastAsia="Arial Narrow" w:hAnsi="Arial Narrow"/>
                <w:sz w:val="18"/>
                <w:szCs w:val="18"/>
                <w:b w:val="1"/>
                <w:bCs w:val="1"/>
                <w:color w:val="auto"/>
              </w:rPr>
              <w:t>1 year</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gridSpan w:val="2"/>
          </w:tcPr>
          <w:p>
            <w:pPr>
              <w:ind w:left="100"/>
              <w:spacing w:after="0"/>
              <w:rPr>
                <w:sz w:val="20"/>
                <w:szCs w:val="20"/>
                <w:color w:val="auto"/>
              </w:rPr>
            </w:pPr>
            <w:r>
              <w:rPr>
                <w:rFonts w:ascii="Arial Narrow" w:cs="Arial Narrow" w:eastAsia="Arial Narrow" w:hAnsi="Arial Narrow"/>
                <w:sz w:val="18"/>
                <w:szCs w:val="18"/>
                <w:b w:val="1"/>
                <w:bCs w:val="1"/>
                <w:color w:val="auto"/>
              </w:rPr>
              <w:t>1-3 years</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1"/>
              <w:spacing w:after="0"/>
              <w:rPr>
                <w:sz w:val="20"/>
                <w:szCs w:val="20"/>
                <w:color w:val="auto"/>
              </w:rPr>
            </w:pPr>
            <w:r>
              <w:rPr>
                <w:rFonts w:ascii="Arial Narrow" w:cs="Arial Narrow" w:eastAsia="Arial Narrow" w:hAnsi="Arial Narrow"/>
                <w:sz w:val="18"/>
                <w:szCs w:val="18"/>
                <w:b w:val="1"/>
                <w:bCs w:val="1"/>
                <w:color w:val="auto"/>
              </w:rPr>
              <w:t>3-5 years</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
              <w:spacing w:after="0"/>
              <w:rPr>
                <w:sz w:val="20"/>
                <w:szCs w:val="20"/>
                <w:color w:val="auto"/>
              </w:rPr>
            </w:pPr>
            <w:r>
              <w:rPr>
                <w:rFonts w:ascii="Arial Narrow" w:cs="Arial Narrow" w:eastAsia="Arial Narrow" w:hAnsi="Arial Narrow"/>
                <w:sz w:val="18"/>
                <w:szCs w:val="18"/>
                <w:b w:val="1"/>
                <w:bCs w:val="1"/>
                <w:color w:val="auto"/>
              </w:rPr>
              <w:t>5 years</w:t>
            </w:r>
          </w:p>
        </w:tc>
        <w:tc>
          <w:tcPr>
            <w:tcW w:w="0" w:type="dxa"/>
            <w:vAlign w:val="bottom"/>
          </w:tcPr>
          <w:p>
            <w:pPr>
              <w:spacing w:after="0"/>
              <w:rPr>
                <w:sz w:val="1"/>
                <w:szCs w:val="1"/>
                <w:color w:val="auto"/>
              </w:rPr>
            </w:pPr>
          </w:p>
        </w:tc>
      </w:tr>
      <w:tr>
        <w:trPr>
          <w:trHeight w:val="21"/>
        </w:trPr>
        <w:tc>
          <w:tcPr>
            <w:tcW w:w="3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40" w:type="dxa"/>
            <w:vAlign w:val="bottom"/>
            <w:gridSpan w:val="5"/>
          </w:tcPr>
          <w:p>
            <w:pPr>
              <w:jc w:val="center"/>
              <w:ind w:left="604"/>
              <w:spacing w:after="0"/>
              <w:rPr>
                <w:sz w:val="20"/>
                <w:szCs w:val="20"/>
                <w:color w:val="auto"/>
              </w:rPr>
            </w:pPr>
            <w:r>
              <w:rPr>
                <w:rFonts w:ascii="Arial Narrow" w:cs="Arial Narrow" w:eastAsia="Arial Narrow" w:hAnsi="Arial Narrow"/>
                <w:sz w:val="16"/>
                <w:szCs w:val="16"/>
                <w:color w:val="auto"/>
              </w:rPr>
              <w:t>(dollars in thousands)</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37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gridSpan w:val="2"/>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gridSpan w:val="2"/>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260" w:type="dxa"/>
            <w:vAlign w:val="bottom"/>
            <w:tcBorders>
              <w:bottom w:val="single" w:sz="8" w:color="auto"/>
            </w:tcBorders>
            <w:gridSpan w:val="2"/>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gridSpan w:val="2"/>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4"/>
        </w:trPr>
        <w:tc>
          <w:tcPr>
            <w:tcW w:w="3700" w:type="dxa"/>
            <w:vAlign w:val="bottom"/>
          </w:tcPr>
          <w:p>
            <w:pPr>
              <w:spacing w:after="0"/>
              <w:rPr>
                <w:sz w:val="20"/>
                <w:szCs w:val="20"/>
                <w:color w:val="auto"/>
              </w:rPr>
            </w:pPr>
            <w:r>
              <w:rPr>
                <w:rFonts w:ascii="Arial Narrow" w:cs="Arial Narrow" w:eastAsia="Arial Narrow" w:hAnsi="Arial Narrow"/>
                <w:sz w:val="20"/>
                <w:szCs w:val="20"/>
                <w:b w:val="1"/>
                <w:bCs w:val="1"/>
                <w:color w:val="00085E"/>
              </w:rPr>
              <w:t xml:space="preserve">Revolving Credit Facility </w:t>
            </w:r>
            <w:r>
              <w:rPr>
                <w:rFonts w:ascii="Arial Narrow" w:cs="Arial Narrow" w:eastAsia="Arial Narrow" w:hAnsi="Arial Narrow"/>
                <w:sz w:val="13"/>
                <w:szCs w:val="13"/>
                <w:b w:val="1"/>
                <w:bCs w:val="1"/>
                <w:color w:val="00085E"/>
              </w:rPr>
              <w:t>(1)</w:t>
            </w:r>
          </w:p>
        </w:tc>
        <w:tc>
          <w:tcPr>
            <w:tcW w:w="200" w:type="dxa"/>
            <w:vAlign w:val="bottom"/>
          </w:tcPr>
          <w:p>
            <w:pPr>
              <w:jc w:val="right"/>
              <w:spacing w:after="0"/>
              <w:rPr>
                <w:sz w:val="20"/>
                <w:szCs w:val="20"/>
                <w:color w:val="auto"/>
              </w:rPr>
            </w:pPr>
            <w:r>
              <w:rPr>
                <w:rFonts w:ascii="Arial Narrow" w:cs="Arial Narrow" w:eastAsia="Arial Narrow" w:hAnsi="Arial Narrow"/>
                <w:sz w:val="20"/>
                <w:szCs w:val="20"/>
                <w:color w:val="auto"/>
                <w:w w:val="87"/>
              </w:rPr>
              <w:t>$</w:t>
            </w:r>
          </w:p>
        </w:tc>
        <w:tc>
          <w:tcPr>
            <w:tcW w:w="940" w:type="dxa"/>
            <w:vAlign w:val="bottom"/>
          </w:tcPr>
          <w:p>
            <w:pPr>
              <w:jc w:val="right"/>
              <w:ind w:right="1"/>
              <w:spacing w:after="0"/>
              <w:rPr>
                <w:sz w:val="20"/>
                <w:szCs w:val="20"/>
                <w:color w:val="auto"/>
              </w:rPr>
            </w:pPr>
            <w:r>
              <w:rPr>
                <w:rFonts w:ascii="Arial Narrow" w:cs="Arial Narrow" w:eastAsia="Arial Narrow" w:hAnsi="Arial Narrow"/>
                <w:sz w:val="20"/>
                <w:szCs w:val="20"/>
                <w:color w:val="auto"/>
              </w:rPr>
              <w:t>—</w:t>
            </w:r>
          </w:p>
        </w:tc>
        <w:tc>
          <w:tcPr>
            <w:tcW w:w="280" w:type="dxa"/>
            <w:vAlign w:val="bottom"/>
            <w:gridSpan w:val="2"/>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860" w:type="dxa"/>
            <w:vAlign w:val="bottom"/>
          </w:tcPr>
          <w:p>
            <w:pPr>
              <w:jc w:val="right"/>
              <w:ind w:right="4"/>
              <w:spacing w:after="0"/>
              <w:rPr>
                <w:sz w:val="20"/>
                <w:szCs w:val="20"/>
                <w:color w:val="auto"/>
              </w:rPr>
            </w:pPr>
            <w:r>
              <w:rPr>
                <w:rFonts w:ascii="Arial Narrow" w:cs="Arial Narrow" w:eastAsia="Arial Narrow" w:hAnsi="Arial Narrow"/>
                <w:sz w:val="20"/>
                <w:szCs w:val="20"/>
                <w:color w:val="auto"/>
              </w:rPr>
              <w:t>—</w:t>
            </w:r>
          </w:p>
        </w:tc>
        <w:tc>
          <w:tcPr>
            <w:tcW w:w="280" w:type="dxa"/>
            <w:vAlign w:val="bottom"/>
            <w:gridSpan w:val="2"/>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900" w:type="dxa"/>
            <w:vAlign w:val="bottom"/>
            <w:gridSpan w:val="2"/>
          </w:tcPr>
          <w:p>
            <w:pPr>
              <w:jc w:val="right"/>
              <w:ind w:right="160"/>
              <w:spacing w:after="0"/>
              <w:rPr>
                <w:sz w:val="20"/>
                <w:szCs w:val="20"/>
                <w:color w:val="auto"/>
              </w:rPr>
            </w:pPr>
            <w:r>
              <w:rPr>
                <w:rFonts w:ascii="Arial Narrow" w:cs="Arial Narrow" w:eastAsia="Arial Narrow" w:hAnsi="Arial Narrow"/>
                <w:sz w:val="20"/>
                <w:szCs w:val="20"/>
                <w:color w:val="auto"/>
              </w:rPr>
              <w:t>—</w:t>
            </w:r>
          </w:p>
        </w:tc>
        <w:tc>
          <w:tcPr>
            <w:tcW w:w="260" w:type="dxa"/>
            <w:vAlign w:val="bottom"/>
            <w:gridSpan w:val="2"/>
          </w:tcPr>
          <w:p>
            <w:pPr>
              <w:jc w:val="right"/>
              <w:ind w:right="120"/>
              <w:spacing w:after="0"/>
              <w:rPr>
                <w:sz w:val="20"/>
                <w:szCs w:val="20"/>
                <w:color w:val="auto"/>
              </w:rPr>
            </w:pPr>
            <w:r>
              <w:rPr>
                <w:rFonts w:ascii="Arial Narrow" w:cs="Arial Narrow" w:eastAsia="Arial Narrow" w:hAnsi="Arial Narrow"/>
                <w:sz w:val="20"/>
                <w:szCs w:val="20"/>
                <w:color w:val="auto"/>
              </w:rPr>
              <w:t>$</w:t>
            </w:r>
          </w:p>
        </w:tc>
        <w:tc>
          <w:tcPr>
            <w:tcW w:w="820" w:type="dxa"/>
            <w:vAlign w:val="bottom"/>
          </w:tcPr>
          <w:p>
            <w:pPr>
              <w:jc w:val="right"/>
              <w:ind w:right="1"/>
              <w:spacing w:after="0"/>
              <w:rPr>
                <w:sz w:val="20"/>
                <w:szCs w:val="20"/>
                <w:color w:val="auto"/>
              </w:rPr>
            </w:pPr>
            <w:r>
              <w:rPr>
                <w:rFonts w:ascii="Arial Narrow" w:cs="Arial Narrow" w:eastAsia="Arial Narrow" w:hAnsi="Arial Narrow"/>
                <w:sz w:val="20"/>
                <w:szCs w:val="20"/>
                <w:color w:val="auto"/>
              </w:rPr>
              <w:t>—</w:t>
            </w:r>
          </w:p>
        </w:tc>
        <w:tc>
          <w:tcPr>
            <w:tcW w:w="240" w:type="dxa"/>
            <w:vAlign w:val="bottom"/>
            <w:gridSpan w:val="2"/>
          </w:tcPr>
          <w:p>
            <w:pPr>
              <w:jc w:val="right"/>
              <w:ind w:right="40"/>
              <w:spacing w:after="0"/>
              <w:rPr>
                <w:sz w:val="20"/>
                <w:szCs w:val="20"/>
                <w:color w:val="auto"/>
              </w:rPr>
            </w:pPr>
            <w:r>
              <w:rPr>
                <w:rFonts w:ascii="Arial Narrow" w:cs="Arial Narrow" w:eastAsia="Arial Narrow" w:hAnsi="Arial Narrow"/>
                <w:sz w:val="20"/>
                <w:szCs w:val="20"/>
                <w:color w:val="auto"/>
              </w:rPr>
              <w:t>$</w:t>
            </w:r>
          </w:p>
        </w:tc>
        <w:tc>
          <w:tcPr>
            <w:tcW w:w="880" w:type="dxa"/>
            <w:vAlign w:val="bottom"/>
          </w:tcPr>
          <w:p>
            <w:pPr>
              <w:jc w:val="right"/>
              <w:ind w:right="2"/>
              <w:spacing w:after="0"/>
              <w:rPr>
                <w:sz w:val="20"/>
                <w:szCs w:val="20"/>
                <w:color w:val="auto"/>
              </w:rPr>
            </w:pPr>
            <w:r>
              <w:rPr>
                <w:rFonts w:ascii="Arial Narrow" w:cs="Arial Narrow" w:eastAsia="Arial Narrow" w:hAnsi="Arial Narrow"/>
                <w:sz w:val="20"/>
                <w:szCs w:val="20"/>
                <w:color w:val="auto"/>
              </w:rPr>
              <w:t>—</w:t>
            </w:r>
          </w:p>
        </w:tc>
        <w:tc>
          <w:tcPr>
            <w:tcW w:w="0" w:type="dxa"/>
            <w:vAlign w:val="bottom"/>
          </w:tcPr>
          <w:p>
            <w:pPr>
              <w:spacing w:after="0"/>
              <w:rPr>
                <w:sz w:val="1"/>
                <w:szCs w:val="1"/>
                <w:color w:val="auto"/>
              </w:rPr>
            </w:pPr>
          </w:p>
        </w:tc>
      </w:tr>
      <w:tr>
        <w:trPr>
          <w:trHeight w:val="65"/>
        </w:trPr>
        <w:tc>
          <w:tcPr>
            <w:tcW w:w="3700" w:type="dxa"/>
            <w:vAlign w:val="bottom"/>
            <w:tcBorders>
              <w:bottom w:val="single" w:sz="8" w:color="A6A6A6"/>
            </w:tcBorders>
          </w:tcPr>
          <w:p>
            <w:pPr>
              <w:spacing w:after="0"/>
              <w:rPr>
                <w:sz w:val="5"/>
                <w:szCs w:val="5"/>
                <w:color w:val="auto"/>
              </w:rPr>
            </w:pPr>
          </w:p>
        </w:tc>
        <w:tc>
          <w:tcPr>
            <w:tcW w:w="200" w:type="dxa"/>
            <w:vAlign w:val="bottom"/>
            <w:tcBorders>
              <w:bottom w:val="single" w:sz="8" w:color="A6A6A6"/>
            </w:tcBorders>
          </w:tcPr>
          <w:p>
            <w:pPr>
              <w:spacing w:after="0"/>
              <w:rPr>
                <w:sz w:val="5"/>
                <w:szCs w:val="5"/>
                <w:color w:val="auto"/>
              </w:rPr>
            </w:pPr>
          </w:p>
        </w:tc>
        <w:tc>
          <w:tcPr>
            <w:tcW w:w="94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86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840" w:type="dxa"/>
            <w:vAlign w:val="bottom"/>
            <w:tcBorders>
              <w:bottom w:val="single" w:sz="8" w:color="A6A6A6"/>
            </w:tcBorders>
          </w:tcPr>
          <w:p>
            <w:pPr>
              <w:spacing w:after="0"/>
              <w:rPr>
                <w:sz w:val="5"/>
                <w:szCs w:val="5"/>
                <w:color w:val="auto"/>
              </w:rPr>
            </w:pPr>
          </w:p>
        </w:tc>
        <w:tc>
          <w:tcPr>
            <w:tcW w:w="60" w:type="dxa"/>
            <w:vAlign w:val="bottom"/>
            <w:tcBorders>
              <w:bottom w:val="single" w:sz="8" w:color="A6A6A6"/>
            </w:tcBorders>
          </w:tcPr>
          <w:p>
            <w:pPr>
              <w:spacing w:after="0"/>
              <w:rPr>
                <w:sz w:val="5"/>
                <w:szCs w:val="5"/>
                <w:color w:val="auto"/>
              </w:rPr>
            </w:pPr>
          </w:p>
        </w:tc>
        <w:tc>
          <w:tcPr>
            <w:tcW w:w="60" w:type="dxa"/>
            <w:vAlign w:val="bottom"/>
            <w:tcBorders>
              <w:bottom w:val="single" w:sz="8" w:color="A6A6A6"/>
            </w:tcBorders>
          </w:tcPr>
          <w:p>
            <w:pPr>
              <w:spacing w:after="0"/>
              <w:rPr>
                <w:sz w:val="5"/>
                <w:szCs w:val="5"/>
                <w:color w:val="auto"/>
              </w:rPr>
            </w:pPr>
          </w:p>
        </w:tc>
        <w:tc>
          <w:tcPr>
            <w:tcW w:w="200" w:type="dxa"/>
            <w:vAlign w:val="bottom"/>
            <w:tcBorders>
              <w:bottom w:val="single" w:sz="8" w:color="A6A6A6"/>
            </w:tcBorders>
          </w:tcPr>
          <w:p>
            <w:pPr>
              <w:spacing w:after="0"/>
              <w:rPr>
                <w:sz w:val="5"/>
                <w:szCs w:val="5"/>
                <w:color w:val="auto"/>
              </w:rPr>
            </w:pPr>
          </w:p>
        </w:tc>
        <w:tc>
          <w:tcPr>
            <w:tcW w:w="82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88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3700" w:type="dxa"/>
            <w:vAlign w:val="bottom"/>
          </w:tcPr>
          <w:p>
            <w:pPr>
              <w:spacing w:after="0"/>
              <w:rPr>
                <w:sz w:val="20"/>
                <w:szCs w:val="20"/>
                <w:color w:val="auto"/>
              </w:rPr>
            </w:pPr>
            <w:r>
              <w:rPr>
                <w:rFonts w:ascii="Arial Narrow" w:cs="Arial Narrow" w:eastAsia="Arial Narrow" w:hAnsi="Arial Narrow"/>
                <w:sz w:val="20"/>
                <w:szCs w:val="20"/>
                <w:b w:val="1"/>
                <w:bCs w:val="1"/>
                <w:color w:val="00085E"/>
              </w:rPr>
              <w:t xml:space="preserve">Term Loan </w:t>
            </w:r>
            <w:r>
              <w:rPr>
                <w:rFonts w:ascii="Arial Narrow" w:cs="Arial Narrow" w:eastAsia="Arial Narrow" w:hAnsi="Arial Narrow"/>
                <w:sz w:val="13"/>
                <w:szCs w:val="13"/>
                <w:b w:val="1"/>
                <w:bCs w:val="1"/>
                <w:color w:val="00085E"/>
              </w:rPr>
              <w:t>(2)</w:t>
            </w:r>
          </w:p>
        </w:tc>
        <w:tc>
          <w:tcPr>
            <w:tcW w:w="200" w:type="dxa"/>
            <w:vAlign w:val="bottom"/>
          </w:tcPr>
          <w:p>
            <w:pPr>
              <w:spacing w:after="0"/>
              <w:rPr>
                <w:sz w:val="24"/>
                <w:szCs w:val="24"/>
                <w:color w:val="auto"/>
              </w:rPr>
            </w:pPr>
          </w:p>
        </w:tc>
        <w:tc>
          <w:tcPr>
            <w:tcW w:w="940" w:type="dxa"/>
            <w:vAlign w:val="bottom"/>
          </w:tcPr>
          <w:p>
            <w:pPr>
              <w:jc w:val="right"/>
              <w:ind w:right="1"/>
              <w:spacing w:after="0"/>
              <w:rPr>
                <w:sz w:val="20"/>
                <w:szCs w:val="20"/>
                <w:color w:val="auto"/>
              </w:rPr>
            </w:pPr>
            <w:r>
              <w:rPr>
                <w:rFonts w:ascii="Arial Narrow" w:cs="Arial Narrow" w:eastAsia="Arial Narrow" w:hAnsi="Arial Narrow"/>
                <w:sz w:val="20"/>
                <w:szCs w:val="20"/>
                <w:color w:val="auto"/>
              </w:rPr>
              <w:t>281,250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ind w:right="4"/>
              <w:spacing w:after="0"/>
              <w:rPr>
                <w:sz w:val="20"/>
                <w:szCs w:val="20"/>
                <w:color w:val="auto"/>
              </w:rPr>
            </w:pPr>
            <w:r>
              <w:rPr>
                <w:rFonts w:ascii="Arial Narrow" w:cs="Arial Narrow" w:eastAsia="Arial Narrow" w:hAnsi="Arial Narrow"/>
                <w:sz w:val="20"/>
                <w:szCs w:val="20"/>
                <w:color w:val="auto"/>
              </w:rPr>
              <w:t>15,000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ind w:right="1"/>
              <w:spacing w:after="0"/>
              <w:rPr>
                <w:sz w:val="20"/>
                <w:szCs w:val="20"/>
                <w:color w:val="auto"/>
              </w:rPr>
            </w:pPr>
            <w:r>
              <w:rPr>
                <w:rFonts w:ascii="Arial Narrow" w:cs="Arial Narrow" w:eastAsia="Arial Narrow" w:hAnsi="Arial Narrow"/>
                <w:sz w:val="20"/>
                <w:szCs w:val="20"/>
                <w:color w:val="auto"/>
              </w:rPr>
              <w:t>30,000</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ind w:right="1"/>
              <w:spacing w:after="0"/>
              <w:rPr>
                <w:sz w:val="20"/>
                <w:szCs w:val="20"/>
                <w:color w:val="auto"/>
              </w:rPr>
            </w:pPr>
            <w:r>
              <w:rPr>
                <w:rFonts w:ascii="Arial Narrow" w:cs="Arial Narrow" w:eastAsia="Arial Narrow" w:hAnsi="Arial Narrow"/>
                <w:sz w:val="20"/>
                <w:szCs w:val="20"/>
                <w:color w:val="auto"/>
              </w:rPr>
              <w:t>236,250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2"/>
              <w:spacing w:after="0"/>
              <w:rPr>
                <w:sz w:val="20"/>
                <w:szCs w:val="20"/>
                <w:color w:val="auto"/>
              </w:rPr>
            </w:pPr>
            <w:r>
              <w:rPr>
                <w:rFonts w:ascii="Arial Narrow" w:cs="Arial Narrow" w:eastAsia="Arial Narrow" w:hAnsi="Arial Narrow"/>
                <w:sz w:val="20"/>
                <w:szCs w:val="20"/>
                <w:color w:val="auto"/>
              </w:rPr>
              <w:t>—</w:t>
            </w:r>
          </w:p>
        </w:tc>
        <w:tc>
          <w:tcPr>
            <w:tcW w:w="0" w:type="dxa"/>
            <w:vAlign w:val="bottom"/>
          </w:tcPr>
          <w:p>
            <w:pPr>
              <w:spacing w:after="0"/>
              <w:rPr>
                <w:sz w:val="1"/>
                <w:szCs w:val="1"/>
                <w:color w:val="auto"/>
              </w:rPr>
            </w:pPr>
          </w:p>
        </w:tc>
      </w:tr>
      <w:tr>
        <w:trPr>
          <w:trHeight w:val="65"/>
        </w:trPr>
        <w:tc>
          <w:tcPr>
            <w:tcW w:w="3700" w:type="dxa"/>
            <w:vAlign w:val="bottom"/>
            <w:tcBorders>
              <w:bottom w:val="single" w:sz="8" w:color="A6A6A6"/>
            </w:tcBorders>
          </w:tcPr>
          <w:p>
            <w:pPr>
              <w:spacing w:after="0"/>
              <w:rPr>
                <w:sz w:val="5"/>
                <w:szCs w:val="5"/>
                <w:color w:val="auto"/>
              </w:rPr>
            </w:pPr>
          </w:p>
        </w:tc>
        <w:tc>
          <w:tcPr>
            <w:tcW w:w="200" w:type="dxa"/>
            <w:vAlign w:val="bottom"/>
            <w:tcBorders>
              <w:bottom w:val="single" w:sz="8" w:color="A6A6A6"/>
            </w:tcBorders>
          </w:tcPr>
          <w:p>
            <w:pPr>
              <w:spacing w:after="0"/>
              <w:rPr>
                <w:sz w:val="5"/>
                <w:szCs w:val="5"/>
                <w:color w:val="auto"/>
              </w:rPr>
            </w:pPr>
          </w:p>
        </w:tc>
        <w:tc>
          <w:tcPr>
            <w:tcW w:w="94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86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900" w:type="dxa"/>
            <w:vAlign w:val="bottom"/>
            <w:tcBorders>
              <w:bottom w:val="single" w:sz="8" w:color="A6A6A6"/>
            </w:tcBorders>
            <w:gridSpan w:val="2"/>
          </w:tcPr>
          <w:p>
            <w:pPr>
              <w:spacing w:after="0"/>
              <w:rPr>
                <w:sz w:val="5"/>
                <w:szCs w:val="5"/>
                <w:color w:val="auto"/>
              </w:rPr>
            </w:pPr>
          </w:p>
        </w:tc>
        <w:tc>
          <w:tcPr>
            <w:tcW w:w="60" w:type="dxa"/>
            <w:vAlign w:val="bottom"/>
            <w:tcBorders>
              <w:bottom w:val="single" w:sz="8" w:color="A6A6A6"/>
            </w:tcBorders>
          </w:tcPr>
          <w:p>
            <w:pPr>
              <w:spacing w:after="0"/>
              <w:rPr>
                <w:sz w:val="5"/>
                <w:szCs w:val="5"/>
                <w:color w:val="auto"/>
              </w:rPr>
            </w:pPr>
          </w:p>
        </w:tc>
        <w:tc>
          <w:tcPr>
            <w:tcW w:w="200" w:type="dxa"/>
            <w:vAlign w:val="bottom"/>
            <w:tcBorders>
              <w:bottom w:val="single" w:sz="8" w:color="A6A6A6"/>
            </w:tcBorders>
          </w:tcPr>
          <w:p>
            <w:pPr>
              <w:spacing w:after="0"/>
              <w:rPr>
                <w:sz w:val="5"/>
                <w:szCs w:val="5"/>
                <w:color w:val="auto"/>
              </w:rPr>
            </w:pPr>
          </w:p>
        </w:tc>
        <w:tc>
          <w:tcPr>
            <w:tcW w:w="82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88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3700" w:type="dxa"/>
            <w:vAlign w:val="bottom"/>
          </w:tcPr>
          <w:p>
            <w:pPr>
              <w:spacing w:after="0"/>
              <w:rPr>
                <w:sz w:val="20"/>
                <w:szCs w:val="20"/>
                <w:color w:val="auto"/>
              </w:rPr>
            </w:pPr>
            <w:r>
              <w:rPr>
                <w:rFonts w:ascii="Arial Narrow" w:cs="Arial Narrow" w:eastAsia="Arial Narrow" w:hAnsi="Arial Narrow"/>
                <w:sz w:val="20"/>
                <w:szCs w:val="20"/>
                <w:b w:val="1"/>
                <w:bCs w:val="1"/>
                <w:color w:val="00085E"/>
              </w:rPr>
              <w:t>Senior Unsecured Notes</w:t>
            </w:r>
          </w:p>
        </w:tc>
        <w:tc>
          <w:tcPr>
            <w:tcW w:w="200" w:type="dxa"/>
            <w:vAlign w:val="bottom"/>
          </w:tcPr>
          <w:p>
            <w:pPr>
              <w:spacing w:after="0"/>
              <w:rPr>
                <w:sz w:val="24"/>
                <w:szCs w:val="24"/>
                <w:color w:val="auto"/>
              </w:rPr>
            </w:pPr>
          </w:p>
        </w:tc>
        <w:tc>
          <w:tcPr>
            <w:tcW w:w="940" w:type="dxa"/>
            <w:vAlign w:val="bottom"/>
          </w:tcPr>
          <w:p>
            <w:pPr>
              <w:jc w:val="right"/>
              <w:ind w:right="1"/>
              <w:spacing w:after="0"/>
              <w:rPr>
                <w:sz w:val="20"/>
                <w:szCs w:val="20"/>
                <w:color w:val="auto"/>
              </w:rPr>
            </w:pPr>
            <w:r>
              <w:rPr>
                <w:rFonts w:ascii="Arial Narrow" w:cs="Arial Narrow" w:eastAsia="Arial Narrow" w:hAnsi="Arial Narrow"/>
                <w:sz w:val="20"/>
                <w:szCs w:val="20"/>
                <w:color w:val="auto"/>
              </w:rPr>
              <w:t>1,500,000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ind w:right="4"/>
              <w:spacing w:after="0"/>
              <w:rPr>
                <w:sz w:val="20"/>
                <w:szCs w:val="20"/>
                <w:color w:val="auto"/>
              </w:rPr>
            </w:pPr>
            <w:r>
              <w:rPr>
                <w:rFonts w:ascii="Arial Narrow" w:cs="Arial Narrow" w:eastAsia="Arial Narrow" w:hAnsi="Arial Narrow"/>
                <w:sz w:val="20"/>
                <w:szCs w:val="20"/>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Arial Narrow" w:cs="Arial Narrow" w:eastAsia="Arial Narrow" w:hAnsi="Arial Narrow"/>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ind w:right="1"/>
              <w:spacing w:after="0"/>
              <w:rPr>
                <w:sz w:val="20"/>
                <w:szCs w:val="20"/>
                <w:color w:val="auto"/>
              </w:rPr>
            </w:pPr>
            <w:r>
              <w:rPr>
                <w:rFonts w:ascii="Arial Narrow" w:cs="Arial Narrow" w:eastAsia="Arial Narrow" w:hAnsi="Arial Narrow"/>
                <w:sz w:val="20"/>
                <w:szCs w:val="20"/>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2"/>
              <w:spacing w:after="0"/>
              <w:rPr>
                <w:sz w:val="20"/>
                <w:szCs w:val="20"/>
                <w:color w:val="auto"/>
              </w:rPr>
            </w:pPr>
            <w:r>
              <w:rPr>
                <w:rFonts w:ascii="Arial Narrow" w:cs="Arial Narrow" w:eastAsia="Arial Narrow" w:hAnsi="Arial Narrow"/>
                <w:sz w:val="20"/>
                <w:szCs w:val="20"/>
                <w:color w:val="auto"/>
              </w:rPr>
              <w:t>1,500,000</w:t>
            </w:r>
          </w:p>
        </w:tc>
        <w:tc>
          <w:tcPr>
            <w:tcW w:w="0" w:type="dxa"/>
            <w:vAlign w:val="bottom"/>
          </w:tcPr>
          <w:p>
            <w:pPr>
              <w:spacing w:after="0"/>
              <w:rPr>
                <w:sz w:val="1"/>
                <w:szCs w:val="1"/>
                <w:color w:val="auto"/>
              </w:rPr>
            </w:pPr>
          </w:p>
        </w:tc>
      </w:tr>
      <w:tr>
        <w:trPr>
          <w:trHeight w:val="65"/>
        </w:trPr>
        <w:tc>
          <w:tcPr>
            <w:tcW w:w="3700" w:type="dxa"/>
            <w:vAlign w:val="bottom"/>
            <w:tcBorders>
              <w:bottom w:val="single" w:sz="8" w:color="A6A6A6"/>
            </w:tcBorders>
          </w:tcPr>
          <w:p>
            <w:pPr>
              <w:spacing w:after="0"/>
              <w:rPr>
                <w:sz w:val="5"/>
                <w:szCs w:val="5"/>
                <w:color w:val="auto"/>
              </w:rPr>
            </w:pPr>
          </w:p>
        </w:tc>
        <w:tc>
          <w:tcPr>
            <w:tcW w:w="200" w:type="dxa"/>
            <w:vAlign w:val="bottom"/>
            <w:tcBorders>
              <w:bottom w:val="single" w:sz="8" w:color="A6A6A6"/>
            </w:tcBorders>
          </w:tcPr>
          <w:p>
            <w:pPr>
              <w:spacing w:after="0"/>
              <w:rPr>
                <w:sz w:val="5"/>
                <w:szCs w:val="5"/>
                <w:color w:val="auto"/>
              </w:rPr>
            </w:pPr>
          </w:p>
        </w:tc>
        <w:tc>
          <w:tcPr>
            <w:tcW w:w="94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86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840" w:type="dxa"/>
            <w:vAlign w:val="bottom"/>
            <w:tcBorders>
              <w:bottom w:val="single" w:sz="8" w:color="A6A6A6"/>
            </w:tcBorders>
          </w:tcPr>
          <w:p>
            <w:pPr>
              <w:spacing w:after="0"/>
              <w:rPr>
                <w:sz w:val="5"/>
                <w:szCs w:val="5"/>
                <w:color w:val="auto"/>
              </w:rPr>
            </w:pPr>
          </w:p>
        </w:tc>
        <w:tc>
          <w:tcPr>
            <w:tcW w:w="60" w:type="dxa"/>
            <w:vAlign w:val="bottom"/>
            <w:tcBorders>
              <w:bottom w:val="single" w:sz="8" w:color="A6A6A6"/>
            </w:tcBorders>
          </w:tcPr>
          <w:p>
            <w:pPr>
              <w:spacing w:after="0"/>
              <w:rPr>
                <w:sz w:val="5"/>
                <w:szCs w:val="5"/>
                <w:color w:val="auto"/>
              </w:rPr>
            </w:pPr>
          </w:p>
        </w:tc>
        <w:tc>
          <w:tcPr>
            <w:tcW w:w="60" w:type="dxa"/>
            <w:vAlign w:val="bottom"/>
            <w:tcBorders>
              <w:bottom w:val="single" w:sz="8" w:color="A6A6A6"/>
            </w:tcBorders>
          </w:tcPr>
          <w:p>
            <w:pPr>
              <w:spacing w:after="0"/>
              <w:rPr>
                <w:sz w:val="5"/>
                <w:szCs w:val="5"/>
                <w:color w:val="auto"/>
              </w:rPr>
            </w:pPr>
          </w:p>
        </w:tc>
        <w:tc>
          <w:tcPr>
            <w:tcW w:w="200" w:type="dxa"/>
            <w:vAlign w:val="bottom"/>
            <w:tcBorders>
              <w:bottom w:val="single" w:sz="8" w:color="A6A6A6"/>
            </w:tcBorders>
          </w:tcPr>
          <w:p>
            <w:pPr>
              <w:spacing w:after="0"/>
              <w:rPr>
                <w:sz w:val="5"/>
                <w:szCs w:val="5"/>
                <w:color w:val="auto"/>
              </w:rPr>
            </w:pPr>
          </w:p>
        </w:tc>
        <w:tc>
          <w:tcPr>
            <w:tcW w:w="82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88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287"/>
        </w:trPr>
        <w:tc>
          <w:tcPr>
            <w:tcW w:w="3700" w:type="dxa"/>
            <w:vAlign w:val="bottom"/>
          </w:tcPr>
          <w:p>
            <w:pPr>
              <w:spacing w:after="0"/>
              <w:rPr>
                <w:sz w:val="20"/>
                <w:szCs w:val="20"/>
                <w:color w:val="auto"/>
              </w:rPr>
            </w:pPr>
            <w:r>
              <w:rPr>
                <w:rFonts w:ascii="Arial Narrow" w:cs="Arial Narrow" w:eastAsia="Arial Narrow" w:hAnsi="Arial Narrow"/>
                <w:sz w:val="20"/>
                <w:szCs w:val="20"/>
                <w:b w:val="1"/>
                <w:bCs w:val="1"/>
                <w:color w:val="00085E"/>
              </w:rPr>
              <w:t>Interest and Commitment Fees on Credit</w:t>
            </w:r>
          </w:p>
        </w:tc>
        <w:tc>
          <w:tcPr>
            <w:tcW w:w="200" w:type="dxa"/>
            <w:vAlign w:val="bottom"/>
          </w:tcPr>
          <w:p>
            <w:pPr>
              <w:spacing w:after="0"/>
              <w:rPr>
                <w:sz w:val="24"/>
                <w:szCs w:val="24"/>
                <w:color w:val="auto"/>
              </w:rPr>
            </w:pPr>
          </w:p>
        </w:tc>
        <w:tc>
          <w:tcPr>
            <w:tcW w:w="940" w:type="dxa"/>
            <w:vAlign w:val="bottom"/>
            <w:vMerge w:val="restart"/>
          </w:tcPr>
          <w:p>
            <w:pPr>
              <w:jc w:val="right"/>
              <w:ind w:right="1"/>
              <w:spacing w:after="0"/>
              <w:rPr>
                <w:sz w:val="20"/>
                <w:szCs w:val="20"/>
                <w:color w:val="auto"/>
              </w:rPr>
            </w:pPr>
            <w:r>
              <w:rPr>
                <w:rFonts w:ascii="Arial Narrow" w:cs="Arial Narrow" w:eastAsia="Arial Narrow" w:hAnsi="Arial Narrow"/>
                <w:sz w:val="20"/>
                <w:szCs w:val="20"/>
                <w:color w:val="auto"/>
              </w:rPr>
              <w:t>3,546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vMerge w:val="restart"/>
          </w:tcPr>
          <w:p>
            <w:pPr>
              <w:jc w:val="right"/>
              <w:ind w:right="4"/>
              <w:spacing w:after="0"/>
              <w:rPr>
                <w:sz w:val="20"/>
                <w:szCs w:val="20"/>
                <w:color w:val="auto"/>
              </w:rPr>
            </w:pPr>
            <w:r>
              <w:rPr>
                <w:rFonts w:ascii="Arial Narrow" w:cs="Arial Narrow" w:eastAsia="Arial Narrow" w:hAnsi="Arial Narrow"/>
                <w:sz w:val="20"/>
                <w:szCs w:val="20"/>
                <w:color w:val="auto"/>
              </w:rPr>
              <w:t>925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vMerge w:val="restart"/>
          </w:tcPr>
          <w:p>
            <w:pPr>
              <w:jc w:val="right"/>
              <w:ind w:right="1"/>
              <w:spacing w:after="0"/>
              <w:rPr>
                <w:sz w:val="20"/>
                <w:szCs w:val="20"/>
                <w:color w:val="auto"/>
              </w:rPr>
            </w:pPr>
            <w:r>
              <w:rPr>
                <w:rFonts w:ascii="Arial Narrow" w:cs="Arial Narrow" w:eastAsia="Arial Narrow" w:hAnsi="Arial Narrow"/>
                <w:sz w:val="20"/>
                <w:szCs w:val="20"/>
                <w:color w:val="auto"/>
              </w:rPr>
              <w:t>1,850</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vMerge w:val="restart"/>
          </w:tcPr>
          <w:p>
            <w:pPr>
              <w:jc w:val="right"/>
              <w:ind w:right="1"/>
              <w:spacing w:after="0"/>
              <w:rPr>
                <w:sz w:val="20"/>
                <w:szCs w:val="20"/>
                <w:color w:val="auto"/>
              </w:rPr>
            </w:pPr>
            <w:r>
              <w:rPr>
                <w:rFonts w:ascii="Arial Narrow" w:cs="Arial Narrow" w:eastAsia="Arial Narrow" w:hAnsi="Arial Narrow"/>
                <w:sz w:val="20"/>
                <w:szCs w:val="20"/>
                <w:color w:val="auto"/>
              </w:rPr>
              <w:t>771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vMerge w:val="restart"/>
          </w:tcPr>
          <w:p>
            <w:pPr>
              <w:jc w:val="right"/>
              <w:ind w:right="2"/>
              <w:spacing w:after="0"/>
              <w:rPr>
                <w:sz w:val="20"/>
                <w:szCs w:val="20"/>
                <w:color w:val="auto"/>
              </w:rPr>
            </w:pPr>
            <w:r>
              <w:rPr>
                <w:rFonts w:ascii="Arial Narrow" w:cs="Arial Narrow" w:eastAsia="Arial Narrow" w:hAnsi="Arial Narrow"/>
                <w:sz w:val="20"/>
                <w:szCs w:val="20"/>
                <w:color w:val="auto"/>
              </w:rPr>
              <w:t>—</w:t>
            </w:r>
          </w:p>
        </w:tc>
        <w:tc>
          <w:tcPr>
            <w:tcW w:w="0" w:type="dxa"/>
            <w:vAlign w:val="bottom"/>
          </w:tcPr>
          <w:p>
            <w:pPr>
              <w:spacing w:after="0"/>
              <w:rPr>
                <w:sz w:val="1"/>
                <w:szCs w:val="1"/>
                <w:color w:val="auto"/>
              </w:rPr>
            </w:pPr>
          </w:p>
        </w:tc>
      </w:tr>
      <w:tr>
        <w:trPr>
          <w:trHeight w:val="167"/>
        </w:trPr>
        <w:tc>
          <w:tcPr>
            <w:tcW w:w="3700" w:type="dxa"/>
            <w:vAlign w:val="bottom"/>
            <w:vMerge w:val="restart"/>
          </w:tcPr>
          <w:p>
            <w:pPr>
              <w:spacing w:after="0"/>
              <w:rPr>
                <w:sz w:val="20"/>
                <w:szCs w:val="20"/>
                <w:color w:val="auto"/>
              </w:rPr>
            </w:pPr>
            <w:r>
              <w:rPr>
                <w:rFonts w:ascii="Arial Narrow" w:cs="Arial Narrow" w:eastAsia="Arial Narrow" w:hAnsi="Arial Narrow"/>
                <w:sz w:val="20"/>
                <w:szCs w:val="20"/>
                <w:b w:val="1"/>
                <w:bCs w:val="1"/>
                <w:color w:val="00085E"/>
              </w:rPr>
              <w:t xml:space="preserve">Facility </w:t>
            </w:r>
            <w:r>
              <w:rPr>
                <w:rFonts w:ascii="Arial Narrow" w:cs="Arial Narrow" w:eastAsia="Arial Narrow" w:hAnsi="Arial Narrow"/>
                <w:sz w:val="13"/>
                <w:szCs w:val="13"/>
                <w:b w:val="1"/>
                <w:bCs w:val="1"/>
                <w:color w:val="00085E"/>
              </w:rPr>
              <w:t>(3)</w:t>
            </w:r>
          </w:p>
        </w:tc>
        <w:tc>
          <w:tcPr>
            <w:tcW w:w="2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37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3700" w:type="dxa"/>
            <w:vAlign w:val="bottom"/>
            <w:tcBorders>
              <w:bottom w:val="single" w:sz="8" w:color="A6A6A6"/>
            </w:tcBorders>
          </w:tcPr>
          <w:p>
            <w:pPr>
              <w:spacing w:after="0"/>
              <w:rPr>
                <w:sz w:val="5"/>
                <w:szCs w:val="5"/>
                <w:color w:val="auto"/>
              </w:rPr>
            </w:pPr>
          </w:p>
        </w:tc>
        <w:tc>
          <w:tcPr>
            <w:tcW w:w="200" w:type="dxa"/>
            <w:vAlign w:val="bottom"/>
            <w:tcBorders>
              <w:bottom w:val="single" w:sz="8" w:color="A6A6A6"/>
            </w:tcBorders>
          </w:tcPr>
          <w:p>
            <w:pPr>
              <w:spacing w:after="0"/>
              <w:rPr>
                <w:sz w:val="5"/>
                <w:szCs w:val="5"/>
                <w:color w:val="auto"/>
              </w:rPr>
            </w:pPr>
          </w:p>
        </w:tc>
        <w:tc>
          <w:tcPr>
            <w:tcW w:w="94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86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840" w:type="dxa"/>
            <w:vAlign w:val="bottom"/>
            <w:tcBorders>
              <w:bottom w:val="single" w:sz="8" w:color="A6A6A6"/>
            </w:tcBorders>
          </w:tcPr>
          <w:p>
            <w:pPr>
              <w:spacing w:after="0"/>
              <w:rPr>
                <w:sz w:val="5"/>
                <w:szCs w:val="5"/>
                <w:color w:val="auto"/>
              </w:rPr>
            </w:pPr>
          </w:p>
        </w:tc>
        <w:tc>
          <w:tcPr>
            <w:tcW w:w="60" w:type="dxa"/>
            <w:vAlign w:val="bottom"/>
            <w:tcBorders>
              <w:bottom w:val="single" w:sz="8" w:color="A6A6A6"/>
            </w:tcBorders>
          </w:tcPr>
          <w:p>
            <w:pPr>
              <w:spacing w:after="0"/>
              <w:rPr>
                <w:sz w:val="5"/>
                <w:szCs w:val="5"/>
                <w:color w:val="auto"/>
              </w:rPr>
            </w:pPr>
          </w:p>
        </w:tc>
        <w:tc>
          <w:tcPr>
            <w:tcW w:w="60" w:type="dxa"/>
            <w:vAlign w:val="bottom"/>
            <w:tcBorders>
              <w:bottom w:val="single" w:sz="8" w:color="A6A6A6"/>
            </w:tcBorders>
          </w:tcPr>
          <w:p>
            <w:pPr>
              <w:spacing w:after="0"/>
              <w:rPr>
                <w:sz w:val="5"/>
                <w:szCs w:val="5"/>
                <w:color w:val="auto"/>
              </w:rPr>
            </w:pPr>
          </w:p>
        </w:tc>
        <w:tc>
          <w:tcPr>
            <w:tcW w:w="200" w:type="dxa"/>
            <w:vAlign w:val="bottom"/>
            <w:tcBorders>
              <w:bottom w:val="single" w:sz="8" w:color="A6A6A6"/>
            </w:tcBorders>
          </w:tcPr>
          <w:p>
            <w:pPr>
              <w:spacing w:after="0"/>
              <w:rPr>
                <w:sz w:val="5"/>
                <w:szCs w:val="5"/>
                <w:color w:val="auto"/>
              </w:rPr>
            </w:pPr>
          </w:p>
        </w:tc>
        <w:tc>
          <w:tcPr>
            <w:tcW w:w="82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88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3700" w:type="dxa"/>
            <w:vAlign w:val="bottom"/>
          </w:tcPr>
          <w:p>
            <w:pPr>
              <w:spacing w:after="0"/>
              <w:rPr>
                <w:sz w:val="20"/>
                <w:szCs w:val="20"/>
                <w:color w:val="auto"/>
              </w:rPr>
            </w:pPr>
            <w:r>
              <w:rPr>
                <w:rFonts w:ascii="Arial Narrow" w:cs="Arial Narrow" w:eastAsia="Arial Narrow" w:hAnsi="Arial Narrow"/>
                <w:sz w:val="20"/>
                <w:szCs w:val="20"/>
                <w:b w:val="1"/>
                <w:bCs w:val="1"/>
                <w:color w:val="00085E"/>
              </w:rPr>
              <w:t xml:space="preserve">Interest on Term Loan </w:t>
            </w:r>
            <w:r>
              <w:rPr>
                <w:rFonts w:ascii="Arial Narrow" w:cs="Arial Narrow" w:eastAsia="Arial Narrow" w:hAnsi="Arial Narrow"/>
                <w:sz w:val="13"/>
                <w:szCs w:val="13"/>
                <w:b w:val="1"/>
                <w:bCs w:val="1"/>
                <w:color w:val="00085E"/>
              </w:rPr>
              <w:t>(4)</w:t>
            </w:r>
          </w:p>
        </w:tc>
        <w:tc>
          <w:tcPr>
            <w:tcW w:w="200" w:type="dxa"/>
            <w:vAlign w:val="bottom"/>
          </w:tcPr>
          <w:p>
            <w:pPr>
              <w:spacing w:after="0"/>
              <w:rPr>
                <w:sz w:val="24"/>
                <w:szCs w:val="24"/>
                <w:color w:val="auto"/>
              </w:rPr>
            </w:pPr>
          </w:p>
        </w:tc>
        <w:tc>
          <w:tcPr>
            <w:tcW w:w="940" w:type="dxa"/>
            <w:vAlign w:val="bottom"/>
          </w:tcPr>
          <w:p>
            <w:pPr>
              <w:jc w:val="right"/>
              <w:ind w:right="1"/>
              <w:spacing w:after="0"/>
              <w:rPr>
                <w:sz w:val="20"/>
                <w:szCs w:val="20"/>
                <w:color w:val="auto"/>
              </w:rPr>
            </w:pPr>
            <w:r>
              <w:rPr>
                <w:rFonts w:ascii="Arial Narrow" w:cs="Arial Narrow" w:eastAsia="Arial Narrow" w:hAnsi="Arial Narrow"/>
                <w:sz w:val="20"/>
                <w:szCs w:val="20"/>
                <w:color w:val="auto"/>
              </w:rPr>
              <w:t>49,651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ind w:right="4"/>
              <w:spacing w:after="0"/>
              <w:rPr>
                <w:sz w:val="20"/>
                <w:szCs w:val="20"/>
                <w:color w:val="auto"/>
              </w:rPr>
            </w:pPr>
            <w:r>
              <w:rPr>
                <w:rFonts w:ascii="Arial Narrow" w:cs="Arial Narrow" w:eastAsia="Arial Narrow" w:hAnsi="Arial Narrow"/>
                <w:sz w:val="20"/>
                <w:szCs w:val="20"/>
                <w:color w:val="auto"/>
              </w:rPr>
              <w:t>13,774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ind w:right="1"/>
              <w:spacing w:after="0"/>
              <w:rPr>
                <w:sz w:val="20"/>
                <w:szCs w:val="20"/>
                <w:color w:val="auto"/>
              </w:rPr>
            </w:pPr>
            <w:r>
              <w:rPr>
                <w:rFonts w:ascii="Arial Narrow" w:cs="Arial Narrow" w:eastAsia="Arial Narrow" w:hAnsi="Arial Narrow"/>
                <w:sz w:val="20"/>
                <w:szCs w:val="20"/>
                <w:color w:val="auto"/>
              </w:rPr>
              <w:t>25,288</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ind w:right="1"/>
              <w:spacing w:after="0"/>
              <w:rPr>
                <w:sz w:val="20"/>
                <w:szCs w:val="20"/>
                <w:color w:val="auto"/>
              </w:rPr>
            </w:pPr>
            <w:r>
              <w:rPr>
                <w:rFonts w:ascii="Arial Narrow" w:cs="Arial Narrow" w:eastAsia="Arial Narrow" w:hAnsi="Arial Narrow"/>
                <w:sz w:val="20"/>
                <w:szCs w:val="20"/>
                <w:color w:val="auto"/>
              </w:rPr>
              <w:t>10,589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2"/>
              <w:spacing w:after="0"/>
              <w:rPr>
                <w:sz w:val="20"/>
                <w:szCs w:val="20"/>
                <w:color w:val="auto"/>
              </w:rPr>
            </w:pPr>
            <w:r>
              <w:rPr>
                <w:rFonts w:ascii="Arial Narrow" w:cs="Arial Narrow" w:eastAsia="Arial Narrow" w:hAnsi="Arial Narrow"/>
                <w:sz w:val="20"/>
                <w:szCs w:val="20"/>
                <w:color w:val="auto"/>
              </w:rPr>
              <w:t>—</w:t>
            </w:r>
          </w:p>
        </w:tc>
        <w:tc>
          <w:tcPr>
            <w:tcW w:w="0" w:type="dxa"/>
            <w:vAlign w:val="bottom"/>
          </w:tcPr>
          <w:p>
            <w:pPr>
              <w:spacing w:after="0"/>
              <w:rPr>
                <w:sz w:val="1"/>
                <w:szCs w:val="1"/>
                <w:color w:val="auto"/>
              </w:rPr>
            </w:pPr>
          </w:p>
        </w:tc>
      </w:tr>
      <w:tr>
        <w:trPr>
          <w:trHeight w:val="65"/>
        </w:trPr>
        <w:tc>
          <w:tcPr>
            <w:tcW w:w="3700" w:type="dxa"/>
            <w:vAlign w:val="bottom"/>
            <w:tcBorders>
              <w:bottom w:val="single" w:sz="8" w:color="A6A6A6"/>
            </w:tcBorders>
          </w:tcPr>
          <w:p>
            <w:pPr>
              <w:spacing w:after="0"/>
              <w:rPr>
                <w:sz w:val="5"/>
                <w:szCs w:val="5"/>
                <w:color w:val="auto"/>
              </w:rPr>
            </w:pPr>
          </w:p>
        </w:tc>
        <w:tc>
          <w:tcPr>
            <w:tcW w:w="200" w:type="dxa"/>
            <w:vAlign w:val="bottom"/>
            <w:tcBorders>
              <w:bottom w:val="single" w:sz="8" w:color="A6A6A6"/>
            </w:tcBorders>
          </w:tcPr>
          <w:p>
            <w:pPr>
              <w:spacing w:after="0"/>
              <w:rPr>
                <w:sz w:val="5"/>
                <w:szCs w:val="5"/>
                <w:color w:val="auto"/>
              </w:rPr>
            </w:pPr>
          </w:p>
        </w:tc>
        <w:tc>
          <w:tcPr>
            <w:tcW w:w="94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86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840" w:type="dxa"/>
            <w:vAlign w:val="bottom"/>
            <w:tcBorders>
              <w:bottom w:val="single" w:sz="8" w:color="A6A6A6"/>
            </w:tcBorders>
          </w:tcPr>
          <w:p>
            <w:pPr>
              <w:spacing w:after="0"/>
              <w:rPr>
                <w:sz w:val="5"/>
                <w:szCs w:val="5"/>
                <w:color w:val="auto"/>
              </w:rPr>
            </w:pPr>
          </w:p>
        </w:tc>
        <w:tc>
          <w:tcPr>
            <w:tcW w:w="60" w:type="dxa"/>
            <w:vAlign w:val="bottom"/>
            <w:tcBorders>
              <w:bottom w:val="single" w:sz="8" w:color="A6A6A6"/>
            </w:tcBorders>
          </w:tcPr>
          <w:p>
            <w:pPr>
              <w:spacing w:after="0"/>
              <w:rPr>
                <w:sz w:val="5"/>
                <w:szCs w:val="5"/>
                <w:color w:val="auto"/>
              </w:rPr>
            </w:pPr>
          </w:p>
        </w:tc>
        <w:tc>
          <w:tcPr>
            <w:tcW w:w="60" w:type="dxa"/>
            <w:vAlign w:val="bottom"/>
            <w:tcBorders>
              <w:bottom w:val="single" w:sz="8" w:color="A6A6A6"/>
            </w:tcBorders>
          </w:tcPr>
          <w:p>
            <w:pPr>
              <w:spacing w:after="0"/>
              <w:rPr>
                <w:sz w:val="5"/>
                <w:szCs w:val="5"/>
                <w:color w:val="auto"/>
              </w:rPr>
            </w:pPr>
          </w:p>
        </w:tc>
        <w:tc>
          <w:tcPr>
            <w:tcW w:w="200" w:type="dxa"/>
            <w:vAlign w:val="bottom"/>
            <w:tcBorders>
              <w:bottom w:val="single" w:sz="8" w:color="A6A6A6"/>
            </w:tcBorders>
          </w:tcPr>
          <w:p>
            <w:pPr>
              <w:spacing w:after="0"/>
              <w:rPr>
                <w:sz w:val="5"/>
                <w:szCs w:val="5"/>
                <w:color w:val="auto"/>
              </w:rPr>
            </w:pPr>
          </w:p>
        </w:tc>
        <w:tc>
          <w:tcPr>
            <w:tcW w:w="82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88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3700" w:type="dxa"/>
            <w:vAlign w:val="bottom"/>
          </w:tcPr>
          <w:p>
            <w:pPr>
              <w:spacing w:after="0"/>
              <w:rPr>
                <w:sz w:val="20"/>
                <w:szCs w:val="20"/>
                <w:color w:val="auto"/>
              </w:rPr>
            </w:pPr>
            <w:r>
              <w:rPr>
                <w:rFonts w:ascii="Arial Narrow" w:cs="Arial Narrow" w:eastAsia="Arial Narrow" w:hAnsi="Arial Narrow"/>
                <w:sz w:val="20"/>
                <w:szCs w:val="20"/>
                <w:b w:val="1"/>
                <w:bCs w:val="1"/>
                <w:color w:val="00085E"/>
              </w:rPr>
              <w:t>Interest on Senior Unsecured Notes</w:t>
            </w:r>
          </w:p>
        </w:tc>
        <w:tc>
          <w:tcPr>
            <w:tcW w:w="200" w:type="dxa"/>
            <w:vAlign w:val="bottom"/>
          </w:tcPr>
          <w:p>
            <w:pPr>
              <w:spacing w:after="0"/>
              <w:rPr>
                <w:sz w:val="24"/>
                <w:szCs w:val="24"/>
                <w:color w:val="auto"/>
              </w:rPr>
            </w:pPr>
          </w:p>
        </w:tc>
        <w:tc>
          <w:tcPr>
            <w:tcW w:w="940" w:type="dxa"/>
            <w:vAlign w:val="bottom"/>
          </w:tcPr>
          <w:p>
            <w:pPr>
              <w:jc w:val="right"/>
              <w:ind w:right="1"/>
              <w:spacing w:after="0"/>
              <w:rPr>
                <w:sz w:val="20"/>
                <w:szCs w:val="20"/>
                <w:color w:val="auto"/>
              </w:rPr>
            </w:pPr>
            <w:r>
              <w:rPr>
                <w:rFonts w:ascii="Arial Narrow" w:cs="Arial Narrow" w:eastAsia="Arial Narrow" w:hAnsi="Arial Narrow"/>
                <w:sz w:val="20"/>
                <w:szCs w:val="20"/>
                <w:color w:val="auto"/>
              </w:rPr>
              <w:t>470,313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ind w:right="4"/>
              <w:spacing w:after="0"/>
              <w:rPr>
                <w:sz w:val="20"/>
                <w:szCs w:val="20"/>
                <w:color w:val="auto"/>
              </w:rPr>
            </w:pPr>
            <w:r>
              <w:rPr>
                <w:rFonts w:ascii="Arial Narrow" w:cs="Arial Narrow" w:eastAsia="Arial Narrow" w:hAnsi="Arial Narrow"/>
                <w:sz w:val="20"/>
                <w:szCs w:val="20"/>
                <w:color w:val="auto"/>
              </w:rPr>
              <w:t>56,250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ind w:right="1"/>
              <w:spacing w:after="0"/>
              <w:rPr>
                <w:sz w:val="20"/>
                <w:szCs w:val="20"/>
                <w:color w:val="auto"/>
              </w:rPr>
            </w:pPr>
            <w:r>
              <w:rPr>
                <w:rFonts w:ascii="Arial Narrow" w:cs="Arial Narrow" w:eastAsia="Arial Narrow" w:hAnsi="Arial Narrow"/>
                <w:sz w:val="20"/>
                <w:szCs w:val="20"/>
                <w:color w:val="auto"/>
              </w:rPr>
              <w:t>112,500</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ind w:right="1"/>
              <w:spacing w:after="0"/>
              <w:rPr>
                <w:sz w:val="20"/>
                <w:szCs w:val="20"/>
                <w:color w:val="auto"/>
              </w:rPr>
            </w:pPr>
            <w:r>
              <w:rPr>
                <w:rFonts w:ascii="Arial Narrow" w:cs="Arial Narrow" w:eastAsia="Arial Narrow" w:hAnsi="Arial Narrow"/>
                <w:sz w:val="20"/>
                <w:szCs w:val="20"/>
                <w:color w:val="auto"/>
              </w:rPr>
              <w:t>112,500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2"/>
              <w:spacing w:after="0"/>
              <w:rPr>
                <w:sz w:val="20"/>
                <w:szCs w:val="20"/>
                <w:color w:val="auto"/>
              </w:rPr>
            </w:pPr>
            <w:r>
              <w:rPr>
                <w:rFonts w:ascii="Arial Narrow" w:cs="Arial Narrow" w:eastAsia="Arial Narrow" w:hAnsi="Arial Narrow"/>
                <w:sz w:val="20"/>
                <w:szCs w:val="20"/>
                <w:color w:val="auto"/>
              </w:rPr>
              <w:t>189,063</w:t>
            </w:r>
          </w:p>
        </w:tc>
        <w:tc>
          <w:tcPr>
            <w:tcW w:w="0" w:type="dxa"/>
            <w:vAlign w:val="bottom"/>
          </w:tcPr>
          <w:p>
            <w:pPr>
              <w:spacing w:after="0"/>
              <w:rPr>
                <w:sz w:val="1"/>
                <w:szCs w:val="1"/>
                <w:color w:val="auto"/>
              </w:rPr>
            </w:pPr>
          </w:p>
        </w:tc>
      </w:tr>
      <w:tr>
        <w:trPr>
          <w:trHeight w:val="65"/>
        </w:trPr>
        <w:tc>
          <w:tcPr>
            <w:tcW w:w="3700" w:type="dxa"/>
            <w:vAlign w:val="bottom"/>
            <w:tcBorders>
              <w:bottom w:val="single" w:sz="8" w:color="A6A6A6"/>
            </w:tcBorders>
          </w:tcPr>
          <w:p>
            <w:pPr>
              <w:spacing w:after="0"/>
              <w:rPr>
                <w:sz w:val="5"/>
                <w:szCs w:val="5"/>
                <w:color w:val="auto"/>
              </w:rPr>
            </w:pPr>
          </w:p>
        </w:tc>
        <w:tc>
          <w:tcPr>
            <w:tcW w:w="200" w:type="dxa"/>
            <w:vAlign w:val="bottom"/>
            <w:tcBorders>
              <w:bottom w:val="single" w:sz="8" w:color="A6A6A6"/>
            </w:tcBorders>
          </w:tcPr>
          <w:p>
            <w:pPr>
              <w:spacing w:after="0"/>
              <w:rPr>
                <w:sz w:val="5"/>
                <w:szCs w:val="5"/>
                <w:color w:val="auto"/>
              </w:rPr>
            </w:pPr>
          </w:p>
        </w:tc>
        <w:tc>
          <w:tcPr>
            <w:tcW w:w="94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86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840" w:type="dxa"/>
            <w:vAlign w:val="bottom"/>
            <w:tcBorders>
              <w:bottom w:val="single" w:sz="8" w:color="A6A6A6"/>
            </w:tcBorders>
          </w:tcPr>
          <w:p>
            <w:pPr>
              <w:spacing w:after="0"/>
              <w:rPr>
                <w:sz w:val="5"/>
                <w:szCs w:val="5"/>
                <w:color w:val="auto"/>
              </w:rPr>
            </w:pPr>
          </w:p>
        </w:tc>
        <w:tc>
          <w:tcPr>
            <w:tcW w:w="60" w:type="dxa"/>
            <w:vAlign w:val="bottom"/>
            <w:tcBorders>
              <w:bottom w:val="single" w:sz="8" w:color="A6A6A6"/>
            </w:tcBorders>
          </w:tcPr>
          <w:p>
            <w:pPr>
              <w:spacing w:after="0"/>
              <w:rPr>
                <w:sz w:val="5"/>
                <w:szCs w:val="5"/>
                <w:color w:val="auto"/>
              </w:rPr>
            </w:pPr>
          </w:p>
        </w:tc>
        <w:tc>
          <w:tcPr>
            <w:tcW w:w="60" w:type="dxa"/>
            <w:vAlign w:val="bottom"/>
            <w:tcBorders>
              <w:bottom w:val="single" w:sz="8" w:color="A6A6A6"/>
            </w:tcBorders>
          </w:tcPr>
          <w:p>
            <w:pPr>
              <w:spacing w:after="0"/>
              <w:rPr>
                <w:sz w:val="5"/>
                <w:szCs w:val="5"/>
                <w:color w:val="auto"/>
              </w:rPr>
            </w:pPr>
          </w:p>
        </w:tc>
        <w:tc>
          <w:tcPr>
            <w:tcW w:w="200" w:type="dxa"/>
            <w:vAlign w:val="bottom"/>
            <w:tcBorders>
              <w:bottom w:val="single" w:sz="8" w:color="A6A6A6"/>
            </w:tcBorders>
          </w:tcPr>
          <w:p>
            <w:pPr>
              <w:spacing w:after="0"/>
              <w:rPr>
                <w:sz w:val="5"/>
                <w:szCs w:val="5"/>
                <w:color w:val="auto"/>
              </w:rPr>
            </w:pPr>
          </w:p>
        </w:tc>
        <w:tc>
          <w:tcPr>
            <w:tcW w:w="82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88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3700" w:type="dxa"/>
            <w:vAlign w:val="bottom"/>
          </w:tcPr>
          <w:p>
            <w:pPr>
              <w:spacing w:after="0"/>
              <w:rPr>
                <w:sz w:val="20"/>
                <w:szCs w:val="20"/>
                <w:color w:val="auto"/>
              </w:rPr>
            </w:pPr>
            <w:r>
              <w:rPr>
                <w:rFonts w:ascii="Arial Narrow" w:cs="Arial Narrow" w:eastAsia="Arial Narrow" w:hAnsi="Arial Narrow"/>
                <w:sz w:val="20"/>
                <w:szCs w:val="20"/>
                <w:b w:val="1"/>
                <w:bCs w:val="1"/>
                <w:color w:val="00085E"/>
              </w:rPr>
              <w:t>Operating Leases</w:t>
            </w:r>
          </w:p>
        </w:tc>
        <w:tc>
          <w:tcPr>
            <w:tcW w:w="200" w:type="dxa"/>
            <w:vAlign w:val="bottom"/>
          </w:tcPr>
          <w:p>
            <w:pPr>
              <w:spacing w:after="0"/>
              <w:rPr>
                <w:sz w:val="24"/>
                <w:szCs w:val="24"/>
                <w:color w:val="auto"/>
              </w:rPr>
            </w:pPr>
          </w:p>
        </w:tc>
        <w:tc>
          <w:tcPr>
            <w:tcW w:w="940" w:type="dxa"/>
            <w:vAlign w:val="bottom"/>
          </w:tcPr>
          <w:p>
            <w:pPr>
              <w:jc w:val="right"/>
              <w:ind w:right="1"/>
              <w:spacing w:after="0"/>
              <w:rPr>
                <w:sz w:val="20"/>
                <w:szCs w:val="20"/>
                <w:color w:val="auto"/>
              </w:rPr>
            </w:pPr>
            <w:r>
              <w:rPr>
                <w:rFonts w:ascii="Arial Narrow" w:cs="Arial Narrow" w:eastAsia="Arial Narrow" w:hAnsi="Arial Narrow"/>
                <w:sz w:val="20"/>
                <w:szCs w:val="20"/>
                <w:color w:val="auto"/>
              </w:rPr>
              <w:t>47,904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ind w:right="4"/>
              <w:spacing w:after="0"/>
              <w:rPr>
                <w:sz w:val="20"/>
                <w:szCs w:val="20"/>
                <w:color w:val="auto"/>
              </w:rPr>
            </w:pPr>
            <w:r>
              <w:rPr>
                <w:rFonts w:ascii="Arial Narrow" w:cs="Arial Narrow" w:eastAsia="Arial Narrow" w:hAnsi="Arial Narrow"/>
                <w:sz w:val="20"/>
                <w:szCs w:val="20"/>
                <w:color w:val="auto"/>
              </w:rPr>
              <w:t>5,227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ind w:right="1"/>
              <w:spacing w:after="0"/>
              <w:rPr>
                <w:sz w:val="20"/>
                <w:szCs w:val="20"/>
                <w:color w:val="auto"/>
              </w:rPr>
            </w:pPr>
            <w:r>
              <w:rPr>
                <w:rFonts w:ascii="Arial Narrow" w:cs="Arial Narrow" w:eastAsia="Arial Narrow" w:hAnsi="Arial Narrow"/>
                <w:sz w:val="20"/>
                <w:szCs w:val="20"/>
                <w:color w:val="auto"/>
              </w:rPr>
              <w:t>8,511</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ind w:right="1"/>
              <w:spacing w:after="0"/>
              <w:rPr>
                <w:sz w:val="20"/>
                <w:szCs w:val="20"/>
                <w:color w:val="auto"/>
              </w:rPr>
            </w:pPr>
            <w:r>
              <w:rPr>
                <w:rFonts w:ascii="Arial Narrow" w:cs="Arial Narrow" w:eastAsia="Arial Narrow" w:hAnsi="Arial Narrow"/>
                <w:sz w:val="20"/>
                <w:szCs w:val="20"/>
                <w:color w:val="auto"/>
              </w:rPr>
              <w:t>7,928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2"/>
              <w:spacing w:after="0"/>
              <w:rPr>
                <w:sz w:val="20"/>
                <w:szCs w:val="20"/>
                <w:color w:val="auto"/>
              </w:rPr>
            </w:pPr>
            <w:r>
              <w:rPr>
                <w:rFonts w:ascii="Arial Narrow" w:cs="Arial Narrow" w:eastAsia="Arial Narrow" w:hAnsi="Arial Narrow"/>
                <w:sz w:val="20"/>
                <w:szCs w:val="20"/>
                <w:color w:val="auto"/>
              </w:rPr>
              <w:t>26,238</w:t>
            </w:r>
          </w:p>
        </w:tc>
        <w:tc>
          <w:tcPr>
            <w:tcW w:w="0" w:type="dxa"/>
            <w:vAlign w:val="bottom"/>
          </w:tcPr>
          <w:p>
            <w:pPr>
              <w:spacing w:after="0"/>
              <w:rPr>
                <w:sz w:val="1"/>
                <w:szCs w:val="1"/>
                <w:color w:val="auto"/>
              </w:rPr>
            </w:pPr>
          </w:p>
        </w:tc>
      </w:tr>
      <w:tr>
        <w:trPr>
          <w:trHeight w:val="65"/>
        </w:trPr>
        <w:tc>
          <w:tcPr>
            <w:tcW w:w="3700" w:type="dxa"/>
            <w:vAlign w:val="bottom"/>
            <w:tcBorders>
              <w:bottom w:val="single" w:sz="8" w:color="A6A6A6"/>
            </w:tcBorders>
          </w:tcPr>
          <w:p>
            <w:pPr>
              <w:spacing w:after="0"/>
              <w:rPr>
                <w:sz w:val="5"/>
                <w:szCs w:val="5"/>
                <w:color w:val="auto"/>
              </w:rPr>
            </w:pPr>
          </w:p>
        </w:tc>
        <w:tc>
          <w:tcPr>
            <w:tcW w:w="200" w:type="dxa"/>
            <w:vAlign w:val="bottom"/>
            <w:tcBorders>
              <w:bottom w:val="single" w:sz="8" w:color="A6A6A6"/>
            </w:tcBorders>
          </w:tcPr>
          <w:p>
            <w:pPr>
              <w:spacing w:after="0"/>
              <w:rPr>
                <w:sz w:val="5"/>
                <w:szCs w:val="5"/>
                <w:color w:val="auto"/>
              </w:rPr>
            </w:pPr>
          </w:p>
        </w:tc>
        <w:tc>
          <w:tcPr>
            <w:tcW w:w="94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86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840" w:type="dxa"/>
            <w:vAlign w:val="bottom"/>
            <w:tcBorders>
              <w:bottom w:val="single" w:sz="8" w:color="A6A6A6"/>
            </w:tcBorders>
          </w:tcPr>
          <w:p>
            <w:pPr>
              <w:spacing w:after="0"/>
              <w:rPr>
                <w:sz w:val="5"/>
                <w:szCs w:val="5"/>
                <w:color w:val="auto"/>
              </w:rPr>
            </w:pPr>
          </w:p>
        </w:tc>
        <w:tc>
          <w:tcPr>
            <w:tcW w:w="60" w:type="dxa"/>
            <w:vAlign w:val="bottom"/>
            <w:tcBorders>
              <w:bottom w:val="single" w:sz="8" w:color="A6A6A6"/>
            </w:tcBorders>
          </w:tcPr>
          <w:p>
            <w:pPr>
              <w:spacing w:after="0"/>
              <w:rPr>
                <w:sz w:val="5"/>
                <w:szCs w:val="5"/>
                <w:color w:val="auto"/>
              </w:rPr>
            </w:pPr>
          </w:p>
        </w:tc>
        <w:tc>
          <w:tcPr>
            <w:tcW w:w="60" w:type="dxa"/>
            <w:vAlign w:val="bottom"/>
            <w:tcBorders>
              <w:bottom w:val="single" w:sz="8" w:color="A6A6A6"/>
            </w:tcBorders>
          </w:tcPr>
          <w:p>
            <w:pPr>
              <w:spacing w:after="0"/>
              <w:rPr>
                <w:sz w:val="5"/>
                <w:szCs w:val="5"/>
                <w:color w:val="auto"/>
              </w:rPr>
            </w:pPr>
          </w:p>
        </w:tc>
        <w:tc>
          <w:tcPr>
            <w:tcW w:w="200" w:type="dxa"/>
            <w:vAlign w:val="bottom"/>
            <w:tcBorders>
              <w:bottom w:val="single" w:sz="8" w:color="A6A6A6"/>
            </w:tcBorders>
          </w:tcPr>
          <w:p>
            <w:pPr>
              <w:spacing w:after="0"/>
              <w:rPr>
                <w:sz w:val="5"/>
                <w:szCs w:val="5"/>
                <w:color w:val="auto"/>
              </w:rPr>
            </w:pPr>
          </w:p>
        </w:tc>
        <w:tc>
          <w:tcPr>
            <w:tcW w:w="82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88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3700" w:type="dxa"/>
            <w:vAlign w:val="bottom"/>
          </w:tcPr>
          <w:p>
            <w:pPr>
              <w:spacing w:after="0"/>
              <w:rPr>
                <w:sz w:val="20"/>
                <w:szCs w:val="20"/>
                <w:color w:val="auto"/>
              </w:rPr>
            </w:pPr>
            <w:r>
              <w:rPr>
                <w:rFonts w:ascii="Arial Narrow" w:cs="Arial Narrow" w:eastAsia="Arial Narrow" w:hAnsi="Arial Narrow"/>
                <w:sz w:val="20"/>
                <w:szCs w:val="20"/>
                <w:b w:val="1"/>
                <w:bCs w:val="1"/>
                <w:color w:val="00085E"/>
              </w:rPr>
              <w:t xml:space="preserve">Purchase Obligations </w:t>
            </w:r>
            <w:r>
              <w:rPr>
                <w:rFonts w:ascii="Arial Narrow" w:cs="Arial Narrow" w:eastAsia="Arial Narrow" w:hAnsi="Arial Narrow"/>
                <w:sz w:val="13"/>
                <w:szCs w:val="13"/>
                <w:b w:val="1"/>
                <w:bCs w:val="1"/>
                <w:color w:val="00085E"/>
              </w:rPr>
              <w:t>(5)</w:t>
            </w:r>
          </w:p>
        </w:tc>
        <w:tc>
          <w:tcPr>
            <w:tcW w:w="200" w:type="dxa"/>
            <w:vAlign w:val="bottom"/>
          </w:tcPr>
          <w:p>
            <w:pPr>
              <w:spacing w:after="0"/>
              <w:rPr>
                <w:sz w:val="24"/>
                <w:szCs w:val="24"/>
                <w:color w:val="auto"/>
              </w:rPr>
            </w:pPr>
          </w:p>
        </w:tc>
        <w:tc>
          <w:tcPr>
            <w:tcW w:w="940" w:type="dxa"/>
            <w:vAlign w:val="bottom"/>
          </w:tcPr>
          <w:p>
            <w:pPr>
              <w:jc w:val="right"/>
              <w:ind w:right="1"/>
              <w:spacing w:after="0"/>
              <w:rPr>
                <w:sz w:val="20"/>
                <w:szCs w:val="20"/>
                <w:color w:val="auto"/>
              </w:rPr>
            </w:pPr>
            <w:r>
              <w:rPr>
                <w:rFonts w:ascii="Arial Narrow" w:cs="Arial Narrow" w:eastAsia="Arial Narrow" w:hAnsi="Arial Narrow"/>
                <w:sz w:val="20"/>
                <w:szCs w:val="20"/>
                <w:color w:val="auto"/>
              </w:rPr>
              <w:t>451,667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ind w:right="4"/>
              <w:spacing w:after="0"/>
              <w:rPr>
                <w:sz w:val="20"/>
                <w:szCs w:val="20"/>
                <w:color w:val="auto"/>
              </w:rPr>
            </w:pPr>
            <w:r>
              <w:rPr>
                <w:rFonts w:ascii="Arial Narrow" w:cs="Arial Narrow" w:eastAsia="Arial Narrow" w:hAnsi="Arial Narrow"/>
                <w:sz w:val="20"/>
                <w:szCs w:val="20"/>
                <w:color w:val="auto"/>
              </w:rPr>
              <w:t>409,048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ind w:right="1"/>
              <w:spacing w:after="0"/>
              <w:rPr>
                <w:sz w:val="20"/>
                <w:szCs w:val="20"/>
                <w:color w:val="auto"/>
              </w:rPr>
            </w:pPr>
            <w:r>
              <w:rPr>
                <w:rFonts w:ascii="Arial Narrow" w:cs="Arial Narrow" w:eastAsia="Arial Narrow" w:hAnsi="Arial Narrow"/>
                <w:sz w:val="20"/>
                <w:szCs w:val="20"/>
                <w:color w:val="auto"/>
              </w:rPr>
              <w:t>41,714</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ind w:right="1"/>
              <w:spacing w:after="0"/>
              <w:rPr>
                <w:sz w:val="20"/>
                <w:szCs w:val="20"/>
                <w:color w:val="auto"/>
              </w:rPr>
            </w:pPr>
            <w:r>
              <w:rPr>
                <w:rFonts w:ascii="Arial Narrow" w:cs="Arial Narrow" w:eastAsia="Arial Narrow" w:hAnsi="Arial Narrow"/>
                <w:sz w:val="20"/>
                <w:szCs w:val="20"/>
                <w:color w:val="auto"/>
              </w:rPr>
              <w:t>362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2"/>
              <w:spacing w:after="0"/>
              <w:rPr>
                <w:sz w:val="20"/>
                <w:szCs w:val="20"/>
                <w:color w:val="auto"/>
              </w:rPr>
            </w:pPr>
            <w:r>
              <w:rPr>
                <w:rFonts w:ascii="Arial Narrow" w:cs="Arial Narrow" w:eastAsia="Arial Narrow" w:hAnsi="Arial Narrow"/>
                <w:sz w:val="20"/>
                <w:szCs w:val="20"/>
                <w:color w:val="auto"/>
              </w:rPr>
              <w:t>543</w:t>
            </w:r>
          </w:p>
        </w:tc>
        <w:tc>
          <w:tcPr>
            <w:tcW w:w="0" w:type="dxa"/>
            <w:vAlign w:val="bottom"/>
          </w:tcPr>
          <w:p>
            <w:pPr>
              <w:spacing w:after="0"/>
              <w:rPr>
                <w:sz w:val="1"/>
                <w:szCs w:val="1"/>
                <w:color w:val="auto"/>
              </w:rPr>
            </w:pPr>
          </w:p>
        </w:tc>
      </w:tr>
      <w:tr>
        <w:trPr>
          <w:trHeight w:val="90"/>
        </w:trPr>
        <w:tc>
          <w:tcPr>
            <w:tcW w:w="3700" w:type="dxa"/>
            <w:vAlign w:val="bottom"/>
            <w:tcBorders>
              <w:bottom w:val="single" w:sz="8" w:color="A6A6A6"/>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4"/>
        </w:trPr>
        <w:tc>
          <w:tcPr>
            <w:tcW w:w="3700" w:type="dxa"/>
            <w:vAlign w:val="bottom"/>
          </w:tcPr>
          <w:p>
            <w:pPr>
              <w:ind w:left="200"/>
              <w:spacing w:after="0"/>
              <w:rPr>
                <w:sz w:val="20"/>
                <w:szCs w:val="20"/>
                <w:color w:val="auto"/>
              </w:rPr>
            </w:pPr>
            <w:r>
              <w:rPr>
                <w:rFonts w:ascii="Arial Narrow" w:cs="Arial Narrow" w:eastAsia="Arial Narrow" w:hAnsi="Arial Narrow"/>
                <w:sz w:val="20"/>
                <w:szCs w:val="20"/>
                <w:b w:val="1"/>
                <w:bCs w:val="1"/>
                <w:color w:val="auto"/>
              </w:rPr>
              <w:t>Total</w:t>
            </w:r>
          </w:p>
        </w:tc>
        <w:tc>
          <w:tcPr>
            <w:tcW w:w="200" w:type="dxa"/>
            <w:vAlign w:val="bottom"/>
          </w:tcPr>
          <w:p>
            <w:pPr>
              <w:jc w:val="right"/>
              <w:spacing w:after="0"/>
              <w:rPr>
                <w:sz w:val="20"/>
                <w:szCs w:val="20"/>
                <w:color w:val="auto"/>
              </w:rPr>
            </w:pPr>
            <w:r>
              <w:rPr>
                <w:rFonts w:ascii="Arial Narrow" w:cs="Arial Narrow" w:eastAsia="Arial Narrow" w:hAnsi="Arial Narrow"/>
                <w:sz w:val="20"/>
                <w:szCs w:val="20"/>
                <w:b w:val="1"/>
                <w:bCs w:val="1"/>
                <w:color w:val="auto"/>
                <w:w w:val="87"/>
              </w:rPr>
              <w:t>$</w:t>
            </w:r>
          </w:p>
        </w:tc>
        <w:tc>
          <w:tcPr>
            <w:tcW w:w="940" w:type="dxa"/>
            <w:vAlign w:val="bottom"/>
          </w:tcPr>
          <w:p>
            <w:pPr>
              <w:jc w:val="right"/>
              <w:ind w:right="1"/>
              <w:spacing w:after="0"/>
              <w:rPr>
                <w:sz w:val="20"/>
                <w:szCs w:val="20"/>
                <w:color w:val="auto"/>
              </w:rPr>
            </w:pPr>
            <w:r>
              <w:rPr>
                <w:rFonts w:ascii="Arial Narrow" w:cs="Arial Narrow" w:eastAsia="Arial Narrow" w:hAnsi="Arial Narrow"/>
                <w:sz w:val="20"/>
                <w:szCs w:val="20"/>
                <w:b w:val="1"/>
                <w:bCs w:val="1"/>
                <w:color w:val="auto"/>
              </w:rPr>
              <w:t>2,804,331</w:t>
            </w:r>
          </w:p>
        </w:tc>
        <w:tc>
          <w:tcPr>
            <w:tcW w:w="280" w:type="dxa"/>
            <w:vAlign w:val="bottom"/>
            <w:gridSpan w:val="2"/>
          </w:tcPr>
          <w:p>
            <w:pPr>
              <w:jc w:val="right"/>
              <w:ind w:right="80"/>
              <w:spacing w:after="0"/>
              <w:rPr>
                <w:sz w:val="20"/>
                <w:szCs w:val="20"/>
                <w:color w:val="auto"/>
              </w:rPr>
            </w:pPr>
            <w:r>
              <w:rPr>
                <w:rFonts w:ascii="Arial Narrow" w:cs="Arial Narrow" w:eastAsia="Arial Narrow" w:hAnsi="Arial Narrow"/>
                <w:sz w:val="20"/>
                <w:szCs w:val="20"/>
                <w:b w:val="1"/>
                <w:bCs w:val="1"/>
                <w:color w:val="auto"/>
              </w:rPr>
              <w:t>$</w:t>
            </w:r>
          </w:p>
        </w:tc>
        <w:tc>
          <w:tcPr>
            <w:tcW w:w="860" w:type="dxa"/>
            <w:vAlign w:val="bottom"/>
          </w:tcPr>
          <w:p>
            <w:pPr>
              <w:jc w:val="right"/>
              <w:ind w:right="4"/>
              <w:spacing w:after="0"/>
              <w:rPr>
                <w:sz w:val="20"/>
                <w:szCs w:val="20"/>
                <w:color w:val="auto"/>
              </w:rPr>
            </w:pPr>
            <w:r>
              <w:rPr>
                <w:rFonts w:ascii="Arial Narrow" w:cs="Arial Narrow" w:eastAsia="Arial Narrow" w:hAnsi="Arial Narrow"/>
                <w:sz w:val="20"/>
                <w:szCs w:val="20"/>
                <w:b w:val="1"/>
                <w:bCs w:val="1"/>
                <w:color w:val="auto"/>
              </w:rPr>
              <w:t>500,224</w:t>
            </w:r>
          </w:p>
        </w:tc>
        <w:tc>
          <w:tcPr>
            <w:tcW w:w="280" w:type="dxa"/>
            <w:vAlign w:val="bottom"/>
            <w:gridSpan w:val="2"/>
          </w:tcPr>
          <w:p>
            <w:pPr>
              <w:jc w:val="right"/>
              <w:ind w:right="80"/>
              <w:spacing w:after="0"/>
              <w:rPr>
                <w:sz w:val="20"/>
                <w:szCs w:val="20"/>
                <w:color w:val="auto"/>
              </w:rPr>
            </w:pPr>
            <w:r>
              <w:rPr>
                <w:rFonts w:ascii="Arial Narrow" w:cs="Arial Narrow" w:eastAsia="Arial Narrow" w:hAnsi="Arial Narrow"/>
                <w:sz w:val="20"/>
                <w:szCs w:val="20"/>
                <w:b w:val="1"/>
                <w:bCs w:val="1"/>
                <w:color w:val="auto"/>
              </w:rPr>
              <w:t>$</w:t>
            </w:r>
          </w:p>
        </w:tc>
        <w:tc>
          <w:tcPr>
            <w:tcW w:w="840" w:type="dxa"/>
            <w:vAlign w:val="bottom"/>
          </w:tcPr>
          <w:p>
            <w:pPr>
              <w:jc w:val="right"/>
              <w:ind w:right="1"/>
              <w:spacing w:after="0"/>
              <w:rPr>
                <w:sz w:val="20"/>
                <w:szCs w:val="20"/>
                <w:color w:val="auto"/>
              </w:rPr>
            </w:pPr>
            <w:r>
              <w:rPr>
                <w:rFonts w:ascii="Arial Narrow" w:cs="Arial Narrow" w:eastAsia="Arial Narrow" w:hAnsi="Arial Narrow"/>
                <w:sz w:val="20"/>
                <w:szCs w:val="20"/>
                <w:b w:val="1"/>
                <w:bCs w:val="1"/>
                <w:color w:val="auto"/>
              </w:rPr>
              <w:t>219,863</w:t>
            </w:r>
          </w:p>
        </w:tc>
        <w:tc>
          <w:tcPr>
            <w:tcW w:w="60" w:type="dxa"/>
            <w:vAlign w:val="bottom"/>
          </w:tcPr>
          <w:p>
            <w:pPr>
              <w:spacing w:after="0"/>
              <w:rPr>
                <w:sz w:val="24"/>
                <w:szCs w:val="24"/>
                <w:color w:val="auto"/>
              </w:rPr>
            </w:pPr>
          </w:p>
        </w:tc>
        <w:tc>
          <w:tcPr>
            <w:tcW w:w="260" w:type="dxa"/>
            <w:vAlign w:val="bottom"/>
            <w:gridSpan w:val="2"/>
          </w:tcPr>
          <w:p>
            <w:pPr>
              <w:jc w:val="right"/>
              <w:ind w:right="120"/>
              <w:spacing w:after="0"/>
              <w:rPr>
                <w:sz w:val="20"/>
                <w:szCs w:val="20"/>
                <w:color w:val="auto"/>
              </w:rPr>
            </w:pPr>
            <w:r>
              <w:rPr>
                <w:rFonts w:ascii="Arial Narrow" w:cs="Arial Narrow" w:eastAsia="Arial Narrow" w:hAnsi="Arial Narrow"/>
                <w:sz w:val="20"/>
                <w:szCs w:val="20"/>
                <w:b w:val="1"/>
                <w:bCs w:val="1"/>
                <w:color w:val="auto"/>
              </w:rPr>
              <w:t>$</w:t>
            </w:r>
          </w:p>
        </w:tc>
        <w:tc>
          <w:tcPr>
            <w:tcW w:w="820" w:type="dxa"/>
            <w:vAlign w:val="bottom"/>
          </w:tcPr>
          <w:p>
            <w:pPr>
              <w:jc w:val="right"/>
              <w:ind w:right="1"/>
              <w:spacing w:after="0"/>
              <w:rPr>
                <w:sz w:val="20"/>
                <w:szCs w:val="20"/>
                <w:color w:val="auto"/>
              </w:rPr>
            </w:pPr>
            <w:r>
              <w:rPr>
                <w:rFonts w:ascii="Arial Narrow" w:cs="Arial Narrow" w:eastAsia="Arial Narrow" w:hAnsi="Arial Narrow"/>
                <w:sz w:val="20"/>
                <w:szCs w:val="20"/>
                <w:b w:val="1"/>
                <w:bCs w:val="1"/>
                <w:color w:val="auto"/>
              </w:rPr>
              <w:t>368,400</w:t>
            </w:r>
          </w:p>
        </w:tc>
        <w:tc>
          <w:tcPr>
            <w:tcW w:w="240" w:type="dxa"/>
            <w:vAlign w:val="bottom"/>
            <w:gridSpan w:val="2"/>
          </w:tcPr>
          <w:p>
            <w:pPr>
              <w:jc w:val="right"/>
              <w:ind w:right="40"/>
              <w:spacing w:after="0"/>
              <w:rPr>
                <w:sz w:val="20"/>
                <w:szCs w:val="20"/>
                <w:color w:val="auto"/>
              </w:rPr>
            </w:pPr>
            <w:r>
              <w:rPr>
                <w:rFonts w:ascii="Arial Narrow" w:cs="Arial Narrow" w:eastAsia="Arial Narrow" w:hAnsi="Arial Narrow"/>
                <w:sz w:val="20"/>
                <w:szCs w:val="20"/>
                <w:b w:val="1"/>
                <w:bCs w:val="1"/>
                <w:color w:val="auto"/>
              </w:rPr>
              <w:t>$</w:t>
            </w:r>
          </w:p>
        </w:tc>
        <w:tc>
          <w:tcPr>
            <w:tcW w:w="880" w:type="dxa"/>
            <w:vAlign w:val="bottom"/>
          </w:tcPr>
          <w:p>
            <w:pPr>
              <w:jc w:val="right"/>
              <w:ind w:right="2"/>
              <w:spacing w:after="0"/>
              <w:rPr>
                <w:sz w:val="20"/>
                <w:szCs w:val="20"/>
                <w:color w:val="auto"/>
              </w:rPr>
            </w:pPr>
            <w:r>
              <w:rPr>
                <w:rFonts w:ascii="Arial Narrow" w:cs="Arial Narrow" w:eastAsia="Arial Narrow" w:hAnsi="Arial Narrow"/>
                <w:sz w:val="20"/>
                <w:szCs w:val="20"/>
                <w:b w:val="1"/>
                <w:bCs w:val="1"/>
                <w:color w:val="auto"/>
              </w:rPr>
              <w:t>1,715,844</w:t>
            </w:r>
          </w:p>
        </w:tc>
        <w:tc>
          <w:tcPr>
            <w:tcW w:w="0" w:type="dxa"/>
            <w:vAlign w:val="bottom"/>
          </w:tcPr>
          <w:p>
            <w:pPr>
              <w:spacing w:after="0"/>
              <w:rPr>
                <w:sz w:val="1"/>
                <w:szCs w:val="1"/>
                <w:color w:val="auto"/>
              </w:rPr>
            </w:pPr>
          </w:p>
        </w:tc>
      </w:tr>
      <w:tr>
        <w:trPr>
          <w:trHeight w:val="65"/>
        </w:trPr>
        <w:tc>
          <w:tcPr>
            <w:tcW w:w="370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180" w:hanging="180"/>
        <w:spacing w:after="0"/>
        <w:tabs>
          <w:tab w:leader="none" w:pos="180" w:val="left"/>
        </w:tabs>
        <w:numPr>
          <w:ilvl w:val="0"/>
          <w:numId w:val="31"/>
        </w:numPr>
        <w:rPr>
          <w:rFonts w:ascii="Arial" w:cs="Arial" w:eastAsia="Arial" w:hAnsi="Arial"/>
          <w:sz w:val="10"/>
          <w:szCs w:val="10"/>
          <w:color w:val="auto"/>
        </w:rPr>
      </w:pPr>
      <w:r>
        <w:rPr>
          <w:rFonts w:ascii="Arial" w:cs="Arial" w:eastAsia="Arial" w:hAnsi="Arial"/>
          <w:sz w:val="16"/>
          <w:szCs w:val="16"/>
          <w:color w:val="auto"/>
        </w:rPr>
        <w:t>The Revolving Credit Facility expires in February 2030.</w:t>
      </w:r>
    </w:p>
    <w:p>
      <w:pPr>
        <w:ind w:left="180" w:hanging="180"/>
        <w:spacing w:after="0"/>
        <w:tabs>
          <w:tab w:leader="none" w:pos="180" w:val="left"/>
        </w:tabs>
        <w:numPr>
          <w:ilvl w:val="0"/>
          <w:numId w:val="31"/>
        </w:numPr>
        <w:rPr>
          <w:rFonts w:ascii="Arial" w:cs="Arial" w:eastAsia="Arial" w:hAnsi="Arial"/>
          <w:sz w:val="10"/>
          <w:szCs w:val="10"/>
          <w:color w:val="auto"/>
        </w:rPr>
      </w:pPr>
      <w:r>
        <w:rPr>
          <w:rFonts w:ascii="Arial" w:cs="Arial" w:eastAsia="Arial" w:hAnsi="Arial"/>
          <w:sz w:val="16"/>
          <w:szCs w:val="16"/>
          <w:color w:val="auto"/>
        </w:rPr>
        <w:t>The Term Loan facility expires in February 2030.</w:t>
      </w:r>
    </w:p>
    <w:p>
      <w:pPr>
        <w:ind w:left="180" w:right="380" w:hanging="180"/>
        <w:spacing w:after="0" w:line="256" w:lineRule="auto"/>
        <w:tabs>
          <w:tab w:leader="none" w:pos="180" w:val="left"/>
        </w:tabs>
        <w:numPr>
          <w:ilvl w:val="0"/>
          <w:numId w:val="31"/>
        </w:numPr>
        <w:rPr>
          <w:rFonts w:ascii="Arial" w:cs="Arial" w:eastAsia="Arial" w:hAnsi="Arial"/>
          <w:sz w:val="9"/>
          <w:szCs w:val="9"/>
          <w:color w:val="auto"/>
        </w:rPr>
      </w:pPr>
      <w:r>
        <w:rPr>
          <w:rFonts w:ascii="Arial" w:cs="Arial" w:eastAsia="Arial" w:hAnsi="Arial"/>
          <w:sz w:val="15"/>
          <w:szCs w:val="15"/>
          <w:color w:val="auto"/>
        </w:rPr>
        <w:t>We estimate the future cash flows for interest and commitment fees by assuming a level repayment of the Revolving Credit Facility over its remaining term. Actual amounts paid, as well as the payment time periods, will likely differ from this estimate.</w:t>
      </w:r>
    </w:p>
    <w:p>
      <w:pPr>
        <w:ind w:left="180" w:right="340" w:hanging="180"/>
        <w:spacing w:after="0"/>
        <w:tabs>
          <w:tab w:leader="none" w:pos="180" w:val="left"/>
        </w:tabs>
        <w:numPr>
          <w:ilvl w:val="0"/>
          <w:numId w:val="31"/>
        </w:numPr>
        <w:rPr>
          <w:rFonts w:ascii="Arial" w:cs="Arial" w:eastAsia="Arial" w:hAnsi="Arial"/>
          <w:sz w:val="10"/>
          <w:szCs w:val="10"/>
          <w:color w:val="auto"/>
        </w:rPr>
      </w:pPr>
      <w:r>
        <w:rPr>
          <w:rFonts w:ascii="Arial" w:cs="Arial" w:eastAsia="Arial" w:hAnsi="Arial"/>
          <w:sz w:val="16"/>
          <w:szCs w:val="16"/>
          <w:color w:val="auto"/>
        </w:rPr>
        <w:t>The future cash flows for interest on the Term Loan were calculated using the same estimated interest rates as the Revolving Credit Facility.</w:t>
      </w:r>
    </w:p>
    <w:p>
      <w:pPr>
        <w:ind w:left="180" w:right="460" w:hanging="180"/>
        <w:spacing w:after="0" w:line="261" w:lineRule="auto"/>
        <w:tabs>
          <w:tab w:leader="none" w:pos="180" w:val="left"/>
        </w:tabs>
        <w:numPr>
          <w:ilvl w:val="0"/>
          <w:numId w:val="31"/>
        </w:numPr>
        <w:rPr>
          <w:rFonts w:ascii="Arial" w:cs="Arial" w:eastAsia="Arial" w:hAnsi="Arial"/>
          <w:sz w:val="10"/>
          <w:szCs w:val="10"/>
          <w:color w:val="auto"/>
        </w:rPr>
      </w:pPr>
      <w:r>
        <w:rPr>
          <w:rFonts w:ascii="Arial" w:cs="Arial" w:eastAsia="Arial" w:hAnsi="Arial"/>
          <w:sz w:val="16"/>
          <w:szCs w:val="16"/>
          <w:color w:val="auto"/>
        </w:rPr>
        <w:t>Purchase obligations are noncancelable agreements to purchase coal, natural gas, slag, and synthetic gypsum, and to fund capital expenditure commitments, including the expansion and modernization of our cement plant in Wyoming, and the modernization and expansion of our Gypsum Wallboard plant in Oklahoma.</w:t>
      </w:r>
    </w:p>
    <w:p>
      <w:pPr>
        <w:spacing w:after="0" w:line="96" w:lineRule="exact"/>
        <w:rPr>
          <w:sz w:val="20"/>
          <w:szCs w:val="20"/>
          <w:color w:val="auto"/>
        </w:rPr>
      </w:pPr>
    </w:p>
    <w:p>
      <w:pPr>
        <w:ind w:right="60"/>
        <w:spacing w:after="0" w:line="325" w:lineRule="auto"/>
        <w:rPr>
          <w:sz w:val="20"/>
          <w:szCs w:val="20"/>
          <w:color w:val="auto"/>
        </w:rPr>
      </w:pPr>
      <w:r>
        <w:rPr>
          <w:rFonts w:ascii="Arial" w:cs="Arial" w:eastAsia="Arial" w:hAnsi="Arial"/>
          <w:sz w:val="20"/>
          <w:szCs w:val="20"/>
          <w:color w:val="auto"/>
        </w:rPr>
        <w:t>Based on our current actuarial estimates, we do not anticipate making contributions to our defined benefit plans for fiscal year 2027.</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085E"/>
        </w:rPr>
        <w:t>Inflation and Changing Prices</w:t>
      </w:r>
    </w:p>
    <w:p>
      <w:pPr>
        <w:spacing w:after="0" w:line="161" w:lineRule="exact"/>
        <w:rPr>
          <w:sz w:val="20"/>
          <w:szCs w:val="20"/>
          <w:color w:val="auto"/>
        </w:rPr>
      </w:pPr>
    </w:p>
    <w:p>
      <w:pPr>
        <w:ind w:right="20"/>
        <w:spacing w:after="0" w:line="286" w:lineRule="auto"/>
        <w:rPr>
          <w:sz w:val="20"/>
          <w:szCs w:val="20"/>
          <w:color w:val="auto"/>
        </w:rPr>
      </w:pPr>
      <w:r>
        <w:rPr>
          <w:rFonts w:ascii="Arial" w:cs="Arial" w:eastAsia="Arial" w:hAnsi="Arial"/>
          <w:sz w:val="20"/>
          <w:szCs w:val="20"/>
          <w:color w:val="auto"/>
        </w:rPr>
        <w:t>The Consumer Price Index (CPI) rose approximately 3.3% in fiscal 2026, 2.4% in fiscal 2025, and 3.5% in fiscal 2024. During fiscal 2026, the CPI for electricity, natural gas, gasoline, and transportation increased 4.6%, 6.4%, 18.9%, and 4.1%, respectively. We have some protection from increasing natural gas costs in fiscal 2027 as we have forward purchase contracts for approximately 20.0% of our anticipated natural gas usage. The increase in CPI for transportation and gasoline will likely raise our freight costs in the near term; however, most of the increase in gasoline prices appears to stem from the military action in the Strait of Hormuz. A resolution of this crisis would likely lead to a drop in gasoline prices. Our ability to increase sales prices to cover higher costs in the future varies with the level of activity in the construction industry; the number, size, and strength of competitors; and the availability of products to supply a local market.</w:t>
      </w:r>
    </w:p>
    <w:p>
      <w:pPr>
        <w:sectPr>
          <w:pgSz w:w="11880" w:h="15480" w:orient="portrait"/>
          <w:cols w:equalWidth="0" w:num="1">
            <w:col w:w="9360"/>
          </w:cols>
          <w:pgMar w:left="1260" w:top="1243"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67</w:t>
      </w:r>
    </w:p>
    <w:p>
      <w:pPr>
        <w:sectPr>
          <w:pgSz w:w="11880" w:h="15480" w:orient="portrait"/>
          <w:cols w:equalWidth="0" w:num="1">
            <w:col w:w="9360"/>
          </w:cols>
          <w:pgMar w:left="1260" w:top="1243" w:right="1260" w:bottom="0" w:gutter="0" w:footer="0" w:header="0"/>
          <w:type w:val="continuous"/>
        </w:sectPr>
      </w:pPr>
    </w:p>
    <w:bookmarkStart w:id="75" w:name="page76"/>
    <w:bookmarkEnd w:id="75"/>
    <w:p>
      <w:pPr>
        <w:spacing w:after="0"/>
        <w:rPr>
          <w:sz w:val="20"/>
          <w:szCs w:val="20"/>
          <w:color w:val="auto"/>
        </w:rPr>
      </w:pPr>
      <w:r>
        <w:rPr>
          <w:rFonts w:ascii="Arial" w:cs="Arial" w:eastAsia="Arial" w:hAnsi="Arial"/>
          <w:sz w:val="22"/>
          <w:szCs w:val="22"/>
          <w:b w:val="1"/>
          <w:bCs w:val="1"/>
          <w:color w:val="00085E"/>
        </w:rPr>
        <w:t>GENERAL OUTLOOK</w:t>
      </w:r>
    </w:p>
    <w:p>
      <w:pPr>
        <w:spacing w:after="0" w:line="161" w:lineRule="exact"/>
        <w:rPr>
          <w:sz w:val="20"/>
          <w:szCs w:val="20"/>
          <w:color w:val="auto"/>
        </w:rPr>
      </w:pPr>
    </w:p>
    <w:p>
      <w:pPr>
        <w:ind w:right="160"/>
        <w:spacing w:after="0" w:line="325" w:lineRule="auto"/>
        <w:rPr>
          <w:sz w:val="20"/>
          <w:szCs w:val="20"/>
          <w:color w:val="auto"/>
        </w:rPr>
      </w:pPr>
      <w:r>
        <w:rPr>
          <w:rFonts w:ascii="Arial" w:cs="Arial" w:eastAsia="Arial" w:hAnsi="Arial"/>
          <w:sz w:val="20"/>
          <w:szCs w:val="20"/>
          <w:color w:val="auto"/>
        </w:rPr>
        <w:t>See “Market Conditions and Outlook” within Item 7, Management’s Discussion and Analysis of Financial Condition and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color w:val="00085E"/>
        </w:rPr>
        <w:t>RECENT ACCOUNTING PRONOUNCEMENTS</w:t>
      </w:r>
    </w:p>
    <w:p>
      <w:pPr>
        <w:spacing w:after="0" w:line="163" w:lineRule="exact"/>
        <w:rPr>
          <w:sz w:val="20"/>
          <w:szCs w:val="20"/>
          <w:color w:val="auto"/>
        </w:rPr>
      </w:pPr>
    </w:p>
    <w:p>
      <w:pPr>
        <w:ind w:right="40"/>
        <w:spacing w:after="0" w:line="325" w:lineRule="auto"/>
        <w:rPr>
          <w:sz w:val="20"/>
          <w:szCs w:val="20"/>
          <w:color w:val="auto"/>
        </w:rPr>
      </w:pPr>
      <w:r>
        <w:rPr>
          <w:rFonts w:ascii="Arial" w:cs="Arial" w:eastAsia="Arial" w:hAnsi="Arial"/>
          <w:sz w:val="20"/>
          <w:szCs w:val="20"/>
          <w:color w:val="auto"/>
        </w:rPr>
        <w:t>Refer to Footnote (A) to the Audited Consolidated Financial Statements for information regarding recently issued accounting pronouncements that may affect our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color w:val="00085E"/>
        </w:rPr>
        <w:t>FORWARD-LOOKING STATEMENTS</w:t>
      </w:r>
    </w:p>
    <w:p>
      <w:pPr>
        <w:spacing w:after="0" w:line="163" w:lineRule="exact"/>
        <w:rPr>
          <w:sz w:val="20"/>
          <w:szCs w:val="20"/>
          <w:color w:val="auto"/>
        </w:rPr>
      </w:pPr>
    </w:p>
    <w:p>
      <w:pPr>
        <w:spacing w:after="0" w:line="298" w:lineRule="auto"/>
        <w:rPr>
          <w:sz w:val="20"/>
          <w:szCs w:val="20"/>
          <w:color w:val="auto"/>
        </w:rPr>
      </w:pPr>
      <w:r>
        <w:rPr>
          <w:rFonts w:ascii="Arial" w:cs="Arial" w:eastAsia="Arial" w:hAnsi="Arial"/>
          <w:sz w:val="19"/>
          <w:szCs w:val="19"/>
          <w:color w:val="auto"/>
        </w:rPr>
        <w:t>Certain matters discussed in this report contain forward-looking statements within the meaning of Section 27A of the Securities Act, Section 21E of the Exchange Act of 1934, and the Private Securities Litigation Reform Act of 1995. Forward-looking statements may be identified by the context of the statements and generally arise when the Company is discussing its beliefs, estimates, or expectations as to future events. These statements are not historical facts or guarantees of future performance but instead represent only the Company’s belief at the time the statements were made regarding future events which are subject to certain risks, uncertainties, and other factors, many of which are outside the Company’s control. Actual results and outcomes may differ materially from what is expressed or forecast in such forward-looking statements. The principal risks and uncertainties that may affect the Company’s actual performance include the following: the cyclical and seasonal nature of the Company’s businesses; fluctuations in public infrastructure expenditures; the effects of adverse weather conditions on infrastructure and other construction projects as well as our facilities and operations; the fact that our products are commodities and that prices for our products are subject to material fluctuation due to market conditions and other factors beyond our control; the availability of and fluctuations in the cost of raw materials; changes in the costs of energy, including, without limitation, natural gas, coal, and oil (including diesel), and the nature of our obligations to counterparties under energy supply contracts, such as those related to market conditions (for example, spot market prices), governmental orders and other matters; changes in the cost and availability of transportation; unexpected operational difficulties, including unexpected maintenance costs, equipment downtime, and interruption of production; material nonpayment or non-performance by any of our key customers; consolidation of our customers; interruptions in our supply chain; inability to timely execute or realize capacity expansions or efficiency gains from capital improvement projects; difficulties and delays in the development of new business lines; governmental regulation and changes in governmental and public policy (including, without limitation, climate change and other environmental regulation); changes in trade policy, including tariffs and the effects of any increases in tariffs on our business, including increases in inputs used in our facility expansion and modernization projects; possible losses or other adverse outcomes from pending or future litigation or arbitration proceedings; changes in economic conditions or the nature or level of activity in any one or more of the markets or industries in which the Company or its customers are engaged; competition; cyber-attacks or data security breaches, together with the costs of protecting our systems against such incidents and the possible effects thereof on our operations; increases in capacity in the gypsum wallboard and cement industries; changes in the demand for residential housing construction or commercial construction or construction projects undertaken by state or local governments; the availability of acquisitions or other growth opportunities that meet our financial return standards and fit our strategic focus; risks related to pursuit of acquisitions, joint ventures and other transactions or the execution or implementation of such transactions, including the integration of operations acquired by the Company; general economic conditions, including inflation and recessionary conditions; and changes in interest rates and the resulting effects on the Company and demand for our products. For example, increases in interest rates, decreases in demand for construction</w:t>
      </w:r>
    </w:p>
    <w:p>
      <w:pPr>
        <w:sectPr>
          <w:pgSz w:w="11880" w:h="15480" w:orient="portrait"/>
          <w:cols w:equalWidth="0" w:num="1">
            <w:col w:w="9340"/>
          </w:cols>
          <w:pgMar w:left="1260" w:top="1243"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68</w:t>
      </w:r>
    </w:p>
    <w:p>
      <w:pPr>
        <w:sectPr>
          <w:pgSz w:w="11880" w:h="15480" w:orient="portrait"/>
          <w:cols w:equalWidth="0" w:num="1">
            <w:col w:w="9340"/>
          </w:cols>
          <w:pgMar w:left="1260" w:top="1243" w:right="1280" w:bottom="0" w:gutter="0" w:footer="0" w:header="0"/>
          <w:type w:val="continuous"/>
        </w:sectPr>
      </w:pPr>
    </w:p>
    <w:bookmarkStart w:id="76" w:name="page77"/>
    <w:bookmarkEnd w:id="76"/>
    <w:p>
      <w:pPr>
        <w:spacing w:after="0" w:line="284" w:lineRule="auto"/>
        <w:rPr>
          <w:sz w:val="20"/>
          <w:szCs w:val="20"/>
          <w:color w:val="auto"/>
        </w:rPr>
      </w:pPr>
      <w:r>
        <w:rPr>
          <w:rFonts w:ascii="Arial" w:cs="Arial" w:eastAsia="Arial" w:hAnsi="Arial"/>
          <w:sz w:val="20"/>
          <w:szCs w:val="20"/>
          <w:color w:val="auto"/>
        </w:rPr>
        <w:t>materials or increases in the cost of energy (including, without limitation, natural gas, coal, and oil) or the cost of our raw materials can be expected to adversely affect the revenue and operating earnings of our operations. In addition, changes in national or regional economic conditions and levels of infrastructure and construction spending could also adversely affect the Company’s results of operations. Finally, any forward-looking statements made by the Company are subject to the risks and impacts associated with natural disasters, the outbreak, escalation or resurgence of health emergencies, pandemics or other unforeseen events, including, without limitation, the COVID-19 pandemic and responses thereto designed to contain its spread and mitigate its public health effects, as well as their impact on our operations and on economic conditions, capital, and financial markets. These and other factors are described in the Company’s Annual Report on Form 10-K for the fiscal year ended March 31, 2025, and subsequent quarterly and annual reports upon filing. These reports are filed with the Securities and Exchange Commission. All forward-looking statements made herein are made as of the date hereof, and the risk that actual results will differ materially from expectations expressed herein will increase with the passage of time. The Company undertakes no duty to update any forward-looking statement to reflect future events or changes in the Company’s expectations.</w:t>
      </w:r>
    </w:p>
    <w:p>
      <w:pPr>
        <w:spacing w:after="0" w:line="171"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ITEM 7A. Quantitative and Qualitative Disclosures About Market Risk</w:t>
      </w:r>
    </w:p>
    <w:p>
      <w:pPr>
        <w:spacing w:after="0" w:line="158" w:lineRule="exact"/>
        <w:rPr>
          <w:sz w:val="20"/>
          <w:szCs w:val="20"/>
          <w:color w:val="auto"/>
        </w:rPr>
      </w:pPr>
    </w:p>
    <w:p>
      <w:pPr>
        <w:spacing w:after="0" w:line="288" w:lineRule="auto"/>
        <w:rPr>
          <w:sz w:val="20"/>
          <w:szCs w:val="20"/>
          <w:color w:val="auto"/>
        </w:rPr>
      </w:pPr>
      <w:r>
        <w:rPr>
          <w:rFonts w:ascii="Arial" w:cs="Arial" w:eastAsia="Arial" w:hAnsi="Arial"/>
          <w:sz w:val="20"/>
          <w:szCs w:val="20"/>
          <w:color w:val="auto"/>
        </w:rPr>
        <w:t>We are exposed to market risks related to fluctuations in interest rates on our Revolving Credit Facility and Term Loan. We have occasionally utilized derivative instruments, including interest rate swaps, in conjunction with our overall strategy to manage the debt outstanding that is subject to changes in interest rates. At March 31, 2026, we had no outstanding Revolving Loans under the Revolving Credit Facility and $281.3 million outstanding under the Term Loan, under which borrowings bear interest at a variable rate based on the secured overnight financing rate (SOFR). A hypothetical 100 basis point increase in interest rates on these outstanding borrowings would increase our interest expense by $2.8 million on an annual basis. At present, we do not utilize derivative financial instruments.</w:t>
      </w:r>
    </w:p>
    <w:p>
      <w:pPr>
        <w:spacing w:after="0" w:line="72" w:lineRule="exact"/>
        <w:rPr>
          <w:sz w:val="20"/>
          <w:szCs w:val="20"/>
          <w:color w:val="auto"/>
        </w:rPr>
      </w:pPr>
    </w:p>
    <w:p>
      <w:pPr>
        <w:ind w:right="40"/>
        <w:spacing w:after="0" w:line="303" w:lineRule="auto"/>
        <w:rPr>
          <w:sz w:val="20"/>
          <w:szCs w:val="20"/>
          <w:color w:val="auto"/>
        </w:rPr>
      </w:pPr>
      <w:r>
        <w:rPr>
          <w:rFonts w:ascii="Arial" w:cs="Arial" w:eastAsia="Arial" w:hAnsi="Arial"/>
          <w:sz w:val="20"/>
          <w:szCs w:val="20"/>
          <w:color w:val="auto"/>
        </w:rPr>
        <w:t>We are subject to commodity risk with respect to price changes principally in coal, petroleum coke, natural gas, and power. We attempt to limit our exposure to changes in commodity prices by entering into contracts or increasing our use of alternative fuels.</w:t>
      </w:r>
    </w:p>
    <w:p>
      <w:pPr>
        <w:sectPr>
          <w:pgSz w:w="11880" w:h="15480" w:orient="portrait"/>
          <w:cols w:equalWidth="0" w:num="1">
            <w:col w:w="9340"/>
          </w:cols>
          <w:pgMar w:left="1260" w:top="1267"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69</w:t>
      </w:r>
    </w:p>
    <w:p>
      <w:pPr>
        <w:sectPr>
          <w:pgSz w:w="11880" w:h="15480" w:orient="portrait"/>
          <w:cols w:equalWidth="0" w:num="1">
            <w:col w:w="9340"/>
          </w:cols>
          <w:pgMar w:left="1260" w:top="1267" w:right="1280" w:bottom="0" w:gutter="0" w:footer="0" w:header="0"/>
          <w:type w:val="continuous"/>
        </w:sectPr>
      </w:pPr>
    </w:p>
    <w:bookmarkStart w:id="77" w:name="page78"/>
    <w:bookmarkEnd w:id="77"/>
    <w:p>
      <w:pPr>
        <w:spacing w:after="0"/>
        <w:rPr>
          <w:sz w:val="20"/>
          <w:szCs w:val="20"/>
          <w:color w:val="auto"/>
        </w:rPr>
      </w:pPr>
      <w:r>
        <w:rPr>
          <w:rFonts w:ascii="Arial" w:cs="Arial" w:eastAsia="Arial" w:hAnsi="Arial"/>
          <w:sz w:val="26"/>
          <w:szCs w:val="26"/>
          <w:b w:val="1"/>
          <w:bCs w:val="1"/>
          <w:color w:val="auto"/>
        </w:rPr>
        <w:t>ITEM 8. Financial Statements and Supplementary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5943600" cy="127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2">
                      <a:extLst>
                        <a:ext uri="{28A0092B-C50C-407E-A947-70E740481C1C}"/>
                      </a:extLst>
                    </a:blip>
                    <a:srcRect/>
                    <a:stretch>
                      <a:fillRect/>
                    </a:stretch>
                  </pic:blipFill>
                  <pic:spPr bwMode="auto">
                    <a:xfrm>
                      <a:off x="0" y="0"/>
                      <a:ext cx="5943600" cy="12700"/>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b w:val="1"/>
          <w:bCs w:val="1"/>
          <w:color w:val="00085E"/>
        </w:rPr>
        <w:t>FINANCIAL INFORMATION</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INDEX TO FINANCIAL STATEMENTS AND RELATED INFORMATION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PAGE</w:t>
            </w:r>
          </w:p>
        </w:tc>
      </w:tr>
      <w:tr>
        <w:trPr>
          <w:trHeight w:val="414"/>
        </w:trPr>
        <w:tc>
          <w:tcPr>
            <w:tcW w:w="8780" w:type="dxa"/>
            <w:vAlign w:val="bottom"/>
          </w:tcPr>
          <w:p>
            <w:pPr>
              <w:spacing w:after="0"/>
              <w:rPr>
                <w:sz w:val="20"/>
                <w:szCs w:val="20"/>
                <w:color w:val="auto"/>
              </w:rPr>
            </w:pPr>
            <w:r>
              <w:rPr>
                <w:rFonts w:ascii="Arial" w:cs="Arial" w:eastAsia="Arial" w:hAnsi="Arial"/>
                <w:sz w:val="20"/>
                <w:szCs w:val="20"/>
                <w:b w:val="1"/>
                <w:bCs w:val="1"/>
                <w:color w:val="auto"/>
              </w:rPr>
              <w:t>Eagle Materials Inc.:</w:t>
            </w:r>
          </w:p>
        </w:tc>
        <w:tc>
          <w:tcPr>
            <w:tcW w:w="580" w:type="dxa"/>
            <w:vAlign w:val="bottom"/>
          </w:tcPr>
          <w:p>
            <w:pPr>
              <w:spacing w:after="0"/>
              <w:rPr>
                <w:sz w:val="24"/>
                <w:szCs w:val="24"/>
                <w:color w:val="auto"/>
              </w:rPr>
            </w:pPr>
          </w:p>
        </w:tc>
      </w:tr>
      <w:tr>
        <w:trPr>
          <w:trHeight w:val="380"/>
        </w:trPr>
        <w:tc>
          <w:tcPr>
            <w:tcW w:w="8780" w:type="dxa"/>
            <w:vAlign w:val="bottom"/>
          </w:tcPr>
          <w:p>
            <w:pPr>
              <w:spacing w:after="0"/>
              <w:rPr>
                <w:sz w:val="20"/>
                <w:szCs w:val="20"/>
                <w:color w:val="auto"/>
              </w:rPr>
            </w:pPr>
            <w:r>
              <w:rPr>
                <w:rFonts w:ascii="Arial" w:cs="Arial" w:eastAsia="Arial" w:hAnsi="Arial"/>
                <w:sz w:val="20"/>
                <w:szCs w:val="20"/>
                <w:color w:val="auto"/>
              </w:rPr>
              <w:t>Consolidated Statements of Earnings for the Years Ended March 31, 2026, 2025, and 2024</w:t>
            </w:r>
          </w:p>
        </w:tc>
        <w:tc>
          <w:tcPr>
            <w:tcW w:w="580" w:type="dxa"/>
            <w:vAlign w:val="bottom"/>
          </w:tcPr>
          <w:p>
            <w:pPr>
              <w:jc w:val="right"/>
              <w:spacing w:after="0"/>
              <w:rPr>
                <w:sz w:val="20"/>
                <w:szCs w:val="20"/>
                <w:color w:val="auto"/>
              </w:rPr>
            </w:pPr>
            <w:r>
              <w:rPr>
                <w:rFonts w:ascii="Arial" w:cs="Arial" w:eastAsia="Arial" w:hAnsi="Arial"/>
                <w:sz w:val="20"/>
                <w:szCs w:val="20"/>
                <w:color w:val="auto"/>
              </w:rPr>
              <w:t>71</w:t>
            </w:r>
          </w:p>
        </w:tc>
      </w:tr>
      <w:tr>
        <w:trPr>
          <w:trHeight w:val="388"/>
        </w:trPr>
        <w:tc>
          <w:tcPr>
            <w:tcW w:w="8780" w:type="dxa"/>
            <w:vAlign w:val="bottom"/>
          </w:tcPr>
          <w:p>
            <w:pPr>
              <w:spacing w:after="0"/>
              <w:rPr>
                <w:sz w:val="20"/>
                <w:szCs w:val="20"/>
                <w:color w:val="auto"/>
              </w:rPr>
            </w:pPr>
            <w:r>
              <w:rPr>
                <w:rFonts w:ascii="Arial" w:cs="Arial" w:eastAsia="Arial" w:hAnsi="Arial"/>
                <w:sz w:val="20"/>
                <w:szCs w:val="20"/>
                <w:color w:val="auto"/>
              </w:rPr>
              <w:t>Consolidated Statements of Comprehensive Earnings for the Years Ended March 31, 2026, 2025,</w:t>
            </w:r>
          </w:p>
        </w:tc>
        <w:tc>
          <w:tcPr>
            <w:tcW w:w="580" w:type="dxa"/>
            <w:vAlign w:val="bottom"/>
          </w:tcPr>
          <w:p>
            <w:pPr>
              <w:spacing w:after="0"/>
              <w:rPr>
                <w:sz w:val="24"/>
                <w:szCs w:val="24"/>
                <w:color w:val="auto"/>
              </w:rPr>
            </w:pPr>
          </w:p>
        </w:tc>
      </w:tr>
      <w:tr>
        <w:trPr>
          <w:trHeight w:val="272"/>
        </w:trPr>
        <w:tc>
          <w:tcPr>
            <w:tcW w:w="8780" w:type="dxa"/>
            <w:vAlign w:val="bottom"/>
          </w:tcPr>
          <w:p>
            <w:pPr>
              <w:spacing w:after="0"/>
              <w:rPr>
                <w:sz w:val="20"/>
                <w:szCs w:val="20"/>
                <w:color w:val="auto"/>
              </w:rPr>
            </w:pPr>
            <w:r>
              <w:rPr>
                <w:rFonts w:ascii="Arial" w:cs="Arial" w:eastAsia="Arial" w:hAnsi="Arial"/>
                <w:sz w:val="20"/>
                <w:szCs w:val="20"/>
                <w:color w:val="auto"/>
              </w:rPr>
              <w:t>and 2024</w:t>
            </w:r>
          </w:p>
        </w:tc>
        <w:tc>
          <w:tcPr>
            <w:tcW w:w="580" w:type="dxa"/>
            <w:vAlign w:val="bottom"/>
          </w:tcPr>
          <w:p>
            <w:pPr>
              <w:jc w:val="right"/>
              <w:spacing w:after="0"/>
              <w:rPr>
                <w:sz w:val="20"/>
                <w:szCs w:val="20"/>
                <w:color w:val="auto"/>
              </w:rPr>
            </w:pPr>
            <w:r>
              <w:rPr>
                <w:rFonts w:ascii="Arial" w:cs="Arial" w:eastAsia="Arial" w:hAnsi="Arial"/>
                <w:sz w:val="20"/>
                <w:szCs w:val="20"/>
                <w:color w:val="auto"/>
              </w:rPr>
              <w:t>72</w:t>
            </w:r>
          </w:p>
        </w:tc>
      </w:tr>
      <w:tr>
        <w:trPr>
          <w:trHeight w:val="390"/>
        </w:trPr>
        <w:tc>
          <w:tcPr>
            <w:tcW w:w="8780" w:type="dxa"/>
            <w:vAlign w:val="bottom"/>
          </w:tcPr>
          <w:p>
            <w:pPr>
              <w:spacing w:after="0"/>
              <w:rPr>
                <w:sz w:val="20"/>
                <w:szCs w:val="20"/>
                <w:color w:val="auto"/>
              </w:rPr>
            </w:pPr>
            <w:r>
              <w:rPr>
                <w:rFonts w:ascii="Arial" w:cs="Arial" w:eastAsia="Arial" w:hAnsi="Arial"/>
                <w:sz w:val="20"/>
                <w:szCs w:val="20"/>
                <w:color w:val="auto"/>
              </w:rPr>
              <w:t>Consolidated Balance Sheets as of March 31, 2026 and 2025</w:t>
            </w:r>
          </w:p>
        </w:tc>
        <w:tc>
          <w:tcPr>
            <w:tcW w:w="580" w:type="dxa"/>
            <w:vAlign w:val="bottom"/>
          </w:tcPr>
          <w:p>
            <w:pPr>
              <w:jc w:val="right"/>
              <w:spacing w:after="0"/>
              <w:rPr>
                <w:sz w:val="20"/>
                <w:szCs w:val="20"/>
                <w:color w:val="auto"/>
              </w:rPr>
            </w:pPr>
            <w:r>
              <w:rPr>
                <w:rFonts w:ascii="Arial" w:cs="Arial" w:eastAsia="Arial" w:hAnsi="Arial"/>
                <w:sz w:val="20"/>
                <w:szCs w:val="20"/>
                <w:color w:val="auto"/>
              </w:rPr>
              <w:t>73</w:t>
            </w:r>
          </w:p>
        </w:tc>
      </w:tr>
      <w:tr>
        <w:trPr>
          <w:trHeight w:val="390"/>
        </w:trPr>
        <w:tc>
          <w:tcPr>
            <w:tcW w:w="8780" w:type="dxa"/>
            <w:vAlign w:val="bottom"/>
          </w:tcPr>
          <w:p>
            <w:pPr>
              <w:spacing w:after="0"/>
              <w:rPr>
                <w:sz w:val="20"/>
                <w:szCs w:val="20"/>
                <w:color w:val="auto"/>
              </w:rPr>
            </w:pPr>
            <w:r>
              <w:rPr>
                <w:rFonts w:ascii="Arial" w:cs="Arial" w:eastAsia="Arial" w:hAnsi="Arial"/>
                <w:sz w:val="20"/>
                <w:szCs w:val="20"/>
                <w:color w:val="auto"/>
              </w:rPr>
              <w:t>Consolidated Statements of Cash Flows for the Years Ended March 31, 2026, 2025, and 2024</w:t>
            </w:r>
          </w:p>
        </w:tc>
        <w:tc>
          <w:tcPr>
            <w:tcW w:w="580" w:type="dxa"/>
            <w:vAlign w:val="bottom"/>
          </w:tcPr>
          <w:p>
            <w:pPr>
              <w:jc w:val="right"/>
              <w:spacing w:after="0"/>
              <w:rPr>
                <w:sz w:val="20"/>
                <w:szCs w:val="20"/>
                <w:color w:val="auto"/>
              </w:rPr>
            </w:pPr>
            <w:r>
              <w:rPr>
                <w:rFonts w:ascii="Arial" w:cs="Arial" w:eastAsia="Arial" w:hAnsi="Arial"/>
                <w:sz w:val="20"/>
                <w:szCs w:val="20"/>
                <w:color w:val="auto"/>
              </w:rPr>
              <w:t>74</w:t>
            </w:r>
          </w:p>
        </w:tc>
      </w:tr>
      <w:tr>
        <w:trPr>
          <w:trHeight w:val="388"/>
        </w:trPr>
        <w:tc>
          <w:tcPr>
            <w:tcW w:w="8780" w:type="dxa"/>
            <w:vAlign w:val="bottom"/>
          </w:tcPr>
          <w:p>
            <w:pPr>
              <w:spacing w:after="0"/>
              <w:rPr>
                <w:sz w:val="20"/>
                <w:szCs w:val="20"/>
                <w:color w:val="auto"/>
              </w:rPr>
            </w:pPr>
            <w:r>
              <w:rPr>
                <w:rFonts w:ascii="Arial" w:cs="Arial" w:eastAsia="Arial" w:hAnsi="Arial"/>
                <w:sz w:val="20"/>
                <w:szCs w:val="20"/>
                <w:color w:val="auto"/>
              </w:rPr>
              <w:t>Consolidated Statements of Stockholders’ Equity for the Years Ended March 31, 2026, 2025, and</w:t>
            </w:r>
          </w:p>
        </w:tc>
        <w:tc>
          <w:tcPr>
            <w:tcW w:w="580" w:type="dxa"/>
            <w:vAlign w:val="bottom"/>
          </w:tcPr>
          <w:p>
            <w:pPr>
              <w:spacing w:after="0"/>
              <w:rPr>
                <w:sz w:val="24"/>
                <w:szCs w:val="24"/>
                <w:color w:val="auto"/>
              </w:rPr>
            </w:pPr>
          </w:p>
        </w:tc>
      </w:tr>
      <w:tr>
        <w:trPr>
          <w:trHeight w:val="272"/>
        </w:trPr>
        <w:tc>
          <w:tcPr>
            <w:tcW w:w="8780" w:type="dxa"/>
            <w:vAlign w:val="bottom"/>
          </w:tcPr>
          <w:p>
            <w:pPr>
              <w:spacing w:after="0"/>
              <w:rPr>
                <w:sz w:val="20"/>
                <w:szCs w:val="20"/>
                <w:color w:val="auto"/>
              </w:rPr>
            </w:pPr>
            <w:r>
              <w:rPr>
                <w:rFonts w:ascii="Arial" w:cs="Arial" w:eastAsia="Arial" w:hAnsi="Arial"/>
                <w:sz w:val="20"/>
                <w:szCs w:val="20"/>
                <w:color w:val="auto"/>
              </w:rPr>
              <w:t>2024</w:t>
            </w:r>
          </w:p>
        </w:tc>
        <w:tc>
          <w:tcPr>
            <w:tcW w:w="580" w:type="dxa"/>
            <w:vAlign w:val="bottom"/>
          </w:tcPr>
          <w:p>
            <w:pPr>
              <w:jc w:val="right"/>
              <w:spacing w:after="0"/>
              <w:rPr>
                <w:sz w:val="20"/>
                <w:szCs w:val="20"/>
                <w:color w:val="auto"/>
              </w:rPr>
            </w:pPr>
            <w:r>
              <w:rPr>
                <w:rFonts w:ascii="Arial" w:cs="Arial" w:eastAsia="Arial" w:hAnsi="Arial"/>
                <w:sz w:val="20"/>
                <w:szCs w:val="20"/>
                <w:color w:val="auto"/>
              </w:rPr>
              <w:t>75</w:t>
            </w:r>
          </w:p>
        </w:tc>
      </w:tr>
      <w:tr>
        <w:trPr>
          <w:trHeight w:val="390"/>
        </w:trPr>
        <w:tc>
          <w:tcPr>
            <w:tcW w:w="8780" w:type="dxa"/>
            <w:vAlign w:val="bottom"/>
          </w:tcPr>
          <w:p>
            <w:pPr>
              <w:spacing w:after="0"/>
              <w:rPr>
                <w:sz w:val="20"/>
                <w:szCs w:val="20"/>
                <w:color w:val="auto"/>
              </w:rPr>
            </w:pPr>
            <w:r>
              <w:rPr>
                <w:rFonts w:ascii="Arial" w:cs="Arial" w:eastAsia="Arial" w:hAnsi="Arial"/>
                <w:sz w:val="20"/>
                <w:szCs w:val="20"/>
                <w:color w:val="auto"/>
              </w:rPr>
              <w:t>Notes to Consolidated Financial Statements</w:t>
            </w:r>
          </w:p>
        </w:tc>
        <w:tc>
          <w:tcPr>
            <w:tcW w:w="580" w:type="dxa"/>
            <w:vAlign w:val="bottom"/>
          </w:tcPr>
          <w:p>
            <w:pPr>
              <w:jc w:val="right"/>
              <w:spacing w:after="0"/>
              <w:rPr>
                <w:sz w:val="20"/>
                <w:szCs w:val="20"/>
                <w:color w:val="auto"/>
              </w:rPr>
            </w:pPr>
            <w:r>
              <w:rPr>
                <w:rFonts w:ascii="Arial" w:cs="Arial" w:eastAsia="Arial" w:hAnsi="Arial"/>
                <w:sz w:val="20"/>
                <w:szCs w:val="20"/>
                <w:color w:val="auto"/>
              </w:rPr>
              <w:t>76</w:t>
            </w:r>
          </w:p>
        </w:tc>
      </w:tr>
      <w:tr>
        <w:trPr>
          <w:trHeight w:val="390"/>
        </w:trPr>
        <w:tc>
          <w:tcPr>
            <w:tcW w:w="8780" w:type="dxa"/>
            <w:vAlign w:val="bottom"/>
          </w:tcPr>
          <w:p>
            <w:pPr>
              <w:spacing w:after="0"/>
              <w:rPr>
                <w:sz w:val="20"/>
                <w:szCs w:val="20"/>
                <w:color w:val="auto"/>
              </w:rPr>
            </w:pPr>
            <w:r>
              <w:rPr>
                <w:rFonts w:ascii="Arial" w:cs="Arial" w:eastAsia="Arial" w:hAnsi="Arial"/>
                <w:sz w:val="20"/>
                <w:szCs w:val="20"/>
                <w:color w:val="auto"/>
              </w:rPr>
              <w:t>Report of Independent Registered Public Accounting Firm</w:t>
            </w:r>
          </w:p>
        </w:tc>
        <w:tc>
          <w:tcPr>
            <w:tcW w:w="580" w:type="dxa"/>
            <w:vAlign w:val="bottom"/>
          </w:tcPr>
          <w:p>
            <w:pPr>
              <w:jc w:val="right"/>
              <w:spacing w:after="0"/>
              <w:rPr>
                <w:sz w:val="20"/>
                <w:szCs w:val="20"/>
                <w:color w:val="auto"/>
              </w:rPr>
            </w:pPr>
            <w:r>
              <w:rPr>
                <w:rFonts w:ascii="Arial" w:cs="Arial" w:eastAsia="Arial" w:hAnsi="Arial"/>
                <w:sz w:val="20"/>
                <w:szCs w:val="20"/>
                <w:color w:val="auto"/>
              </w:rPr>
              <w:t>113</w:t>
            </w:r>
          </w:p>
        </w:tc>
      </w:tr>
      <w:tr>
        <w:trPr>
          <w:trHeight w:val="390"/>
        </w:trPr>
        <w:tc>
          <w:tcPr>
            <w:tcW w:w="8780" w:type="dxa"/>
            <w:vAlign w:val="bottom"/>
          </w:tcPr>
          <w:p>
            <w:pPr>
              <w:ind w:left="440"/>
              <w:spacing w:after="0"/>
              <w:rPr>
                <w:sz w:val="20"/>
                <w:szCs w:val="20"/>
                <w:color w:val="auto"/>
              </w:rPr>
            </w:pPr>
            <w:r>
              <w:rPr>
                <w:rFonts w:ascii="Arial" w:cs="Arial" w:eastAsia="Arial" w:hAnsi="Arial"/>
                <w:sz w:val="20"/>
                <w:szCs w:val="20"/>
                <w:color w:val="auto"/>
              </w:rPr>
              <w:t>Auditor Name: Ernst &amp; Young LLP</w:t>
            </w:r>
          </w:p>
        </w:tc>
        <w:tc>
          <w:tcPr>
            <w:tcW w:w="580" w:type="dxa"/>
            <w:vAlign w:val="bottom"/>
          </w:tcPr>
          <w:p>
            <w:pPr>
              <w:spacing w:after="0"/>
              <w:rPr>
                <w:sz w:val="24"/>
                <w:szCs w:val="24"/>
                <w:color w:val="auto"/>
              </w:rPr>
            </w:pPr>
          </w:p>
        </w:tc>
      </w:tr>
      <w:tr>
        <w:trPr>
          <w:trHeight w:val="390"/>
        </w:trPr>
        <w:tc>
          <w:tcPr>
            <w:tcW w:w="8780" w:type="dxa"/>
            <w:vAlign w:val="bottom"/>
          </w:tcPr>
          <w:p>
            <w:pPr>
              <w:ind w:left="440"/>
              <w:spacing w:after="0"/>
              <w:rPr>
                <w:sz w:val="20"/>
                <w:szCs w:val="20"/>
                <w:color w:val="auto"/>
              </w:rPr>
            </w:pPr>
            <w:r>
              <w:rPr>
                <w:rFonts w:ascii="Arial" w:cs="Arial" w:eastAsia="Arial" w:hAnsi="Arial"/>
                <w:sz w:val="20"/>
                <w:szCs w:val="20"/>
                <w:color w:val="auto"/>
              </w:rPr>
              <w:t>Auditor Location: Dallas, Texas</w:t>
            </w:r>
          </w:p>
        </w:tc>
        <w:tc>
          <w:tcPr>
            <w:tcW w:w="580" w:type="dxa"/>
            <w:vAlign w:val="bottom"/>
          </w:tcPr>
          <w:p>
            <w:pPr>
              <w:spacing w:after="0"/>
              <w:rPr>
                <w:sz w:val="24"/>
                <w:szCs w:val="24"/>
                <w:color w:val="auto"/>
              </w:rPr>
            </w:pPr>
          </w:p>
        </w:tc>
      </w:tr>
      <w:tr>
        <w:trPr>
          <w:trHeight w:val="390"/>
        </w:trPr>
        <w:tc>
          <w:tcPr>
            <w:tcW w:w="8780" w:type="dxa"/>
            <w:vAlign w:val="bottom"/>
          </w:tcPr>
          <w:p>
            <w:pPr>
              <w:ind w:left="440"/>
              <w:spacing w:after="0"/>
              <w:rPr>
                <w:sz w:val="20"/>
                <w:szCs w:val="20"/>
                <w:color w:val="auto"/>
              </w:rPr>
            </w:pPr>
            <w:r>
              <w:rPr>
                <w:rFonts w:ascii="Arial" w:cs="Arial" w:eastAsia="Arial" w:hAnsi="Arial"/>
                <w:sz w:val="20"/>
                <w:szCs w:val="20"/>
                <w:color w:val="auto"/>
              </w:rPr>
              <w:t>Auditor Firm ID: 42</w:t>
            </w:r>
          </w:p>
        </w:tc>
        <w:tc>
          <w:tcPr>
            <w:tcW w:w="580" w:type="dxa"/>
            <w:vAlign w:val="bottom"/>
          </w:tcPr>
          <w:p>
            <w:pPr>
              <w:spacing w:after="0"/>
              <w:rPr>
                <w:sz w:val="24"/>
                <w:szCs w:val="24"/>
                <w:color w:val="auto"/>
              </w:rPr>
            </w:pPr>
          </w:p>
        </w:tc>
      </w:tr>
    </w:tbl>
    <w:p>
      <w:pPr>
        <w:spacing w:after="0" w:line="200" w:lineRule="exact"/>
        <w:rPr>
          <w:sz w:val="20"/>
          <w:szCs w:val="20"/>
          <w:color w:val="auto"/>
        </w:rPr>
      </w:pPr>
    </w:p>
    <w:p>
      <w:pPr>
        <w:sectPr>
          <w:pgSz w:w="11880" w:h="15480" w:orient="portrait"/>
          <w:cols w:equalWidth="0" w:num="1">
            <w:col w:w="9360"/>
          </w:cols>
          <w:pgMar w:left="1260" w:top="1201"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70</w:t>
      </w:r>
    </w:p>
    <w:p>
      <w:pPr>
        <w:sectPr>
          <w:pgSz w:w="11880" w:h="15480" w:orient="portrait"/>
          <w:cols w:equalWidth="0" w:num="1">
            <w:col w:w="9360"/>
          </w:cols>
          <w:pgMar w:left="1260" w:top="1201" w:right="1260" w:bottom="0" w:gutter="0" w:footer="0" w:header="0"/>
          <w:type w:val="continuous"/>
        </w:sectPr>
      </w:pPr>
    </w:p>
    <w:bookmarkStart w:id="78" w:name="page79"/>
    <w:bookmarkEnd w:id="78"/>
    <w:p>
      <w:pPr>
        <w:spacing w:after="0"/>
        <w:rPr>
          <w:sz w:val="20"/>
          <w:szCs w:val="20"/>
          <w:color w:val="auto"/>
        </w:rPr>
      </w:pPr>
      <w:r>
        <w:rPr>
          <w:rFonts w:ascii="Arial" w:cs="Arial" w:eastAsia="Arial" w:hAnsi="Arial"/>
          <w:sz w:val="20"/>
          <w:szCs w:val="20"/>
          <w:b w:val="1"/>
          <w:bCs w:val="1"/>
          <w:color w:val="auto"/>
        </w:rPr>
        <w:t>EAGLE MATERIALS INC. AND SUBSIDIARIES CONSOLIDATED STATEMENTS OF EARNINGS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5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60" w:type="dxa"/>
            <w:vAlign w:val="bottom"/>
            <w:gridSpan w:val="6"/>
          </w:tcPr>
          <w:p>
            <w:pPr>
              <w:jc w:val="right"/>
              <w:ind w:right="60"/>
              <w:spacing w:after="0"/>
              <w:rPr>
                <w:sz w:val="20"/>
                <w:szCs w:val="20"/>
                <w:color w:val="auto"/>
              </w:rPr>
            </w:pPr>
            <w:r>
              <w:rPr>
                <w:rFonts w:ascii="Arial Narrow" w:cs="Arial Narrow" w:eastAsia="Arial Narrow" w:hAnsi="Arial Narrow"/>
                <w:sz w:val="18"/>
                <w:szCs w:val="18"/>
                <w:b w:val="1"/>
                <w:bCs w:val="1"/>
                <w:color w:val="auto"/>
              </w:rPr>
              <w:t>For the Years Ended March 31,</w:t>
            </w: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5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9"/>
        </w:trPr>
        <w:tc>
          <w:tcPr>
            <w:tcW w:w="5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ind w:right="142"/>
              <w:spacing w:after="0"/>
              <w:rPr>
                <w:sz w:val="20"/>
                <w:szCs w:val="20"/>
                <w:color w:val="auto"/>
              </w:rPr>
            </w:pPr>
            <w:r>
              <w:rPr>
                <w:rFonts w:ascii="Arial Narrow" w:cs="Arial Narrow" w:eastAsia="Arial Narrow" w:hAnsi="Arial Narrow"/>
                <w:sz w:val="18"/>
                <w:szCs w:val="18"/>
                <w:b w:val="1"/>
                <w:bCs w:val="1"/>
                <w:color w:val="auto"/>
              </w:rPr>
              <w:t>2026</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jc w:val="right"/>
              <w:ind w:right="141"/>
              <w:spacing w:after="0"/>
              <w:rPr>
                <w:sz w:val="20"/>
                <w:szCs w:val="20"/>
                <w:color w:val="auto"/>
              </w:rPr>
            </w:pPr>
            <w:r>
              <w:rPr>
                <w:rFonts w:ascii="Arial Narrow" w:cs="Arial Narrow" w:eastAsia="Arial Narrow" w:hAnsi="Arial Narrow"/>
                <w:sz w:val="18"/>
                <w:szCs w:val="18"/>
                <w:b w:val="1"/>
                <w:bCs w:val="1"/>
                <w:color w:val="auto"/>
              </w:rPr>
              <w:t>2025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ind w:right="81"/>
              <w:spacing w:after="0"/>
              <w:rPr>
                <w:sz w:val="20"/>
                <w:szCs w:val="20"/>
                <w:color w:val="auto"/>
              </w:rPr>
            </w:pPr>
            <w:r>
              <w:rPr>
                <w:rFonts w:ascii="Arial Narrow" w:cs="Arial Narrow" w:eastAsia="Arial Narrow" w:hAnsi="Arial Narrow"/>
                <w:sz w:val="18"/>
                <w:szCs w:val="18"/>
                <w:b w:val="1"/>
                <w:bCs w:val="1"/>
                <w:color w:val="auto"/>
              </w:rPr>
              <w:t>2024</w:t>
            </w:r>
          </w:p>
        </w:tc>
        <w:tc>
          <w:tcPr>
            <w:tcW w:w="0" w:type="dxa"/>
            <w:vAlign w:val="bottom"/>
          </w:tcPr>
          <w:p>
            <w:pPr>
              <w:spacing w:after="0"/>
              <w:rPr>
                <w:sz w:val="1"/>
                <w:szCs w:val="1"/>
                <w:color w:val="auto"/>
              </w:rPr>
            </w:pPr>
          </w:p>
        </w:tc>
      </w:tr>
      <w:tr>
        <w:trPr>
          <w:trHeight w:val="21"/>
        </w:trPr>
        <w:tc>
          <w:tcPr>
            <w:tcW w:w="5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120" w:type="dxa"/>
            <w:vAlign w:val="bottom"/>
            <w:gridSpan w:val="7"/>
          </w:tcPr>
          <w:p>
            <w:pPr>
              <w:jc w:val="right"/>
              <w:ind w:right="501"/>
              <w:spacing w:after="0"/>
              <w:rPr>
                <w:sz w:val="20"/>
                <w:szCs w:val="20"/>
                <w:color w:val="auto"/>
              </w:rPr>
            </w:pPr>
            <w:r>
              <w:rPr>
                <w:rFonts w:ascii="Arial Narrow" w:cs="Arial Narrow" w:eastAsia="Arial Narrow" w:hAnsi="Arial Narrow"/>
                <w:sz w:val="16"/>
                <w:szCs w:val="16"/>
                <w:color w:val="auto"/>
              </w:rPr>
              <w:t>(dollars in thousands, except share and per share data)</w:t>
            </w:r>
          </w:p>
        </w:tc>
        <w:tc>
          <w:tcPr>
            <w:tcW w:w="0" w:type="dxa"/>
            <w:vAlign w:val="bottom"/>
          </w:tcPr>
          <w:p>
            <w:pPr>
              <w:spacing w:after="0"/>
              <w:rPr>
                <w:sz w:val="1"/>
                <w:szCs w:val="1"/>
                <w:color w:val="auto"/>
              </w:rPr>
            </w:pPr>
          </w:p>
        </w:tc>
      </w:tr>
      <w:tr>
        <w:trPr>
          <w:trHeight w:val="48"/>
        </w:trPr>
        <w:tc>
          <w:tcPr>
            <w:tcW w:w="50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gridSpan w:val="2"/>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gridSpan w:val="2"/>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4"/>
        </w:trPr>
        <w:tc>
          <w:tcPr>
            <w:tcW w:w="5020" w:type="dxa"/>
            <w:vAlign w:val="bottom"/>
          </w:tcPr>
          <w:p>
            <w:pPr>
              <w:ind w:left="200"/>
              <w:spacing w:after="0"/>
              <w:rPr>
                <w:sz w:val="20"/>
                <w:szCs w:val="20"/>
                <w:color w:val="auto"/>
              </w:rPr>
            </w:pPr>
            <w:r>
              <w:rPr>
                <w:rFonts w:ascii="Arial Narrow" w:cs="Arial Narrow" w:eastAsia="Arial Narrow" w:hAnsi="Arial Narrow"/>
                <w:sz w:val="20"/>
                <w:szCs w:val="20"/>
                <w:b w:val="1"/>
                <w:bCs w:val="1"/>
                <w:color w:val="00085E"/>
              </w:rPr>
              <w:t>Revenue</w:t>
            </w:r>
          </w:p>
        </w:tc>
        <w:tc>
          <w:tcPr>
            <w:tcW w:w="220" w:type="dxa"/>
            <w:vAlign w:val="bottom"/>
          </w:tcPr>
          <w:p>
            <w:pPr>
              <w:jc w:val="right"/>
              <w:ind w:right="20"/>
              <w:spacing w:after="0"/>
              <w:rPr>
                <w:sz w:val="20"/>
                <w:szCs w:val="20"/>
                <w:color w:val="auto"/>
              </w:rPr>
            </w:pPr>
            <w:r>
              <w:rPr>
                <w:rFonts w:ascii="Arial Narrow" w:cs="Arial Narrow" w:eastAsia="Arial Narrow" w:hAnsi="Arial Narrow"/>
                <w:sz w:val="20"/>
                <w:szCs w:val="20"/>
                <w:color w:val="auto"/>
                <w:w w:val="87"/>
              </w:rPr>
              <w:t>$</w:t>
            </w:r>
          </w:p>
        </w:tc>
        <w:tc>
          <w:tcPr>
            <w:tcW w:w="1200" w:type="dxa"/>
            <w:vAlign w:val="bottom"/>
          </w:tcPr>
          <w:p>
            <w:pPr>
              <w:jc w:val="right"/>
              <w:ind w:right="142"/>
              <w:spacing w:after="0"/>
              <w:rPr>
                <w:sz w:val="20"/>
                <w:szCs w:val="20"/>
                <w:color w:val="auto"/>
              </w:rPr>
            </w:pPr>
            <w:r>
              <w:rPr>
                <w:rFonts w:ascii="Arial Narrow" w:cs="Arial Narrow" w:eastAsia="Arial Narrow" w:hAnsi="Arial Narrow"/>
                <w:sz w:val="20"/>
                <w:szCs w:val="20"/>
                <w:color w:val="auto"/>
              </w:rPr>
              <w:t>2,308,658</w:t>
            </w:r>
          </w:p>
        </w:tc>
        <w:tc>
          <w:tcPr>
            <w:tcW w:w="320" w:type="dxa"/>
            <w:vAlign w:val="bottom"/>
            <w:gridSpan w:val="2"/>
          </w:tcPr>
          <w:p>
            <w:pPr>
              <w:jc w:val="right"/>
              <w:ind w:right="120"/>
              <w:spacing w:after="0"/>
              <w:rPr>
                <w:sz w:val="20"/>
                <w:szCs w:val="20"/>
                <w:color w:val="auto"/>
              </w:rPr>
            </w:pPr>
            <w:r>
              <w:rPr>
                <w:rFonts w:ascii="Arial Narrow" w:cs="Arial Narrow" w:eastAsia="Arial Narrow" w:hAnsi="Arial Narrow"/>
                <w:sz w:val="20"/>
                <w:szCs w:val="20"/>
                <w:color w:val="auto"/>
              </w:rPr>
              <w:t>$</w:t>
            </w:r>
          </w:p>
        </w:tc>
        <w:tc>
          <w:tcPr>
            <w:tcW w:w="1160" w:type="dxa"/>
            <w:vAlign w:val="bottom"/>
          </w:tcPr>
          <w:p>
            <w:pPr>
              <w:jc w:val="right"/>
              <w:ind w:right="141"/>
              <w:spacing w:after="0"/>
              <w:rPr>
                <w:sz w:val="20"/>
                <w:szCs w:val="20"/>
                <w:color w:val="auto"/>
              </w:rPr>
            </w:pPr>
            <w:r>
              <w:rPr>
                <w:rFonts w:ascii="Arial Narrow" w:cs="Arial Narrow" w:eastAsia="Arial Narrow" w:hAnsi="Arial Narrow"/>
                <w:sz w:val="20"/>
                <w:szCs w:val="20"/>
                <w:color w:val="auto"/>
              </w:rPr>
              <w:t>2,260,508</w:t>
            </w:r>
          </w:p>
        </w:tc>
        <w:tc>
          <w:tcPr>
            <w:tcW w:w="380" w:type="dxa"/>
            <w:vAlign w:val="bottom"/>
            <w:gridSpan w:val="2"/>
          </w:tcPr>
          <w:p>
            <w:pPr>
              <w:jc w:val="right"/>
              <w:ind w:right="160"/>
              <w:spacing w:after="0"/>
              <w:rPr>
                <w:sz w:val="20"/>
                <w:szCs w:val="20"/>
                <w:color w:val="auto"/>
              </w:rPr>
            </w:pPr>
            <w:r>
              <w:rPr>
                <w:rFonts w:ascii="Arial Narrow" w:cs="Arial Narrow" w:eastAsia="Arial Narrow" w:hAnsi="Arial Narrow"/>
                <w:sz w:val="20"/>
                <w:szCs w:val="20"/>
                <w:color w:val="auto"/>
              </w:rPr>
              <w:t>$</w:t>
            </w:r>
          </w:p>
        </w:tc>
        <w:tc>
          <w:tcPr>
            <w:tcW w:w="1060" w:type="dxa"/>
            <w:vAlign w:val="bottom"/>
          </w:tcPr>
          <w:p>
            <w:pPr>
              <w:jc w:val="right"/>
              <w:ind w:right="81"/>
              <w:spacing w:after="0"/>
              <w:rPr>
                <w:sz w:val="20"/>
                <w:szCs w:val="20"/>
                <w:color w:val="auto"/>
              </w:rPr>
            </w:pPr>
            <w:r>
              <w:rPr>
                <w:rFonts w:ascii="Arial Narrow" w:cs="Arial Narrow" w:eastAsia="Arial Narrow" w:hAnsi="Arial Narrow"/>
                <w:sz w:val="20"/>
                <w:szCs w:val="20"/>
                <w:color w:val="auto"/>
              </w:rPr>
              <w:t>2,259,297</w:t>
            </w:r>
          </w:p>
        </w:tc>
        <w:tc>
          <w:tcPr>
            <w:tcW w:w="0" w:type="dxa"/>
            <w:vAlign w:val="bottom"/>
          </w:tcPr>
          <w:p>
            <w:pPr>
              <w:spacing w:after="0"/>
              <w:rPr>
                <w:sz w:val="1"/>
                <w:szCs w:val="1"/>
                <w:color w:val="auto"/>
              </w:rPr>
            </w:pPr>
          </w:p>
        </w:tc>
      </w:tr>
      <w:tr>
        <w:trPr>
          <w:trHeight w:val="65"/>
        </w:trPr>
        <w:tc>
          <w:tcPr>
            <w:tcW w:w="5020" w:type="dxa"/>
            <w:vAlign w:val="bottom"/>
            <w:tcBorders>
              <w:bottom w:val="single" w:sz="8" w:color="A6A6A6"/>
            </w:tcBorders>
          </w:tcPr>
          <w:p>
            <w:pPr>
              <w:spacing w:after="0"/>
              <w:rPr>
                <w:sz w:val="5"/>
                <w:szCs w:val="5"/>
                <w:color w:val="auto"/>
              </w:rPr>
            </w:pPr>
          </w:p>
        </w:tc>
        <w:tc>
          <w:tcPr>
            <w:tcW w:w="220" w:type="dxa"/>
            <w:vAlign w:val="bottom"/>
            <w:tcBorders>
              <w:bottom w:val="single" w:sz="8" w:color="A6A6A6"/>
            </w:tcBorders>
          </w:tcPr>
          <w:p>
            <w:pPr>
              <w:spacing w:after="0"/>
              <w:rPr>
                <w:sz w:val="5"/>
                <w:szCs w:val="5"/>
                <w:color w:val="auto"/>
              </w:rPr>
            </w:pPr>
          </w:p>
        </w:tc>
        <w:tc>
          <w:tcPr>
            <w:tcW w:w="120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240" w:type="dxa"/>
            <w:vAlign w:val="bottom"/>
            <w:tcBorders>
              <w:bottom w:val="single" w:sz="8" w:color="A6A6A6"/>
            </w:tcBorders>
          </w:tcPr>
          <w:p>
            <w:pPr>
              <w:spacing w:after="0"/>
              <w:rPr>
                <w:sz w:val="5"/>
                <w:szCs w:val="5"/>
                <w:color w:val="auto"/>
              </w:rPr>
            </w:pPr>
          </w:p>
        </w:tc>
        <w:tc>
          <w:tcPr>
            <w:tcW w:w="116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280" w:type="dxa"/>
            <w:vAlign w:val="bottom"/>
            <w:tcBorders>
              <w:bottom w:val="single" w:sz="8" w:color="A6A6A6"/>
            </w:tcBorders>
          </w:tcPr>
          <w:p>
            <w:pPr>
              <w:spacing w:after="0"/>
              <w:rPr>
                <w:sz w:val="5"/>
                <w:szCs w:val="5"/>
                <w:color w:val="auto"/>
              </w:rPr>
            </w:pPr>
          </w:p>
        </w:tc>
        <w:tc>
          <w:tcPr>
            <w:tcW w:w="106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5020" w:type="dxa"/>
            <w:vAlign w:val="bottom"/>
          </w:tcPr>
          <w:p>
            <w:pPr>
              <w:ind w:left="200"/>
              <w:spacing w:after="0"/>
              <w:rPr>
                <w:sz w:val="20"/>
                <w:szCs w:val="20"/>
                <w:color w:val="auto"/>
              </w:rPr>
            </w:pPr>
            <w:r>
              <w:rPr>
                <w:rFonts w:ascii="Arial Narrow" w:cs="Arial Narrow" w:eastAsia="Arial Narrow" w:hAnsi="Arial Narrow"/>
                <w:sz w:val="20"/>
                <w:szCs w:val="20"/>
                <w:b w:val="1"/>
                <w:bCs w:val="1"/>
                <w:color w:val="00085E"/>
              </w:rPr>
              <w:t>Cost of Goods Sold</w:t>
            </w:r>
          </w:p>
        </w:tc>
        <w:tc>
          <w:tcPr>
            <w:tcW w:w="220" w:type="dxa"/>
            <w:vAlign w:val="bottom"/>
          </w:tcPr>
          <w:p>
            <w:pPr>
              <w:spacing w:after="0"/>
              <w:rPr>
                <w:sz w:val="24"/>
                <w:szCs w:val="24"/>
                <w:color w:val="auto"/>
              </w:rPr>
            </w:pPr>
          </w:p>
        </w:tc>
        <w:tc>
          <w:tcPr>
            <w:tcW w:w="1200" w:type="dxa"/>
            <w:vAlign w:val="bottom"/>
          </w:tcPr>
          <w:p>
            <w:pPr>
              <w:jc w:val="right"/>
              <w:ind w:right="142"/>
              <w:spacing w:after="0"/>
              <w:rPr>
                <w:sz w:val="20"/>
                <w:szCs w:val="20"/>
                <w:color w:val="auto"/>
              </w:rPr>
            </w:pPr>
            <w:r>
              <w:rPr>
                <w:rFonts w:ascii="Arial Narrow" w:cs="Arial Narrow" w:eastAsia="Arial Narrow" w:hAnsi="Arial Narrow"/>
                <w:sz w:val="20"/>
                <w:szCs w:val="20"/>
                <w:color w:val="auto"/>
              </w:rPr>
              <w:t>1,656,115</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ind w:right="141"/>
              <w:spacing w:after="0"/>
              <w:rPr>
                <w:sz w:val="20"/>
                <w:szCs w:val="20"/>
                <w:color w:val="auto"/>
              </w:rPr>
            </w:pPr>
            <w:r>
              <w:rPr>
                <w:rFonts w:ascii="Arial Narrow" w:cs="Arial Narrow" w:eastAsia="Arial Narrow" w:hAnsi="Arial Narrow"/>
                <w:sz w:val="20"/>
                <w:szCs w:val="20"/>
                <w:color w:val="auto"/>
              </w:rPr>
              <w:t>1,587,371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ind w:right="81"/>
              <w:spacing w:after="0"/>
              <w:rPr>
                <w:sz w:val="20"/>
                <w:szCs w:val="20"/>
                <w:color w:val="auto"/>
              </w:rPr>
            </w:pPr>
            <w:r>
              <w:rPr>
                <w:rFonts w:ascii="Arial Narrow" w:cs="Arial Narrow" w:eastAsia="Arial Narrow" w:hAnsi="Arial Narrow"/>
                <w:sz w:val="20"/>
                <w:szCs w:val="20"/>
                <w:color w:val="auto"/>
              </w:rPr>
              <w:t>1,573,976</w:t>
            </w:r>
          </w:p>
        </w:tc>
        <w:tc>
          <w:tcPr>
            <w:tcW w:w="0" w:type="dxa"/>
            <w:vAlign w:val="bottom"/>
          </w:tcPr>
          <w:p>
            <w:pPr>
              <w:spacing w:after="0"/>
              <w:rPr>
                <w:sz w:val="1"/>
                <w:szCs w:val="1"/>
                <w:color w:val="auto"/>
              </w:rPr>
            </w:pPr>
          </w:p>
        </w:tc>
      </w:tr>
      <w:tr>
        <w:trPr>
          <w:trHeight w:val="90"/>
        </w:trPr>
        <w:tc>
          <w:tcPr>
            <w:tcW w:w="5020" w:type="dxa"/>
            <w:vAlign w:val="bottom"/>
            <w:tcBorders>
              <w:bottom w:val="single" w:sz="8" w:color="A6A6A6"/>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4"/>
        </w:trPr>
        <w:tc>
          <w:tcPr>
            <w:tcW w:w="5020" w:type="dxa"/>
            <w:vAlign w:val="bottom"/>
          </w:tcPr>
          <w:p>
            <w:pPr>
              <w:ind w:left="400"/>
              <w:spacing w:after="0"/>
              <w:rPr>
                <w:sz w:val="20"/>
                <w:szCs w:val="20"/>
                <w:color w:val="auto"/>
              </w:rPr>
            </w:pPr>
            <w:r>
              <w:rPr>
                <w:rFonts w:ascii="Arial Narrow" w:cs="Arial Narrow" w:eastAsia="Arial Narrow" w:hAnsi="Arial Narrow"/>
                <w:sz w:val="20"/>
                <w:szCs w:val="20"/>
                <w:b w:val="1"/>
                <w:bCs w:val="1"/>
                <w:color w:val="00085E"/>
              </w:rPr>
              <w:t>Gross Profit</w:t>
            </w:r>
          </w:p>
        </w:tc>
        <w:tc>
          <w:tcPr>
            <w:tcW w:w="220" w:type="dxa"/>
            <w:vAlign w:val="bottom"/>
          </w:tcPr>
          <w:p>
            <w:pPr>
              <w:spacing w:after="0"/>
              <w:rPr>
                <w:sz w:val="24"/>
                <w:szCs w:val="24"/>
                <w:color w:val="auto"/>
              </w:rPr>
            </w:pPr>
          </w:p>
        </w:tc>
        <w:tc>
          <w:tcPr>
            <w:tcW w:w="1200" w:type="dxa"/>
            <w:vAlign w:val="bottom"/>
          </w:tcPr>
          <w:p>
            <w:pPr>
              <w:jc w:val="right"/>
              <w:ind w:right="142"/>
              <w:spacing w:after="0"/>
              <w:rPr>
                <w:sz w:val="20"/>
                <w:szCs w:val="20"/>
                <w:color w:val="auto"/>
              </w:rPr>
            </w:pPr>
            <w:r>
              <w:rPr>
                <w:rFonts w:ascii="Arial Narrow" w:cs="Arial Narrow" w:eastAsia="Arial Narrow" w:hAnsi="Arial Narrow"/>
                <w:sz w:val="20"/>
                <w:szCs w:val="20"/>
                <w:color w:val="auto"/>
              </w:rPr>
              <w:t>652,543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ind w:right="141"/>
              <w:spacing w:after="0"/>
              <w:rPr>
                <w:sz w:val="20"/>
                <w:szCs w:val="20"/>
                <w:color w:val="auto"/>
              </w:rPr>
            </w:pPr>
            <w:r>
              <w:rPr>
                <w:rFonts w:ascii="Arial Narrow" w:cs="Arial Narrow" w:eastAsia="Arial Narrow" w:hAnsi="Arial Narrow"/>
                <w:sz w:val="20"/>
                <w:szCs w:val="20"/>
                <w:color w:val="auto"/>
              </w:rPr>
              <w:t>673,137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ind w:right="81"/>
              <w:spacing w:after="0"/>
              <w:rPr>
                <w:sz w:val="20"/>
                <w:szCs w:val="20"/>
                <w:color w:val="auto"/>
              </w:rPr>
            </w:pPr>
            <w:r>
              <w:rPr>
                <w:rFonts w:ascii="Arial Narrow" w:cs="Arial Narrow" w:eastAsia="Arial Narrow" w:hAnsi="Arial Narrow"/>
                <w:sz w:val="20"/>
                <w:szCs w:val="20"/>
                <w:color w:val="auto"/>
              </w:rPr>
              <w:t>685,321</w:t>
            </w:r>
          </w:p>
        </w:tc>
        <w:tc>
          <w:tcPr>
            <w:tcW w:w="0" w:type="dxa"/>
            <w:vAlign w:val="bottom"/>
          </w:tcPr>
          <w:p>
            <w:pPr>
              <w:spacing w:after="0"/>
              <w:rPr>
                <w:sz w:val="1"/>
                <w:szCs w:val="1"/>
                <w:color w:val="auto"/>
              </w:rPr>
            </w:pPr>
          </w:p>
        </w:tc>
      </w:tr>
      <w:tr>
        <w:trPr>
          <w:trHeight w:val="65"/>
        </w:trPr>
        <w:tc>
          <w:tcPr>
            <w:tcW w:w="5020" w:type="dxa"/>
            <w:vAlign w:val="bottom"/>
            <w:tcBorders>
              <w:bottom w:val="single" w:sz="8" w:color="A6A6A6"/>
            </w:tcBorders>
          </w:tcPr>
          <w:p>
            <w:pPr>
              <w:spacing w:after="0"/>
              <w:rPr>
                <w:sz w:val="5"/>
                <w:szCs w:val="5"/>
                <w:color w:val="auto"/>
              </w:rPr>
            </w:pPr>
          </w:p>
        </w:tc>
        <w:tc>
          <w:tcPr>
            <w:tcW w:w="220" w:type="dxa"/>
            <w:vAlign w:val="bottom"/>
            <w:tcBorders>
              <w:bottom w:val="single" w:sz="8" w:color="A6A6A6"/>
            </w:tcBorders>
          </w:tcPr>
          <w:p>
            <w:pPr>
              <w:spacing w:after="0"/>
              <w:rPr>
                <w:sz w:val="5"/>
                <w:szCs w:val="5"/>
                <w:color w:val="auto"/>
              </w:rPr>
            </w:pPr>
          </w:p>
        </w:tc>
        <w:tc>
          <w:tcPr>
            <w:tcW w:w="120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240" w:type="dxa"/>
            <w:vAlign w:val="bottom"/>
            <w:tcBorders>
              <w:bottom w:val="single" w:sz="8" w:color="A6A6A6"/>
            </w:tcBorders>
          </w:tcPr>
          <w:p>
            <w:pPr>
              <w:spacing w:after="0"/>
              <w:rPr>
                <w:sz w:val="5"/>
                <w:szCs w:val="5"/>
                <w:color w:val="auto"/>
              </w:rPr>
            </w:pPr>
          </w:p>
        </w:tc>
        <w:tc>
          <w:tcPr>
            <w:tcW w:w="116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280" w:type="dxa"/>
            <w:vAlign w:val="bottom"/>
            <w:tcBorders>
              <w:bottom w:val="single" w:sz="8" w:color="A6A6A6"/>
            </w:tcBorders>
          </w:tcPr>
          <w:p>
            <w:pPr>
              <w:spacing w:after="0"/>
              <w:rPr>
                <w:sz w:val="5"/>
                <w:szCs w:val="5"/>
                <w:color w:val="auto"/>
              </w:rPr>
            </w:pPr>
          </w:p>
        </w:tc>
        <w:tc>
          <w:tcPr>
            <w:tcW w:w="106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5020" w:type="dxa"/>
            <w:vAlign w:val="bottom"/>
          </w:tcPr>
          <w:p>
            <w:pPr>
              <w:ind w:left="200"/>
              <w:spacing w:after="0"/>
              <w:rPr>
                <w:sz w:val="20"/>
                <w:szCs w:val="20"/>
                <w:color w:val="auto"/>
              </w:rPr>
            </w:pPr>
            <w:r>
              <w:rPr>
                <w:rFonts w:ascii="Arial Narrow" w:cs="Arial Narrow" w:eastAsia="Arial Narrow" w:hAnsi="Arial Narrow"/>
                <w:sz w:val="20"/>
                <w:szCs w:val="20"/>
                <w:b w:val="1"/>
                <w:bCs w:val="1"/>
                <w:color w:val="00085E"/>
              </w:rPr>
              <w:t>Equity in Earnings of Unconsolidated Joint Venture</w:t>
            </w:r>
          </w:p>
        </w:tc>
        <w:tc>
          <w:tcPr>
            <w:tcW w:w="220" w:type="dxa"/>
            <w:vAlign w:val="bottom"/>
          </w:tcPr>
          <w:p>
            <w:pPr>
              <w:spacing w:after="0"/>
              <w:rPr>
                <w:sz w:val="24"/>
                <w:szCs w:val="24"/>
                <w:color w:val="auto"/>
              </w:rPr>
            </w:pPr>
          </w:p>
        </w:tc>
        <w:tc>
          <w:tcPr>
            <w:tcW w:w="1200" w:type="dxa"/>
            <w:vAlign w:val="bottom"/>
          </w:tcPr>
          <w:p>
            <w:pPr>
              <w:jc w:val="right"/>
              <w:ind w:right="142"/>
              <w:spacing w:after="0"/>
              <w:rPr>
                <w:sz w:val="20"/>
                <w:szCs w:val="20"/>
                <w:color w:val="auto"/>
              </w:rPr>
            </w:pPr>
            <w:r>
              <w:rPr>
                <w:rFonts w:ascii="Arial Narrow" w:cs="Arial Narrow" w:eastAsia="Arial Narrow" w:hAnsi="Arial Narrow"/>
                <w:sz w:val="20"/>
                <w:szCs w:val="20"/>
                <w:color w:val="auto"/>
              </w:rPr>
              <w:t>19,989</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ind w:right="141"/>
              <w:spacing w:after="0"/>
              <w:rPr>
                <w:sz w:val="20"/>
                <w:szCs w:val="20"/>
                <w:color w:val="auto"/>
              </w:rPr>
            </w:pPr>
            <w:r>
              <w:rPr>
                <w:rFonts w:ascii="Arial Narrow" w:cs="Arial Narrow" w:eastAsia="Arial Narrow" w:hAnsi="Arial Narrow"/>
                <w:sz w:val="20"/>
                <w:szCs w:val="20"/>
                <w:color w:val="auto"/>
              </w:rPr>
              <w:t>26,396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ind w:right="81"/>
              <w:spacing w:after="0"/>
              <w:rPr>
                <w:sz w:val="20"/>
                <w:szCs w:val="20"/>
                <w:color w:val="auto"/>
              </w:rPr>
            </w:pPr>
            <w:r>
              <w:rPr>
                <w:rFonts w:ascii="Arial Narrow" w:cs="Arial Narrow" w:eastAsia="Arial Narrow" w:hAnsi="Arial Narrow"/>
                <w:sz w:val="20"/>
                <w:szCs w:val="20"/>
                <w:color w:val="auto"/>
              </w:rPr>
              <w:t>31,581</w:t>
            </w:r>
          </w:p>
        </w:tc>
        <w:tc>
          <w:tcPr>
            <w:tcW w:w="0" w:type="dxa"/>
            <w:vAlign w:val="bottom"/>
          </w:tcPr>
          <w:p>
            <w:pPr>
              <w:spacing w:after="0"/>
              <w:rPr>
                <w:sz w:val="1"/>
                <w:szCs w:val="1"/>
                <w:color w:val="auto"/>
              </w:rPr>
            </w:pPr>
          </w:p>
        </w:tc>
      </w:tr>
      <w:tr>
        <w:trPr>
          <w:trHeight w:val="65"/>
        </w:trPr>
        <w:tc>
          <w:tcPr>
            <w:tcW w:w="5020" w:type="dxa"/>
            <w:vAlign w:val="bottom"/>
            <w:tcBorders>
              <w:bottom w:val="single" w:sz="8" w:color="A6A6A6"/>
            </w:tcBorders>
          </w:tcPr>
          <w:p>
            <w:pPr>
              <w:spacing w:after="0"/>
              <w:rPr>
                <w:sz w:val="5"/>
                <w:szCs w:val="5"/>
                <w:color w:val="auto"/>
              </w:rPr>
            </w:pPr>
          </w:p>
        </w:tc>
        <w:tc>
          <w:tcPr>
            <w:tcW w:w="220" w:type="dxa"/>
            <w:vAlign w:val="bottom"/>
            <w:tcBorders>
              <w:bottom w:val="single" w:sz="8" w:color="A6A6A6"/>
            </w:tcBorders>
          </w:tcPr>
          <w:p>
            <w:pPr>
              <w:spacing w:after="0"/>
              <w:rPr>
                <w:sz w:val="5"/>
                <w:szCs w:val="5"/>
                <w:color w:val="auto"/>
              </w:rPr>
            </w:pPr>
          </w:p>
        </w:tc>
        <w:tc>
          <w:tcPr>
            <w:tcW w:w="120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240" w:type="dxa"/>
            <w:vAlign w:val="bottom"/>
            <w:tcBorders>
              <w:bottom w:val="single" w:sz="8" w:color="A6A6A6"/>
            </w:tcBorders>
          </w:tcPr>
          <w:p>
            <w:pPr>
              <w:spacing w:after="0"/>
              <w:rPr>
                <w:sz w:val="5"/>
                <w:szCs w:val="5"/>
                <w:color w:val="auto"/>
              </w:rPr>
            </w:pPr>
          </w:p>
        </w:tc>
        <w:tc>
          <w:tcPr>
            <w:tcW w:w="116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280" w:type="dxa"/>
            <w:vAlign w:val="bottom"/>
            <w:tcBorders>
              <w:bottom w:val="single" w:sz="8" w:color="A6A6A6"/>
            </w:tcBorders>
          </w:tcPr>
          <w:p>
            <w:pPr>
              <w:spacing w:after="0"/>
              <w:rPr>
                <w:sz w:val="5"/>
                <w:szCs w:val="5"/>
                <w:color w:val="auto"/>
              </w:rPr>
            </w:pPr>
          </w:p>
        </w:tc>
        <w:tc>
          <w:tcPr>
            <w:tcW w:w="106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5020" w:type="dxa"/>
            <w:vAlign w:val="bottom"/>
          </w:tcPr>
          <w:p>
            <w:pPr>
              <w:ind w:left="200"/>
              <w:spacing w:after="0"/>
              <w:rPr>
                <w:sz w:val="20"/>
                <w:szCs w:val="20"/>
                <w:color w:val="auto"/>
              </w:rPr>
            </w:pPr>
            <w:r>
              <w:rPr>
                <w:rFonts w:ascii="Arial Narrow" w:cs="Arial Narrow" w:eastAsia="Arial Narrow" w:hAnsi="Arial Narrow"/>
                <w:sz w:val="20"/>
                <w:szCs w:val="20"/>
                <w:b w:val="1"/>
                <w:bCs w:val="1"/>
                <w:color w:val="00085E"/>
              </w:rPr>
              <w:t>Corporate General and Administrative Expense</w:t>
            </w:r>
          </w:p>
        </w:tc>
        <w:tc>
          <w:tcPr>
            <w:tcW w:w="220" w:type="dxa"/>
            <w:vAlign w:val="bottom"/>
          </w:tcPr>
          <w:p>
            <w:pPr>
              <w:spacing w:after="0"/>
              <w:rPr>
                <w:sz w:val="24"/>
                <w:szCs w:val="24"/>
                <w:color w:val="auto"/>
              </w:rPr>
            </w:pPr>
          </w:p>
        </w:tc>
        <w:tc>
          <w:tcPr>
            <w:tcW w:w="1200" w:type="dxa"/>
            <w:vAlign w:val="bottom"/>
          </w:tcPr>
          <w:p>
            <w:pPr>
              <w:jc w:val="right"/>
              <w:ind w:right="82"/>
              <w:spacing w:after="0"/>
              <w:rPr>
                <w:sz w:val="20"/>
                <w:szCs w:val="20"/>
                <w:color w:val="auto"/>
              </w:rPr>
            </w:pPr>
            <w:r>
              <w:rPr>
                <w:rFonts w:ascii="Arial Narrow" w:cs="Arial Narrow" w:eastAsia="Arial Narrow" w:hAnsi="Arial Narrow"/>
                <w:sz w:val="20"/>
                <w:szCs w:val="20"/>
                <w:color w:val="auto"/>
              </w:rPr>
              <w:t>(89,182)</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ind w:right="61"/>
              <w:spacing w:after="0"/>
              <w:rPr>
                <w:sz w:val="20"/>
                <w:szCs w:val="20"/>
                <w:color w:val="auto"/>
              </w:rPr>
            </w:pPr>
            <w:r>
              <w:rPr>
                <w:rFonts w:ascii="Arial Narrow" w:cs="Arial Narrow" w:eastAsia="Arial Narrow" w:hAnsi="Arial Narrow"/>
                <w:sz w:val="20"/>
                <w:szCs w:val="20"/>
                <w:color w:val="auto"/>
              </w:rPr>
              <w:t>(73,942)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ind w:right="21"/>
              <w:spacing w:after="0"/>
              <w:rPr>
                <w:sz w:val="20"/>
                <w:szCs w:val="20"/>
                <w:color w:val="auto"/>
              </w:rPr>
            </w:pPr>
            <w:r>
              <w:rPr>
                <w:rFonts w:ascii="Arial Narrow" w:cs="Arial Narrow" w:eastAsia="Arial Narrow" w:hAnsi="Arial Narrow"/>
                <w:sz w:val="20"/>
                <w:szCs w:val="20"/>
                <w:color w:val="auto"/>
              </w:rPr>
              <w:t>(59,795)</w:t>
            </w:r>
          </w:p>
        </w:tc>
        <w:tc>
          <w:tcPr>
            <w:tcW w:w="0" w:type="dxa"/>
            <w:vAlign w:val="bottom"/>
          </w:tcPr>
          <w:p>
            <w:pPr>
              <w:spacing w:after="0"/>
              <w:rPr>
                <w:sz w:val="1"/>
                <w:szCs w:val="1"/>
                <w:color w:val="auto"/>
              </w:rPr>
            </w:pPr>
          </w:p>
        </w:tc>
      </w:tr>
      <w:tr>
        <w:trPr>
          <w:trHeight w:val="65"/>
        </w:trPr>
        <w:tc>
          <w:tcPr>
            <w:tcW w:w="5020" w:type="dxa"/>
            <w:vAlign w:val="bottom"/>
            <w:tcBorders>
              <w:bottom w:val="single" w:sz="8" w:color="A6A6A6"/>
            </w:tcBorders>
          </w:tcPr>
          <w:p>
            <w:pPr>
              <w:spacing w:after="0"/>
              <w:rPr>
                <w:sz w:val="5"/>
                <w:szCs w:val="5"/>
                <w:color w:val="auto"/>
              </w:rPr>
            </w:pPr>
          </w:p>
        </w:tc>
        <w:tc>
          <w:tcPr>
            <w:tcW w:w="220" w:type="dxa"/>
            <w:vAlign w:val="bottom"/>
            <w:tcBorders>
              <w:bottom w:val="single" w:sz="8" w:color="A6A6A6"/>
            </w:tcBorders>
          </w:tcPr>
          <w:p>
            <w:pPr>
              <w:spacing w:after="0"/>
              <w:rPr>
                <w:sz w:val="5"/>
                <w:szCs w:val="5"/>
                <w:color w:val="auto"/>
              </w:rPr>
            </w:pPr>
          </w:p>
        </w:tc>
        <w:tc>
          <w:tcPr>
            <w:tcW w:w="120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240" w:type="dxa"/>
            <w:vAlign w:val="bottom"/>
            <w:tcBorders>
              <w:bottom w:val="single" w:sz="8" w:color="A6A6A6"/>
            </w:tcBorders>
          </w:tcPr>
          <w:p>
            <w:pPr>
              <w:spacing w:after="0"/>
              <w:rPr>
                <w:sz w:val="5"/>
                <w:szCs w:val="5"/>
                <w:color w:val="auto"/>
              </w:rPr>
            </w:pPr>
          </w:p>
        </w:tc>
        <w:tc>
          <w:tcPr>
            <w:tcW w:w="116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280" w:type="dxa"/>
            <w:vAlign w:val="bottom"/>
            <w:tcBorders>
              <w:bottom w:val="single" w:sz="8" w:color="A6A6A6"/>
            </w:tcBorders>
          </w:tcPr>
          <w:p>
            <w:pPr>
              <w:spacing w:after="0"/>
              <w:rPr>
                <w:sz w:val="5"/>
                <w:szCs w:val="5"/>
                <w:color w:val="auto"/>
              </w:rPr>
            </w:pPr>
          </w:p>
        </w:tc>
        <w:tc>
          <w:tcPr>
            <w:tcW w:w="106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5020" w:type="dxa"/>
            <w:vAlign w:val="bottom"/>
          </w:tcPr>
          <w:p>
            <w:pPr>
              <w:ind w:left="200"/>
              <w:spacing w:after="0"/>
              <w:rPr>
                <w:sz w:val="20"/>
                <w:szCs w:val="20"/>
                <w:color w:val="auto"/>
              </w:rPr>
            </w:pPr>
            <w:r>
              <w:rPr>
                <w:rFonts w:ascii="Arial Narrow" w:cs="Arial Narrow" w:eastAsia="Arial Narrow" w:hAnsi="Arial Narrow"/>
                <w:sz w:val="20"/>
                <w:szCs w:val="20"/>
                <w:b w:val="1"/>
                <w:bCs w:val="1"/>
                <w:color w:val="00085E"/>
              </w:rPr>
              <w:t>Other Nonoperating Income</w:t>
            </w:r>
          </w:p>
        </w:tc>
        <w:tc>
          <w:tcPr>
            <w:tcW w:w="220" w:type="dxa"/>
            <w:vAlign w:val="bottom"/>
          </w:tcPr>
          <w:p>
            <w:pPr>
              <w:spacing w:after="0"/>
              <w:rPr>
                <w:sz w:val="24"/>
                <w:szCs w:val="24"/>
                <w:color w:val="auto"/>
              </w:rPr>
            </w:pPr>
          </w:p>
        </w:tc>
        <w:tc>
          <w:tcPr>
            <w:tcW w:w="1200" w:type="dxa"/>
            <w:vAlign w:val="bottom"/>
          </w:tcPr>
          <w:p>
            <w:pPr>
              <w:jc w:val="right"/>
              <w:ind w:right="142"/>
              <w:spacing w:after="0"/>
              <w:rPr>
                <w:sz w:val="20"/>
                <w:szCs w:val="20"/>
                <w:color w:val="auto"/>
              </w:rPr>
            </w:pPr>
            <w:r>
              <w:rPr>
                <w:rFonts w:ascii="Arial Narrow" w:cs="Arial Narrow" w:eastAsia="Arial Narrow" w:hAnsi="Arial Narrow"/>
                <w:sz w:val="20"/>
                <w:szCs w:val="20"/>
                <w:color w:val="auto"/>
              </w:rPr>
              <w:t>5,108</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ind w:right="141"/>
              <w:spacing w:after="0"/>
              <w:rPr>
                <w:sz w:val="20"/>
                <w:szCs w:val="20"/>
                <w:color w:val="auto"/>
              </w:rPr>
            </w:pPr>
            <w:r>
              <w:rPr>
                <w:rFonts w:ascii="Arial Narrow" w:cs="Arial Narrow" w:eastAsia="Arial Narrow" w:hAnsi="Arial Narrow"/>
                <w:sz w:val="20"/>
                <w:szCs w:val="20"/>
                <w:color w:val="auto"/>
              </w:rPr>
              <w:t>6,420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ind w:right="81"/>
              <w:spacing w:after="0"/>
              <w:rPr>
                <w:sz w:val="20"/>
                <w:szCs w:val="20"/>
                <w:color w:val="auto"/>
              </w:rPr>
            </w:pPr>
            <w:r>
              <w:rPr>
                <w:rFonts w:ascii="Arial Narrow" w:cs="Arial Narrow" w:eastAsia="Arial Narrow" w:hAnsi="Arial Narrow"/>
                <w:sz w:val="20"/>
                <w:szCs w:val="20"/>
                <w:color w:val="auto"/>
              </w:rPr>
              <w:t>3,087</w:t>
            </w:r>
          </w:p>
        </w:tc>
        <w:tc>
          <w:tcPr>
            <w:tcW w:w="0" w:type="dxa"/>
            <w:vAlign w:val="bottom"/>
          </w:tcPr>
          <w:p>
            <w:pPr>
              <w:spacing w:after="0"/>
              <w:rPr>
                <w:sz w:val="1"/>
                <w:szCs w:val="1"/>
                <w:color w:val="auto"/>
              </w:rPr>
            </w:pPr>
          </w:p>
        </w:tc>
      </w:tr>
      <w:tr>
        <w:trPr>
          <w:trHeight w:val="65"/>
        </w:trPr>
        <w:tc>
          <w:tcPr>
            <w:tcW w:w="5020" w:type="dxa"/>
            <w:vAlign w:val="bottom"/>
            <w:tcBorders>
              <w:bottom w:val="single" w:sz="8" w:color="A6A6A6"/>
            </w:tcBorders>
          </w:tcPr>
          <w:p>
            <w:pPr>
              <w:spacing w:after="0"/>
              <w:rPr>
                <w:sz w:val="5"/>
                <w:szCs w:val="5"/>
                <w:color w:val="auto"/>
              </w:rPr>
            </w:pPr>
          </w:p>
        </w:tc>
        <w:tc>
          <w:tcPr>
            <w:tcW w:w="220" w:type="dxa"/>
            <w:vAlign w:val="bottom"/>
            <w:tcBorders>
              <w:bottom w:val="single" w:sz="8" w:color="A6A6A6"/>
            </w:tcBorders>
          </w:tcPr>
          <w:p>
            <w:pPr>
              <w:spacing w:after="0"/>
              <w:rPr>
                <w:sz w:val="5"/>
                <w:szCs w:val="5"/>
                <w:color w:val="auto"/>
              </w:rPr>
            </w:pPr>
          </w:p>
        </w:tc>
        <w:tc>
          <w:tcPr>
            <w:tcW w:w="120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240" w:type="dxa"/>
            <w:vAlign w:val="bottom"/>
            <w:tcBorders>
              <w:bottom w:val="single" w:sz="8" w:color="A6A6A6"/>
            </w:tcBorders>
          </w:tcPr>
          <w:p>
            <w:pPr>
              <w:spacing w:after="0"/>
              <w:rPr>
                <w:sz w:val="5"/>
                <w:szCs w:val="5"/>
                <w:color w:val="auto"/>
              </w:rPr>
            </w:pPr>
          </w:p>
        </w:tc>
        <w:tc>
          <w:tcPr>
            <w:tcW w:w="116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280" w:type="dxa"/>
            <w:vAlign w:val="bottom"/>
            <w:tcBorders>
              <w:bottom w:val="single" w:sz="8" w:color="A6A6A6"/>
            </w:tcBorders>
          </w:tcPr>
          <w:p>
            <w:pPr>
              <w:spacing w:after="0"/>
              <w:rPr>
                <w:sz w:val="5"/>
                <w:szCs w:val="5"/>
                <w:color w:val="auto"/>
              </w:rPr>
            </w:pPr>
          </w:p>
        </w:tc>
        <w:tc>
          <w:tcPr>
            <w:tcW w:w="106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5020" w:type="dxa"/>
            <w:vAlign w:val="bottom"/>
          </w:tcPr>
          <w:p>
            <w:pPr>
              <w:ind w:left="200"/>
              <w:spacing w:after="0"/>
              <w:rPr>
                <w:sz w:val="20"/>
                <w:szCs w:val="20"/>
                <w:color w:val="auto"/>
              </w:rPr>
            </w:pPr>
            <w:r>
              <w:rPr>
                <w:rFonts w:ascii="Arial Narrow" w:cs="Arial Narrow" w:eastAsia="Arial Narrow" w:hAnsi="Arial Narrow"/>
                <w:sz w:val="20"/>
                <w:szCs w:val="20"/>
                <w:b w:val="1"/>
                <w:bCs w:val="1"/>
                <w:color w:val="00085E"/>
              </w:rPr>
              <w:t>Interest Expense, net</w:t>
            </w:r>
          </w:p>
        </w:tc>
        <w:tc>
          <w:tcPr>
            <w:tcW w:w="220" w:type="dxa"/>
            <w:vAlign w:val="bottom"/>
          </w:tcPr>
          <w:p>
            <w:pPr>
              <w:spacing w:after="0"/>
              <w:rPr>
                <w:sz w:val="24"/>
                <w:szCs w:val="24"/>
                <w:color w:val="auto"/>
              </w:rPr>
            </w:pPr>
          </w:p>
        </w:tc>
        <w:tc>
          <w:tcPr>
            <w:tcW w:w="1200" w:type="dxa"/>
            <w:vAlign w:val="bottom"/>
          </w:tcPr>
          <w:p>
            <w:pPr>
              <w:jc w:val="right"/>
              <w:ind w:right="82"/>
              <w:spacing w:after="0"/>
              <w:rPr>
                <w:sz w:val="20"/>
                <w:szCs w:val="20"/>
                <w:color w:val="auto"/>
              </w:rPr>
            </w:pPr>
            <w:r>
              <w:rPr>
                <w:rFonts w:ascii="Arial Narrow" w:cs="Arial Narrow" w:eastAsia="Arial Narrow" w:hAnsi="Arial Narrow"/>
                <w:sz w:val="20"/>
                <w:szCs w:val="20"/>
                <w:color w:val="auto"/>
              </w:rPr>
              <w:t>(46,482)</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ind w:right="61"/>
              <w:spacing w:after="0"/>
              <w:rPr>
                <w:sz w:val="20"/>
                <w:szCs w:val="20"/>
                <w:color w:val="auto"/>
              </w:rPr>
            </w:pPr>
            <w:r>
              <w:rPr>
                <w:rFonts w:ascii="Arial Narrow" w:cs="Arial Narrow" w:eastAsia="Arial Narrow" w:hAnsi="Arial Narrow"/>
                <w:sz w:val="20"/>
                <w:szCs w:val="20"/>
                <w:color w:val="auto"/>
              </w:rPr>
              <w:t>(40,526)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ind w:right="21"/>
              <w:spacing w:after="0"/>
              <w:rPr>
                <w:sz w:val="20"/>
                <w:szCs w:val="20"/>
                <w:color w:val="auto"/>
              </w:rPr>
            </w:pPr>
            <w:r>
              <w:rPr>
                <w:rFonts w:ascii="Arial Narrow" w:cs="Arial Narrow" w:eastAsia="Arial Narrow" w:hAnsi="Arial Narrow"/>
                <w:sz w:val="20"/>
                <w:szCs w:val="20"/>
                <w:color w:val="auto"/>
              </w:rPr>
              <w:t>(42,257)</w:t>
            </w:r>
          </w:p>
        </w:tc>
        <w:tc>
          <w:tcPr>
            <w:tcW w:w="0" w:type="dxa"/>
            <w:vAlign w:val="bottom"/>
          </w:tcPr>
          <w:p>
            <w:pPr>
              <w:spacing w:after="0"/>
              <w:rPr>
                <w:sz w:val="1"/>
                <w:szCs w:val="1"/>
                <w:color w:val="auto"/>
              </w:rPr>
            </w:pPr>
          </w:p>
        </w:tc>
      </w:tr>
      <w:tr>
        <w:trPr>
          <w:trHeight w:val="90"/>
        </w:trPr>
        <w:tc>
          <w:tcPr>
            <w:tcW w:w="5020" w:type="dxa"/>
            <w:vAlign w:val="bottom"/>
            <w:tcBorders>
              <w:bottom w:val="single" w:sz="8" w:color="A6A6A6"/>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4"/>
        </w:trPr>
        <w:tc>
          <w:tcPr>
            <w:tcW w:w="5020" w:type="dxa"/>
            <w:vAlign w:val="bottom"/>
          </w:tcPr>
          <w:p>
            <w:pPr>
              <w:ind w:left="400"/>
              <w:spacing w:after="0"/>
              <w:rPr>
                <w:sz w:val="20"/>
                <w:szCs w:val="20"/>
                <w:color w:val="auto"/>
              </w:rPr>
            </w:pPr>
            <w:r>
              <w:rPr>
                <w:rFonts w:ascii="Arial Narrow" w:cs="Arial Narrow" w:eastAsia="Arial Narrow" w:hAnsi="Arial Narrow"/>
                <w:sz w:val="20"/>
                <w:szCs w:val="20"/>
                <w:b w:val="1"/>
                <w:bCs w:val="1"/>
                <w:color w:val="00085E"/>
              </w:rPr>
              <w:t>Earnings Before Income Taxes</w:t>
            </w:r>
          </w:p>
        </w:tc>
        <w:tc>
          <w:tcPr>
            <w:tcW w:w="220" w:type="dxa"/>
            <w:vAlign w:val="bottom"/>
          </w:tcPr>
          <w:p>
            <w:pPr>
              <w:spacing w:after="0"/>
              <w:rPr>
                <w:sz w:val="24"/>
                <w:szCs w:val="24"/>
                <w:color w:val="auto"/>
              </w:rPr>
            </w:pPr>
          </w:p>
        </w:tc>
        <w:tc>
          <w:tcPr>
            <w:tcW w:w="1200" w:type="dxa"/>
            <w:vAlign w:val="bottom"/>
          </w:tcPr>
          <w:p>
            <w:pPr>
              <w:jc w:val="right"/>
              <w:ind w:right="142"/>
              <w:spacing w:after="0"/>
              <w:rPr>
                <w:sz w:val="20"/>
                <w:szCs w:val="20"/>
                <w:color w:val="auto"/>
              </w:rPr>
            </w:pPr>
            <w:r>
              <w:rPr>
                <w:rFonts w:ascii="Arial Narrow" w:cs="Arial Narrow" w:eastAsia="Arial Narrow" w:hAnsi="Arial Narrow"/>
                <w:sz w:val="20"/>
                <w:szCs w:val="20"/>
                <w:color w:val="auto"/>
              </w:rPr>
              <w:t>541,976</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ind w:right="141"/>
              <w:spacing w:after="0"/>
              <w:rPr>
                <w:sz w:val="20"/>
                <w:szCs w:val="20"/>
                <w:color w:val="auto"/>
              </w:rPr>
            </w:pPr>
            <w:r>
              <w:rPr>
                <w:rFonts w:ascii="Arial Narrow" w:cs="Arial Narrow" w:eastAsia="Arial Narrow" w:hAnsi="Arial Narrow"/>
                <w:sz w:val="20"/>
                <w:szCs w:val="20"/>
                <w:color w:val="auto"/>
              </w:rPr>
              <w:t>591,485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ind w:right="81"/>
              <w:spacing w:after="0"/>
              <w:rPr>
                <w:sz w:val="20"/>
                <w:szCs w:val="20"/>
                <w:color w:val="auto"/>
              </w:rPr>
            </w:pPr>
            <w:r>
              <w:rPr>
                <w:rFonts w:ascii="Arial Narrow" w:cs="Arial Narrow" w:eastAsia="Arial Narrow" w:hAnsi="Arial Narrow"/>
                <w:sz w:val="20"/>
                <w:szCs w:val="20"/>
                <w:color w:val="auto"/>
              </w:rPr>
              <w:t>617,937</w:t>
            </w:r>
          </w:p>
        </w:tc>
        <w:tc>
          <w:tcPr>
            <w:tcW w:w="0" w:type="dxa"/>
            <w:vAlign w:val="bottom"/>
          </w:tcPr>
          <w:p>
            <w:pPr>
              <w:spacing w:after="0"/>
              <w:rPr>
                <w:sz w:val="1"/>
                <w:szCs w:val="1"/>
                <w:color w:val="auto"/>
              </w:rPr>
            </w:pPr>
          </w:p>
        </w:tc>
      </w:tr>
      <w:tr>
        <w:trPr>
          <w:trHeight w:val="65"/>
        </w:trPr>
        <w:tc>
          <w:tcPr>
            <w:tcW w:w="5020" w:type="dxa"/>
            <w:vAlign w:val="bottom"/>
            <w:tcBorders>
              <w:bottom w:val="single" w:sz="8" w:color="A6A6A6"/>
            </w:tcBorders>
          </w:tcPr>
          <w:p>
            <w:pPr>
              <w:spacing w:after="0"/>
              <w:rPr>
                <w:sz w:val="5"/>
                <w:szCs w:val="5"/>
                <w:color w:val="auto"/>
              </w:rPr>
            </w:pPr>
          </w:p>
        </w:tc>
        <w:tc>
          <w:tcPr>
            <w:tcW w:w="220" w:type="dxa"/>
            <w:vAlign w:val="bottom"/>
            <w:tcBorders>
              <w:bottom w:val="single" w:sz="8" w:color="A6A6A6"/>
            </w:tcBorders>
          </w:tcPr>
          <w:p>
            <w:pPr>
              <w:spacing w:after="0"/>
              <w:rPr>
                <w:sz w:val="5"/>
                <w:szCs w:val="5"/>
                <w:color w:val="auto"/>
              </w:rPr>
            </w:pPr>
          </w:p>
        </w:tc>
        <w:tc>
          <w:tcPr>
            <w:tcW w:w="120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240" w:type="dxa"/>
            <w:vAlign w:val="bottom"/>
            <w:tcBorders>
              <w:bottom w:val="single" w:sz="8" w:color="A6A6A6"/>
            </w:tcBorders>
          </w:tcPr>
          <w:p>
            <w:pPr>
              <w:spacing w:after="0"/>
              <w:rPr>
                <w:sz w:val="5"/>
                <w:szCs w:val="5"/>
                <w:color w:val="auto"/>
              </w:rPr>
            </w:pPr>
          </w:p>
        </w:tc>
        <w:tc>
          <w:tcPr>
            <w:tcW w:w="116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280" w:type="dxa"/>
            <w:vAlign w:val="bottom"/>
            <w:tcBorders>
              <w:bottom w:val="single" w:sz="8" w:color="A6A6A6"/>
            </w:tcBorders>
          </w:tcPr>
          <w:p>
            <w:pPr>
              <w:spacing w:after="0"/>
              <w:rPr>
                <w:sz w:val="5"/>
                <w:szCs w:val="5"/>
                <w:color w:val="auto"/>
              </w:rPr>
            </w:pPr>
          </w:p>
        </w:tc>
        <w:tc>
          <w:tcPr>
            <w:tcW w:w="106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5020" w:type="dxa"/>
            <w:vAlign w:val="bottom"/>
          </w:tcPr>
          <w:p>
            <w:pPr>
              <w:ind w:left="200"/>
              <w:spacing w:after="0"/>
              <w:rPr>
                <w:sz w:val="20"/>
                <w:szCs w:val="20"/>
                <w:color w:val="auto"/>
              </w:rPr>
            </w:pPr>
            <w:r>
              <w:rPr>
                <w:rFonts w:ascii="Arial Narrow" w:cs="Arial Narrow" w:eastAsia="Arial Narrow" w:hAnsi="Arial Narrow"/>
                <w:sz w:val="20"/>
                <w:szCs w:val="20"/>
                <w:b w:val="1"/>
                <w:bCs w:val="1"/>
                <w:color w:val="00085E"/>
              </w:rPr>
              <w:t>Income Taxes</w:t>
            </w:r>
          </w:p>
        </w:tc>
        <w:tc>
          <w:tcPr>
            <w:tcW w:w="220" w:type="dxa"/>
            <w:vAlign w:val="bottom"/>
          </w:tcPr>
          <w:p>
            <w:pPr>
              <w:spacing w:after="0"/>
              <w:rPr>
                <w:sz w:val="24"/>
                <w:szCs w:val="24"/>
                <w:color w:val="auto"/>
              </w:rPr>
            </w:pPr>
          </w:p>
        </w:tc>
        <w:tc>
          <w:tcPr>
            <w:tcW w:w="1200" w:type="dxa"/>
            <w:vAlign w:val="bottom"/>
          </w:tcPr>
          <w:p>
            <w:pPr>
              <w:jc w:val="right"/>
              <w:ind w:right="82"/>
              <w:spacing w:after="0"/>
              <w:rPr>
                <w:sz w:val="20"/>
                <w:szCs w:val="20"/>
                <w:color w:val="auto"/>
              </w:rPr>
            </w:pPr>
            <w:r>
              <w:rPr>
                <w:rFonts w:ascii="Arial Narrow" w:cs="Arial Narrow" w:eastAsia="Arial Narrow" w:hAnsi="Arial Narrow"/>
                <w:sz w:val="20"/>
                <w:szCs w:val="20"/>
                <w:color w:val="auto"/>
              </w:rPr>
              <w:t>(118,167)</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ind w:right="61"/>
              <w:spacing w:after="0"/>
              <w:rPr>
                <w:sz w:val="20"/>
                <w:szCs w:val="20"/>
                <w:color w:val="auto"/>
              </w:rPr>
            </w:pPr>
            <w:r>
              <w:rPr>
                <w:rFonts w:ascii="Arial Narrow" w:cs="Arial Narrow" w:eastAsia="Arial Narrow" w:hAnsi="Arial Narrow"/>
                <w:sz w:val="20"/>
                <w:szCs w:val="20"/>
                <w:color w:val="auto"/>
              </w:rPr>
              <w:t>(128,069)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ind w:right="21"/>
              <w:spacing w:after="0"/>
              <w:rPr>
                <w:sz w:val="20"/>
                <w:szCs w:val="20"/>
                <w:color w:val="auto"/>
              </w:rPr>
            </w:pPr>
            <w:r>
              <w:rPr>
                <w:rFonts w:ascii="Arial Narrow" w:cs="Arial Narrow" w:eastAsia="Arial Narrow" w:hAnsi="Arial Narrow"/>
                <w:sz w:val="20"/>
                <w:szCs w:val="20"/>
                <w:color w:val="auto"/>
              </w:rPr>
              <w:t>(140,298)</w:t>
            </w:r>
          </w:p>
        </w:tc>
        <w:tc>
          <w:tcPr>
            <w:tcW w:w="0" w:type="dxa"/>
            <w:vAlign w:val="bottom"/>
          </w:tcPr>
          <w:p>
            <w:pPr>
              <w:spacing w:after="0"/>
              <w:rPr>
                <w:sz w:val="1"/>
                <w:szCs w:val="1"/>
                <w:color w:val="auto"/>
              </w:rPr>
            </w:pPr>
          </w:p>
        </w:tc>
      </w:tr>
      <w:tr>
        <w:trPr>
          <w:trHeight w:val="90"/>
        </w:trPr>
        <w:tc>
          <w:tcPr>
            <w:tcW w:w="5020" w:type="dxa"/>
            <w:vAlign w:val="bottom"/>
            <w:tcBorders>
              <w:bottom w:val="single" w:sz="8" w:color="A6A6A6"/>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4"/>
        </w:trPr>
        <w:tc>
          <w:tcPr>
            <w:tcW w:w="5020" w:type="dxa"/>
            <w:vAlign w:val="bottom"/>
          </w:tcPr>
          <w:p>
            <w:pPr>
              <w:ind w:left="400"/>
              <w:spacing w:after="0"/>
              <w:rPr>
                <w:sz w:val="20"/>
                <w:szCs w:val="20"/>
                <w:color w:val="auto"/>
              </w:rPr>
            </w:pPr>
            <w:r>
              <w:rPr>
                <w:rFonts w:ascii="Arial Narrow" w:cs="Arial Narrow" w:eastAsia="Arial Narrow" w:hAnsi="Arial Narrow"/>
                <w:sz w:val="20"/>
                <w:szCs w:val="20"/>
                <w:b w:val="1"/>
                <w:bCs w:val="1"/>
                <w:color w:val="auto"/>
              </w:rPr>
              <w:t>Net Earnings</w:t>
            </w:r>
          </w:p>
        </w:tc>
        <w:tc>
          <w:tcPr>
            <w:tcW w:w="220" w:type="dxa"/>
            <w:vAlign w:val="bottom"/>
          </w:tcPr>
          <w:p>
            <w:pPr>
              <w:jc w:val="right"/>
              <w:ind w:right="20"/>
              <w:spacing w:after="0"/>
              <w:rPr>
                <w:sz w:val="20"/>
                <w:szCs w:val="20"/>
                <w:color w:val="auto"/>
              </w:rPr>
            </w:pPr>
            <w:r>
              <w:rPr>
                <w:rFonts w:ascii="Arial Narrow" w:cs="Arial Narrow" w:eastAsia="Arial Narrow" w:hAnsi="Arial Narrow"/>
                <w:sz w:val="20"/>
                <w:szCs w:val="20"/>
                <w:b w:val="1"/>
                <w:bCs w:val="1"/>
                <w:color w:val="auto"/>
                <w:w w:val="87"/>
              </w:rPr>
              <w:t>$</w:t>
            </w:r>
          </w:p>
        </w:tc>
        <w:tc>
          <w:tcPr>
            <w:tcW w:w="1200" w:type="dxa"/>
            <w:vAlign w:val="bottom"/>
          </w:tcPr>
          <w:p>
            <w:pPr>
              <w:jc w:val="right"/>
              <w:ind w:right="142"/>
              <w:spacing w:after="0"/>
              <w:rPr>
                <w:sz w:val="20"/>
                <w:szCs w:val="20"/>
                <w:color w:val="auto"/>
              </w:rPr>
            </w:pPr>
            <w:r>
              <w:rPr>
                <w:rFonts w:ascii="Arial Narrow" w:cs="Arial Narrow" w:eastAsia="Arial Narrow" w:hAnsi="Arial Narrow"/>
                <w:sz w:val="20"/>
                <w:szCs w:val="20"/>
                <w:b w:val="1"/>
                <w:bCs w:val="1"/>
                <w:color w:val="auto"/>
              </w:rPr>
              <w:t>423,809</w:t>
            </w:r>
          </w:p>
        </w:tc>
        <w:tc>
          <w:tcPr>
            <w:tcW w:w="320" w:type="dxa"/>
            <w:vAlign w:val="bottom"/>
            <w:gridSpan w:val="2"/>
          </w:tcPr>
          <w:p>
            <w:pPr>
              <w:jc w:val="right"/>
              <w:ind w:right="120"/>
              <w:spacing w:after="0"/>
              <w:rPr>
                <w:sz w:val="20"/>
                <w:szCs w:val="20"/>
                <w:color w:val="auto"/>
              </w:rPr>
            </w:pPr>
            <w:r>
              <w:rPr>
                <w:rFonts w:ascii="Arial Narrow" w:cs="Arial Narrow" w:eastAsia="Arial Narrow" w:hAnsi="Arial Narrow"/>
                <w:sz w:val="20"/>
                <w:szCs w:val="20"/>
                <w:b w:val="1"/>
                <w:bCs w:val="1"/>
                <w:color w:val="auto"/>
              </w:rPr>
              <w:t>$</w:t>
            </w:r>
          </w:p>
        </w:tc>
        <w:tc>
          <w:tcPr>
            <w:tcW w:w="1160" w:type="dxa"/>
            <w:vAlign w:val="bottom"/>
          </w:tcPr>
          <w:p>
            <w:pPr>
              <w:jc w:val="right"/>
              <w:ind w:right="141"/>
              <w:spacing w:after="0"/>
              <w:rPr>
                <w:sz w:val="20"/>
                <w:szCs w:val="20"/>
                <w:color w:val="auto"/>
              </w:rPr>
            </w:pPr>
            <w:r>
              <w:rPr>
                <w:rFonts w:ascii="Arial Narrow" w:cs="Arial Narrow" w:eastAsia="Arial Narrow" w:hAnsi="Arial Narrow"/>
                <w:sz w:val="20"/>
                <w:szCs w:val="20"/>
                <w:b w:val="1"/>
                <w:bCs w:val="1"/>
                <w:color w:val="auto"/>
              </w:rPr>
              <w:t>463,416</w:t>
            </w:r>
          </w:p>
        </w:tc>
        <w:tc>
          <w:tcPr>
            <w:tcW w:w="380" w:type="dxa"/>
            <w:vAlign w:val="bottom"/>
            <w:gridSpan w:val="2"/>
          </w:tcPr>
          <w:p>
            <w:pPr>
              <w:jc w:val="right"/>
              <w:ind w:right="160"/>
              <w:spacing w:after="0"/>
              <w:rPr>
                <w:sz w:val="20"/>
                <w:szCs w:val="20"/>
                <w:color w:val="auto"/>
              </w:rPr>
            </w:pPr>
            <w:r>
              <w:rPr>
                <w:rFonts w:ascii="Arial Narrow" w:cs="Arial Narrow" w:eastAsia="Arial Narrow" w:hAnsi="Arial Narrow"/>
                <w:sz w:val="20"/>
                <w:szCs w:val="20"/>
                <w:b w:val="1"/>
                <w:bCs w:val="1"/>
                <w:color w:val="auto"/>
              </w:rPr>
              <w:t>$</w:t>
            </w:r>
          </w:p>
        </w:tc>
        <w:tc>
          <w:tcPr>
            <w:tcW w:w="1060" w:type="dxa"/>
            <w:vAlign w:val="bottom"/>
          </w:tcPr>
          <w:p>
            <w:pPr>
              <w:jc w:val="right"/>
              <w:ind w:right="81"/>
              <w:spacing w:after="0"/>
              <w:rPr>
                <w:sz w:val="20"/>
                <w:szCs w:val="20"/>
                <w:color w:val="auto"/>
              </w:rPr>
            </w:pPr>
            <w:r>
              <w:rPr>
                <w:rFonts w:ascii="Arial Narrow" w:cs="Arial Narrow" w:eastAsia="Arial Narrow" w:hAnsi="Arial Narrow"/>
                <w:sz w:val="20"/>
                <w:szCs w:val="20"/>
                <w:b w:val="1"/>
                <w:bCs w:val="1"/>
                <w:color w:val="auto"/>
              </w:rPr>
              <w:t>477,639</w:t>
            </w:r>
          </w:p>
        </w:tc>
        <w:tc>
          <w:tcPr>
            <w:tcW w:w="0" w:type="dxa"/>
            <w:vAlign w:val="bottom"/>
          </w:tcPr>
          <w:p>
            <w:pPr>
              <w:spacing w:after="0"/>
              <w:rPr>
                <w:sz w:val="1"/>
                <w:szCs w:val="1"/>
                <w:color w:val="auto"/>
              </w:rPr>
            </w:pPr>
          </w:p>
        </w:tc>
      </w:tr>
      <w:tr>
        <w:trPr>
          <w:trHeight w:val="65"/>
        </w:trPr>
        <w:tc>
          <w:tcPr>
            <w:tcW w:w="5020" w:type="dxa"/>
            <w:vAlign w:val="bottom"/>
            <w:tcBorders>
              <w:bottom w:val="single" w:sz="8" w:color="A6A6A6"/>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Arial Narrow" w:cs="Arial Narrow" w:eastAsia="Arial Narrow" w:hAnsi="Arial Narrow"/>
                <w:sz w:val="20"/>
                <w:szCs w:val="20"/>
                <w:b w:val="1"/>
                <w:bCs w:val="1"/>
                <w:color w:val="auto"/>
              </w:rPr>
              <w:t>EARNINGS PER SHARE</w:t>
            </w: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50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5020" w:type="dxa"/>
            <w:vAlign w:val="bottom"/>
            <w:tcBorders>
              <w:bottom w:val="single" w:sz="8" w:color="A6A6A6"/>
            </w:tcBorders>
          </w:tcPr>
          <w:p>
            <w:pPr>
              <w:spacing w:after="0"/>
              <w:rPr>
                <w:sz w:val="5"/>
                <w:szCs w:val="5"/>
                <w:color w:val="auto"/>
              </w:rPr>
            </w:pPr>
          </w:p>
        </w:tc>
        <w:tc>
          <w:tcPr>
            <w:tcW w:w="220" w:type="dxa"/>
            <w:vAlign w:val="bottom"/>
            <w:tcBorders>
              <w:bottom w:val="single" w:sz="8" w:color="A6A6A6"/>
            </w:tcBorders>
          </w:tcPr>
          <w:p>
            <w:pPr>
              <w:spacing w:after="0"/>
              <w:rPr>
                <w:sz w:val="5"/>
                <w:szCs w:val="5"/>
                <w:color w:val="auto"/>
              </w:rPr>
            </w:pPr>
          </w:p>
        </w:tc>
        <w:tc>
          <w:tcPr>
            <w:tcW w:w="1200" w:type="dxa"/>
            <w:vAlign w:val="bottom"/>
            <w:tcBorders>
              <w:bottom w:val="single" w:sz="8" w:color="A6A6A6"/>
            </w:tcBorders>
          </w:tcPr>
          <w:p>
            <w:pPr>
              <w:spacing w:after="0"/>
              <w:rPr>
                <w:sz w:val="5"/>
                <w:szCs w:val="5"/>
                <w:color w:val="auto"/>
              </w:rPr>
            </w:pPr>
          </w:p>
        </w:tc>
        <w:tc>
          <w:tcPr>
            <w:tcW w:w="320" w:type="dxa"/>
            <w:vAlign w:val="bottom"/>
            <w:tcBorders>
              <w:bottom w:val="single" w:sz="8" w:color="A6A6A6"/>
            </w:tcBorders>
            <w:gridSpan w:val="2"/>
          </w:tcPr>
          <w:p>
            <w:pPr>
              <w:spacing w:after="0"/>
              <w:rPr>
                <w:sz w:val="5"/>
                <w:szCs w:val="5"/>
                <w:color w:val="auto"/>
              </w:rPr>
            </w:pPr>
          </w:p>
        </w:tc>
        <w:tc>
          <w:tcPr>
            <w:tcW w:w="1160" w:type="dxa"/>
            <w:vAlign w:val="bottom"/>
            <w:tcBorders>
              <w:bottom w:val="single" w:sz="8" w:color="A6A6A6"/>
            </w:tcBorders>
          </w:tcPr>
          <w:p>
            <w:pPr>
              <w:spacing w:after="0"/>
              <w:rPr>
                <w:sz w:val="5"/>
                <w:szCs w:val="5"/>
                <w:color w:val="auto"/>
              </w:rPr>
            </w:pPr>
          </w:p>
        </w:tc>
        <w:tc>
          <w:tcPr>
            <w:tcW w:w="380" w:type="dxa"/>
            <w:vAlign w:val="bottom"/>
            <w:tcBorders>
              <w:bottom w:val="single" w:sz="8" w:color="A6A6A6"/>
            </w:tcBorders>
            <w:gridSpan w:val="2"/>
          </w:tcPr>
          <w:p>
            <w:pPr>
              <w:spacing w:after="0"/>
              <w:rPr>
                <w:sz w:val="5"/>
                <w:szCs w:val="5"/>
                <w:color w:val="auto"/>
              </w:rPr>
            </w:pPr>
          </w:p>
        </w:tc>
        <w:tc>
          <w:tcPr>
            <w:tcW w:w="106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5020" w:type="dxa"/>
            <w:vAlign w:val="bottom"/>
          </w:tcPr>
          <w:p>
            <w:pPr>
              <w:ind w:left="200"/>
              <w:spacing w:after="0"/>
              <w:rPr>
                <w:sz w:val="20"/>
                <w:szCs w:val="20"/>
                <w:color w:val="auto"/>
              </w:rPr>
            </w:pPr>
            <w:r>
              <w:rPr>
                <w:rFonts w:ascii="Arial Narrow" w:cs="Arial Narrow" w:eastAsia="Arial Narrow" w:hAnsi="Arial Narrow"/>
                <w:sz w:val="20"/>
                <w:szCs w:val="20"/>
                <w:b w:val="1"/>
                <w:bCs w:val="1"/>
                <w:color w:val="00085E"/>
              </w:rPr>
              <w:t>Basic</w:t>
            </w:r>
          </w:p>
        </w:tc>
        <w:tc>
          <w:tcPr>
            <w:tcW w:w="220" w:type="dxa"/>
            <w:vAlign w:val="bottom"/>
          </w:tcPr>
          <w:p>
            <w:pPr>
              <w:jc w:val="right"/>
              <w:ind w:right="20"/>
              <w:spacing w:after="0"/>
              <w:rPr>
                <w:sz w:val="20"/>
                <w:szCs w:val="20"/>
                <w:color w:val="auto"/>
              </w:rPr>
            </w:pPr>
            <w:r>
              <w:rPr>
                <w:rFonts w:ascii="Arial Narrow" w:cs="Arial Narrow" w:eastAsia="Arial Narrow" w:hAnsi="Arial Narrow"/>
                <w:sz w:val="20"/>
                <w:szCs w:val="20"/>
                <w:color w:val="auto"/>
                <w:w w:val="87"/>
              </w:rPr>
              <w:t>$</w:t>
            </w:r>
          </w:p>
        </w:tc>
        <w:tc>
          <w:tcPr>
            <w:tcW w:w="1200" w:type="dxa"/>
            <w:vAlign w:val="bottom"/>
          </w:tcPr>
          <w:p>
            <w:pPr>
              <w:jc w:val="right"/>
              <w:ind w:right="142"/>
              <w:spacing w:after="0"/>
              <w:rPr>
                <w:sz w:val="20"/>
                <w:szCs w:val="20"/>
                <w:color w:val="auto"/>
              </w:rPr>
            </w:pPr>
            <w:r>
              <w:rPr>
                <w:rFonts w:ascii="Arial Narrow" w:cs="Arial Narrow" w:eastAsia="Arial Narrow" w:hAnsi="Arial Narrow"/>
                <w:sz w:val="20"/>
                <w:szCs w:val="20"/>
                <w:color w:val="auto"/>
              </w:rPr>
              <w:t>13.24</w:t>
            </w:r>
          </w:p>
        </w:tc>
        <w:tc>
          <w:tcPr>
            <w:tcW w:w="320" w:type="dxa"/>
            <w:vAlign w:val="bottom"/>
            <w:gridSpan w:val="2"/>
          </w:tcPr>
          <w:p>
            <w:pPr>
              <w:jc w:val="right"/>
              <w:ind w:right="140"/>
              <w:spacing w:after="0"/>
              <w:rPr>
                <w:sz w:val="20"/>
                <w:szCs w:val="20"/>
                <w:color w:val="auto"/>
              </w:rPr>
            </w:pPr>
            <w:r>
              <w:rPr>
                <w:rFonts w:ascii="Arial Narrow" w:cs="Arial Narrow" w:eastAsia="Arial Narrow" w:hAnsi="Arial Narrow"/>
                <w:sz w:val="20"/>
                <w:szCs w:val="20"/>
                <w:color w:val="auto"/>
              </w:rPr>
              <w:t>$</w:t>
            </w:r>
          </w:p>
        </w:tc>
        <w:tc>
          <w:tcPr>
            <w:tcW w:w="1160" w:type="dxa"/>
            <w:vAlign w:val="bottom"/>
          </w:tcPr>
          <w:p>
            <w:pPr>
              <w:jc w:val="right"/>
              <w:ind w:right="141"/>
              <w:spacing w:after="0"/>
              <w:rPr>
                <w:sz w:val="20"/>
                <w:szCs w:val="20"/>
                <w:color w:val="auto"/>
              </w:rPr>
            </w:pPr>
            <w:r>
              <w:rPr>
                <w:rFonts w:ascii="Arial Narrow" w:cs="Arial Narrow" w:eastAsia="Arial Narrow" w:hAnsi="Arial Narrow"/>
                <w:sz w:val="20"/>
                <w:szCs w:val="20"/>
                <w:color w:val="auto"/>
              </w:rPr>
              <w:t>13.88</w:t>
            </w:r>
          </w:p>
        </w:tc>
        <w:tc>
          <w:tcPr>
            <w:tcW w:w="380" w:type="dxa"/>
            <w:vAlign w:val="bottom"/>
            <w:gridSpan w:val="2"/>
          </w:tcPr>
          <w:p>
            <w:pPr>
              <w:jc w:val="right"/>
              <w:ind w:right="200"/>
              <w:spacing w:after="0"/>
              <w:rPr>
                <w:sz w:val="20"/>
                <w:szCs w:val="20"/>
                <w:color w:val="auto"/>
              </w:rPr>
            </w:pPr>
            <w:r>
              <w:rPr>
                <w:rFonts w:ascii="Arial Narrow" w:cs="Arial Narrow" w:eastAsia="Arial Narrow" w:hAnsi="Arial Narrow"/>
                <w:sz w:val="20"/>
                <w:szCs w:val="20"/>
                <w:color w:val="auto"/>
              </w:rPr>
              <w:t>$</w:t>
            </w:r>
          </w:p>
        </w:tc>
        <w:tc>
          <w:tcPr>
            <w:tcW w:w="1060" w:type="dxa"/>
            <w:vAlign w:val="bottom"/>
          </w:tcPr>
          <w:p>
            <w:pPr>
              <w:jc w:val="right"/>
              <w:ind w:right="81"/>
              <w:spacing w:after="0"/>
              <w:rPr>
                <w:sz w:val="20"/>
                <w:szCs w:val="20"/>
                <w:color w:val="auto"/>
              </w:rPr>
            </w:pPr>
            <w:r>
              <w:rPr>
                <w:rFonts w:ascii="Arial Narrow" w:cs="Arial Narrow" w:eastAsia="Arial Narrow" w:hAnsi="Arial Narrow"/>
                <w:sz w:val="20"/>
                <w:szCs w:val="20"/>
                <w:color w:val="auto"/>
              </w:rPr>
              <w:t>13.72</w:t>
            </w:r>
          </w:p>
        </w:tc>
        <w:tc>
          <w:tcPr>
            <w:tcW w:w="0" w:type="dxa"/>
            <w:vAlign w:val="bottom"/>
          </w:tcPr>
          <w:p>
            <w:pPr>
              <w:spacing w:after="0"/>
              <w:rPr>
                <w:sz w:val="1"/>
                <w:szCs w:val="1"/>
                <w:color w:val="auto"/>
              </w:rPr>
            </w:pPr>
          </w:p>
        </w:tc>
      </w:tr>
      <w:tr>
        <w:trPr>
          <w:trHeight w:val="65"/>
        </w:trPr>
        <w:tc>
          <w:tcPr>
            <w:tcW w:w="5020" w:type="dxa"/>
            <w:vAlign w:val="bottom"/>
            <w:tcBorders>
              <w:bottom w:val="single" w:sz="8" w:color="A6A6A6"/>
            </w:tcBorders>
          </w:tcPr>
          <w:p>
            <w:pPr>
              <w:spacing w:after="0"/>
              <w:rPr>
                <w:sz w:val="5"/>
                <w:szCs w:val="5"/>
                <w:color w:val="auto"/>
              </w:rPr>
            </w:pPr>
          </w:p>
        </w:tc>
        <w:tc>
          <w:tcPr>
            <w:tcW w:w="220" w:type="dxa"/>
            <w:vAlign w:val="bottom"/>
            <w:tcBorders>
              <w:bottom w:val="single" w:sz="8" w:color="A6A6A6"/>
            </w:tcBorders>
          </w:tcPr>
          <w:p>
            <w:pPr>
              <w:spacing w:after="0"/>
              <w:rPr>
                <w:sz w:val="5"/>
                <w:szCs w:val="5"/>
                <w:color w:val="auto"/>
              </w:rPr>
            </w:pPr>
          </w:p>
        </w:tc>
        <w:tc>
          <w:tcPr>
            <w:tcW w:w="120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240" w:type="dxa"/>
            <w:vAlign w:val="bottom"/>
            <w:tcBorders>
              <w:bottom w:val="single" w:sz="8" w:color="A6A6A6"/>
            </w:tcBorders>
          </w:tcPr>
          <w:p>
            <w:pPr>
              <w:spacing w:after="0"/>
              <w:rPr>
                <w:sz w:val="5"/>
                <w:szCs w:val="5"/>
                <w:color w:val="auto"/>
              </w:rPr>
            </w:pPr>
          </w:p>
        </w:tc>
        <w:tc>
          <w:tcPr>
            <w:tcW w:w="116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280" w:type="dxa"/>
            <w:vAlign w:val="bottom"/>
            <w:tcBorders>
              <w:bottom w:val="single" w:sz="8" w:color="A6A6A6"/>
            </w:tcBorders>
          </w:tcPr>
          <w:p>
            <w:pPr>
              <w:spacing w:after="0"/>
              <w:rPr>
                <w:sz w:val="5"/>
                <w:szCs w:val="5"/>
                <w:color w:val="auto"/>
              </w:rPr>
            </w:pPr>
          </w:p>
        </w:tc>
        <w:tc>
          <w:tcPr>
            <w:tcW w:w="106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5020" w:type="dxa"/>
            <w:vAlign w:val="bottom"/>
          </w:tcPr>
          <w:p>
            <w:pPr>
              <w:ind w:left="200"/>
              <w:spacing w:after="0"/>
              <w:rPr>
                <w:sz w:val="20"/>
                <w:szCs w:val="20"/>
                <w:color w:val="auto"/>
              </w:rPr>
            </w:pPr>
            <w:r>
              <w:rPr>
                <w:rFonts w:ascii="Arial Narrow" w:cs="Arial Narrow" w:eastAsia="Arial Narrow" w:hAnsi="Arial Narrow"/>
                <w:sz w:val="20"/>
                <w:szCs w:val="20"/>
                <w:b w:val="1"/>
                <w:bCs w:val="1"/>
                <w:color w:val="00085E"/>
              </w:rPr>
              <w:t>Diluted</w:t>
            </w:r>
          </w:p>
        </w:tc>
        <w:tc>
          <w:tcPr>
            <w:tcW w:w="220" w:type="dxa"/>
            <w:vAlign w:val="bottom"/>
          </w:tcPr>
          <w:p>
            <w:pPr>
              <w:spacing w:after="0"/>
              <w:rPr>
                <w:sz w:val="24"/>
                <w:szCs w:val="24"/>
                <w:color w:val="auto"/>
              </w:rPr>
            </w:pPr>
          </w:p>
        </w:tc>
        <w:tc>
          <w:tcPr>
            <w:tcW w:w="1200" w:type="dxa"/>
            <w:vAlign w:val="bottom"/>
          </w:tcPr>
          <w:p>
            <w:pPr>
              <w:jc w:val="right"/>
              <w:ind w:right="142"/>
              <w:spacing w:after="0"/>
              <w:rPr>
                <w:sz w:val="20"/>
                <w:szCs w:val="20"/>
                <w:color w:val="auto"/>
              </w:rPr>
            </w:pPr>
            <w:r>
              <w:rPr>
                <w:rFonts w:ascii="Arial Narrow" w:cs="Arial Narrow" w:eastAsia="Arial Narrow" w:hAnsi="Arial Narrow"/>
                <w:sz w:val="20"/>
                <w:szCs w:val="20"/>
                <w:color w:val="auto"/>
              </w:rPr>
              <w:t>13.16</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ind w:right="141"/>
              <w:spacing w:after="0"/>
              <w:rPr>
                <w:sz w:val="20"/>
                <w:szCs w:val="20"/>
                <w:color w:val="auto"/>
              </w:rPr>
            </w:pPr>
            <w:r>
              <w:rPr>
                <w:rFonts w:ascii="Arial Narrow" w:cs="Arial Narrow" w:eastAsia="Arial Narrow" w:hAnsi="Arial Narrow"/>
                <w:sz w:val="20"/>
                <w:szCs w:val="20"/>
                <w:color w:val="auto"/>
              </w:rPr>
              <w:t>13.77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ind w:right="81"/>
              <w:spacing w:after="0"/>
              <w:rPr>
                <w:sz w:val="20"/>
                <w:szCs w:val="20"/>
                <w:color w:val="auto"/>
              </w:rPr>
            </w:pPr>
            <w:r>
              <w:rPr>
                <w:rFonts w:ascii="Arial Narrow" w:cs="Arial Narrow" w:eastAsia="Arial Narrow" w:hAnsi="Arial Narrow"/>
                <w:sz w:val="20"/>
                <w:szCs w:val="20"/>
                <w:color w:val="auto"/>
              </w:rPr>
              <w:t>13.61</w:t>
            </w:r>
          </w:p>
        </w:tc>
        <w:tc>
          <w:tcPr>
            <w:tcW w:w="0" w:type="dxa"/>
            <w:vAlign w:val="bottom"/>
          </w:tcPr>
          <w:p>
            <w:pPr>
              <w:spacing w:after="0"/>
              <w:rPr>
                <w:sz w:val="1"/>
                <w:szCs w:val="1"/>
                <w:color w:val="auto"/>
              </w:rPr>
            </w:pPr>
          </w:p>
        </w:tc>
      </w:tr>
      <w:tr>
        <w:trPr>
          <w:trHeight w:val="65"/>
        </w:trPr>
        <w:tc>
          <w:tcPr>
            <w:tcW w:w="5020" w:type="dxa"/>
            <w:vAlign w:val="bottom"/>
            <w:tcBorders>
              <w:bottom w:val="single" w:sz="8" w:color="A6A6A6"/>
            </w:tcBorders>
          </w:tcPr>
          <w:p>
            <w:pPr>
              <w:spacing w:after="0"/>
              <w:rPr>
                <w:sz w:val="5"/>
                <w:szCs w:val="5"/>
                <w:color w:val="auto"/>
              </w:rPr>
            </w:pPr>
          </w:p>
        </w:tc>
        <w:tc>
          <w:tcPr>
            <w:tcW w:w="220" w:type="dxa"/>
            <w:vAlign w:val="bottom"/>
            <w:tcBorders>
              <w:bottom w:val="single" w:sz="8" w:color="A6A6A6"/>
            </w:tcBorders>
          </w:tcPr>
          <w:p>
            <w:pPr>
              <w:spacing w:after="0"/>
              <w:rPr>
                <w:sz w:val="5"/>
                <w:szCs w:val="5"/>
                <w:color w:val="auto"/>
              </w:rPr>
            </w:pPr>
          </w:p>
        </w:tc>
        <w:tc>
          <w:tcPr>
            <w:tcW w:w="120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240" w:type="dxa"/>
            <w:vAlign w:val="bottom"/>
            <w:tcBorders>
              <w:bottom w:val="single" w:sz="8" w:color="A6A6A6"/>
            </w:tcBorders>
          </w:tcPr>
          <w:p>
            <w:pPr>
              <w:spacing w:after="0"/>
              <w:rPr>
                <w:sz w:val="5"/>
                <w:szCs w:val="5"/>
                <w:color w:val="auto"/>
              </w:rPr>
            </w:pPr>
          </w:p>
        </w:tc>
        <w:tc>
          <w:tcPr>
            <w:tcW w:w="116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280" w:type="dxa"/>
            <w:vAlign w:val="bottom"/>
            <w:tcBorders>
              <w:bottom w:val="single" w:sz="8" w:color="A6A6A6"/>
            </w:tcBorders>
          </w:tcPr>
          <w:p>
            <w:pPr>
              <w:spacing w:after="0"/>
              <w:rPr>
                <w:sz w:val="5"/>
                <w:szCs w:val="5"/>
                <w:color w:val="auto"/>
              </w:rPr>
            </w:pPr>
          </w:p>
        </w:tc>
        <w:tc>
          <w:tcPr>
            <w:tcW w:w="106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5020" w:type="dxa"/>
            <w:vAlign w:val="bottom"/>
          </w:tcPr>
          <w:p>
            <w:pPr>
              <w:spacing w:after="0"/>
              <w:rPr>
                <w:sz w:val="20"/>
                <w:szCs w:val="20"/>
                <w:color w:val="auto"/>
              </w:rPr>
            </w:pPr>
            <w:r>
              <w:rPr>
                <w:rFonts w:ascii="Arial Narrow" w:cs="Arial Narrow" w:eastAsia="Arial Narrow" w:hAnsi="Arial Narrow"/>
                <w:sz w:val="20"/>
                <w:szCs w:val="20"/>
                <w:b w:val="1"/>
                <w:bCs w:val="1"/>
                <w:color w:val="auto"/>
              </w:rPr>
              <w:t>AVERAGE SHARES OUTSTANDING</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5020" w:type="dxa"/>
            <w:vAlign w:val="bottom"/>
            <w:tcBorders>
              <w:bottom w:val="single" w:sz="8" w:color="A6A6A6"/>
            </w:tcBorders>
          </w:tcPr>
          <w:p>
            <w:pPr>
              <w:spacing w:after="0"/>
              <w:rPr>
                <w:sz w:val="5"/>
                <w:szCs w:val="5"/>
                <w:color w:val="auto"/>
              </w:rPr>
            </w:pPr>
          </w:p>
        </w:tc>
        <w:tc>
          <w:tcPr>
            <w:tcW w:w="220" w:type="dxa"/>
            <w:vAlign w:val="bottom"/>
            <w:tcBorders>
              <w:bottom w:val="single" w:sz="8" w:color="A6A6A6"/>
            </w:tcBorders>
          </w:tcPr>
          <w:p>
            <w:pPr>
              <w:spacing w:after="0"/>
              <w:rPr>
                <w:sz w:val="5"/>
                <w:szCs w:val="5"/>
                <w:color w:val="auto"/>
              </w:rPr>
            </w:pPr>
          </w:p>
        </w:tc>
        <w:tc>
          <w:tcPr>
            <w:tcW w:w="120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240" w:type="dxa"/>
            <w:vAlign w:val="bottom"/>
            <w:tcBorders>
              <w:bottom w:val="single" w:sz="8" w:color="A6A6A6"/>
            </w:tcBorders>
          </w:tcPr>
          <w:p>
            <w:pPr>
              <w:spacing w:after="0"/>
              <w:rPr>
                <w:sz w:val="5"/>
                <w:szCs w:val="5"/>
                <w:color w:val="auto"/>
              </w:rPr>
            </w:pPr>
          </w:p>
        </w:tc>
        <w:tc>
          <w:tcPr>
            <w:tcW w:w="116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280" w:type="dxa"/>
            <w:vAlign w:val="bottom"/>
            <w:tcBorders>
              <w:bottom w:val="single" w:sz="8" w:color="A6A6A6"/>
            </w:tcBorders>
          </w:tcPr>
          <w:p>
            <w:pPr>
              <w:spacing w:after="0"/>
              <w:rPr>
                <w:sz w:val="5"/>
                <w:szCs w:val="5"/>
                <w:color w:val="auto"/>
              </w:rPr>
            </w:pPr>
          </w:p>
        </w:tc>
        <w:tc>
          <w:tcPr>
            <w:tcW w:w="106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5020" w:type="dxa"/>
            <w:vAlign w:val="bottom"/>
          </w:tcPr>
          <w:p>
            <w:pPr>
              <w:ind w:left="200"/>
              <w:spacing w:after="0"/>
              <w:rPr>
                <w:sz w:val="20"/>
                <w:szCs w:val="20"/>
                <w:color w:val="auto"/>
              </w:rPr>
            </w:pPr>
            <w:r>
              <w:rPr>
                <w:rFonts w:ascii="Arial Narrow" w:cs="Arial Narrow" w:eastAsia="Arial Narrow" w:hAnsi="Arial Narrow"/>
                <w:sz w:val="20"/>
                <w:szCs w:val="20"/>
                <w:b w:val="1"/>
                <w:bCs w:val="1"/>
                <w:color w:val="00085E"/>
              </w:rPr>
              <w:t>Basic</w:t>
            </w:r>
          </w:p>
        </w:tc>
        <w:tc>
          <w:tcPr>
            <w:tcW w:w="220" w:type="dxa"/>
            <w:vAlign w:val="bottom"/>
          </w:tcPr>
          <w:p>
            <w:pPr>
              <w:spacing w:after="0"/>
              <w:rPr>
                <w:sz w:val="24"/>
                <w:szCs w:val="24"/>
                <w:color w:val="auto"/>
              </w:rPr>
            </w:pPr>
          </w:p>
        </w:tc>
        <w:tc>
          <w:tcPr>
            <w:tcW w:w="1200" w:type="dxa"/>
            <w:vAlign w:val="bottom"/>
          </w:tcPr>
          <w:p>
            <w:pPr>
              <w:jc w:val="right"/>
              <w:ind w:right="142"/>
              <w:spacing w:after="0"/>
              <w:rPr>
                <w:sz w:val="20"/>
                <w:szCs w:val="20"/>
                <w:color w:val="auto"/>
              </w:rPr>
            </w:pPr>
            <w:r>
              <w:rPr>
                <w:rFonts w:ascii="Arial Narrow" w:cs="Arial Narrow" w:eastAsia="Arial Narrow" w:hAnsi="Arial Narrow"/>
                <w:sz w:val="20"/>
                <w:szCs w:val="20"/>
                <w:color w:val="auto"/>
              </w:rPr>
              <w:t>32,014,721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ind w:right="141"/>
              <w:spacing w:after="0"/>
              <w:rPr>
                <w:sz w:val="20"/>
                <w:szCs w:val="20"/>
                <w:color w:val="auto"/>
              </w:rPr>
            </w:pPr>
            <w:r>
              <w:rPr>
                <w:rFonts w:ascii="Arial Narrow" w:cs="Arial Narrow" w:eastAsia="Arial Narrow" w:hAnsi="Arial Narrow"/>
                <w:sz w:val="20"/>
                <w:szCs w:val="20"/>
                <w:color w:val="auto"/>
              </w:rPr>
              <w:t>33,378,050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ind w:right="81"/>
              <w:spacing w:after="0"/>
              <w:rPr>
                <w:sz w:val="20"/>
                <w:szCs w:val="20"/>
                <w:color w:val="auto"/>
              </w:rPr>
            </w:pPr>
            <w:r>
              <w:rPr>
                <w:rFonts w:ascii="Arial Narrow" w:cs="Arial Narrow" w:eastAsia="Arial Narrow" w:hAnsi="Arial Narrow"/>
                <w:sz w:val="20"/>
                <w:szCs w:val="20"/>
                <w:color w:val="auto"/>
              </w:rPr>
              <w:t>34,811,560</w:t>
            </w:r>
          </w:p>
        </w:tc>
        <w:tc>
          <w:tcPr>
            <w:tcW w:w="0" w:type="dxa"/>
            <w:vAlign w:val="bottom"/>
          </w:tcPr>
          <w:p>
            <w:pPr>
              <w:spacing w:after="0"/>
              <w:rPr>
                <w:sz w:val="1"/>
                <w:szCs w:val="1"/>
                <w:color w:val="auto"/>
              </w:rPr>
            </w:pPr>
          </w:p>
        </w:tc>
      </w:tr>
      <w:tr>
        <w:trPr>
          <w:trHeight w:val="90"/>
        </w:trPr>
        <w:tc>
          <w:tcPr>
            <w:tcW w:w="5020" w:type="dxa"/>
            <w:vAlign w:val="bottom"/>
            <w:tcBorders>
              <w:bottom w:val="single" w:sz="8" w:color="A6A6A6"/>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4"/>
        </w:trPr>
        <w:tc>
          <w:tcPr>
            <w:tcW w:w="5020" w:type="dxa"/>
            <w:vAlign w:val="bottom"/>
          </w:tcPr>
          <w:p>
            <w:pPr>
              <w:ind w:left="200"/>
              <w:spacing w:after="0"/>
              <w:rPr>
                <w:sz w:val="20"/>
                <w:szCs w:val="20"/>
                <w:color w:val="auto"/>
              </w:rPr>
            </w:pPr>
            <w:r>
              <w:rPr>
                <w:rFonts w:ascii="Arial Narrow" w:cs="Arial Narrow" w:eastAsia="Arial Narrow" w:hAnsi="Arial Narrow"/>
                <w:sz w:val="20"/>
                <w:szCs w:val="20"/>
                <w:b w:val="1"/>
                <w:bCs w:val="1"/>
                <w:color w:val="00085E"/>
              </w:rPr>
              <w:t>Diluted</w:t>
            </w:r>
          </w:p>
        </w:tc>
        <w:tc>
          <w:tcPr>
            <w:tcW w:w="220" w:type="dxa"/>
            <w:vAlign w:val="bottom"/>
          </w:tcPr>
          <w:p>
            <w:pPr>
              <w:spacing w:after="0"/>
              <w:rPr>
                <w:sz w:val="24"/>
                <w:szCs w:val="24"/>
                <w:color w:val="auto"/>
              </w:rPr>
            </w:pPr>
          </w:p>
        </w:tc>
        <w:tc>
          <w:tcPr>
            <w:tcW w:w="1200" w:type="dxa"/>
            <w:vAlign w:val="bottom"/>
          </w:tcPr>
          <w:p>
            <w:pPr>
              <w:jc w:val="right"/>
              <w:ind w:right="142"/>
              <w:spacing w:after="0"/>
              <w:rPr>
                <w:sz w:val="20"/>
                <w:szCs w:val="20"/>
                <w:color w:val="auto"/>
              </w:rPr>
            </w:pPr>
            <w:r>
              <w:rPr>
                <w:rFonts w:ascii="Arial Narrow" w:cs="Arial Narrow" w:eastAsia="Arial Narrow" w:hAnsi="Arial Narrow"/>
                <w:sz w:val="20"/>
                <w:szCs w:val="20"/>
                <w:color w:val="auto"/>
              </w:rPr>
              <w:t>32,193,791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ind w:right="141"/>
              <w:spacing w:after="0"/>
              <w:rPr>
                <w:sz w:val="20"/>
                <w:szCs w:val="20"/>
                <w:color w:val="auto"/>
              </w:rPr>
            </w:pPr>
            <w:r>
              <w:rPr>
                <w:rFonts w:ascii="Arial Narrow" w:cs="Arial Narrow" w:eastAsia="Arial Narrow" w:hAnsi="Arial Narrow"/>
                <w:sz w:val="20"/>
                <w:szCs w:val="20"/>
                <w:color w:val="auto"/>
              </w:rPr>
              <w:t>33,646,395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ind w:right="81"/>
              <w:spacing w:after="0"/>
              <w:rPr>
                <w:sz w:val="20"/>
                <w:szCs w:val="20"/>
                <w:color w:val="auto"/>
              </w:rPr>
            </w:pPr>
            <w:r>
              <w:rPr>
                <w:rFonts w:ascii="Arial Narrow" w:cs="Arial Narrow" w:eastAsia="Arial Narrow" w:hAnsi="Arial Narrow"/>
                <w:sz w:val="20"/>
                <w:szCs w:val="20"/>
                <w:color w:val="auto"/>
              </w:rPr>
              <w:t>35,097,871</w:t>
            </w:r>
          </w:p>
        </w:tc>
        <w:tc>
          <w:tcPr>
            <w:tcW w:w="0" w:type="dxa"/>
            <w:vAlign w:val="bottom"/>
          </w:tcPr>
          <w:p>
            <w:pPr>
              <w:spacing w:after="0"/>
              <w:rPr>
                <w:sz w:val="1"/>
                <w:szCs w:val="1"/>
                <w:color w:val="auto"/>
              </w:rPr>
            </w:pPr>
          </w:p>
        </w:tc>
      </w:tr>
      <w:tr>
        <w:trPr>
          <w:trHeight w:val="90"/>
        </w:trPr>
        <w:tc>
          <w:tcPr>
            <w:tcW w:w="5020" w:type="dxa"/>
            <w:vAlign w:val="bottom"/>
            <w:tcBorders>
              <w:bottom w:val="single" w:sz="8" w:color="A6A6A6"/>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4"/>
        </w:trPr>
        <w:tc>
          <w:tcPr>
            <w:tcW w:w="5020" w:type="dxa"/>
            <w:vAlign w:val="bottom"/>
          </w:tcPr>
          <w:p>
            <w:pPr>
              <w:spacing w:after="0"/>
              <w:rPr>
                <w:sz w:val="20"/>
                <w:szCs w:val="20"/>
                <w:color w:val="auto"/>
              </w:rPr>
            </w:pPr>
            <w:r>
              <w:rPr>
                <w:rFonts w:ascii="Arial Narrow" w:cs="Arial Narrow" w:eastAsia="Arial Narrow" w:hAnsi="Arial Narrow"/>
                <w:sz w:val="20"/>
                <w:szCs w:val="20"/>
                <w:b w:val="1"/>
                <w:bCs w:val="1"/>
                <w:color w:val="auto"/>
              </w:rPr>
              <w:t>CASH DIVIDENDS PER SHARE</w:t>
            </w:r>
          </w:p>
        </w:tc>
        <w:tc>
          <w:tcPr>
            <w:tcW w:w="220" w:type="dxa"/>
            <w:vAlign w:val="bottom"/>
          </w:tcPr>
          <w:p>
            <w:pPr>
              <w:jc w:val="right"/>
              <w:ind w:right="20"/>
              <w:spacing w:after="0"/>
              <w:rPr>
                <w:sz w:val="20"/>
                <w:szCs w:val="20"/>
                <w:color w:val="auto"/>
              </w:rPr>
            </w:pPr>
            <w:r>
              <w:rPr>
                <w:rFonts w:ascii="Arial Narrow" w:cs="Arial Narrow" w:eastAsia="Arial Narrow" w:hAnsi="Arial Narrow"/>
                <w:sz w:val="20"/>
                <w:szCs w:val="20"/>
                <w:b w:val="1"/>
                <w:bCs w:val="1"/>
                <w:color w:val="auto"/>
                <w:w w:val="87"/>
              </w:rPr>
              <w:t>$</w:t>
            </w:r>
          </w:p>
        </w:tc>
        <w:tc>
          <w:tcPr>
            <w:tcW w:w="1200" w:type="dxa"/>
            <w:vAlign w:val="bottom"/>
          </w:tcPr>
          <w:p>
            <w:pPr>
              <w:jc w:val="right"/>
              <w:ind w:right="142"/>
              <w:spacing w:after="0"/>
              <w:rPr>
                <w:sz w:val="20"/>
                <w:szCs w:val="20"/>
                <w:color w:val="auto"/>
              </w:rPr>
            </w:pPr>
            <w:r>
              <w:rPr>
                <w:rFonts w:ascii="Arial Narrow" w:cs="Arial Narrow" w:eastAsia="Arial Narrow" w:hAnsi="Arial Narrow"/>
                <w:sz w:val="20"/>
                <w:szCs w:val="20"/>
                <w:b w:val="1"/>
                <w:bCs w:val="1"/>
                <w:color w:val="auto"/>
              </w:rPr>
              <w:t>1.00</w:t>
            </w:r>
          </w:p>
        </w:tc>
        <w:tc>
          <w:tcPr>
            <w:tcW w:w="320" w:type="dxa"/>
            <w:vAlign w:val="bottom"/>
            <w:gridSpan w:val="2"/>
          </w:tcPr>
          <w:p>
            <w:pPr>
              <w:jc w:val="right"/>
              <w:ind w:right="120"/>
              <w:spacing w:after="0"/>
              <w:rPr>
                <w:sz w:val="20"/>
                <w:szCs w:val="20"/>
                <w:color w:val="auto"/>
              </w:rPr>
            </w:pPr>
            <w:r>
              <w:rPr>
                <w:rFonts w:ascii="Arial Narrow" w:cs="Arial Narrow" w:eastAsia="Arial Narrow" w:hAnsi="Arial Narrow"/>
                <w:sz w:val="20"/>
                <w:szCs w:val="20"/>
                <w:b w:val="1"/>
                <w:bCs w:val="1"/>
                <w:color w:val="auto"/>
              </w:rPr>
              <w:t>$</w:t>
            </w:r>
          </w:p>
        </w:tc>
        <w:tc>
          <w:tcPr>
            <w:tcW w:w="1160" w:type="dxa"/>
            <w:vAlign w:val="bottom"/>
          </w:tcPr>
          <w:p>
            <w:pPr>
              <w:jc w:val="right"/>
              <w:ind w:right="141"/>
              <w:spacing w:after="0"/>
              <w:rPr>
                <w:sz w:val="20"/>
                <w:szCs w:val="20"/>
                <w:color w:val="auto"/>
              </w:rPr>
            </w:pPr>
            <w:r>
              <w:rPr>
                <w:rFonts w:ascii="Arial Narrow" w:cs="Arial Narrow" w:eastAsia="Arial Narrow" w:hAnsi="Arial Narrow"/>
                <w:sz w:val="20"/>
                <w:szCs w:val="20"/>
                <w:b w:val="1"/>
                <w:bCs w:val="1"/>
                <w:color w:val="auto"/>
              </w:rPr>
              <w:t>1.00</w:t>
            </w:r>
          </w:p>
        </w:tc>
        <w:tc>
          <w:tcPr>
            <w:tcW w:w="380" w:type="dxa"/>
            <w:vAlign w:val="bottom"/>
            <w:gridSpan w:val="2"/>
          </w:tcPr>
          <w:p>
            <w:pPr>
              <w:jc w:val="right"/>
              <w:ind w:right="160"/>
              <w:spacing w:after="0"/>
              <w:rPr>
                <w:sz w:val="20"/>
                <w:szCs w:val="20"/>
                <w:color w:val="auto"/>
              </w:rPr>
            </w:pPr>
            <w:r>
              <w:rPr>
                <w:rFonts w:ascii="Arial Narrow" w:cs="Arial Narrow" w:eastAsia="Arial Narrow" w:hAnsi="Arial Narrow"/>
                <w:sz w:val="20"/>
                <w:szCs w:val="20"/>
                <w:b w:val="1"/>
                <w:bCs w:val="1"/>
                <w:color w:val="auto"/>
              </w:rPr>
              <w:t>$</w:t>
            </w:r>
          </w:p>
        </w:tc>
        <w:tc>
          <w:tcPr>
            <w:tcW w:w="1060" w:type="dxa"/>
            <w:vAlign w:val="bottom"/>
          </w:tcPr>
          <w:p>
            <w:pPr>
              <w:jc w:val="right"/>
              <w:ind w:right="81"/>
              <w:spacing w:after="0"/>
              <w:rPr>
                <w:sz w:val="20"/>
                <w:szCs w:val="20"/>
                <w:color w:val="auto"/>
              </w:rPr>
            </w:pPr>
            <w:r>
              <w:rPr>
                <w:rFonts w:ascii="Arial Narrow" w:cs="Arial Narrow" w:eastAsia="Arial Narrow" w:hAnsi="Arial Narrow"/>
                <w:sz w:val="20"/>
                <w:szCs w:val="20"/>
                <w:b w:val="1"/>
                <w:bCs w:val="1"/>
                <w:color w:val="auto"/>
              </w:rPr>
              <w:t>1.00</w:t>
            </w:r>
          </w:p>
        </w:tc>
        <w:tc>
          <w:tcPr>
            <w:tcW w:w="0" w:type="dxa"/>
            <w:vAlign w:val="bottom"/>
          </w:tcPr>
          <w:p>
            <w:pPr>
              <w:spacing w:after="0"/>
              <w:rPr>
                <w:sz w:val="1"/>
                <w:szCs w:val="1"/>
                <w:color w:val="auto"/>
              </w:rPr>
            </w:pPr>
          </w:p>
        </w:tc>
      </w:tr>
      <w:tr>
        <w:trPr>
          <w:trHeight w:val="65"/>
        </w:trPr>
        <w:tc>
          <w:tcPr>
            <w:tcW w:w="5020" w:type="dxa"/>
            <w:vAlign w:val="bottom"/>
            <w:tcBorders>
              <w:bottom w:val="single" w:sz="8" w:color="A6A6A6"/>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Notes to Consolidated Financial Statements.</w:t>
      </w:r>
    </w:p>
    <w:p>
      <w:pPr>
        <w:sectPr>
          <w:pgSz w:w="11880" w:h="15480" w:orient="portrait"/>
          <w:cols w:equalWidth="0" w:num="1">
            <w:col w:w="9360"/>
          </w:cols>
          <w:pgMar w:left="1260" w:top="1264"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71</w:t>
      </w:r>
    </w:p>
    <w:p>
      <w:pPr>
        <w:sectPr>
          <w:pgSz w:w="11880" w:h="15480" w:orient="portrait"/>
          <w:cols w:equalWidth="0" w:num="1">
            <w:col w:w="9360"/>
          </w:cols>
          <w:pgMar w:left="1260" w:top="1264" w:right="1260" w:bottom="0" w:gutter="0" w:footer="0" w:header="0"/>
          <w:type w:val="continuous"/>
        </w:sectPr>
      </w:pPr>
    </w:p>
    <w:bookmarkStart w:id="79" w:name="page80"/>
    <w:bookmarkEnd w:id="79"/>
    <w:p>
      <w:pPr>
        <w:ind w:right="1620"/>
        <w:spacing w:after="0" w:line="339" w:lineRule="auto"/>
        <w:rPr>
          <w:sz w:val="20"/>
          <w:szCs w:val="20"/>
          <w:color w:val="auto"/>
        </w:rPr>
      </w:pPr>
      <w:r>
        <w:rPr>
          <w:rFonts w:ascii="Arial" w:cs="Arial" w:eastAsia="Arial" w:hAnsi="Arial"/>
          <w:sz w:val="20"/>
          <w:szCs w:val="20"/>
          <w:b w:val="1"/>
          <w:bCs w:val="1"/>
          <w:color w:val="auto"/>
        </w:rPr>
        <w:t>EAGLE MATERIALS INC. AND SUBSIDIARIES CONSOLIDATED STATEMENTS OF COMPREHENSIVE EARNINGS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50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60" w:type="dxa"/>
            <w:vAlign w:val="bottom"/>
            <w:gridSpan w:val="6"/>
          </w:tcPr>
          <w:p>
            <w:pPr>
              <w:jc w:val="right"/>
              <w:ind w:right="180"/>
              <w:spacing w:after="0"/>
              <w:rPr>
                <w:sz w:val="20"/>
                <w:szCs w:val="20"/>
                <w:color w:val="auto"/>
              </w:rPr>
            </w:pPr>
            <w:r>
              <w:rPr>
                <w:rFonts w:ascii="Arial Narrow" w:cs="Arial Narrow" w:eastAsia="Arial Narrow" w:hAnsi="Arial Narrow"/>
                <w:sz w:val="18"/>
                <w:szCs w:val="18"/>
                <w:b w:val="1"/>
                <w:bCs w:val="1"/>
                <w:color w:val="auto"/>
              </w:rPr>
              <w:t>For the Years Ended March 31,</w:t>
            </w:r>
          </w:p>
        </w:tc>
        <w:tc>
          <w:tcPr>
            <w:tcW w:w="940" w:type="dxa"/>
            <w:vAlign w:val="bottom"/>
          </w:tcPr>
          <w:p>
            <w:pPr>
              <w:spacing w:after="0"/>
              <w:rPr>
                <w:sz w:val="22"/>
                <w:szCs w:val="22"/>
                <w:color w:val="auto"/>
              </w:rPr>
            </w:pPr>
          </w:p>
        </w:tc>
      </w:tr>
      <w:tr>
        <w:trPr>
          <w:trHeight w:val="21"/>
        </w:trPr>
        <w:tc>
          <w:tcPr>
            <w:tcW w:w="5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69"/>
        </w:trPr>
        <w:tc>
          <w:tcPr>
            <w:tcW w:w="50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ind w:right="123"/>
              <w:spacing w:after="0"/>
              <w:rPr>
                <w:sz w:val="20"/>
                <w:szCs w:val="20"/>
                <w:color w:val="auto"/>
              </w:rPr>
            </w:pPr>
            <w:r>
              <w:rPr>
                <w:rFonts w:ascii="Arial Narrow" w:cs="Arial Narrow" w:eastAsia="Arial Narrow" w:hAnsi="Arial Narrow"/>
                <w:sz w:val="18"/>
                <w:szCs w:val="18"/>
                <w:b w:val="1"/>
                <w:bCs w:val="1"/>
                <w:color w:val="auto"/>
              </w:rPr>
              <w:t>2026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ind w:right="102"/>
              <w:spacing w:after="0"/>
              <w:rPr>
                <w:sz w:val="20"/>
                <w:szCs w:val="20"/>
                <w:color w:val="auto"/>
              </w:rPr>
            </w:pPr>
            <w:r>
              <w:rPr>
                <w:rFonts w:ascii="Arial Narrow" w:cs="Arial Narrow" w:eastAsia="Arial Narrow" w:hAnsi="Arial Narrow"/>
                <w:sz w:val="18"/>
                <w:szCs w:val="18"/>
                <w:b w:val="1"/>
                <w:bCs w:val="1"/>
                <w:color w:val="auto"/>
              </w:rPr>
              <w:t>2025</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tcPr>
          <w:p>
            <w:pPr>
              <w:jc w:val="right"/>
              <w:ind w:right="82"/>
              <w:spacing w:after="0"/>
              <w:rPr>
                <w:sz w:val="20"/>
                <w:szCs w:val="20"/>
                <w:color w:val="auto"/>
              </w:rPr>
            </w:pPr>
            <w:r>
              <w:rPr>
                <w:rFonts w:ascii="Arial Narrow" w:cs="Arial Narrow" w:eastAsia="Arial Narrow" w:hAnsi="Arial Narrow"/>
                <w:sz w:val="18"/>
                <w:szCs w:val="18"/>
                <w:b w:val="1"/>
                <w:bCs w:val="1"/>
                <w:color w:val="auto"/>
              </w:rPr>
              <w:t>2024</w:t>
            </w:r>
          </w:p>
        </w:tc>
      </w:tr>
      <w:tr>
        <w:trPr>
          <w:trHeight w:val="21"/>
        </w:trPr>
        <w:tc>
          <w:tcPr>
            <w:tcW w:w="5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44"/>
        </w:trPr>
        <w:tc>
          <w:tcPr>
            <w:tcW w:w="5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ind w:left="20"/>
              <w:spacing w:after="0"/>
              <w:rPr>
                <w:sz w:val="20"/>
                <w:szCs w:val="20"/>
                <w:color w:val="auto"/>
              </w:rPr>
            </w:pPr>
            <w:r>
              <w:rPr>
                <w:rFonts w:ascii="Arial Narrow" w:cs="Arial Narrow" w:eastAsia="Arial Narrow" w:hAnsi="Arial Narrow"/>
                <w:sz w:val="16"/>
                <w:szCs w:val="16"/>
                <w:color w:val="auto"/>
              </w:rPr>
              <w:t>(dollars in thousands)</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48"/>
        </w:trPr>
        <w:tc>
          <w:tcPr>
            <w:tcW w:w="50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gridSpan w:val="2"/>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gridSpan w:val="2"/>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298"/>
        </w:trPr>
        <w:tc>
          <w:tcPr>
            <w:tcW w:w="5020" w:type="dxa"/>
            <w:vAlign w:val="bottom"/>
          </w:tcPr>
          <w:p>
            <w:pPr>
              <w:spacing w:after="0"/>
              <w:rPr>
                <w:sz w:val="20"/>
                <w:szCs w:val="20"/>
                <w:color w:val="auto"/>
              </w:rPr>
            </w:pPr>
            <w:r>
              <w:rPr>
                <w:rFonts w:ascii="Arial Narrow" w:cs="Arial Narrow" w:eastAsia="Arial Narrow" w:hAnsi="Arial Narrow"/>
                <w:sz w:val="20"/>
                <w:szCs w:val="20"/>
                <w:b w:val="1"/>
                <w:bCs w:val="1"/>
                <w:color w:val="00085E"/>
              </w:rPr>
              <w:t>Net Earnings</w:t>
            </w:r>
          </w:p>
        </w:tc>
        <w:tc>
          <w:tcPr>
            <w:tcW w:w="340" w:type="dxa"/>
            <w:vAlign w:val="bottom"/>
          </w:tcPr>
          <w:p>
            <w:pPr>
              <w:jc w:val="right"/>
              <w:ind w:right="170"/>
              <w:spacing w:after="0"/>
              <w:rPr>
                <w:sz w:val="20"/>
                <w:szCs w:val="20"/>
                <w:color w:val="auto"/>
              </w:rPr>
            </w:pPr>
            <w:r>
              <w:rPr>
                <w:rFonts w:ascii="Arial Narrow" w:cs="Arial Narrow" w:eastAsia="Arial Narrow" w:hAnsi="Arial Narrow"/>
                <w:sz w:val="18"/>
                <w:szCs w:val="18"/>
                <w:color w:val="auto"/>
                <w:w w:val="72"/>
              </w:rPr>
              <w:t>$</w:t>
            </w:r>
          </w:p>
        </w:tc>
        <w:tc>
          <w:tcPr>
            <w:tcW w:w="1040" w:type="dxa"/>
            <w:vAlign w:val="bottom"/>
          </w:tcPr>
          <w:p>
            <w:pPr>
              <w:jc w:val="right"/>
              <w:ind w:right="123"/>
              <w:spacing w:after="0"/>
              <w:rPr>
                <w:sz w:val="20"/>
                <w:szCs w:val="20"/>
                <w:color w:val="auto"/>
              </w:rPr>
            </w:pPr>
            <w:r>
              <w:rPr>
                <w:rFonts w:ascii="Arial Narrow" w:cs="Arial Narrow" w:eastAsia="Arial Narrow" w:hAnsi="Arial Narrow"/>
                <w:sz w:val="20"/>
                <w:szCs w:val="20"/>
                <w:color w:val="auto"/>
              </w:rPr>
              <w:t>423,809</w:t>
            </w:r>
          </w:p>
        </w:tc>
        <w:tc>
          <w:tcPr>
            <w:tcW w:w="460" w:type="dxa"/>
            <w:vAlign w:val="bottom"/>
            <w:gridSpan w:val="2"/>
          </w:tcPr>
          <w:p>
            <w:pPr>
              <w:ind w:left="120"/>
              <w:spacing w:after="0"/>
              <w:rPr>
                <w:sz w:val="20"/>
                <w:szCs w:val="20"/>
                <w:color w:val="auto"/>
              </w:rPr>
            </w:pPr>
            <w:r>
              <w:rPr>
                <w:rFonts w:ascii="Arial Narrow" w:cs="Arial Narrow" w:eastAsia="Arial Narrow" w:hAnsi="Arial Narrow"/>
                <w:sz w:val="20"/>
                <w:szCs w:val="20"/>
                <w:color w:val="auto"/>
              </w:rPr>
              <w:t>$</w:t>
            </w:r>
          </w:p>
        </w:tc>
        <w:tc>
          <w:tcPr>
            <w:tcW w:w="1040" w:type="dxa"/>
            <w:vAlign w:val="bottom"/>
          </w:tcPr>
          <w:p>
            <w:pPr>
              <w:jc w:val="right"/>
              <w:ind w:right="102"/>
              <w:spacing w:after="0"/>
              <w:rPr>
                <w:sz w:val="20"/>
                <w:szCs w:val="20"/>
                <w:color w:val="auto"/>
              </w:rPr>
            </w:pPr>
            <w:r>
              <w:rPr>
                <w:rFonts w:ascii="Arial Narrow" w:cs="Arial Narrow" w:eastAsia="Arial Narrow" w:hAnsi="Arial Narrow"/>
                <w:sz w:val="20"/>
                <w:szCs w:val="20"/>
                <w:color w:val="auto"/>
              </w:rPr>
              <w:t>463,416</w:t>
            </w:r>
          </w:p>
        </w:tc>
        <w:tc>
          <w:tcPr>
            <w:tcW w:w="520" w:type="dxa"/>
            <w:vAlign w:val="bottom"/>
            <w:gridSpan w:val="2"/>
          </w:tcPr>
          <w:p>
            <w:pPr>
              <w:jc w:val="right"/>
              <w:ind w:right="320"/>
              <w:spacing w:after="0"/>
              <w:rPr>
                <w:sz w:val="20"/>
                <w:szCs w:val="20"/>
                <w:color w:val="auto"/>
              </w:rPr>
            </w:pPr>
            <w:r>
              <w:rPr>
                <w:rFonts w:ascii="Arial Narrow" w:cs="Arial Narrow" w:eastAsia="Arial Narrow" w:hAnsi="Arial Narrow"/>
                <w:sz w:val="20"/>
                <w:szCs w:val="20"/>
                <w:color w:val="auto"/>
              </w:rPr>
              <w:t>$</w:t>
            </w:r>
          </w:p>
        </w:tc>
        <w:tc>
          <w:tcPr>
            <w:tcW w:w="940" w:type="dxa"/>
            <w:vAlign w:val="bottom"/>
          </w:tcPr>
          <w:p>
            <w:pPr>
              <w:jc w:val="right"/>
              <w:ind w:right="82"/>
              <w:spacing w:after="0"/>
              <w:rPr>
                <w:sz w:val="20"/>
                <w:szCs w:val="20"/>
                <w:color w:val="auto"/>
              </w:rPr>
            </w:pPr>
            <w:r>
              <w:rPr>
                <w:rFonts w:ascii="Arial Narrow" w:cs="Arial Narrow" w:eastAsia="Arial Narrow" w:hAnsi="Arial Narrow"/>
                <w:sz w:val="20"/>
                <w:szCs w:val="20"/>
                <w:color w:val="auto"/>
              </w:rPr>
              <w:t>477,639</w:t>
            </w:r>
          </w:p>
        </w:tc>
      </w:tr>
      <w:tr>
        <w:trPr>
          <w:trHeight w:val="65"/>
        </w:trPr>
        <w:tc>
          <w:tcPr>
            <w:tcW w:w="5020" w:type="dxa"/>
            <w:vAlign w:val="bottom"/>
            <w:tcBorders>
              <w:bottom w:val="single" w:sz="8" w:color="A6A6A6"/>
            </w:tcBorders>
          </w:tcPr>
          <w:p>
            <w:pPr>
              <w:spacing w:after="0"/>
              <w:rPr>
                <w:sz w:val="5"/>
                <w:szCs w:val="5"/>
                <w:color w:val="auto"/>
              </w:rPr>
            </w:pPr>
          </w:p>
        </w:tc>
        <w:tc>
          <w:tcPr>
            <w:tcW w:w="340" w:type="dxa"/>
            <w:vAlign w:val="bottom"/>
            <w:tcBorders>
              <w:bottom w:val="single" w:sz="8" w:color="A6A6A6"/>
            </w:tcBorders>
          </w:tcPr>
          <w:p>
            <w:pPr>
              <w:spacing w:after="0"/>
              <w:rPr>
                <w:sz w:val="5"/>
                <w:szCs w:val="5"/>
                <w:color w:val="auto"/>
              </w:rPr>
            </w:pPr>
          </w:p>
        </w:tc>
        <w:tc>
          <w:tcPr>
            <w:tcW w:w="104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340" w:type="dxa"/>
            <w:vAlign w:val="bottom"/>
            <w:tcBorders>
              <w:bottom w:val="single" w:sz="8" w:color="A6A6A6"/>
            </w:tcBorders>
          </w:tcPr>
          <w:p>
            <w:pPr>
              <w:spacing w:after="0"/>
              <w:rPr>
                <w:sz w:val="5"/>
                <w:szCs w:val="5"/>
                <w:color w:val="auto"/>
              </w:rPr>
            </w:pPr>
          </w:p>
        </w:tc>
        <w:tc>
          <w:tcPr>
            <w:tcW w:w="104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400" w:type="dxa"/>
            <w:vAlign w:val="bottom"/>
            <w:tcBorders>
              <w:bottom w:val="single" w:sz="8" w:color="A6A6A6"/>
            </w:tcBorders>
          </w:tcPr>
          <w:p>
            <w:pPr>
              <w:spacing w:after="0"/>
              <w:rPr>
                <w:sz w:val="5"/>
                <w:szCs w:val="5"/>
                <w:color w:val="auto"/>
              </w:rPr>
            </w:pPr>
          </w:p>
        </w:tc>
        <w:tc>
          <w:tcPr>
            <w:tcW w:w="940" w:type="dxa"/>
            <w:vAlign w:val="bottom"/>
            <w:tcBorders>
              <w:bottom w:val="single" w:sz="8" w:color="A6A6A6"/>
            </w:tcBorders>
          </w:tcPr>
          <w:p>
            <w:pPr>
              <w:spacing w:after="0"/>
              <w:rPr>
                <w:sz w:val="5"/>
                <w:szCs w:val="5"/>
                <w:color w:val="auto"/>
              </w:rPr>
            </w:pPr>
          </w:p>
        </w:tc>
      </w:tr>
      <w:tr>
        <w:trPr>
          <w:trHeight w:val="339"/>
        </w:trPr>
        <w:tc>
          <w:tcPr>
            <w:tcW w:w="5020" w:type="dxa"/>
            <w:vAlign w:val="bottom"/>
          </w:tcPr>
          <w:p>
            <w:pPr>
              <w:spacing w:after="0"/>
              <w:rPr>
                <w:sz w:val="20"/>
                <w:szCs w:val="20"/>
                <w:color w:val="auto"/>
              </w:rPr>
            </w:pPr>
            <w:r>
              <w:rPr>
                <w:rFonts w:ascii="Arial Narrow" w:cs="Arial Narrow" w:eastAsia="Arial Narrow" w:hAnsi="Arial Narrow"/>
                <w:sz w:val="20"/>
                <w:szCs w:val="20"/>
                <w:b w:val="1"/>
                <w:bCs w:val="1"/>
                <w:color w:val="00085E"/>
              </w:rPr>
              <w:t>Net Actuarial Change in Defined Benefit Plans:</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65"/>
        </w:trPr>
        <w:tc>
          <w:tcPr>
            <w:tcW w:w="5020" w:type="dxa"/>
            <w:vAlign w:val="bottom"/>
            <w:tcBorders>
              <w:bottom w:val="single" w:sz="8" w:color="A6A6A6"/>
            </w:tcBorders>
          </w:tcPr>
          <w:p>
            <w:pPr>
              <w:spacing w:after="0"/>
              <w:rPr>
                <w:sz w:val="5"/>
                <w:szCs w:val="5"/>
                <w:color w:val="auto"/>
              </w:rPr>
            </w:pPr>
          </w:p>
        </w:tc>
        <w:tc>
          <w:tcPr>
            <w:tcW w:w="340" w:type="dxa"/>
            <w:vAlign w:val="bottom"/>
            <w:tcBorders>
              <w:bottom w:val="single" w:sz="8" w:color="A6A6A6"/>
            </w:tcBorders>
          </w:tcPr>
          <w:p>
            <w:pPr>
              <w:spacing w:after="0"/>
              <w:rPr>
                <w:sz w:val="5"/>
                <w:szCs w:val="5"/>
                <w:color w:val="auto"/>
              </w:rPr>
            </w:pPr>
          </w:p>
        </w:tc>
        <w:tc>
          <w:tcPr>
            <w:tcW w:w="104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340" w:type="dxa"/>
            <w:vAlign w:val="bottom"/>
            <w:tcBorders>
              <w:bottom w:val="single" w:sz="8" w:color="A6A6A6"/>
            </w:tcBorders>
          </w:tcPr>
          <w:p>
            <w:pPr>
              <w:spacing w:after="0"/>
              <w:rPr>
                <w:sz w:val="5"/>
                <w:szCs w:val="5"/>
                <w:color w:val="auto"/>
              </w:rPr>
            </w:pPr>
          </w:p>
        </w:tc>
        <w:tc>
          <w:tcPr>
            <w:tcW w:w="104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400" w:type="dxa"/>
            <w:vAlign w:val="bottom"/>
            <w:tcBorders>
              <w:bottom w:val="single" w:sz="8" w:color="A6A6A6"/>
            </w:tcBorders>
          </w:tcPr>
          <w:p>
            <w:pPr>
              <w:spacing w:after="0"/>
              <w:rPr>
                <w:sz w:val="5"/>
                <w:szCs w:val="5"/>
                <w:color w:val="auto"/>
              </w:rPr>
            </w:pPr>
          </w:p>
        </w:tc>
        <w:tc>
          <w:tcPr>
            <w:tcW w:w="940" w:type="dxa"/>
            <w:vAlign w:val="bottom"/>
            <w:tcBorders>
              <w:bottom w:val="single" w:sz="8" w:color="A6A6A6"/>
            </w:tcBorders>
          </w:tcPr>
          <w:p>
            <w:pPr>
              <w:spacing w:after="0"/>
              <w:rPr>
                <w:sz w:val="5"/>
                <w:szCs w:val="5"/>
                <w:color w:val="auto"/>
              </w:rPr>
            </w:pPr>
          </w:p>
        </w:tc>
      </w:tr>
      <w:tr>
        <w:trPr>
          <w:trHeight w:val="287"/>
        </w:trPr>
        <w:tc>
          <w:tcPr>
            <w:tcW w:w="5020" w:type="dxa"/>
            <w:vAlign w:val="bottom"/>
          </w:tcPr>
          <w:p>
            <w:pPr>
              <w:ind w:left="200"/>
              <w:spacing w:after="0"/>
              <w:rPr>
                <w:sz w:val="20"/>
                <w:szCs w:val="20"/>
                <w:color w:val="auto"/>
              </w:rPr>
            </w:pPr>
            <w:r>
              <w:rPr>
                <w:rFonts w:ascii="Arial Narrow" w:cs="Arial Narrow" w:eastAsia="Arial Narrow" w:hAnsi="Arial Narrow"/>
                <w:sz w:val="20"/>
                <w:szCs w:val="20"/>
                <w:b w:val="1"/>
                <w:bCs w:val="1"/>
                <w:color w:val="00085E"/>
              </w:rPr>
              <w:t>Unrealized Gain (Loss) During the Period, net of tax benefit</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82"/>
        </w:trPr>
        <w:tc>
          <w:tcPr>
            <w:tcW w:w="5020" w:type="dxa"/>
            <w:vAlign w:val="bottom"/>
          </w:tcPr>
          <w:p>
            <w:pPr>
              <w:ind w:left="340"/>
              <w:spacing w:after="0"/>
              <w:rPr>
                <w:sz w:val="20"/>
                <w:szCs w:val="20"/>
                <w:color w:val="auto"/>
              </w:rPr>
            </w:pPr>
            <w:r>
              <w:rPr>
                <w:rFonts w:ascii="Arial Narrow" w:cs="Arial Narrow" w:eastAsia="Arial Narrow" w:hAnsi="Arial Narrow"/>
                <w:sz w:val="20"/>
                <w:szCs w:val="20"/>
                <w:b w:val="1"/>
                <w:bCs w:val="1"/>
                <w:color w:val="00085E"/>
              </w:rPr>
              <w:t>of $(463), $26, and $(24)</w:t>
            </w:r>
          </w:p>
        </w:tc>
        <w:tc>
          <w:tcPr>
            <w:tcW w:w="340" w:type="dxa"/>
            <w:vAlign w:val="bottom"/>
          </w:tcPr>
          <w:p>
            <w:pPr>
              <w:spacing w:after="0"/>
              <w:rPr>
                <w:sz w:val="24"/>
                <w:szCs w:val="24"/>
                <w:color w:val="auto"/>
              </w:rPr>
            </w:pPr>
          </w:p>
        </w:tc>
        <w:tc>
          <w:tcPr>
            <w:tcW w:w="1040" w:type="dxa"/>
            <w:vAlign w:val="bottom"/>
          </w:tcPr>
          <w:p>
            <w:pPr>
              <w:jc w:val="right"/>
              <w:ind w:right="43"/>
              <w:spacing w:after="0"/>
              <w:rPr>
                <w:sz w:val="20"/>
                <w:szCs w:val="20"/>
                <w:color w:val="auto"/>
              </w:rPr>
            </w:pPr>
            <w:r>
              <w:rPr>
                <w:rFonts w:ascii="Arial Narrow" w:cs="Arial Narrow" w:eastAsia="Arial Narrow" w:hAnsi="Arial Narrow"/>
                <w:sz w:val="20"/>
                <w:szCs w:val="20"/>
                <w:color w:val="auto"/>
              </w:rPr>
              <w:t>(1,438)</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ind w:right="102"/>
              <w:spacing w:after="0"/>
              <w:rPr>
                <w:sz w:val="20"/>
                <w:szCs w:val="20"/>
                <w:color w:val="auto"/>
              </w:rPr>
            </w:pPr>
            <w:r>
              <w:rPr>
                <w:rFonts w:ascii="Arial Narrow" w:cs="Arial Narrow" w:eastAsia="Arial Narrow" w:hAnsi="Arial Narrow"/>
                <w:sz w:val="20"/>
                <w:szCs w:val="20"/>
                <w:color w:val="auto"/>
              </w:rPr>
              <w:t>74</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jc w:val="right"/>
              <w:ind w:right="22"/>
              <w:spacing w:after="0"/>
              <w:rPr>
                <w:sz w:val="20"/>
                <w:szCs w:val="20"/>
                <w:color w:val="auto"/>
              </w:rPr>
            </w:pPr>
            <w:r>
              <w:rPr>
                <w:rFonts w:ascii="Arial Narrow" w:cs="Arial Narrow" w:eastAsia="Arial Narrow" w:hAnsi="Arial Narrow"/>
                <w:sz w:val="20"/>
                <w:szCs w:val="20"/>
                <w:color w:val="auto"/>
              </w:rPr>
              <w:t>(53)</w:t>
            </w:r>
          </w:p>
        </w:tc>
      </w:tr>
      <w:tr>
        <w:trPr>
          <w:trHeight w:val="65"/>
        </w:trPr>
        <w:tc>
          <w:tcPr>
            <w:tcW w:w="5020" w:type="dxa"/>
            <w:vAlign w:val="bottom"/>
            <w:tcBorders>
              <w:bottom w:val="single" w:sz="8" w:color="A6A6A6"/>
            </w:tcBorders>
          </w:tcPr>
          <w:p>
            <w:pPr>
              <w:spacing w:after="0"/>
              <w:rPr>
                <w:sz w:val="5"/>
                <w:szCs w:val="5"/>
                <w:color w:val="auto"/>
              </w:rPr>
            </w:pPr>
          </w:p>
        </w:tc>
        <w:tc>
          <w:tcPr>
            <w:tcW w:w="340" w:type="dxa"/>
            <w:vAlign w:val="bottom"/>
            <w:tcBorders>
              <w:bottom w:val="single" w:sz="8" w:color="A6A6A6"/>
            </w:tcBorders>
          </w:tcPr>
          <w:p>
            <w:pPr>
              <w:spacing w:after="0"/>
              <w:rPr>
                <w:sz w:val="5"/>
                <w:szCs w:val="5"/>
                <w:color w:val="auto"/>
              </w:rPr>
            </w:pPr>
          </w:p>
        </w:tc>
        <w:tc>
          <w:tcPr>
            <w:tcW w:w="104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340" w:type="dxa"/>
            <w:vAlign w:val="bottom"/>
            <w:tcBorders>
              <w:bottom w:val="single" w:sz="8" w:color="A6A6A6"/>
            </w:tcBorders>
          </w:tcPr>
          <w:p>
            <w:pPr>
              <w:spacing w:after="0"/>
              <w:rPr>
                <w:sz w:val="5"/>
                <w:szCs w:val="5"/>
                <w:color w:val="auto"/>
              </w:rPr>
            </w:pPr>
          </w:p>
        </w:tc>
        <w:tc>
          <w:tcPr>
            <w:tcW w:w="104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400" w:type="dxa"/>
            <w:vAlign w:val="bottom"/>
            <w:tcBorders>
              <w:bottom w:val="single" w:sz="8" w:color="A6A6A6"/>
            </w:tcBorders>
          </w:tcPr>
          <w:p>
            <w:pPr>
              <w:spacing w:after="0"/>
              <w:rPr>
                <w:sz w:val="5"/>
                <w:szCs w:val="5"/>
                <w:color w:val="auto"/>
              </w:rPr>
            </w:pPr>
          </w:p>
        </w:tc>
        <w:tc>
          <w:tcPr>
            <w:tcW w:w="940" w:type="dxa"/>
            <w:vAlign w:val="bottom"/>
            <w:tcBorders>
              <w:bottom w:val="single" w:sz="8" w:color="A6A6A6"/>
            </w:tcBorders>
          </w:tcPr>
          <w:p>
            <w:pPr>
              <w:spacing w:after="0"/>
              <w:rPr>
                <w:sz w:val="5"/>
                <w:szCs w:val="5"/>
                <w:color w:val="auto"/>
              </w:rPr>
            </w:pPr>
          </w:p>
        </w:tc>
      </w:tr>
      <w:tr>
        <w:trPr>
          <w:trHeight w:val="287"/>
        </w:trPr>
        <w:tc>
          <w:tcPr>
            <w:tcW w:w="5020" w:type="dxa"/>
            <w:vAlign w:val="bottom"/>
          </w:tcPr>
          <w:p>
            <w:pPr>
              <w:ind w:left="200"/>
              <w:spacing w:after="0"/>
              <w:rPr>
                <w:sz w:val="20"/>
                <w:szCs w:val="20"/>
                <w:color w:val="auto"/>
              </w:rPr>
            </w:pPr>
            <w:r>
              <w:rPr>
                <w:rFonts w:ascii="Arial Narrow" w:cs="Arial Narrow" w:eastAsia="Arial Narrow" w:hAnsi="Arial Narrow"/>
                <w:sz w:val="20"/>
                <w:szCs w:val="20"/>
                <w:b w:val="1"/>
                <w:bCs w:val="1"/>
                <w:color w:val="00085E"/>
              </w:rPr>
              <w:t>Amortization of Net Actuarial Gain, net of tax benefit</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82"/>
        </w:trPr>
        <w:tc>
          <w:tcPr>
            <w:tcW w:w="5020" w:type="dxa"/>
            <w:vAlign w:val="bottom"/>
          </w:tcPr>
          <w:p>
            <w:pPr>
              <w:ind w:left="340"/>
              <w:spacing w:after="0"/>
              <w:rPr>
                <w:sz w:val="20"/>
                <w:szCs w:val="20"/>
                <w:color w:val="auto"/>
              </w:rPr>
            </w:pPr>
            <w:r>
              <w:rPr>
                <w:rFonts w:ascii="Arial Narrow" w:cs="Arial Narrow" w:eastAsia="Arial Narrow" w:hAnsi="Arial Narrow"/>
                <w:sz w:val="20"/>
                <w:szCs w:val="20"/>
                <w:b w:val="1"/>
                <w:bCs w:val="1"/>
                <w:color w:val="00085E"/>
              </w:rPr>
              <w:t>of $51, $63, and $59</w:t>
            </w:r>
          </w:p>
        </w:tc>
        <w:tc>
          <w:tcPr>
            <w:tcW w:w="340" w:type="dxa"/>
            <w:vAlign w:val="bottom"/>
          </w:tcPr>
          <w:p>
            <w:pPr>
              <w:spacing w:after="0"/>
              <w:rPr>
                <w:sz w:val="24"/>
                <w:szCs w:val="24"/>
                <w:color w:val="auto"/>
              </w:rPr>
            </w:pPr>
          </w:p>
        </w:tc>
        <w:tc>
          <w:tcPr>
            <w:tcW w:w="1040" w:type="dxa"/>
            <w:vAlign w:val="bottom"/>
          </w:tcPr>
          <w:p>
            <w:pPr>
              <w:jc w:val="right"/>
              <w:ind w:right="123"/>
              <w:spacing w:after="0"/>
              <w:rPr>
                <w:sz w:val="20"/>
                <w:szCs w:val="20"/>
                <w:color w:val="auto"/>
              </w:rPr>
            </w:pPr>
            <w:r>
              <w:rPr>
                <w:rFonts w:ascii="Arial Narrow" w:cs="Arial Narrow" w:eastAsia="Arial Narrow" w:hAnsi="Arial Narrow"/>
                <w:sz w:val="20"/>
                <w:szCs w:val="20"/>
                <w:color w:val="auto"/>
              </w:rPr>
              <w:t>159</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ind w:right="102"/>
              <w:spacing w:after="0"/>
              <w:rPr>
                <w:sz w:val="20"/>
                <w:szCs w:val="20"/>
                <w:color w:val="auto"/>
              </w:rPr>
            </w:pPr>
            <w:r>
              <w:rPr>
                <w:rFonts w:ascii="Arial Narrow" w:cs="Arial Narrow" w:eastAsia="Arial Narrow" w:hAnsi="Arial Narrow"/>
                <w:sz w:val="20"/>
                <w:szCs w:val="20"/>
                <w:color w:val="auto"/>
              </w:rPr>
              <w:t>174</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jc w:val="right"/>
              <w:ind w:right="82"/>
              <w:spacing w:after="0"/>
              <w:rPr>
                <w:sz w:val="20"/>
                <w:szCs w:val="20"/>
                <w:color w:val="auto"/>
              </w:rPr>
            </w:pPr>
            <w:r>
              <w:rPr>
                <w:rFonts w:ascii="Arial Narrow" w:cs="Arial Narrow" w:eastAsia="Arial Narrow" w:hAnsi="Arial Narrow"/>
                <w:sz w:val="20"/>
                <w:szCs w:val="20"/>
                <w:color w:val="auto"/>
              </w:rPr>
              <w:t>192</w:t>
            </w:r>
          </w:p>
        </w:tc>
      </w:tr>
      <w:tr>
        <w:trPr>
          <w:trHeight w:val="90"/>
        </w:trPr>
        <w:tc>
          <w:tcPr>
            <w:tcW w:w="5020" w:type="dxa"/>
            <w:vAlign w:val="bottom"/>
            <w:tcBorders>
              <w:bottom w:val="single" w:sz="8" w:color="A6A6A6"/>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r>
      <w:tr>
        <w:trPr>
          <w:trHeight w:val="344"/>
        </w:trPr>
        <w:tc>
          <w:tcPr>
            <w:tcW w:w="5020" w:type="dxa"/>
            <w:vAlign w:val="bottom"/>
          </w:tcPr>
          <w:p>
            <w:pPr>
              <w:spacing w:after="0"/>
              <w:rPr>
                <w:sz w:val="20"/>
                <w:szCs w:val="20"/>
                <w:color w:val="auto"/>
              </w:rPr>
            </w:pPr>
            <w:r>
              <w:rPr>
                <w:rFonts w:ascii="Arial Narrow" w:cs="Arial Narrow" w:eastAsia="Arial Narrow" w:hAnsi="Arial Narrow"/>
                <w:sz w:val="20"/>
                <w:szCs w:val="20"/>
                <w:b w:val="1"/>
                <w:bCs w:val="1"/>
                <w:color w:val="auto"/>
              </w:rPr>
              <w:t>Comprehensive Earnings</w:t>
            </w:r>
          </w:p>
        </w:tc>
        <w:tc>
          <w:tcPr>
            <w:tcW w:w="340" w:type="dxa"/>
            <w:vAlign w:val="bottom"/>
          </w:tcPr>
          <w:p>
            <w:pPr>
              <w:jc w:val="right"/>
              <w:ind w:right="170"/>
              <w:spacing w:after="0"/>
              <w:rPr>
                <w:sz w:val="20"/>
                <w:szCs w:val="20"/>
                <w:color w:val="auto"/>
              </w:rPr>
            </w:pPr>
            <w:r>
              <w:rPr>
                <w:rFonts w:ascii="Arial Narrow" w:cs="Arial Narrow" w:eastAsia="Arial Narrow" w:hAnsi="Arial Narrow"/>
                <w:sz w:val="18"/>
                <w:szCs w:val="18"/>
                <w:b w:val="1"/>
                <w:bCs w:val="1"/>
                <w:color w:val="auto"/>
                <w:w w:val="72"/>
              </w:rPr>
              <w:t>$</w:t>
            </w:r>
          </w:p>
        </w:tc>
        <w:tc>
          <w:tcPr>
            <w:tcW w:w="1040" w:type="dxa"/>
            <w:vAlign w:val="bottom"/>
          </w:tcPr>
          <w:p>
            <w:pPr>
              <w:jc w:val="right"/>
              <w:ind w:right="123"/>
              <w:spacing w:after="0"/>
              <w:rPr>
                <w:sz w:val="20"/>
                <w:szCs w:val="20"/>
                <w:color w:val="auto"/>
              </w:rPr>
            </w:pPr>
            <w:r>
              <w:rPr>
                <w:rFonts w:ascii="Arial Narrow" w:cs="Arial Narrow" w:eastAsia="Arial Narrow" w:hAnsi="Arial Narrow"/>
                <w:sz w:val="20"/>
                <w:szCs w:val="20"/>
                <w:b w:val="1"/>
                <w:bCs w:val="1"/>
                <w:color w:val="auto"/>
              </w:rPr>
              <w:t>422,530</w:t>
            </w:r>
          </w:p>
        </w:tc>
        <w:tc>
          <w:tcPr>
            <w:tcW w:w="460" w:type="dxa"/>
            <w:vAlign w:val="bottom"/>
            <w:gridSpan w:val="2"/>
          </w:tcPr>
          <w:p>
            <w:pPr>
              <w:ind w:left="120"/>
              <w:spacing w:after="0"/>
              <w:rPr>
                <w:sz w:val="20"/>
                <w:szCs w:val="20"/>
                <w:color w:val="auto"/>
              </w:rPr>
            </w:pPr>
            <w:r>
              <w:rPr>
                <w:rFonts w:ascii="Arial Narrow" w:cs="Arial Narrow" w:eastAsia="Arial Narrow" w:hAnsi="Arial Narrow"/>
                <w:sz w:val="20"/>
                <w:szCs w:val="20"/>
                <w:b w:val="1"/>
                <w:bCs w:val="1"/>
                <w:color w:val="auto"/>
              </w:rPr>
              <w:t>$</w:t>
            </w:r>
          </w:p>
        </w:tc>
        <w:tc>
          <w:tcPr>
            <w:tcW w:w="1040" w:type="dxa"/>
            <w:vAlign w:val="bottom"/>
          </w:tcPr>
          <w:p>
            <w:pPr>
              <w:jc w:val="right"/>
              <w:ind w:right="102"/>
              <w:spacing w:after="0"/>
              <w:rPr>
                <w:sz w:val="20"/>
                <w:szCs w:val="20"/>
                <w:color w:val="auto"/>
              </w:rPr>
            </w:pPr>
            <w:r>
              <w:rPr>
                <w:rFonts w:ascii="Arial Narrow" w:cs="Arial Narrow" w:eastAsia="Arial Narrow" w:hAnsi="Arial Narrow"/>
                <w:sz w:val="20"/>
                <w:szCs w:val="20"/>
                <w:b w:val="1"/>
                <w:bCs w:val="1"/>
                <w:color w:val="auto"/>
              </w:rPr>
              <w:t>463,664</w:t>
            </w:r>
          </w:p>
        </w:tc>
        <w:tc>
          <w:tcPr>
            <w:tcW w:w="520" w:type="dxa"/>
            <w:vAlign w:val="bottom"/>
            <w:gridSpan w:val="2"/>
          </w:tcPr>
          <w:p>
            <w:pPr>
              <w:jc w:val="right"/>
              <w:ind w:right="320"/>
              <w:spacing w:after="0"/>
              <w:rPr>
                <w:sz w:val="20"/>
                <w:szCs w:val="20"/>
                <w:color w:val="auto"/>
              </w:rPr>
            </w:pPr>
            <w:r>
              <w:rPr>
                <w:rFonts w:ascii="Arial Narrow" w:cs="Arial Narrow" w:eastAsia="Arial Narrow" w:hAnsi="Arial Narrow"/>
                <w:sz w:val="20"/>
                <w:szCs w:val="20"/>
                <w:b w:val="1"/>
                <w:bCs w:val="1"/>
                <w:color w:val="auto"/>
              </w:rPr>
              <w:t>$</w:t>
            </w:r>
          </w:p>
        </w:tc>
        <w:tc>
          <w:tcPr>
            <w:tcW w:w="940" w:type="dxa"/>
            <w:vAlign w:val="bottom"/>
          </w:tcPr>
          <w:p>
            <w:pPr>
              <w:jc w:val="right"/>
              <w:ind w:right="82"/>
              <w:spacing w:after="0"/>
              <w:rPr>
                <w:sz w:val="20"/>
                <w:szCs w:val="20"/>
                <w:color w:val="auto"/>
              </w:rPr>
            </w:pPr>
            <w:r>
              <w:rPr>
                <w:rFonts w:ascii="Arial Narrow" w:cs="Arial Narrow" w:eastAsia="Arial Narrow" w:hAnsi="Arial Narrow"/>
                <w:sz w:val="20"/>
                <w:szCs w:val="20"/>
                <w:b w:val="1"/>
                <w:bCs w:val="1"/>
                <w:color w:val="auto"/>
              </w:rPr>
              <w:t>477,778</w:t>
            </w:r>
          </w:p>
        </w:tc>
      </w:tr>
      <w:tr>
        <w:trPr>
          <w:trHeight w:val="65"/>
        </w:trPr>
        <w:tc>
          <w:tcPr>
            <w:tcW w:w="5020" w:type="dxa"/>
            <w:vAlign w:val="bottom"/>
            <w:tcBorders>
              <w:bottom w:val="single" w:sz="8" w:color="A6A6A6"/>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r>
      <w:tr>
        <w:trPr>
          <w:trHeight w:val="20"/>
        </w:trPr>
        <w:tc>
          <w:tcPr>
            <w:tcW w:w="5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Notes to Consolidated Financial Statements.</w:t>
      </w:r>
    </w:p>
    <w:p>
      <w:pPr>
        <w:sectPr>
          <w:pgSz w:w="11880" w:h="15480" w:orient="portrait"/>
          <w:cols w:equalWidth="0" w:num="1">
            <w:col w:w="9360"/>
          </w:cols>
          <w:pgMar w:left="1260" w:top="1264"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72</w:t>
      </w:r>
    </w:p>
    <w:p>
      <w:pPr>
        <w:sectPr>
          <w:pgSz w:w="11880" w:h="15480" w:orient="portrait"/>
          <w:cols w:equalWidth="0" w:num="1">
            <w:col w:w="9360"/>
          </w:cols>
          <w:pgMar w:left="1260" w:top="1264" w:right="1260" w:bottom="0" w:gutter="0" w:footer="0" w:header="0"/>
          <w:type w:val="continuous"/>
        </w:sectPr>
      </w:pPr>
    </w:p>
    <w:bookmarkStart w:id="80" w:name="page81"/>
    <w:bookmarkEnd w:id="80"/>
    <w:p>
      <w:pPr>
        <w:spacing w:after="0"/>
        <w:rPr>
          <w:sz w:val="20"/>
          <w:szCs w:val="20"/>
          <w:color w:val="auto"/>
        </w:rPr>
      </w:pPr>
      <w:r>
        <w:rPr>
          <w:rFonts w:ascii="Arial" w:cs="Arial" w:eastAsia="Arial" w:hAnsi="Arial"/>
          <w:sz w:val="20"/>
          <w:szCs w:val="20"/>
          <w:b w:val="1"/>
          <w:bCs w:val="1"/>
          <w:color w:val="auto"/>
        </w:rPr>
        <w:t>EAGLE MATERIALS INC. AND SUBSIDIARIES CONSOLIDATED BALANCE SHEETS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900" w:type="dxa"/>
            <w:vAlign w:val="bottom"/>
            <w:gridSpan w:val="3"/>
          </w:tcPr>
          <w:p>
            <w:pPr>
              <w:jc w:val="right"/>
              <w:ind w:right="420"/>
              <w:spacing w:after="0"/>
              <w:rPr>
                <w:sz w:val="20"/>
                <w:szCs w:val="20"/>
                <w:color w:val="auto"/>
              </w:rPr>
            </w:pPr>
            <w:r>
              <w:rPr>
                <w:rFonts w:ascii="Arial Narrow" w:cs="Arial Narrow" w:eastAsia="Arial Narrow" w:hAnsi="Arial Narrow"/>
                <w:sz w:val="16"/>
                <w:szCs w:val="16"/>
                <w:b w:val="1"/>
                <w:bCs w:val="1"/>
                <w:color w:val="auto"/>
              </w:rPr>
              <w:t>March 31,</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60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120"/>
              <w:spacing w:after="0"/>
              <w:rPr>
                <w:sz w:val="20"/>
                <w:szCs w:val="20"/>
                <w:color w:val="auto"/>
              </w:rPr>
            </w:pPr>
            <w:r>
              <w:rPr>
                <w:rFonts w:ascii="Arial Narrow" w:cs="Arial Narrow" w:eastAsia="Arial Narrow" w:hAnsi="Arial Narrow"/>
                <w:sz w:val="16"/>
                <w:szCs w:val="16"/>
                <w:b w:val="1"/>
                <w:bCs w:val="1"/>
                <w:color w:val="auto"/>
              </w:rPr>
              <w:t>2026</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jc w:val="right"/>
              <w:ind w:right="100"/>
              <w:spacing w:after="0"/>
              <w:rPr>
                <w:sz w:val="20"/>
                <w:szCs w:val="20"/>
                <w:color w:val="auto"/>
              </w:rPr>
            </w:pPr>
            <w:r>
              <w:rPr>
                <w:rFonts w:ascii="Arial Narrow" w:cs="Arial Narrow" w:eastAsia="Arial Narrow" w:hAnsi="Arial Narrow"/>
                <w:sz w:val="16"/>
                <w:szCs w:val="16"/>
                <w:b w:val="1"/>
                <w:bCs w:val="1"/>
                <w:color w:val="auto"/>
              </w:rPr>
              <w:t>2025</w:t>
            </w:r>
          </w:p>
        </w:tc>
        <w:tc>
          <w:tcPr>
            <w:tcW w:w="0" w:type="dxa"/>
            <w:vAlign w:val="bottom"/>
          </w:tcPr>
          <w:p>
            <w:pPr>
              <w:spacing w:after="0"/>
              <w:rPr>
                <w:sz w:val="1"/>
                <w:szCs w:val="1"/>
                <w:color w:val="auto"/>
              </w:rPr>
            </w:pPr>
          </w:p>
        </w:tc>
      </w:tr>
      <w:tr>
        <w:trPr>
          <w:trHeight w:val="23"/>
        </w:trPr>
        <w:tc>
          <w:tcPr>
            <w:tcW w:w="60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6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900" w:type="dxa"/>
            <w:vAlign w:val="bottom"/>
            <w:gridSpan w:val="3"/>
          </w:tcPr>
          <w:p>
            <w:pPr>
              <w:jc w:val="right"/>
              <w:ind w:right="160"/>
              <w:spacing w:after="0"/>
              <w:rPr>
                <w:sz w:val="20"/>
                <w:szCs w:val="20"/>
                <w:color w:val="auto"/>
              </w:rPr>
            </w:pPr>
            <w:r>
              <w:rPr>
                <w:rFonts w:ascii="Arial Narrow" w:cs="Arial Narrow" w:eastAsia="Arial Narrow" w:hAnsi="Arial Narrow"/>
                <w:sz w:val="14"/>
                <w:szCs w:val="14"/>
                <w:color w:val="auto"/>
              </w:rPr>
              <w:t>(dollars in thousands)</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60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6080" w:type="dxa"/>
            <w:vAlign w:val="bottom"/>
          </w:tcPr>
          <w:p>
            <w:pPr>
              <w:spacing w:after="0"/>
              <w:rPr>
                <w:sz w:val="20"/>
                <w:szCs w:val="20"/>
                <w:color w:val="auto"/>
              </w:rPr>
            </w:pPr>
            <w:r>
              <w:rPr>
                <w:rFonts w:ascii="Arial Narrow" w:cs="Arial Narrow" w:eastAsia="Arial Narrow" w:hAnsi="Arial Narrow"/>
                <w:sz w:val="16"/>
                <w:szCs w:val="16"/>
                <w:b w:val="1"/>
                <w:bCs w:val="1"/>
                <w:color w:val="auto"/>
              </w:rPr>
              <w:t>ASSETS</w:t>
            </w:r>
          </w:p>
        </w:tc>
        <w:tc>
          <w:tcPr>
            <w:tcW w:w="4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6080" w:type="dxa"/>
            <w:vAlign w:val="bottom"/>
            <w:tcBorders>
              <w:bottom w:val="single" w:sz="8" w:color="A6A6A6"/>
            </w:tcBorders>
          </w:tcPr>
          <w:p>
            <w:pPr>
              <w:spacing w:after="0"/>
              <w:rPr>
                <w:sz w:val="2"/>
                <w:szCs w:val="2"/>
                <w:color w:val="auto"/>
              </w:rPr>
            </w:pPr>
          </w:p>
        </w:tc>
        <w:tc>
          <w:tcPr>
            <w:tcW w:w="440" w:type="dxa"/>
            <w:vAlign w:val="bottom"/>
            <w:tcBorders>
              <w:bottom w:val="single" w:sz="8" w:color="A6A6A6"/>
            </w:tcBorders>
          </w:tcPr>
          <w:p>
            <w:pPr>
              <w:spacing w:after="0"/>
              <w:rPr>
                <w:sz w:val="2"/>
                <w:szCs w:val="2"/>
                <w:color w:val="auto"/>
              </w:rPr>
            </w:pPr>
          </w:p>
        </w:tc>
        <w:tc>
          <w:tcPr>
            <w:tcW w:w="1140" w:type="dxa"/>
            <w:vAlign w:val="bottom"/>
            <w:tcBorders>
              <w:bottom w:val="single" w:sz="8" w:color="A6A6A6"/>
            </w:tcBorders>
          </w:tcPr>
          <w:p>
            <w:pPr>
              <w:spacing w:after="0"/>
              <w:rPr>
                <w:sz w:val="2"/>
                <w:szCs w:val="2"/>
                <w:color w:val="auto"/>
              </w:rPr>
            </w:pPr>
          </w:p>
        </w:tc>
        <w:tc>
          <w:tcPr>
            <w:tcW w:w="140" w:type="dxa"/>
            <w:vAlign w:val="bottom"/>
            <w:tcBorders>
              <w:bottom w:val="single" w:sz="8" w:color="A6A6A6"/>
            </w:tcBorders>
          </w:tcPr>
          <w:p>
            <w:pPr>
              <w:spacing w:after="0"/>
              <w:rPr>
                <w:sz w:val="2"/>
                <w:szCs w:val="2"/>
                <w:color w:val="auto"/>
              </w:rPr>
            </w:pPr>
          </w:p>
        </w:tc>
        <w:tc>
          <w:tcPr>
            <w:tcW w:w="620" w:type="dxa"/>
            <w:vAlign w:val="bottom"/>
            <w:tcBorders>
              <w:bottom w:val="single" w:sz="8" w:color="A6A6A6"/>
            </w:tcBorders>
          </w:tcPr>
          <w:p>
            <w:pPr>
              <w:spacing w:after="0"/>
              <w:rPr>
                <w:sz w:val="2"/>
                <w:szCs w:val="2"/>
                <w:color w:val="auto"/>
              </w:rPr>
            </w:pPr>
          </w:p>
        </w:tc>
        <w:tc>
          <w:tcPr>
            <w:tcW w:w="940" w:type="dxa"/>
            <w:vAlign w:val="bottom"/>
            <w:tcBorders>
              <w:bottom w:val="single" w:sz="8" w:color="A6A6A6"/>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080" w:type="dxa"/>
            <w:vAlign w:val="bottom"/>
          </w:tcPr>
          <w:p>
            <w:pPr>
              <w:spacing w:after="0"/>
              <w:rPr>
                <w:sz w:val="20"/>
                <w:szCs w:val="20"/>
                <w:color w:val="auto"/>
              </w:rPr>
            </w:pPr>
            <w:r>
              <w:rPr>
                <w:rFonts w:ascii="Arial Narrow" w:cs="Arial Narrow" w:eastAsia="Arial Narrow" w:hAnsi="Arial Narrow"/>
                <w:sz w:val="16"/>
                <w:szCs w:val="16"/>
                <w:b w:val="1"/>
                <w:bCs w:val="1"/>
                <w:color w:val="00085E"/>
              </w:rPr>
              <w:t>Current Assets</w:t>
            </w:r>
          </w:p>
        </w:tc>
        <w:tc>
          <w:tcPr>
            <w:tcW w:w="4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6080" w:type="dxa"/>
            <w:vAlign w:val="bottom"/>
            <w:tcBorders>
              <w:bottom w:val="single" w:sz="8" w:color="A6A6A6"/>
            </w:tcBorders>
          </w:tcPr>
          <w:p>
            <w:pPr>
              <w:spacing w:after="0"/>
              <w:rPr>
                <w:sz w:val="2"/>
                <w:szCs w:val="2"/>
                <w:color w:val="auto"/>
              </w:rPr>
            </w:pPr>
          </w:p>
        </w:tc>
        <w:tc>
          <w:tcPr>
            <w:tcW w:w="440" w:type="dxa"/>
            <w:vAlign w:val="bottom"/>
            <w:tcBorders>
              <w:bottom w:val="single" w:sz="8" w:color="A6A6A6"/>
            </w:tcBorders>
          </w:tcPr>
          <w:p>
            <w:pPr>
              <w:spacing w:after="0"/>
              <w:rPr>
                <w:sz w:val="2"/>
                <w:szCs w:val="2"/>
                <w:color w:val="auto"/>
              </w:rPr>
            </w:pPr>
          </w:p>
        </w:tc>
        <w:tc>
          <w:tcPr>
            <w:tcW w:w="1140" w:type="dxa"/>
            <w:vAlign w:val="bottom"/>
            <w:tcBorders>
              <w:bottom w:val="single" w:sz="8" w:color="A6A6A6"/>
            </w:tcBorders>
          </w:tcPr>
          <w:p>
            <w:pPr>
              <w:spacing w:after="0"/>
              <w:rPr>
                <w:sz w:val="2"/>
                <w:szCs w:val="2"/>
                <w:color w:val="auto"/>
              </w:rPr>
            </w:pPr>
          </w:p>
        </w:tc>
        <w:tc>
          <w:tcPr>
            <w:tcW w:w="760" w:type="dxa"/>
            <w:vAlign w:val="bottom"/>
            <w:tcBorders>
              <w:bottom w:val="single" w:sz="8" w:color="A6A6A6"/>
            </w:tcBorders>
            <w:gridSpan w:val="2"/>
          </w:tcPr>
          <w:p>
            <w:pPr>
              <w:spacing w:after="0"/>
              <w:rPr>
                <w:sz w:val="2"/>
                <w:szCs w:val="2"/>
                <w:color w:val="auto"/>
              </w:rPr>
            </w:pPr>
          </w:p>
        </w:tc>
        <w:tc>
          <w:tcPr>
            <w:tcW w:w="940" w:type="dxa"/>
            <w:vAlign w:val="bottom"/>
            <w:tcBorders>
              <w:bottom w:val="single" w:sz="8" w:color="A6A6A6"/>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080" w:type="dxa"/>
            <w:vAlign w:val="bottom"/>
          </w:tcPr>
          <w:p>
            <w:pPr>
              <w:spacing w:after="0"/>
              <w:rPr>
                <w:sz w:val="20"/>
                <w:szCs w:val="20"/>
                <w:color w:val="auto"/>
              </w:rPr>
            </w:pPr>
            <w:r>
              <w:rPr>
                <w:rFonts w:ascii="Arial Narrow" w:cs="Arial Narrow" w:eastAsia="Arial Narrow" w:hAnsi="Arial Narrow"/>
                <w:sz w:val="16"/>
                <w:szCs w:val="16"/>
                <w:b w:val="1"/>
                <w:bCs w:val="1"/>
                <w:color w:val="00085E"/>
              </w:rPr>
              <w:t>Cash and Cash Equivalents</w:t>
            </w:r>
          </w:p>
        </w:tc>
        <w:tc>
          <w:tcPr>
            <w:tcW w:w="440" w:type="dxa"/>
            <w:vAlign w:val="bottom"/>
          </w:tcPr>
          <w:p>
            <w:pPr>
              <w:jc w:val="right"/>
              <w:ind w:right="280"/>
              <w:spacing w:after="0"/>
              <w:rPr>
                <w:sz w:val="20"/>
                <w:szCs w:val="20"/>
                <w:color w:val="auto"/>
              </w:rPr>
            </w:pPr>
            <w:r>
              <w:rPr>
                <w:rFonts w:ascii="Arial Narrow" w:cs="Arial Narrow" w:eastAsia="Arial Narrow" w:hAnsi="Arial Narrow"/>
                <w:sz w:val="16"/>
                <w:szCs w:val="16"/>
                <w:color w:val="auto"/>
                <w:w w:val="81"/>
              </w:rPr>
              <w:t>$</w:t>
            </w:r>
          </w:p>
        </w:tc>
        <w:tc>
          <w:tcPr>
            <w:tcW w:w="1140" w:type="dxa"/>
            <w:vAlign w:val="bottom"/>
          </w:tcPr>
          <w:p>
            <w:pPr>
              <w:jc w:val="right"/>
              <w:ind w:right="120"/>
              <w:spacing w:after="0"/>
              <w:rPr>
                <w:sz w:val="20"/>
                <w:szCs w:val="20"/>
                <w:color w:val="auto"/>
              </w:rPr>
            </w:pPr>
            <w:r>
              <w:rPr>
                <w:rFonts w:ascii="Arial Narrow" w:cs="Arial Narrow" w:eastAsia="Arial Narrow" w:hAnsi="Arial Narrow"/>
                <w:sz w:val="16"/>
                <w:szCs w:val="16"/>
                <w:color w:val="auto"/>
              </w:rPr>
              <w:t>297,920</w:t>
            </w:r>
          </w:p>
        </w:tc>
        <w:tc>
          <w:tcPr>
            <w:tcW w:w="760" w:type="dxa"/>
            <w:vAlign w:val="bottom"/>
            <w:gridSpan w:val="2"/>
          </w:tcPr>
          <w:p>
            <w:pPr>
              <w:jc w:val="right"/>
              <w:ind w:right="540"/>
              <w:spacing w:after="0"/>
              <w:rPr>
                <w:sz w:val="20"/>
                <w:szCs w:val="20"/>
                <w:color w:val="auto"/>
              </w:rPr>
            </w:pPr>
            <w:r>
              <w:rPr>
                <w:rFonts w:ascii="Arial Narrow" w:cs="Arial Narrow" w:eastAsia="Arial Narrow" w:hAnsi="Arial Narrow"/>
                <w:sz w:val="16"/>
                <w:szCs w:val="16"/>
                <w:color w:val="auto"/>
              </w:rPr>
              <w:t>$</w:t>
            </w:r>
          </w:p>
        </w:tc>
        <w:tc>
          <w:tcPr>
            <w:tcW w:w="940" w:type="dxa"/>
            <w:vAlign w:val="bottom"/>
          </w:tcPr>
          <w:p>
            <w:pPr>
              <w:jc w:val="right"/>
              <w:ind w:right="100"/>
              <w:spacing w:after="0"/>
              <w:rPr>
                <w:sz w:val="20"/>
                <w:szCs w:val="20"/>
                <w:color w:val="auto"/>
              </w:rPr>
            </w:pPr>
            <w:r>
              <w:rPr>
                <w:rFonts w:ascii="Arial Narrow" w:cs="Arial Narrow" w:eastAsia="Arial Narrow" w:hAnsi="Arial Narrow"/>
                <w:sz w:val="16"/>
                <w:szCs w:val="16"/>
                <w:color w:val="auto"/>
              </w:rPr>
              <w:t>20,401</w:t>
            </w:r>
          </w:p>
        </w:tc>
        <w:tc>
          <w:tcPr>
            <w:tcW w:w="0" w:type="dxa"/>
            <w:vAlign w:val="bottom"/>
          </w:tcPr>
          <w:p>
            <w:pPr>
              <w:spacing w:after="0"/>
              <w:rPr>
                <w:sz w:val="1"/>
                <w:szCs w:val="1"/>
                <w:color w:val="auto"/>
              </w:rPr>
            </w:pPr>
          </w:p>
        </w:tc>
      </w:tr>
      <w:tr>
        <w:trPr>
          <w:trHeight w:val="34"/>
        </w:trPr>
        <w:tc>
          <w:tcPr>
            <w:tcW w:w="6080" w:type="dxa"/>
            <w:vAlign w:val="bottom"/>
            <w:tcBorders>
              <w:bottom w:val="single" w:sz="8" w:color="A6A6A6"/>
            </w:tcBorders>
          </w:tcPr>
          <w:p>
            <w:pPr>
              <w:spacing w:after="0"/>
              <w:rPr>
                <w:sz w:val="2"/>
                <w:szCs w:val="2"/>
                <w:color w:val="auto"/>
              </w:rPr>
            </w:pPr>
          </w:p>
        </w:tc>
        <w:tc>
          <w:tcPr>
            <w:tcW w:w="440" w:type="dxa"/>
            <w:vAlign w:val="bottom"/>
            <w:tcBorders>
              <w:bottom w:val="single" w:sz="8" w:color="A6A6A6"/>
            </w:tcBorders>
          </w:tcPr>
          <w:p>
            <w:pPr>
              <w:spacing w:after="0"/>
              <w:rPr>
                <w:sz w:val="2"/>
                <w:szCs w:val="2"/>
                <w:color w:val="auto"/>
              </w:rPr>
            </w:pPr>
          </w:p>
        </w:tc>
        <w:tc>
          <w:tcPr>
            <w:tcW w:w="1140" w:type="dxa"/>
            <w:vAlign w:val="bottom"/>
            <w:tcBorders>
              <w:bottom w:val="single" w:sz="8" w:color="A6A6A6"/>
            </w:tcBorders>
          </w:tcPr>
          <w:p>
            <w:pPr>
              <w:spacing w:after="0"/>
              <w:rPr>
                <w:sz w:val="2"/>
                <w:szCs w:val="2"/>
                <w:color w:val="auto"/>
              </w:rPr>
            </w:pPr>
          </w:p>
        </w:tc>
        <w:tc>
          <w:tcPr>
            <w:tcW w:w="140" w:type="dxa"/>
            <w:vAlign w:val="bottom"/>
            <w:tcBorders>
              <w:bottom w:val="single" w:sz="8" w:color="A6A6A6"/>
            </w:tcBorders>
          </w:tcPr>
          <w:p>
            <w:pPr>
              <w:spacing w:after="0"/>
              <w:rPr>
                <w:sz w:val="2"/>
                <w:szCs w:val="2"/>
                <w:color w:val="auto"/>
              </w:rPr>
            </w:pPr>
          </w:p>
        </w:tc>
        <w:tc>
          <w:tcPr>
            <w:tcW w:w="620" w:type="dxa"/>
            <w:vAlign w:val="bottom"/>
            <w:tcBorders>
              <w:bottom w:val="single" w:sz="8" w:color="A6A6A6"/>
            </w:tcBorders>
          </w:tcPr>
          <w:p>
            <w:pPr>
              <w:spacing w:after="0"/>
              <w:rPr>
                <w:sz w:val="2"/>
                <w:szCs w:val="2"/>
                <w:color w:val="auto"/>
              </w:rPr>
            </w:pPr>
          </w:p>
        </w:tc>
        <w:tc>
          <w:tcPr>
            <w:tcW w:w="940" w:type="dxa"/>
            <w:vAlign w:val="bottom"/>
            <w:tcBorders>
              <w:bottom w:val="single" w:sz="8" w:color="A6A6A6"/>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080" w:type="dxa"/>
            <w:vAlign w:val="bottom"/>
          </w:tcPr>
          <w:p>
            <w:pPr>
              <w:spacing w:after="0"/>
              <w:rPr>
                <w:sz w:val="20"/>
                <w:szCs w:val="20"/>
                <w:color w:val="auto"/>
              </w:rPr>
            </w:pPr>
            <w:r>
              <w:rPr>
                <w:rFonts w:ascii="Arial Narrow" w:cs="Arial Narrow" w:eastAsia="Arial Narrow" w:hAnsi="Arial Narrow"/>
                <w:sz w:val="16"/>
                <w:szCs w:val="16"/>
                <w:b w:val="1"/>
                <w:bCs w:val="1"/>
                <w:color w:val="00085E"/>
              </w:rPr>
              <w:t>Accounts Receivable, net</w:t>
            </w:r>
          </w:p>
        </w:tc>
        <w:tc>
          <w:tcPr>
            <w:tcW w:w="440" w:type="dxa"/>
            <w:vAlign w:val="bottom"/>
          </w:tcPr>
          <w:p>
            <w:pPr>
              <w:spacing w:after="0"/>
              <w:rPr>
                <w:sz w:val="22"/>
                <w:szCs w:val="22"/>
                <w:color w:val="auto"/>
              </w:rPr>
            </w:pPr>
          </w:p>
        </w:tc>
        <w:tc>
          <w:tcPr>
            <w:tcW w:w="1140" w:type="dxa"/>
            <w:vAlign w:val="bottom"/>
          </w:tcPr>
          <w:p>
            <w:pPr>
              <w:jc w:val="right"/>
              <w:ind w:right="120"/>
              <w:spacing w:after="0"/>
              <w:rPr>
                <w:sz w:val="20"/>
                <w:szCs w:val="20"/>
                <w:color w:val="auto"/>
              </w:rPr>
            </w:pPr>
            <w:r>
              <w:rPr>
                <w:rFonts w:ascii="Arial Narrow" w:cs="Arial Narrow" w:eastAsia="Arial Narrow" w:hAnsi="Arial Narrow"/>
                <w:sz w:val="16"/>
                <w:szCs w:val="16"/>
                <w:color w:val="auto"/>
              </w:rPr>
              <w:t>228,573</w:t>
            </w: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40" w:type="dxa"/>
            <w:vAlign w:val="bottom"/>
          </w:tcPr>
          <w:p>
            <w:pPr>
              <w:jc w:val="right"/>
              <w:ind w:right="100"/>
              <w:spacing w:after="0"/>
              <w:rPr>
                <w:sz w:val="20"/>
                <w:szCs w:val="20"/>
                <w:color w:val="auto"/>
              </w:rPr>
            </w:pPr>
            <w:r>
              <w:rPr>
                <w:rFonts w:ascii="Arial Narrow" w:cs="Arial Narrow" w:eastAsia="Arial Narrow" w:hAnsi="Arial Narrow"/>
                <w:sz w:val="16"/>
                <w:szCs w:val="16"/>
                <w:color w:val="auto"/>
              </w:rPr>
              <w:t>212,332</w:t>
            </w:r>
          </w:p>
        </w:tc>
        <w:tc>
          <w:tcPr>
            <w:tcW w:w="0" w:type="dxa"/>
            <w:vAlign w:val="bottom"/>
          </w:tcPr>
          <w:p>
            <w:pPr>
              <w:spacing w:after="0"/>
              <w:rPr>
                <w:sz w:val="1"/>
                <w:szCs w:val="1"/>
                <w:color w:val="auto"/>
              </w:rPr>
            </w:pPr>
          </w:p>
        </w:tc>
      </w:tr>
      <w:tr>
        <w:trPr>
          <w:trHeight w:val="34"/>
        </w:trPr>
        <w:tc>
          <w:tcPr>
            <w:tcW w:w="6080" w:type="dxa"/>
            <w:vAlign w:val="bottom"/>
            <w:tcBorders>
              <w:bottom w:val="single" w:sz="8" w:color="A6A6A6"/>
            </w:tcBorders>
          </w:tcPr>
          <w:p>
            <w:pPr>
              <w:spacing w:after="0"/>
              <w:rPr>
                <w:sz w:val="2"/>
                <w:szCs w:val="2"/>
                <w:color w:val="auto"/>
              </w:rPr>
            </w:pPr>
          </w:p>
        </w:tc>
        <w:tc>
          <w:tcPr>
            <w:tcW w:w="440" w:type="dxa"/>
            <w:vAlign w:val="bottom"/>
            <w:tcBorders>
              <w:bottom w:val="single" w:sz="8" w:color="A6A6A6"/>
            </w:tcBorders>
          </w:tcPr>
          <w:p>
            <w:pPr>
              <w:spacing w:after="0"/>
              <w:rPr>
                <w:sz w:val="2"/>
                <w:szCs w:val="2"/>
                <w:color w:val="auto"/>
              </w:rPr>
            </w:pPr>
          </w:p>
        </w:tc>
        <w:tc>
          <w:tcPr>
            <w:tcW w:w="1140" w:type="dxa"/>
            <w:vAlign w:val="bottom"/>
            <w:tcBorders>
              <w:bottom w:val="single" w:sz="8" w:color="A6A6A6"/>
            </w:tcBorders>
          </w:tcPr>
          <w:p>
            <w:pPr>
              <w:spacing w:after="0"/>
              <w:rPr>
                <w:sz w:val="2"/>
                <w:szCs w:val="2"/>
                <w:color w:val="auto"/>
              </w:rPr>
            </w:pPr>
          </w:p>
        </w:tc>
        <w:tc>
          <w:tcPr>
            <w:tcW w:w="140" w:type="dxa"/>
            <w:vAlign w:val="bottom"/>
            <w:tcBorders>
              <w:bottom w:val="single" w:sz="8" w:color="A6A6A6"/>
            </w:tcBorders>
          </w:tcPr>
          <w:p>
            <w:pPr>
              <w:spacing w:after="0"/>
              <w:rPr>
                <w:sz w:val="2"/>
                <w:szCs w:val="2"/>
                <w:color w:val="auto"/>
              </w:rPr>
            </w:pPr>
          </w:p>
        </w:tc>
        <w:tc>
          <w:tcPr>
            <w:tcW w:w="620" w:type="dxa"/>
            <w:vAlign w:val="bottom"/>
            <w:tcBorders>
              <w:bottom w:val="single" w:sz="8" w:color="A6A6A6"/>
            </w:tcBorders>
          </w:tcPr>
          <w:p>
            <w:pPr>
              <w:spacing w:after="0"/>
              <w:rPr>
                <w:sz w:val="2"/>
                <w:szCs w:val="2"/>
                <w:color w:val="auto"/>
              </w:rPr>
            </w:pPr>
          </w:p>
        </w:tc>
        <w:tc>
          <w:tcPr>
            <w:tcW w:w="940" w:type="dxa"/>
            <w:vAlign w:val="bottom"/>
            <w:tcBorders>
              <w:bottom w:val="single" w:sz="8" w:color="A6A6A6"/>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080" w:type="dxa"/>
            <w:vAlign w:val="bottom"/>
          </w:tcPr>
          <w:p>
            <w:pPr>
              <w:spacing w:after="0"/>
              <w:rPr>
                <w:sz w:val="20"/>
                <w:szCs w:val="20"/>
                <w:color w:val="auto"/>
              </w:rPr>
            </w:pPr>
            <w:r>
              <w:rPr>
                <w:rFonts w:ascii="Arial Narrow" w:cs="Arial Narrow" w:eastAsia="Arial Narrow" w:hAnsi="Arial Narrow"/>
                <w:sz w:val="16"/>
                <w:szCs w:val="16"/>
                <w:b w:val="1"/>
                <w:bCs w:val="1"/>
                <w:color w:val="00085E"/>
              </w:rPr>
              <w:t>Inventories</w:t>
            </w:r>
          </w:p>
        </w:tc>
        <w:tc>
          <w:tcPr>
            <w:tcW w:w="440" w:type="dxa"/>
            <w:vAlign w:val="bottom"/>
          </w:tcPr>
          <w:p>
            <w:pPr>
              <w:spacing w:after="0"/>
              <w:rPr>
                <w:sz w:val="22"/>
                <w:szCs w:val="22"/>
                <w:color w:val="auto"/>
              </w:rPr>
            </w:pPr>
          </w:p>
        </w:tc>
        <w:tc>
          <w:tcPr>
            <w:tcW w:w="1140" w:type="dxa"/>
            <w:vAlign w:val="bottom"/>
          </w:tcPr>
          <w:p>
            <w:pPr>
              <w:jc w:val="right"/>
              <w:ind w:right="120"/>
              <w:spacing w:after="0"/>
              <w:rPr>
                <w:sz w:val="20"/>
                <w:szCs w:val="20"/>
                <w:color w:val="auto"/>
              </w:rPr>
            </w:pPr>
            <w:r>
              <w:rPr>
                <w:rFonts w:ascii="Arial Narrow" w:cs="Arial Narrow" w:eastAsia="Arial Narrow" w:hAnsi="Arial Narrow"/>
                <w:sz w:val="16"/>
                <w:szCs w:val="16"/>
                <w:color w:val="auto"/>
              </w:rPr>
              <w:t>408,391</w:t>
            </w: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40" w:type="dxa"/>
            <w:vAlign w:val="bottom"/>
          </w:tcPr>
          <w:p>
            <w:pPr>
              <w:jc w:val="right"/>
              <w:ind w:right="100"/>
              <w:spacing w:after="0"/>
              <w:rPr>
                <w:sz w:val="20"/>
                <w:szCs w:val="20"/>
                <w:color w:val="auto"/>
              </w:rPr>
            </w:pPr>
            <w:r>
              <w:rPr>
                <w:rFonts w:ascii="Arial Narrow" w:cs="Arial Narrow" w:eastAsia="Arial Narrow" w:hAnsi="Arial Narrow"/>
                <w:sz w:val="16"/>
                <w:szCs w:val="16"/>
                <w:color w:val="auto"/>
              </w:rPr>
              <w:t>415,175</w:t>
            </w:r>
          </w:p>
        </w:tc>
        <w:tc>
          <w:tcPr>
            <w:tcW w:w="0" w:type="dxa"/>
            <w:vAlign w:val="bottom"/>
          </w:tcPr>
          <w:p>
            <w:pPr>
              <w:spacing w:after="0"/>
              <w:rPr>
                <w:sz w:val="1"/>
                <w:szCs w:val="1"/>
                <w:color w:val="auto"/>
              </w:rPr>
            </w:pPr>
          </w:p>
        </w:tc>
      </w:tr>
      <w:tr>
        <w:trPr>
          <w:trHeight w:val="34"/>
        </w:trPr>
        <w:tc>
          <w:tcPr>
            <w:tcW w:w="6080" w:type="dxa"/>
            <w:vAlign w:val="bottom"/>
            <w:tcBorders>
              <w:bottom w:val="single" w:sz="8" w:color="A6A6A6"/>
            </w:tcBorders>
          </w:tcPr>
          <w:p>
            <w:pPr>
              <w:spacing w:after="0"/>
              <w:rPr>
                <w:sz w:val="2"/>
                <w:szCs w:val="2"/>
                <w:color w:val="auto"/>
              </w:rPr>
            </w:pPr>
          </w:p>
        </w:tc>
        <w:tc>
          <w:tcPr>
            <w:tcW w:w="440" w:type="dxa"/>
            <w:vAlign w:val="bottom"/>
            <w:tcBorders>
              <w:bottom w:val="single" w:sz="8" w:color="A6A6A6"/>
            </w:tcBorders>
          </w:tcPr>
          <w:p>
            <w:pPr>
              <w:spacing w:after="0"/>
              <w:rPr>
                <w:sz w:val="2"/>
                <w:szCs w:val="2"/>
                <w:color w:val="auto"/>
              </w:rPr>
            </w:pPr>
          </w:p>
        </w:tc>
        <w:tc>
          <w:tcPr>
            <w:tcW w:w="1140" w:type="dxa"/>
            <w:vAlign w:val="bottom"/>
            <w:tcBorders>
              <w:bottom w:val="single" w:sz="8" w:color="A6A6A6"/>
            </w:tcBorders>
          </w:tcPr>
          <w:p>
            <w:pPr>
              <w:spacing w:after="0"/>
              <w:rPr>
                <w:sz w:val="2"/>
                <w:szCs w:val="2"/>
                <w:color w:val="auto"/>
              </w:rPr>
            </w:pPr>
          </w:p>
        </w:tc>
        <w:tc>
          <w:tcPr>
            <w:tcW w:w="140" w:type="dxa"/>
            <w:vAlign w:val="bottom"/>
            <w:tcBorders>
              <w:bottom w:val="single" w:sz="8" w:color="A6A6A6"/>
            </w:tcBorders>
          </w:tcPr>
          <w:p>
            <w:pPr>
              <w:spacing w:after="0"/>
              <w:rPr>
                <w:sz w:val="2"/>
                <w:szCs w:val="2"/>
                <w:color w:val="auto"/>
              </w:rPr>
            </w:pPr>
          </w:p>
        </w:tc>
        <w:tc>
          <w:tcPr>
            <w:tcW w:w="620" w:type="dxa"/>
            <w:vAlign w:val="bottom"/>
            <w:tcBorders>
              <w:bottom w:val="single" w:sz="8" w:color="A6A6A6"/>
            </w:tcBorders>
          </w:tcPr>
          <w:p>
            <w:pPr>
              <w:spacing w:after="0"/>
              <w:rPr>
                <w:sz w:val="2"/>
                <w:szCs w:val="2"/>
                <w:color w:val="auto"/>
              </w:rPr>
            </w:pPr>
          </w:p>
        </w:tc>
        <w:tc>
          <w:tcPr>
            <w:tcW w:w="940" w:type="dxa"/>
            <w:vAlign w:val="bottom"/>
            <w:tcBorders>
              <w:bottom w:val="single" w:sz="8" w:color="A6A6A6"/>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080" w:type="dxa"/>
            <w:vAlign w:val="bottom"/>
          </w:tcPr>
          <w:p>
            <w:pPr>
              <w:spacing w:after="0"/>
              <w:rPr>
                <w:sz w:val="20"/>
                <w:szCs w:val="20"/>
                <w:color w:val="auto"/>
              </w:rPr>
            </w:pPr>
            <w:r>
              <w:rPr>
                <w:rFonts w:ascii="Arial Narrow" w:cs="Arial Narrow" w:eastAsia="Arial Narrow" w:hAnsi="Arial Narrow"/>
                <w:sz w:val="16"/>
                <w:szCs w:val="16"/>
                <w:b w:val="1"/>
                <w:bCs w:val="1"/>
                <w:color w:val="00085E"/>
              </w:rPr>
              <w:t>Income Tax Receivable</w:t>
            </w:r>
          </w:p>
        </w:tc>
        <w:tc>
          <w:tcPr>
            <w:tcW w:w="440" w:type="dxa"/>
            <w:vAlign w:val="bottom"/>
          </w:tcPr>
          <w:p>
            <w:pPr>
              <w:spacing w:after="0"/>
              <w:rPr>
                <w:sz w:val="22"/>
                <w:szCs w:val="22"/>
                <w:color w:val="auto"/>
              </w:rPr>
            </w:pPr>
          </w:p>
        </w:tc>
        <w:tc>
          <w:tcPr>
            <w:tcW w:w="1140" w:type="dxa"/>
            <w:vAlign w:val="bottom"/>
          </w:tcPr>
          <w:p>
            <w:pPr>
              <w:jc w:val="right"/>
              <w:ind w:right="120"/>
              <w:spacing w:after="0"/>
              <w:rPr>
                <w:sz w:val="20"/>
                <w:szCs w:val="20"/>
                <w:color w:val="auto"/>
              </w:rPr>
            </w:pPr>
            <w:r>
              <w:rPr>
                <w:rFonts w:ascii="Arial Narrow" w:cs="Arial Narrow" w:eastAsia="Arial Narrow" w:hAnsi="Arial Narrow"/>
                <w:sz w:val="16"/>
                <w:szCs w:val="16"/>
                <w:color w:val="auto"/>
              </w:rPr>
              <w:t>7,536</w:t>
            </w: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40" w:type="dxa"/>
            <w:vAlign w:val="bottom"/>
          </w:tcPr>
          <w:p>
            <w:pPr>
              <w:jc w:val="right"/>
              <w:ind w:right="100"/>
              <w:spacing w:after="0"/>
              <w:rPr>
                <w:sz w:val="20"/>
                <w:szCs w:val="20"/>
                <w:color w:val="auto"/>
              </w:rPr>
            </w:pPr>
            <w:r>
              <w:rPr>
                <w:rFonts w:ascii="Arial Narrow" w:cs="Arial Narrow" w:eastAsia="Arial Narrow" w:hAnsi="Arial Narrow"/>
                <w:sz w:val="16"/>
                <w:szCs w:val="16"/>
                <w:color w:val="auto"/>
              </w:rPr>
              <w:t>10,020</w:t>
            </w:r>
          </w:p>
        </w:tc>
        <w:tc>
          <w:tcPr>
            <w:tcW w:w="0" w:type="dxa"/>
            <w:vAlign w:val="bottom"/>
          </w:tcPr>
          <w:p>
            <w:pPr>
              <w:spacing w:after="0"/>
              <w:rPr>
                <w:sz w:val="1"/>
                <w:szCs w:val="1"/>
                <w:color w:val="auto"/>
              </w:rPr>
            </w:pPr>
          </w:p>
        </w:tc>
      </w:tr>
      <w:tr>
        <w:trPr>
          <w:trHeight w:val="34"/>
        </w:trPr>
        <w:tc>
          <w:tcPr>
            <w:tcW w:w="6080" w:type="dxa"/>
            <w:vAlign w:val="bottom"/>
            <w:tcBorders>
              <w:bottom w:val="single" w:sz="8" w:color="A6A6A6"/>
            </w:tcBorders>
          </w:tcPr>
          <w:p>
            <w:pPr>
              <w:spacing w:after="0"/>
              <w:rPr>
                <w:sz w:val="2"/>
                <w:szCs w:val="2"/>
                <w:color w:val="auto"/>
              </w:rPr>
            </w:pPr>
          </w:p>
        </w:tc>
        <w:tc>
          <w:tcPr>
            <w:tcW w:w="440" w:type="dxa"/>
            <w:vAlign w:val="bottom"/>
            <w:tcBorders>
              <w:bottom w:val="single" w:sz="8" w:color="A6A6A6"/>
            </w:tcBorders>
          </w:tcPr>
          <w:p>
            <w:pPr>
              <w:spacing w:after="0"/>
              <w:rPr>
                <w:sz w:val="2"/>
                <w:szCs w:val="2"/>
                <w:color w:val="auto"/>
              </w:rPr>
            </w:pPr>
          </w:p>
        </w:tc>
        <w:tc>
          <w:tcPr>
            <w:tcW w:w="1140" w:type="dxa"/>
            <w:vAlign w:val="bottom"/>
            <w:tcBorders>
              <w:bottom w:val="single" w:sz="8" w:color="A6A6A6"/>
            </w:tcBorders>
          </w:tcPr>
          <w:p>
            <w:pPr>
              <w:spacing w:after="0"/>
              <w:rPr>
                <w:sz w:val="2"/>
                <w:szCs w:val="2"/>
                <w:color w:val="auto"/>
              </w:rPr>
            </w:pPr>
          </w:p>
        </w:tc>
        <w:tc>
          <w:tcPr>
            <w:tcW w:w="140" w:type="dxa"/>
            <w:vAlign w:val="bottom"/>
            <w:tcBorders>
              <w:bottom w:val="single" w:sz="8" w:color="A6A6A6"/>
            </w:tcBorders>
          </w:tcPr>
          <w:p>
            <w:pPr>
              <w:spacing w:after="0"/>
              <w:rPr>
                <w:sz w:val="2"/>
                <w:szCs w:val="2"/>
                <w:color w:val="auto"/>
              </w:rPr>
            </w:pPr>
          </w:p>
        </w:tc>
        <w:tc>
          <w:tcPr>
            <w:tcW w:w="620" w:type="dxa"/>
            <w:vAlign w:val="bottom"/>
            <w:tcBorders>
              <w:bottom w:val="single" w:sz="8" w:color="A6A6A6"/>
            </w:tcBorders>
          </w:tcPr>
          <w:p>
            <w:pPr>
              <w:spacing w:after="0"/>
              <w:rPr>
                <w:sz w:val="2"/>
                <w:szCs w:val="2"/>
                <w:color w:val="auto"/>
              </w:rPr>
            </w:pPr>
          </w:p>
        </w:tc>
        <w:tc>
          <w:tcPr>
            <w:tcW w:w="940" w:type="dxa"/>
            <w:vAlign w:val="bottom"/>
            <w:tcBorders>
              <w:bottom w:val="single" w:sz="8" w:color="A6A6A6"/>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080" w:type="dxa"/>
            <w:vAlign w:val="bottom"/>
          </w:tcPr>
          <w:p>
            <w:pPr>
              <w:spacing w:after="0"/>
              <w:rPr>
                <w:sz w:val="20"/>
                <w:szCs w:val="20"/>
                <w:color w:val="auto"/>
              </w:rPr>
            </w:pPr>
            <w:r>
              <w:rPr>
                <w:rFonts w:ascii="Arial Narrow" w:cs="Arial Narrow" w:eastAsia="Arial Narrow" w:hAnsi="Arial Narrow"/>
                <w:sz w:val="16"/>
                <w:szCs w:val="16"/>
                <w:b w:val="1"/>
                <w:bCs w:val="1"/>
                <w:color w:val="00085E"/>
              </w:rPr>
              <w:t>Prepaid and Other Assets</w:t>
            </w:r>
          </w:p>
        </w:tc>
        <w:tc>
          <w:tcPr>
            <w:tcW w:w="440" w:type="dxa"/>
            <w:vAlign w:val="bottom"/>
          </w:tcPr>
          <w:p>
            <w:pPr>
              <w:spacing w:after="0"/>
              <w:rPr>
                <w:sz w:val="22"/>
                <w:szCs w:val="22"/>
                <w:color w:val="auto"/>
              </w:rPr>
            </w:pPr>
          </w:p>
        </w:tc>
        <w:tc>
          <w:tcPr>
            <w:tcW w:w="1140" w:type="dxa"/>
            <w:vAlign w:val="bottom"/>
          </w:tcPr>
          <w:p>
            <w:pPr>
              <w:jc w:val="right"/>
              <w:ind w:right="120"/>
              <w:spacing w:after="0"/>
              <w:rPr>
                <w:sz w:val="20"/>
                <w:szCs w:val="20"/>
                <w:color w:val="auto"/>
              </w:rPr>
            </w:pPr>
            <w:r>
              <w:rPr>
                <w:rFonts w:ascii="Arial Narrow" w:cs="Arial Narrow" w:eastAsia="Arial Narrow" w:hAnsi="Arial Narrow"/>
                <w:sz w:val="16"/>
                <w:szCs w:val="16"/>
                <w:color w:val="auto"/>
              </w:rPr>
              <w:t>8,469</w:t>
            </w: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40" w:type="dxa"/>
            <w:vAlign w:val="bottom"/>
          </w:tcPr>
          <w:p>
            <w:pPr>
              <w:jc w:val="right"/>
              <w:ind w:right="100"/>
              <w:spacing w:after="0"/>
              <w:rPr>
                <w:sz w:val="20"/>
                <w:szCs w:val="20"/>
                <w:color w:val="auto"/>
              </w:rPr>
            </w:pPr>
            <w:r>
              <w:rPr>
                <w:rFonts w:ascii="Arial Narrow" w:cs="Arial Narrow" w:eastAsia="Arial Narrow" w:hAnsi="Arial Narrow"/>
                <w:sz w:val="16"/>
                <w:szCs w:val="16"/>
                <w:color w:val="auto"/>
              </w:rPr>
              <w:t>10,729</w:t>
            </w:r>
          </w:p>
        </w:tc>
        <w:tc>
          <w:tcPr>
            <w:tcW w:w="0" w:type="dxa"/>
            <w:vAlign w:val="bottom"/>
          </w:tcPr>
          <w:p>
            <w:pPr>
              <w:spacing w:after="0"/>
              <w:rPr>
                <w:sz w:val="1"/>
                <w:szCs w:val="1"/>
                <w:color w:val="auto"/>
              </w:rPr>
            </w:pPr>
          </w:p>
        </w:tc>
      </w:tr>
      <w:tr>
        <w:trPr>
          <w:trHeight w:val="59"/>
        </w:trPr>
        <w:tc>
          <w:tcPr>
            <w:tcW w:w="6080" w:type="dxa"/>
            <w:vAlign w:val="bottom"/>
            <w:tcBorders>
              <w:bottom w:val="single" w:sz="8" w:color="A6A6A6"/>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6080" w:type="dxa"/>
            <w:vAlign w:val="bottom"/>
          </w:tcPr>
          <w:p>
            <w:pPr>
              <w:spacing w:after="0"/>
              <w:rPr>
                <w:sz w:val="20"/>
                <w:szCs w:val="20"/>
                <w:color w:val="auto"/>
              </w:rPr>
            </w:pPr>
            <w:r>
              <w:rPr>
                <w:rFonts w:ascii="Arial Narrow" w:cs="Arial Narrow" w:eastAsia="Arial Narrow" w:hAnsi="Arial Narrow"/>
                <w:sz w:val="16"/>
                <w:szCs w:val="16"/>
                <w:b w:val="1"/>
                <w:bCs w:val="1"/>
                <w:color w:val="00085E"/>
              </w:rPr>
              <w:t>Total Current Assets</w:t>
            </w:r>
          </w:p>
        </w:tc>
        <w:tc>
          <w:tcPr>
            <w:tcW w:w="440" w:type="dxa"/>
            <w:vAlign w:val="bottom"/>
          </w:tcPr>
          <w:p>
            <w:pPr>
              <w:spacing w:after="0"/>
              <w:rPr>
                <w:sz w:val="22"/>
                <w:szCs w:val="22"/>
                <w:color w:val="auto"/>
              </w:rPr>
            </w:pPr>
          </w:p>
        </w:tc>
        <w:tc>
          <w:tcPr>
            <w:tcW w:w="1140" w:type="dxa"/>
            <w:vAlign w:val="bottom"/>
          </w:tcPr>
          <w:p>
            <w:pPr>
              <w:jc w:val="right"/>
              <w:ind w:right="120"/>
              <w:spacing w:after="0"/>
              <w:rPr>
                <w:sz w:val="20"/>
                <w:szCs w:val="20"/>
                <w:color w:val="auto"/>
              </w:rPr>
            </w:pPr>
            <w:r>
              <w:rPr>
                <w:rFonts w:ascii="Arial Narrow" w:cs="Arial Narrow" w:eastAsia="Arial Narrow" w:hAnsi="Arial Narrow"/>
                <w:sz w:val="16"/>
                <w:szCs w:val="16"/>
                <w:color w:val="auto"/>
              </w:rPr>
              <w:t>950,889</w:t>
            </w: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40" w:type="dxa"/>
            <w:vAlign w:val="bottom"/>
          </w:tcPr>
          <w:p>
            <w:pPr>
              <w:jc w:val="right"/>
              <w:ind w:right="100"/>
              <w:spacing w:after="0"/>
              <w:rPr>
                <w:sz w:val="20"/>
                <w:szCs w:val="20"/>
                <w:color w:val="auto"/>
              </w:rPr>
            </w:pPr>
            <w:r>
              <w:rPr>
                <w:rFonts w:ascii="Arial Narrow" w:cs="Arial Narrow" w:eastAsia="Arial Narrow" w:hAnsi="Arial Narrow"/>
                <w:sz w:val="16"/>
                <w:szCs w:val="16"/>
                <w:color w:val="auto"/>
              </w:rPr>
              <w:t>668,657</w:t>
            </w:r>
          </w:p>
        </w:tc>
        <w:tc>
          <w:tcPr>
            <w:tcW w:w="0" w:type="dxa"/>
            <w:vAlign w:val="bottom"/>
          </w:tcPr>
          <w:p>
            <w:pPr>
              <w:spacing w:after="0"/>
              <w:rPr>
                <w:sz w:val="1"/>
                <w:szCs w:val="1"/>
                <w:color w:val="auto"/>
              </w:rPr>
            </w:pPr>
          </w:p>
        </w:tc>
      </w:tr>
      <w:tr>
        <w:trPr>
          <w:trHeight w:val="34"/>
        </w:trPr>
        <w:tc>
          <w:tcPr>
            <w:tcW w:w="6080" w:type="dxa"/>
            <w:vAlign w:val="bottom"/>
            <w:tcBorders>
              <w:bottom w:val="single" w:sz="8" w:color="A6A6A6"/>
            </w:tcBorders>
          </w:tcPr>
          <w:p>
            <w:pPr>
              <w:spacing w:after="0"/>
              <w:rPr>
                <w:sz w:val="2"/>
                <w:szCs w:val="2"/>
                <w:color w:val="auto"/>
              </w:rPr>
            </w:pPr>
          </w:p>
        </w:tc>
        <w:tc>
          <w:tcPr>
            <w:tcW w:w="440" w:type="dxa"/>
            <w:vAlign w:val="bottom"/>
            <w:tcBorders>
              <w:bottom w:val="single" w:sz="8" w:color="A6A6A6"/>
            </w:tcBorders>
          </w:tcPr>
          <w:p>
            <w:pPr>
              <w:spacing w:after="0"/>
              <w:rPr>
                <w:sz w:val="2"/>
                <w:szCs w:val="2"/>
                <w:color w:val="auto"/>
              </w:rPr>
            </w:pPr>
          </w:p>
        </w:tc>
        <w:tc>
          <w:tcPr>
            <w:tcW w:w="1140" w:type="dxa"/>
            <w:vAlign w:val="bottom"/>
            <w:tcBorders>
              <w:bottom w:val="single" w:sz="8" w:color="A6A6A6"/>
            </w:tcBorders>
          </w:tcPr>
          <w:p>
            <w:pPr>
              <w:spacing w:after="0"/>
              <w:rPr>
                <w:sz w:val="2"/>
                <w:szCs w:val="2"/>
                <w:color w:val="auto"/>
              </w:rPr>
            </w:pPr>
          </w:p>
        </w:tc>
        <w:tc>
          <w:tcPr>
            <w:tcW w:w="140" w:type="dxa"/>
            <w:vAlign w:val="bottom"/>
            <w:tcBorders>
              <w:bottom w:val="single" w:sz="8" w:color="A6A6A6"/>
            </w:tcBorders>
          </w:tcPr>
          <w:p>
            <w:pPr>
              <w:spacing w:after="0"/>
              <w:rPr>
                <w:sz w:val="2"/>
                <w:szCs w:val="2"/>
                <w:color w:val="auto"/>
              </w:rPr>
            </w:pPr>
          </w:p>
        </w:tc>
        <w:tc>
          <w:tcPr>
            <w:tcW w:w="620" w:type="dxa"/>
            <w:vAlign w:val="bottom"/>
            <w:tcBorders>
              <w:bottom w:val="single" w:sz="8" w:color="A6A6A6"/>
            </w:tcBorders>
          </w:tcPr>
          <w:p>
            <w:pPr>
              <w:spacing w:after="0"/>
              <w:rPr>
                <w:sz w:val="2"/>
                <w:szCs w:val="2"/>
                <w:color w:val="auto"/>
              </w:rPr>
            </w:pPr>
          </w:p>
        </w:tc>
        <w:tc>
          <w:tcPr>
            <w:tcW w:w="940" w:type="dxa"/>
            <w:vAlign w:val="bottom"/>
            <w:tcBorders>
              <w:bottom w:val="single" w:sz="8" w:color="A6A6A6"/>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080" w:type="dxa"/>
            <w:vAlign w:val="bottom"/>
          </w:tcPr>
          <w:p>
            <w:pPr>
              <w:spacing w:after="0"/>
              <w:rPr>
                <w:sz w:val="20"/>
                <w:szCs w:val="20"/>
                <w:color w:val="auto"/>
              </w:rPr>
            </w:pPr>
            <w:r>
              <w:rPr>
                <w:rFonts w:ascii="Arial Narrow" w:cs="Arial Narrow" w:eastAsia="Arial Narrow" w:hAnsi="Arial Narrow"/>
                <w:sz w:val="16"/>
                <w:szCs w:val="16"/>
                <w:b w:val="1"/>
                <w:bCs w:val="1"/>
                <w:color w:val="00085E"/>
              </w:rPr>
              <w:t>Property, Plant, and Equipment, net</w:t>
            </w:r>
          </w:p>
        </w:tc>
        <w:tc>
          <w:tcPr>
            <w:tcW w:w="440" w:type="dxa"/>
            <w:vAlign w:val="bottom"/>
          </w:tcPr>
          <w:p>
            <w:pPr>
              <w:spacing w:after="0"/>
              <w:rPr>
                <w:sz w:val="22"/>
                <w:szCs w:val="22"/>
                <w:color w:val="auto"/>
              </w:rPr>
            </w:pPr>
          </w:p>
        </w:tc>
        <w:tc>
          <w:tcPr>
            <w:tcW w:w="1140" w:type="dxa"/>
            <w:vAlign w:val="bottom"/>
          </w:tcPr>
          <w:p>
            <w:pPr>
              <w:jc w:val="right"/>
              <w:ind w:right="120"/>
              <w:spacing w:after="0"/>
              <w:rPr>
                <w:sz w:val="20"/>
                <w:szCs w:val="20"/>
                <w:color w:val="auto"/>
              </w:rPr>
            </w:pPr>
            <w:r>
              <w:rPr>
                <w:rFonts w:ascii="Arial Narrow" w:cs="Arial Narrow" w:eastAsia="Arial Narrow" w:hAnsi="Arial Narrow"/>
                <w:sz w:val="16"/>
                <w:szCs w:val="16"/>
                <w:color w:val="auto"/>
              </w:rPr>
              <w:t>2,064,622</w:t>
            </w: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40" w:type="dxa"/>
            <w:vAlign w:val="bottom"/>
          </w:tcPr>
          <w:p>
            <w:pPr>
              <w:jc w:val="right"/>
              <w:ind w:right="100"/>
              <w:spacing w:after="0"/>
              <w:rPr>
                <w:sz w:val="20"/>
                <w:szCs w:val="20"/>
                <w:color w:val="auto"/>
              </w:rPr>
            </w:pPr>
            <w:r>
              <w:rPr>
                <w:rFonts w:ascii="Arial Narrow" w:cs="Arial Narrow" w:eastAsia="Arial Narrow" w:hAnsi="Arial Narrow"/>
                <w:sz w:val="16"/>
                <w:szCs w:val="16"/>
                <w:color w:val="auto"/>
              </w:rPr>
              <w:t>1,792,982</w:t>
            </w:r>
          </w:p>
        </w:tc>
        <w:tc>
          <w:tcPr>
            <w:tcW w:w="0" w:type="dxa"/>
            <w:vAlign w:val="bottom"/>
          </w:tcPr>
          <w:p>
            <w:pPr>
              <w:spacing w:after="0"/>
              <w:rPr>
                <w:sz w:val="1"/>
                <w:szCs w:val="1"/>
                <w:color w:val="auto"/>
              </w:rPr>
            </w:pPr>
          </w:p>
        </w:tc>
      </w:tr>
      <w:tr>
        <w:trPr>
          <w:trHeight w:val="34"/>
        </w:trPr>
        <w:tc>
          <w:tcPr>
            <w:tcW w:w="6080" w:type="dxa"/>
            <w:vAlign w:val="bottom"/>
            <w:tcBorders>
              <w:bottom w:val="single" w:sz="8" w:color="A6A6A6"/>
            </w:tcBorders>
          </w:tcPr>
          <w:p>
            <w:pPr>
              <w:spacing w:after="0"/>
              <w:rPr>
                <w:sz w:val="2"/>
                <w:szCs w:val="2"/>
                <w:color w:val="auto"/>
              </w:rPr>
            </w:pPr>
          </w:p>
        </w:tc>
        <w:tc>
          <w:tcPr>
            <w:tcW w:w="440" w:type="dxa"/>
            <w:vAlign w:val="bottom"/>
            <w:tcBorders>
              <w:bottom w:val="single" w:sz="8" w:color="A6A6A6"/>
            </w:tcBorders>
          </w:tcPr>
          <w:p>
            <w:pPr>
              <w:spacing w:after="0"/>
              <w:rPr>
                <w:sz w:val="2"/>
                <w:szCs w:val="2"/>
                <w:color w:val="auto"/>
              </w:rPr>
            </w:pPr>
          </w:p>
        </w:tc>
        <w:tc>
          <w:tcPr>
            <w:tcW w:w="1140" w:type="dxa"/>
            <w:vAlign w:val="bottom"/>
            <w:tcBorders>
              <w:bottom w:val="single" w:sz="8" w:color="A6A6A6"/>
            </w:tcBorders>
          </w:tcPr>
          <w:p>
            <w:pPr>
              <w:spacing w:after="0"/>
              <w:rPr>
                <w:sz w:val="2"/>
                <w:szCs w:val="2"/>
                <w:color w:val="auto"/>
              </w:rPr>
            </w:pPr>
          </w:p>
        </w:tc>
        <w:tc>
          <w:tcPr>
            <w:tcW w:w="140" w:type="dxa"/>
            <w:vAlign w:val="bottom"/>
            <w:tcBorders>
              <w:bottom w:val="single" w:sz="8" w:color="A6A6A6"/>
            </w:tcBorders>
          </w:tcPr>
          <w:p>
            <w:pPr>
              <w:spacing w:after="0"/>
              <w:rPr>
                <w:sz w:val="2"/>
                <w:szCs w:val="2"/>
                <w:color w:val="auto"/>
              </w:rPr>
            </w:pPr>
          </w:p>
        </w:tc>
        <w:tc>
          <w:tcPr>
            <w:tcW w:w="620" w:type="dxa"/>
            <w:vAlign w:val="bottom"/>
            <w:tcBorders>
              <w:bottom w:val="single" w:sz="8" w:color="A6A6A6"/>
            </w:tcBorders>
          </w:tcPr>
          <w:p>
            <w:pPr>
              <w:spacing w:after="0"/>
              <w:rPr>
                <w:sz w:val="2"/>
                <w:szCs w:val="2"/>
                <w:color w:val="auto"/>
              </w:rPr>
            </w:pPr>
          </w:p>
        </w:tc>
        <w:tc>
          <w:tcPr>
            <w:tcW w:w="940" w:type="dxa"/>
            <w:vAlign w:val="bottom"/>
            <w:tcBorders>
              <w:bottom w:val="single" w:sz="8" w:color="A6A6A6"/>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080" w:type="dxa"/>
            <w:vAlign w:val="bottom"/>
          </w:tcPr>
          <w:p>
            <w:pPr>
              <w:spacing w:after="0"/>
              <w:rPr>
                <w:sz w:val="20"/>
                <w:szCs w:val="20"/>
                <w:color w:val="auto"/>
              </w:rPr>
            </w:pPr>
            <w:r>
              <w:rPr>
                <w:rFonts w:ascii="Arial Narrow" w:cs="Arial Narrow" w:eastAsia="Arial Narrow" w:hAnsi="Arial Narrow"/>
                <w:sz w:val="16"/>
                <w:szCs w:val="16"/>
                <w:b w:val="1"/>
                <w:bCs w:val="1"/>
                <w:color w:val="00085E"/>
              </w:rPr>
              <w:t>Investment in Joint Venture</w:t>
            </w:r>
          </w:p>
        </w:tc>
        <w:tc>
          <w:tcPr>
            <w:tcW w:w="440" w:type="dxa"/>
            <w:vAlign w:val="bottom"/>
          </w:tcPr>
          <w:p>
            <w:pPr>
              <w:spacing w:after="0"/>
              <w:rPr>
                <w:sz w:val="22"/>
                <w:szCs w:val="22"/>
                <w:color w:val="auto"/>
              </w:rPr>
            </w:pPr>
          </w:p>
        </w:tc>
        <w:tc>
          <w:tcPr>
            <w:tcW w:w="1140" w:type="dxa"/>
            <w:vAlign w:val="bottom"/>
          </w:tcPr>
          <w:p>
            <w:pPr>
              <w:jc w:val="right"/>
              <w:ind w:right="120"/>
              <w:spacing w:after="0"/>
              <w:rPr>
                <w:sz w:val="20"/>
                <w:szCs w:val="20"/>
                <w:color w:val="auto"/>
              </w:rPr>
            </w:pPr>
            <w:r>
              <w:rPr>
                <w:rFonts w:ascii="Arial Narrow" w:cs="Arial Narrow" w:eastAsia="Arial Narrow" w:hAnsi="Arial Narrow"/>
                <w:sz w:val="16"/>
                <w:szCs w:val="16"/>
                <w:color w:val="auto"/>
              </w:rPr>
              <w:t>160,078</w:t>
            </w: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40" w:type="dxa"/>
            <w:vAlign w:val="bottom"/>
          </w:tcPr>
          <w:p>
            <w:pPr>
              <w:jc w:val="right"/>
              <w:ind w:right="100"/>
              <w:spacing w:after="0"/>
              <w:rPr>
                <w:sz w:val="20"/>
                <w:szCs w:val="20"/>
                <w:color w:val="auto"/>
              </w:rPr>
            </w:pPr>
            <w:r>
              <w:rPr>
                <w:rFonts w:ascii="Arial Narrow" w:cs="Arial Narrow" w:eastAsia="Arial Narrow" w:hAnsi="Arial Narrow"/>
                <w:sz w:val="16"/>
                <w:szCs w:val="16"/>
                <w:color w:val="auto"/>
              </w:rPr>
              <w:t>140,089</w:t>
            </w:r>
          </w:p>
        </w:tc>
        <w:tc>
          <w:tcPr>
            <w:tcW w:w="0" w:type="dxa"/>
            <w:vAlign w:val="bottom"/>
          </w:tcPr>
          <w:p>
            <w:pPr>
              <w:spacing w:after="0"/>
              <w:rPr>
                <w:sz w:val="1"/>
                <w:szCs w:val="1"/>
                <w:color w:val="auto"/>
              </w:rPr>
            </w:pPr>
          </w:p>
        </w:tc>
      </w:tr>
      <w:tr>
        <w:trPr>
          <w:trHeight w:val="34"/>
        </w:trPr>
        <w:tc>
          <w:tcPr>
            <w:tcW w:w="6080" w:type="dxa"/>
            <w:vAlign w:val="bottom"/>
            <w:tcBorders>
              <w:bottom w:val="single" w:sz="8" w:color="A6A6A6"/>
            </w:tcBorders>
          </w:tcPr>
          <w:p>
            <w:pPr>
              <w:spacing w:after="0"/>
              <w:rPr>
                <w:sz w:val="2"/>
                <w:szCs w:val="2"/>
                <w:color w:val="auto"/>
              </w:rPr>
            </w:pPr>
          </w:p>
        </w:tc>
        <w:tc>
          <w:tcPr>
            <w:tcW w:w="440" w:type="dxa"/>
            <w:vAlign w:val="bottom"/>
            <w:tcBorders>
              <w:bottom w:val="single" w:sz="8" w:color="A6A6A6"/>
            </w:tcBorders>
          </w:tcPr>
          <w:p>
            <w:pPr>
              <w:spacing w:after="0"/>
              <w:rPr>
                <w:sz w:val="2"/>
                <w:szCs w:val="2"/>
                <w:color w:val="auto"/>
              </w:rPr>
            </w:pPr>
          </w:p>
        </w:tc>
        <w:tc>
          <w:tcPr>
            <w:tcW w:w="1140" w:type="dxa"/>
            <w:vAlign w:val="bottom"/>
            <w:tcBorders>
              <w:bottom w:val="single" w:sz="8" w:color="A6A6A6"/>
            </w:tcBorders>
          </w:tcPr>
          <w:p>
            <w:pPr>
              <w:spacing w:after="0"/>
              <w:rPr>
                <w:sz w:val="2"/>
                <w:szCs w:val="2"/>
                <w:color w:val="auto"/>
              </w:rPr>
            </w:pPr>
          </w:p>
        </w:tc>
        <w:tc>
          <w:tcPr>
            <w:tcW w:w="140" w:type="dxa"/>
            <w:vAlign w:val="bottom"/>
            <w:tcBorders>
              <w:bottom w:val="single" w:sz="8" w:color="A6A6A6"/>
            </w:tcBorders>
          </w:tcPr>
          <w:p>
            <w:pPr>
              <w:spacing w:after="0"/>
              <w:rPr>
                <w:sz w:val="2"/>
                <w:szCs w:val="2"/>
                <w:color w:val="auto"/>
              </w:rPr>
            </w:pPr>
          </w:p>
        </w:tc>
        <w:tc>
          <w:tcPr>
            <w:tcW w:w="620" w:type="dxa"/>
            <w:vAlign w:val="bottom"/>
            <w:tcBorders>
              <w:bottom w:val="single" w:sz="8" w:color="A6A6A6"/>
            </w:tcBorders>
          </w:tcPr>
          <w:p>
            <w:pPr>
              <w:spacing w:after="0"/>
              <w:rPr>
                <w:sz w:val="2"/>
                <w:szCs w:val="2"/>
                <w:color w:val="auto"/>
              </w:rPr>
            </w:pPr>
          </w:p>
        </w:tc>
        <w:tc>
          <w:tcPr>
            <w:tcW w:w="940" w:type="dxa"/>
            <w:vAlign w:val="bottom"/>
            <w:tcBorders>
              <w:bottom w:val="single" w:sz="8" w:color="A6A6A6"/>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080" w:type="dxa"/>
            <w:vAlign w:val="bottom"/>
          </w:tcPr>
          <w:p>
            <w:pPr>
              <w:spacing w:after="0"/>
              <w:rPr>
                <w:sz w:val="20"/>
                <w:szCs w:val="20"/>
                <w:color w:val="auto"/>
              </w:rPr>
            </w:pPr>
            <w:r>
              <w:rPr>
                <w:rFonts w:ascii="Arial Narrow" w:cs="Arial Narrow" w:eastAsia="Arial Narrow" w:hAnsi="Arial Narrow"/>
                <w:sz w:val="16"/>
                <w:szCs w:val="16"/>
                <w:b w:val="1"/>
                <w:bCs w:val="1"/>
                <w:color w:val="00085E"/>
              </w:rPr>
              <w:t>Operating Lease Right-of-Use Assets</w:t>
            </w:r>
          </w:p>
        </w:tc>
        <w:tc>
          <w:tcPr>
            <w:tcW w:w="440" w:type="dxa"/>
            <w:vAlign w:val="bottom"/>
          </w:tcPr>
          <w:p>
            <w:pPr>
              <w:spacing w:after="0"/>
              <w:rPr>
                <w:sz w:val="22"/>
                <w:szCs w:val="22"/>
                <w:color w:val="auto"/>
              </w:rPr>
            </w:pPr>
          </w:p>
        </w:tc>
        <w:tc>
          <w:tcPr>
            <w:tcW w:w="1140" w:type="dxa"/>
            <w:vAlign w:val="bottom"/>
          </w:tcPr>
          <w:p>
            <w:pPr>
              <w:jc w:val="right"/>
              <w:ind w:right="120"/>
              <w:spacing w:after="0"/>
              <w:rPr>
                <w:sz w:val="20"/>
                <w:szCs w:val="20"/>
                <w:color w:val="auto"/>
              </w:rPr>
            </w:pPr>
            <w:r>
              <w:rPr>
                <w:rFonts w:ascii="Arial Narrow" w:cs="Arial Narrow" w:eastAsia="Arial Narrow" w:hAnsi="Arial Narrow"/>
                <w:sz w:val="16"/>
                <w:szCs w:val="16"/>
                <w:color w:val="auto"/>
              </w:rPr>
              <w:t>29,346</w:t>
            </w: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40" w:type="dxa"/>
            <w:vAlign w:val="bottom"/>
          </w:tcPr>
          <w:p>
            <w:pPr>
              <w:jc w:val="right"/>
              <w:ind w:right="100"/>
              <w:spacing w:after="0"/>
              <w:rPr>
                <w:sz w:val="20"/>
                <w:szCs w:val="20"/>
                <w:color w:val="auto"/>
              </w:rPr>
            </w:pPr>
            <w:r>
              <w:rPr>
                <w:rFonts w:ascii="Arial Narrow" w:cs="Arial Narrow" w:eastAsia="Arial Narrow" w:hAnsi="Arial Narrow"/>
                <w:sz w:val="16"/>
                <w:szCs w:val="16"/>
                <w:color w:val="auto"/>
              </w:rPr>
              <w:t>29,313</w:t>
            </w:r>
          </w:p>
        </w:tc>
        <w:tc>
          <w:tcPr>
            <w:tcW w:w="0" w:type="dxa"/>
            <w:vAlign w:val="bottom"/>
          </w:tcPr>
          <w:p>
            <w:pPr>
              <w:spacing w:after="0"/>
              <w:rPr>
                <w:sz w:val="1"/>
                <w:szCs w:val="1"/>
                <w:color w:val="auto"/>
              </w:rPr>
            </w:pPr>
          </w:p>
        </w:tc>
      </w:tr>
      <w:tr>
        <w:trPr>
          <w:trHeight w:val="34"/>
        </w:trPr>
        <w:tc>
          <w:tcPr>
            <w:tcW w:w="6080" w:type="dxa"/>
            <w:vAlign w:val="bottom"/>
            <w:tcBorders>
              <w:bottom w:val="single" w:sz="8" w:color="A6A6A6"/>
            </w:tcBorders>
          </w:tcPr>
          <w:p>
            <w:pPr>
              <w:spacing w:after="0"/>
              <w:rPr>
                <w:sz w:val="2"/>
                <w:szCs w:val="2"/>
                <w:color w:val="auto"/>
              </w:rPr>
            </w:pPr>
          </w:p>
        </w:tc>
        <w:tc>
          <w:tcPr>
            <w:tcW w:w="440" w:type="dxa"/>
            <w:vAlign w:val="bottom"/>
            <w:tcBorders>
              <w:bottom w:val="single" w:sz="8" w:color="A6A6A6"/>
            </w:tcBorders>
          </w:tcPr>
          <w:p>
            <w:pPr>
              <w:spacing w:after="0"/>
              <w:rPr>
                <w:sz w:val="2"/>
                <w:szCs w:val="2"/>
                <w:color w:val="auto"/>
              </w:rPr>
            </w:pPr>
          </w:p>
        </w:tc>
        <w:tc>
          <w:tcPr>
            <w:tcW w:w="1140" w:type="dxa"/>
            <w:vAlign w:val="bottom"/>
            <w:tcBorders>
              <w:bottom w:val="single" w:sz="8" w:color="A6A6A6"/>
            </w:tcBorders>
          </w:tcPr>
          <w:p>
            <w:pPr>
              <w:spacing w:after="0"/>
              <w:rPr>
                <w:sz w:val="2"/>
                <w:szCs w:val="2"/>
                <w:color w:val="auto"/>
              </w:rPr>
            </w:pPr>
          </w:p>
        </w:tc>
        <w:tc>
          <w:tcPr>
            <w:tcW w:w="140" w:type="dxa"/>
            <w:vAlign w:val="bottom"/>
            <w:tcBorders>
              <w:bottom w:val="single" w:sz="8" w:color="A6A6A6"/>
            </w:tcBorders>
          </w:tcPr>
          <w:p>
            <w:pPr>
              <w:spacing w:after="0"/>
              <w:rPr>
                <w:sz w:val="2"/>
                <w:szCs w:val="2"/>
                <w:color w:val="auto"/>
              </w:rPr>
            </w:pPr>
          </w:p>
        </w:tc>
        <w:tc>
          <w:tcPr>
            <w:tcW w:w="620" w:type="dxa"/>
            <w:vAlign w:val="bottom"/>
            <w:tcBorders>
              <w:bottom w:val="single" w:sz="8" w:color="A6A6A6"/>
            </w:tcBorders>
          </w:tcPr>
          <w:p>
            <w:pPr>
              <w:spacing w:after="0"/>
              <w:rPr>
                <w:sz w:val="2"/>
                <w:szCs w:val="2"/>
                <w:color w:val="auto"/>
              </w:rPr>
            </w:pPr>
          </w:p>
        </w:tc>
        <w:tc>
          <w:tcPr>
            <w:tcW w:w="940" w:type="dxa"/>
            <w:vAlign w:val="bottom"/>
            <w:tcBorders>
              <w:bottom w:val="single" w:sz="8" w:color="A6A6A6"/>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080" w:type="dxa"/>
            <w:vAlign w:val="bottom"/>
          </w:tcPr>
          <w:p>
            <w:pPr>
              <w:spacing w:after="0"/>
              <w:rPr>
                <w:sz w:val="20"/>
                <w:szCs w:val="20"/>
                <w:color w:val="auto"/>
              </w:rPr>
            </w:pPr>
            <w:r>
              <w:rPr>
                <w:rFonts w:ascii="Arial Narrow" w:cs="Arial Narrow" w:eastAsia="Arial Narrow" w:hAnsi="Arial Narrow"/>
                <w:sz w:val="16"/>
                <w:szCs w:val="16"/>
                <w:b w:val="1"/>
                <w:bCs w:val="1"/>
                <w:color w:val="00085E"/>
              </w:rPr>
              <w:t>Goodwill and Intangible Assets, net</w:t>
            </w:r>
          </w:p>
        </w:tc>
        <w:tc>
          <w:tcPr>
            <w:tcW w:w="440" w:type="dxa"/>
            <w:vAlign w:val="bottom"/>
          </w:tcPr>
          <w:p>
            <w:pPr>
              <w:spacing w:after="0"/>
              <w:rPr>
                <w:sz w:val="22"/>
                <w:szCs w:val="22"/>
                <w:color w:val="auto"/>
              </w:rPr>
            </w:pPr>
          </w:p>
        </w:tc>
        <w:tc>
          <w:tcPr>
            <w:tcW w:w="1140" w:type="dxa"/>
            <w:vAlign w:val="bottom"/>
          </w:tcPr>
          <w:p>
            <w:pPr>
              <w:jc w:val="right"/>
              <w:ind w:right="120"/>
              <w:spacing w:after="0"/>
              <w:rPr>
                <w:sz w:val="20"/>
                <w:szCs w:val="20"/>
                <w:color w:val="auto"/>
              </w:rPr>
            </w:pPr>
            <w:r>
              <w:rPr>
                <w:rFonts w:ascii="Arial Narrow" w:cs="Arial Narrow" w:eastAsia="Arial Narrow" w:hAnsi="Arial Narrow"/>
                <w:sz w:val="16"/>
                <w:szCs w:val="16"/>
                <w:color w:val="auto"/>
              </w:rPr>
              <w:t>585,443</w:t>
            </w: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40" w:type="dxa"/>
            <w:vAlign w:val="bottom"/>
          </w:tcPr>
          <w:p>
            <w:pPr>
              <w:jc w:val="right"/>
              <w:ind w:right="100"/>
              <w:spacing w:after="0"/>
              <w:rPr>
                <w:sz w:val="20"/>
                <w:szCs w:val="20"/>
                <w:color w:val="auto"/>
              </w:rPr>
            </w:pPr>
            <w:r>
              <w:rPr>
                <w:rFonts w:ascii="Arial Narrow" w:cs="Arial Narrow" w:eastAsia="Arial Narrow" w:hAnsi="Arial Narrow"/>
                <w:sz w:val="16"/>
                <w:szCs w:val="16"/>
                <w:color w:val="auto"/>
              </w:rPr>
              <w:t>595,752</w:t>
            </w:r>
          </w:p>
        </w:tc>
        <w:tc>
          <w:tcPr>
            <w:tcW w:w="0" w:type="dxa"/>
            <w:vAlign w:val="bottom"/>
          </w:tcPr>
          <w:p>
            <w:pPr>
              <w:spacing w:after="0"/>
              <w:rPr>
                <w:sz w:val="1"/>
                <w:szCs w:val="1"/>
                <w:color w:val="auto"/>
              </w:rPr>
            </w:pPr>
          </w:p>
        </w:tc>
      </w:tr>
      <w:tr>
        <w:trPr>
          <w:trHeight w:val="34"/>
        </w:trPr>
        <w:tc>
          <w:tcPr>
            <w:tcW w:w="6080" w:type="dxa"/>
            <w:vAlign w:val="bottom"/>
            <w:tcBorders>
              <w:bottom w:val="single" w:sz="8" w:color="A6A6A6"/>
            </w:tcBorders>
          </w:tcPr>
          <w:p>
            <w:pPr>
              <w:spacing w:after="0"/>
              <w:rPr>
                <w:sz w:val="2"/>
                <w:szCs w:val="2"/>
                <w:color w:val="auto"/>
              </w:rPr>
            </w:pPr>
          </w:p>
        </w:tc>
        <w:tc>
          <w:tcPr>
            <w:tcW w:w="440" w:type="dxa"/>
            <w:vAlign w:val="bottom"/>
            <w:tcBorders>
              <w:bottom w:val="single" w:sz="8" w:color="A6A6A6"/>
            </w:tcBorders>
          </w:tcPr>
          <w:p>
            <w:pPr>
              <w:spacing w:after="0"/>
              <w:rPr>
                <w:sz w:val="2"/>
                <w:szCs w:val="2"/>
                <w:color w:val="auto"/>
              </w:rPr>
            </w:pPr>
          </w:p>
        </w:tc>
        <w:tc>
          <w:tcPr>
            <w:tcW w:w="1140" w:type="dxa"/>
            <w:vAlign w:val="bottom"/>
            <w:tcBorders>
              <w:bottom w:val="single" w:sz="8" w:color="A6A6A6"/>
            </w:tcBorders>
          </w:tcPr>
          <w:p>
            <w:pPr>
              <w:spacing w:after="0"/>
              <w:rPr>
                <w:sz w:val="2"/>
                <w:szCs w:val="2"/>
                <w:color w:val="auto"/>
              </w:rPr>
            </w:pPr>
          </w:p>
        </w:tc>
        <w:tc>
          <w:tcPr>
            <w:tcW w:w="140" w:type="dxa"/>
            <w:vAlign w:val="bottom"/>
            <w:tcBorders>
              <w:bottom w:val="single" w:sz="8" w:color="A6A6A6"/>
            </w:tcBorders>
          </w:tcPr>
          <w:p>
            <w:pPr>
              <w:spacing w:after="0"/>
              <w:rPr>
                <w:sz w:val="2"/>
                <w:szCs w:val="2"/>
                <w:color w:val="auto"/>
              </w:rPr>
            </w:pPr>
          </w:p>
        </w:tc>
        <w:tc>
          <w:tcPr>
            <w:tcW w:w="620" w:type="dxa"/>
            <w:vAlign w:val="bottom"/>
            <w:tcBorders>
              <w:bottom w:val="single" w:sz="8" w:color="A6A6A6"/>
            </w:tcBorders>
          </w:tcPr>
          <w:p>
            <w:pPr>
              <w:spacing w:after="0"/>
              <w:rPr>
                <w:sz w:val="2"/>
                <w:szCs w:val="2"/>
                <w:color w:val="auto"/>
              </w:rPr>
            </w:pPr>
          </w:p>
        </w:tc>
        <w:tc>
          <w:tcPr>
            <w:tcW w:w="940" w:type="dxa"/>
            <w:vAlign w:val="bottom"/>
            <w:tcBorders>
              <w:bottom w:val="single" w:sz="8" w:color="A6A6A6"/>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080" w:type="dxa"/>
            <w:vAlign w:val="bottom"/>
          </w:tcPr>
          <w:p>
            <w:pPr>
              <w:spacing w:after="0"/>
              <w:rPr>
                <w:sz w:val="20"/>
                <w:szCs w:val="20"/>
                <w:color w:val="auto"/>
              </w:rPr>
            </w:pPr>
            <w:r>
              <w:rPr>
                <w:rFonts w:ascii="Arial Narrow" w:cs="Arial Narrow" w:eastAsia="Arial Narrow" w:hAnsi="Arial Narrow"/>
                <w:sz w:val="16"/>
                <w:szCs w:val="16"/>
                <w:b w:val="1"/>
                <w:bCs w:val="1"/>
                <w:color w:val="00085E"/>
              </w:rPr>
              <w:t>Other Assets</w:t>
            </w:r>
          </w:p>
        </w:tc>
        <w:tc>
          <w:tcPr>
            <w:tcW w:w="440" w:type="dxa"/>
            <w:vAlign w:val="bottom"/>
          </w:tcPr>
          <w:p>
            <w:pPr>
              <w:spacing w:after="0"/>
              <w:rPr>
                <w:sz w:val="22"/>
                <w:szCs w:val="22"/>
                <w:color w:val="auto"/>
              </w:rPr>
            </w:pPr>
          </w:p>
        </w:tc>
        <w:tc>
          <w:tcPr>
            <w:tcW w:w="1140" w:type="dxa"/>
            <w:vAlign w:val="bottom"/>
          </w:tcPr>
          <w:p>
            <w:pPr>
              <w:jc w:val="right"/>
              <w:ind w:right="120"/>
              <w:spacing w:after="0"/>
              <w:rPr>
                <w:sz w:val="20"/>
                <w:szCs w:val="20"/>
                <w:color w:val="auto"/>
              </w:rPr>
            </w:pPr>
            <w:r>
              <w:rPr>
                <w:rFonts w:ascii="Arial Narrow" w:cs="Arial Narrow" w:eastAsia="Arial Narrow" w:hAnsi="Arial Narrow"/>
                <w:sz w:val="16"/>
                <w:szCs w:val="16"/>
                <w:color w:val="auto"/>
              </w:rPr>
              <w:t>51,866</w:t>
            </w: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40" w:type="dxa"/>
            <w:vAlign w:val="bottom"/>
          </w:tcPr>
          <w:p>
            <w:pPr>
              <w:jc w:val="right"/>
              <w:ind w:right="100"/>
              <w:spacing w:after="0"/>
              <w:rPr>
                <w:sz w:val="20"/>
                <w:szCs w:val="20"/>
                <w:color w:val="auto"/>
              </w:rPr>
            </w:pPr>
            <w:r>
              <w:rPr>
                <w:rFonts w:ascii="Arial Narrow" w:cs="Arial Narrow" w:eastAsia="Arial Narrow" w:hAnsi="Arial Narrow"/>
                <w:sz w:val="16"/>
                <w:szCs w:val="16"/>
                <w:color w:val="auto"/>
              </w:rPr>
              <w:t>37,795</w:t>
            </w:r>
          </w:p>
        </w:tc>
        <w:tc>
          <w:tcPr>
            <w:tcW w:w="0" w:type="dxa"/>
            <w:vAlign w:val="bottom"/>
          </w:tcPr>
          <w:p>
            <w:pPr>
              <w:spacing w:after="0"/>
              <w:rPr>
                <w:sz w:val="1"/>
                <w:szCs w:val="1"/>
                <w:color w:val="auto"/>
              </w:rPr>
            </w:pPr>
          </w:p>
        </w:tc>
      </w:tr>
      <w:tr>
        <w:trPr>
          <w:trHeight w:val="59"/>
        </w:trPr>
        <w:tc>
          <w:tcPr>
            <w:tcW w:w="6080" w:type="dxa"/>
            <w:vAlign w:val="bottom"/>
            <w:tcBorders>
              <w:bottom w:val="single" w:sz="8" w:color="A6A6A6"/>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6080" w:type="dxa"/>
            <w:vAlign w:val="bottom"/>
          </w:tcPr>
          <w:p>
            <w:pPr>
              <w:spacing w:after="0"/>
              <w:rPr>
                <w:sz w:val="20"/>
                <w:szCs w:val="20"/>
                <w:color w:val="auto"/>
              </w:rPr>
            </w:pPr>
            <w:r>
              <w:rPr>
                <w:rFonts w:ascii="Arial Narrow" w:cs="Arial Narrow" w:eastAsia="Arial Narrow" w:hAnsi="Arial Narrow"/>
                <w:sz w:val="16"/>
                <w:szCs w:val="16"/>
                <w:b w:val="1"/>
                <w:bCs w:val="1"/>
                <w:color w:val="auto"/>
              </w:rPr>
              <w:t>Total Assets</w:t>
            </w:r>
          </w:p>
        </w:tc>
        <w:tc>
          <w:tcPr>
            <w:tcW w:w="440" w:type="dxa"/>
            <w:vAlign w:val="bottom"/>
          </w:tcPr>
          <w:p>
            <w:pPr>
              <w:jc w:val="right"/>
              <w:ind w:right="280"/>
              <w:spacing w:after="0"/>
              <w:rPr>
                <w:sz w:val="20"/>
                <w:szCs w:val="20"/>
                <w:color w:val="auto"/>
              </w:rPr>
            </w:pPr>
            <w:r>
              <w:rPr>
                <w:rFonts w:ascii="Arial Narrow" w:cs="Arial Narrow" w:eastAsia="Arial Narrow" w:hAnsi="Arial Narrow"/>
                <w:sz w:val="16"/>
                <w:szCs w:val="16"/>
                <w:b w:val="1"/>
                <w:bCs w:val="1"/>
                <w:color w:val="auto"/>
                <w:w w:val="81"/>
              </w:rPr>
              <w:t>$</w:t>
            </w:r>
          </w:p>
        </w:tc>
        <w:tc>
          <w:tcPr>
            <w:tcW w:w="1140" w:type="dxa"/>
            <w:vAlign w:val="bottom"/>
          </w:tcPr>
          <w:p>
            <w:pPr>
              <w:jc w:val="right"/>
              <w:ind w:right="120"/>
              <w:spacing w:after="0"/>
              <w:rPr>
                <w:sz w:val="20"/>
                <w:szCs w:val="20"/>
                <w:color w:val="auto"/>
              </w:rPr>
            </w:pPr>
            <w:r>
              <w:rPr>
                <w:rFonts w:ascii="Arial Narrow" w:cs="Arial Narrow" w:eastAsia="Arial Narrow" w:hAnsi="Arial Narrow"/>
                <w:sz w:val="16"/>
                <w:szCs w:val="16"/>
                <w:b w:val="1"/>
                <w:bCs w:val="1"/>
                <w:color w:val="auto"/>
              </w:rPr>
              <w:t>3,842,244</w:t>
            </w:r>
          </w:p>
        </w:tc>
        <w:tc>
          <w:tcPr>
            <w:tcW w:w="760" w:type="dxa"/>
            <w:vAlign w:val="bottom"/>
            <w:gridSpan w:val="2"/>
          </w:tcPr>
          <w:p>
            <w:pPr>
              <w:jc w:val="right"/>
              <w:ind w:right="540"/>
              <w:spacing w:after="0"/>
              <w:rPr>
                <w:sz w:val="20"/>
                <w:szCs w:val="20"/>
                <w:color w:val="auto"/>
              </w:rPr>
            </w:pPr>
            <w:r>
              <w:rPr>
                <w:rFonts w:ascii="Arial Narrow" w:cs="Arial Narrow" w:eastAsia="Arial Narrow" w:hAnsi="Arial Narrow"/>
                <w:sz w:val="16"/>
                <w:szCs w:val="16"/>
                <w:b w:val="1"/>
                <w:bCs w:val="1"/>
                <w:color w:val="auto"/>
              </w:rPr>
              <w:t>$</w:t>
            </w:r>
          </w:p>
        </w:tc>
        <w:tc>
          <w:tcPr>
            <w:tcW w:w="940" w:type="dxa"/>
            <w:vAlign w:val="bottom"/>
          </w:tcPr>
          <w:p>
            <w:pPr>
              <w:jc w:val="right"/>
              <w:ind w:right="100"/>
              <w:spacing w:after="0"/>
              <w:rPr>
                <w:sz w:val="20"/>
                <w:szCs w:val="20"/>
                <w:color w:val="auto"/>
              </w:rPr>
            </w:pPr>
            <w:r>
              <w:rPr>
                <w:rFonts w:ascii="Arial Narrow" w:cs="Arial Narrow" w:eastAsia="Arial Narrow" w:hAnsi="Arial Narrow"/>
                <w:sz w:val="16"/>
                <w:szCs w:val="16"/>
                <w:b w:val="1"/>
                <w:bCs w:val="1"/>
                <w:color w:val="auto"/>
              </w:rPr>
              <w:t>3,264,588</w:t>
            </w:r>
          </w:p>
        </w:tc>
        <w:tc>
          <w:tcPr>
            <w:tcW w:w="0" w:type="dxa"/>
            <w:vAlign w:val="bottom"/>
          </w:tcPr>
          <w:p>
            <w:pPr>
              <w:spacing w:after="0"/>
              <w:rPr>
                <w:sz w:val="1"/>
                <w:szCs w:val="1"/>
                <w:color w:val="auto"/>
              </w:rPr>
            </w:pPr>
          </w:p>
        </w:tc>
      </w:tr>
      <w:tr>
        <w:trPr>
          <w:trHeight w:val="34"/>
        </w:trPr>
        <w:tc>
          <w:tcPr>
            <w:tcW w:w="6080" w:type="dxa"/>
            <w:vAlign w:val="bottom"/>
            <w:tcBorders>
              <w:bottom w:val="single" w:sz="8" w:color="A6A6A6"/>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Narrow" w:cs="Arial Narrow" w:eastAsia="Arial Narrow" w:hAnsi="Arial Narrow"/>
                <w:sz w:val="16"/>
                <w:szCs w:val="16"/>
                <w:b w:val="1"/>
                <w:bCs w:val="1"/>
                <w:color w:val="auto"/>
              </w:rPr>
              <w:t>LIABILITIES AND STOCKHOLDERS’ EQUITY</w:t>
            </w: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08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6080" w:type="dxa"/>
            <w:vAlign w:val="bottom"/>
            <w:tcBorders>
              <w:bottom w:val="single" w:sz="8" w:color="A6A6A6"/>
            </w:tcBorders>
          </w:tcPr>
          <w:p>
            <w:pPr>
              <w:spacing w:after="0"/>
              <w:rPr>
                <w:sz w:val="2"/>
                <w:szCs w:val="2"/>
                <w:color w:val="auto"/>
              </w:rPr>
            </w:pPr>
          </w:p>
        </w:tc>
        <w:tc>
          <w:tcPr>
            <w:tcW w:w="440" w:type="dxa"/>
            <w:vAlign w:val="bottom"/>
            <w:tcBorders>
              <w:bottom w:val="single" w:sz="8" w:color="A6A6A6"/>
            </w:tcBorders>
          </w:tcPr>
          <w:p>
            <w:pPr>
              <w:spacing w:after="0"/>
              <w:rPr>
                <w:sz w:val="2"/>
                <w:szCs w:val="2"/>
                <w:color w:val="auto"/>
              </w:rPr>
            </w:pPr>
          </w:p>
        </w:tc>
        <w:tc>
          <w:tcPr>
            <w:tcW w:w="1140" w:type="dxa"/>
            <w:vAlign w:val="bottom"/>
            <w:tcBorders>
              <w:bottom w:val="single" w:sz="8" w:color="A6A6A6"/>
            </w:tcBorders>
          </w:tcPr>
          <w:p>
            <w:pPr>
              <w:spacing w:after="0"/>
              <w:rPr>
                <w:sz w:val="2"/>
                <w:szCs w:val="2"/>
                <w:color w:val="auto"/>
              </w:rPr>
            </w:pPr>
          </w:p>
        </w:tc>
        <w:tc>
          <w:tcPr>
            <w:tcW w:w="140" w:type="dxa"/>
            <w:vAlign w:val="bottom"/>
            <w:tcBorders>
              <w:bottom w:val="single" w:sz="8" w:color="A6A6A6"/>
            </w:tcBorders>
          </w:tcPr>
          <w:p>
            <w:pPr>
              <w:spacing w:after="0"/>
              <w:rPr>
                <w:sz w:val="2"/>
                <w:szCs w:val="2"/>
                <w:color w:val="auto"/>
              </w:rPr>
            </w:pPr>
          </w:p>
        </w:tc>
        <w:tc>
          <w:tcPr>
            <w:tcW w:w="620" w:type="dxa"/>
            <w:vAlign w:val="bottom"/>
            <w:tcBorders>
              <w:bottom w:val="single" w:sz="8" w:color="A6A6A6"/>
            </w:tcBorders>
          </w:tcPr>
          <w:p>
            <w:pPr>
              <w:spacing w:after="0"/>
              <w:rPr>
                <w:sz w:val="2"/>
                <w:szCs w:val="2"/>
                <w:color w:val="auto"/>
              </w:rPr>
            </w:pPr>
          </w:p>
        </w:tc>
        <w:tc>
          <w:tcPr>
            <w:tcW w:w="940" w:type="dxa"/>
            <w:vAlign w:val="bottom"/>
            <w:tcBorders>
              <w:bottom w:val="single" w:sz="8" w:color="A6A6A6"/>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080" w:type="dxa"/>
            <w:vAlign w:val="bottom"/>
          </w:tcPr>
          <w:p>
            <w:pPr>
              <w:spacing w:after="0"/>
              <w:rPr>
                <w:sz w:val="20"/>
                <w:szCs w:val="20"/>
                <w:color w:val="auto"/>
              </w:rPr>
            </w:pPr>
            <w:r>
              <w:rPr>
                <w:rFonts w:ascii="Arial Narrow" w:cs="Arial Narrow" w:eastAsia="Arial Narrow" w:hAnsi="Arial Narrow"/>
                <w:sz w:val="16"/>
                <w:szCs w:val="16"/>
                <w:b w:val="1"/>
                <w:bCs w:val="1"/>
                <w:color w:val="00085E"/>
              </w:rPr>
              <w:t>Current Liabilities</w:t>
            </w:r>
          </w:p>
        </w:tc>
        <w:tc>
          <w:tcPr>
            <w:tcW w:w="4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6080" w:type="dxa"/>
            <w:vAlign w:val="bottom"/>
            <w:tcBorders>
              <w:bottom w:val="single" w:sz="8" w:color="A6A6A6"/>
            </w:tcBorders>
          </w:tcPr>
          <w:p>
            <w:pPr>
              <w:spacing w:after="0"/>
              <w:rPr>
                <w:sz w:val="2"/>
                <w:szCs w:val="2"/>
                <w:color w:val="auto"/>
              </w:rPr>
            </w:pPr>
          </w:p>
        </w:tc>
        <w:tc>
          <w:tcPr>
            <w:tcW w:w="440" w:type="dxa"/>
            <w:vAlign w:val="bottom"/>
            <w:tcBorders>
              <w:bottom w:val="single" w:sz="8" w:color="A6A6A6"/>
            </w:tcBorders>
          </w:tcPr>
          <w:p>
            <w:pPr>
              <w:spacing w:after="0"/>
              <w:rPr>
                <w:sz w:val="2"/>
                <w:szCs w:val="2"/>
                <w:color w:val="auto"/>
              </w:rPr>
            </w:pPr>
          </w:p>
        </w:tc>
        <w:tc>
          <w:tcPr>
            <w:tcW w:w="1140" w:type="dxa"/>
            <w:vAlign w:val="bottom"/>
            <w:tcBorders>
              <w:bottom w:val="single" w:sz="8" w:color="A6A6A6"/>
            </w:tcBorders>
          </w:tcPr>
          <w:p>
            <w:pPr>
              <w:spacing w:after="0"/>
              <w:rPr>
                <w:sz w:val="2"/>
                <w:szCs w:val="2"/>
                <w:color w:val="auto"/>
              </w:rPr>
            </w:pPr>
          </w:p>
        </w:tc>
        <w:tc>
          <w:tcPr>
            <w:tcW w:w="760" w:type="dxa"/>
            <w:vAlign w:val="bottom"/>
            <w:tcBorders>
              <w:bottom w:val="single" w:sz="8" w:color="A6A6A6"/>
            </w:tcBorders>
            <w:gridSpan w:val="2"/>
          </w:tcPr>
          <w:p>
            <w:pPr>
              <w:spacing w:after="0"/>
              <w:rPr>
                <w:sz w:val="2"/>
                <w:szCs w:val="2"/>
                <w:color w:val="auto"/>
              </w:rPr>
            </w:pPr>
          </w:p>
        </w:tc>
        <w:tc>
          <w:tcPr>
            <w:tcW w:w="940" w:type="dxa"/>
            <w:vAlign w:val="bottom"/>
            <w:tcBorders>
              <w:bottom w:val="single" w:sz="8" w:color="A6A6A6"/>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080" w:type="dxa"/>
            <w:vAlign w:val="bottom"/>
          </w:tcPr>
          <w:p>
            <w:pPr>
              <w:spacing w:after="0"/>
              <w:rPr>
                <w:sz w:val="20"/>
                <w:szCs w:val="20"/>
                <w:color w:val="auto"/>
              </w:rPr>
            </w:pPr>
            <w:r>
              <w:rPr>
                <w:rFonts w:ascii="Arial Narrow" w:cs="Arial Narrow" w:eastAsia="Arial Narrow" w:hAnsi="Arial Narrow"/>
                <w:sz w:val="16"/>
                <w:szCs w:val="16"/>
                <w:b w:val="1"/>
                <w:bCs w:val="1"/>
                <w:color w:val="00085E"/>
              </w:rPr>
              <w:t>Accounts Payable</w:t>
            </w:r>
          </w:p>
        </w:tc>
        <w:tc>
          <w:tcPr>
            <w:tcW w:w="440" w:type="dxa"/>
            <w:vAlign w:val="bottom"/>
          </w:tcPr>
          <w:p>
            <w:pPr>
              <w:jc w:val="right"/>
              <w:ind w:right="280"/>
              <w:spacing w:after="0"/>
              <w:rPr>
                <w:sz w:val="20"/>
                <w:szCs w:val="20"/>
                <w:color w:val="auto"/>
              </w:rPr>
            </w:pPr>
            <w:r>
              <w:rPr>
                <w:rFonts w:ascii="Arial Narrow" w:cs="Arial Narrow" w:eastAsia="Arial Narrow" w:hAnsi="Arial Narrow"/>
                <w:sz w:val="16"/>
                <w:szCs w:val="16"/>
                <w:color w:val="auto"/>
                <w:w w:val="81"/>
              </w:rPr>
              <w:t>$</w:t>
            </w:r>
          </w:p>
        </w:tc>
        <w:tc>
          <w:tcPr>
            <w:tcW w:w="1140" w:type="dxa"/>
            <w:vAlign w:val="bottom"/>
          </w:tcPr>
          <w:p>
            <w:pPr>
              <w:jc w:val="right"/>
              <w:ind w:right="120"/>
              <w:spacing w:after="0"/>
              <w:rPr>
                <w:sz w:val="20"/>
                <w:szCs w:val="20"/>
                <w:color w:val="auto"/>
              </w:rPr>
            </w:pPr>
            <w:r>
              <w:rPr>
                <w:rFonts w:ascii="Arial Narrow" w:cs="Arial Narrow" w:eastAsia="Arial Narrow" w:hAnsi="Arial Narrow"/>
                <w:sz w:val="16"/>
                <w:szCs w:val="16"/>
                <w:color w:val="auto"/>
              </w:rPr>
              <w:t>138,884</w:t>
            </w:r>
          </w:p>
        </w:tc>
        <w:tc>
          <w:tcPr>
            <w:tcW w:w="760" w:type="dxa"/>
            <w:vAlign w:val="bottom"/>
            <w:gridSpan w:val="2"/>
          </w:tcPr>
          <w:p>
            <w:pPr>
              <w:jc w:val="right"/>
              <w:ind w:right="540"/>
              <w:spacing w:after="0"/>
              <w:rPr>
                <w:sz w:val="20"/>
                <w:szCs w:val="20"/>
                <w:color w:val="auto"/>
              </w:rPr>
            </w:pPr>
            <w:r>
              <w:rPr>
                <w:rFonts w:ascii="Arial Narrow" w:cs="Arial Narrow" w:eastAsia="Arial Narrow" w:hAnsi="Arial Narrow"/>
                <w:sz w:val="16"/>
                <w:szCs w:val="16"/>
                <w:color w:val="auto"/>
              </w:rPr>
              <w:t>$</w:t>
            </w:r>
          </w:p>
        </w:tc>
        <w:tc>
          <w:tcPr>
            <w:tcW w:w="940" w:type="dxa"/>
            <w:vAlign w:val="bottom"/>
          </w:tcPr>
          <w:p>
            <w:pPr>
              <w:jc w:val="right"/>
              <w:ind w:right="100"/>
              <w:spacing w:after="0"/>
              <w:rPr>
                <w:sz w:val="20"/>
                <w:szCs w:val="20"/>
                <w:color w:val="auto"/>
              </w:rPr>
            </w:pPr>
            <w:r>
              <w:rPr>
                <w:rFonts w:ascii="Arial Narrow" w:cs="Arial Narrow" w:eastAsia="Arial Narrow" w:hAnsi="Arial Narrow"/>
                <w:sz w:val="16"/>
                <w:szCs w:val="16"/>
                <w:color w:val="auto"/>
              </w:rPr>
              <w:t>129,895</w:t>
            </w:r>
          </w:p>
        </w:tc>
        <w:tc>
          <w:tcPr>
            <w:tcW w:w="0" w:type="dxa"/>
            <w:vAlign w:val="bottom"/>
          </w:tcPr>
          <w:p>
            <w:pPr>
              <w:spacing w:after="0"/>
              <w:rPr>
                <w:sz w:val="1"/>
                <w:szCs w:val="1"/>
                <w:color w:val="auto"/>
              </w:rPr>
            </w:pPr>
          </w:p>
        </w:tc>
      </w:tr>
      <w:tr>
        <w:trPr>
          <w:trHeight w:val="34"/>
        </w:trPr>
        <w:tc>
          <w:tcPr>
            <w:tcW w:w="6080" w:type="dxa"/>
            <w:vAlign w:val="bottom"/>
            <w:tcBorders>
              <w:bottom w:val="single" w:sz="8" w:color="A6A6A6"/>
            </w:tcBorders>
          </w:tcPr>
          <w:p>
            <w:pPr>
              <w:spacing w:after="0"/>
              <w:rPr>
                <w:sz w:val="2"/>
                <w:szCs w:val="2"/>
                <w:color w:val="auto"/>
              </w:rPr>
            </w:pPr>
          </w:p>
        </w:tc>
        <w:tc>
          <w:tcPr>
            <w:tcW w:w="440" w:type="dxa"/>
            <w:vAlign w:val="bottom"/>
            <w:tcBorders>
              <w:bottom w:val="single" w:sz="8" w:color="A6A6A6"/>
            </w:tcBorders>
          </w:tcPr>
          <w:p>
            <w:pPr>
              <w:spacing w:after="0"/>
              <w:rPr>
                <w:sz w:val="2"/>
                <w:szCs w:val="2"/>
                <w:color w:val="auto"/>
              </w:rPr>
            </w:pPr>
          </w:p>
        </w:tc>
        <w:tc>
          <w:tcPr>
            <w:tcW w:w="1140" w:type="dxa"/>
            <w:vAlign w:val="bottom"/>
            <w:tcBorders>
              <w:bottom w:val="single" w:sz="8" w:color="A6A6A6"/>
            </w:tcBorders>
          </w:tcPr>
          <w:p>
            <w:pPr>
              <w:spacing w:after="0"/>
              <w:rPr>
                <w:sz w:val="2"/>
                <w:szCs w:val="2"/>
                <w:color w:val="auto"/>
              </w:rPr>
            </w:pPr>
          </w:p>
        </w:tc>
        <w:tc>
          <w:tcPr>
            <w:tcW w:w="140" w:type="dxa"/>
            <w:vAlign w:val="bottom"/>
            <w:tcBorders>
              <w:bottom w:val="single" w:sz="8" w:color="A6A6A6"/>
            </w:tcBorders>
          </w:tcPr>
          <w:p>
            <w:pPr>
              <w:spacing w:after="0"/>
              <w:rPr>
                <w:sz w:val="2"/>
                <w:szCs w:val="2"/>
                <w:color w:val="auto"/>
              </w:rPr>
            </w:pPr>
          </w:p>
        </w:tc>
        <w:tc>
          <w:tcPr>
            <w:tcW w:w="620" w:type="dxa"/>
            <w:vAlign w:val="bottom"/>
            <w:tcBorders>
              <w:bottom w:val="single" w:sz="8" w:color="A6A6A6"/>
            </w:tcBorders>
          </w:tcPr>
          <w:p>
            <w:pPr>
              <w:spacing w:after="0"/>
              <w:rPr>
                <w:sz w:val="2"/>
                <w:szCs w:val="2"/>
                <w:color w:val="auto"/>
              </w:rPr>
            </w:pPr>
          </w:p>
        </w:tc>
        <w:tc>
          <w:tcPr>
            <w:tcW w:w="940" w:type="dxa"/>
            <w:vAlign w:val="bottom"/>
            <w:tcBorders>
              <w:bottom w:val="single" w:sz="8" w:color="A6A6A6"/>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080" w:type="dxa"/>
            <w:vAlign w:val="bottom"/>
          </w:tcPr>
          <w:p>
            <w:pPr>
              <w:spacing w:after="0"/>
              <w:rPr>
                <w:sz w:val="20"/>
                <w:szCs w:val="20"/>
                <w:color w:val="auto"/>
              </w:rPr>
            </w:pPr>
            <w:r>
              <w:rPr>
                <w:rFonts w:ascii="Arial Narrow" w:cs="Arial Narrow" w:eastAsia="Arial Narrow" w:hAnsi="Arial Narrow"/>
                <w:sz w:val="16"/>
                <w:szCs w:val="16"/>
                <w:b w:val="1"/>
                <w:bCs w:val="1"/>
                <w:color w:val="00085E"/>
              </w:rPr>
              <w:t>Accrued Liabilities</w:t>
            </w:r>
          </w:p>
        </w:tc>
        <w:tc>
          <w:tcPr>
            <w:tcW w:w="440" w:type="dxa"/>
            <w:vAlign w:val="bottom"/>
          </w:tcPr>
          <w:p>
            <w:pPr>
              <w:spacing w:after="0"/>
              <w:rPr>
                <w:sz w:val="22"/>
                <w:szCs w:val="22"/>
                <w:color w:val="auto"/>
              </w:rPr>
            </w:pPr>
          </w:p>
        </w:tc>
        <w:tc>
          <w:tcPr>
            <w:tcW w:w="1140" w:type="dxa"/>
            <w:vAlign w:val="bottom"/>
          </w:tcPr>
          <w:p>
            <w:pPr>
              <w:jc w:val="right"/>
              <w:ind w:right="120"/>
              <w:spacing w:after="0"/>
              <w:rPr>
                <w:sz w:val="20"/>
                <w:szCs w:val="20"/>
                <w:color w:val="auto"/>
              </w:rPr>
            </w:pPr>
            <w:r>
              <w:rPr>
                <w:rFonts w:ascii="Arial Narrow" w:cs="Arial Narrow" w:eastAsia="Arial Narrow" w:hAnsi="Arial Narrow"/>
                <w:sz w:val="16"/>
                <w:szCs w:val="16"/>
                <w:color w:val="auto"/>
              </w:rPr>
              <w:t>102,127</w:t>
            </w: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40" w:type="dxa"/>
            <w:vAlign w:val="bottom"/>
          </w:tcPr>
          <w:p>
            <w:pPr>
              <w:jc w:val="right"/>
              <w:ind w:right="100"/>
              <w:spacing w:after="0"/>
              <w:rPr>
                <w:sz w:val="20"/>
                <w:szCs w:val="20"/>
                <w:color w:val="auto"/>
              </w:rPr>
            </w:pPr>
            <w:r>
              <w:rPr>
                <w:rFonts w:ascii="Arial Narrow" w:cs="Arial Narrow" w:eastAsia="Arial Narrow" w:hAnsi="Arial Narrow"/>
                <w:sz w:val="16"/>
                <w:szCs w:val="16"/>
                <w:color w:val="auto"/>
              </w:rPr>
              <w:t>96,077</w:t>
            </w:r>
          </w:p>
        </w:tc>
        <w:tc>
          <w:tcPr>
            <w:tcW w:w="0" w:type="dxa"/>
            <w:vAlign w:val="bottom"/>
          </w:tcPr>
          <w:p>
            <w:pPr>
              <w:spacing w:after="0"/>
              <w:rPr>
                <w:sz w:val="1"/>
                <w:szCs w:val="1"/>
                <w:color w:val="auto"/>
              </w:rPr>
            </w:pPr>
          </w:p>
        </w:tc>
      </w:tr>
      <w:tr>
        <w:trPr>
          <w:trHeight w:val="34"/>
        </w:trPr>
        <w:tc>
          <w:tcPr>
            <w:tcW w:w="6080" w:type="dxa"/>
            <w:vAlign w:val="bottom"/>
            <w:tcBorders>
              <w:bottom w:val="single" w:sz="8" w:color="A6A6A6"/>
            </w:tcBorders>
          </w:tcPr>
          <w:p>
            <w:pPr>
              <w:spacing w:after="0"/>
              <w:rPr>
                <w:sz w:val="2"/>
                <w:szCs w:val="2"/>
                <w:color w:val="auto"/>
              </w:rPr>
            </w:pPr>
          </w:p>
        </w:tc>
        <w:tc>
          <w:tcPr>
            <w:tcW w:w="440" w:type="dxa"/>
            <w:vAlign w:val="bottom"/>
            <w:tcBorders>
              <w:bottom w:val="single" w:sz="8" w:color="A6A6A6"/>
            </w:tcBorders>
          </w:tcPr>
          <w:p>
            <w:pPr>
              <w:spacing w:after="0"/>
              <w:rPr>
                <w:sz w:val="2"/>
                <w:szCs w:val="2"/>
                <w:color w:val="auto"/>
              </w:rPr>
            </w:pPr>
          </w:p>
        </w:tc>
        <w:tc>
          <w:tcPr>
            <w:tcW w:w="1140" w:type="dxa"/>
            <w:vAlign w:val="bottom"/>
            <w:tcBorders>
              <w:bottom w:val="single" w:sz="8" w:color="A6A6A6"/>
            </w:tcBorders>
          </w:tcPr>
          <w:p>
            <w:pPr>
              <w:spacing w:after="0"/>
              <w:rPr>
                <w:sz w:val="2"/>
                <w:szCs w:val="2"/>
                <w:color w:val="auto"/>
              </w:rPr>
            </w:pPr>
          </w:p>
        </w:tc>
        <w:tc>
          <w:tcPr>
            <w:tcW w:w="140" w:type="dxa"/>
            <w:vAlign w:val="bottom"/>
            <w:tcBorders>
              <w:bottom w:val="single" w:sz="8" w:color="A6A6A6"/>
            </w:tcBorders>
          </w:tcPr>
          <w:p>
            <w:pPr>
              <w:spacing w:after="0"/>
              <w:rPr>
                <w:sz w:val="2"/>
                <w:szCs w:val="2"/>
                <w:color w:val="auto"/>
              </w:rPr>
            </w:pPr>
          </w:p>
        </w:tc>
        <w:tc>
          <w:tcPr>
            <w:tcW w:w="620" w:type="dxa"/>
            <w:vAlign w:val="bottom"/>
            <w:tcBorders>
              <w:bottom w:val="single" w:sz="8" w:color="A6A6A6"/>
            </w:tcBorders>
          </w:tcPr>
          <w:p>
            <w:pPr>
              <w:spacing w:after="0"/>
              <w:rPr>
                <w:sz w:val="2"/>
                <w:szCs w:val="2"/>
                <w:color w:val="auto"/>
              </w:rPr>
            </w:pPr>
          </w:p>
        </w:tc>
        <w:tc>
          <w:tcPr>
            <w:tcW w:w="940" w:type="dxa"/>
            <w:vAlign w:val="bottom"/>
            <w:tcBorders>
              <w:bottom w:val="single" w:sz="8" w:color="A6A6A6"/>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080" w:type="dxa"/>
            <w:vAlign w:val="bottom"/>
          </w:tcPr>
          <w:p>
            <w:pPr>
              <w:spacing w:after="0"/>
              <w:rPr>
                <w:sz w:val="20"/>
                <w:szCs w:val="20"/>
                <w:color w:val="auto"/>
              </w:rPr>
            </w:pPr>
            <w:r>
              <w:rPr>
                <w:rFonts w:ascii="Arial Narrow" w:cs="Arial Narrow" w:eastAsia="Arial Narrow" w:hAnsi="Arial Narrow"/>
                <w:sz w:val="16"/>
                <w:szCs w:val="16"/>
                <w:b w:val="1"/>
                <w:bCs w:val="1"/>
                <w:color w:val="00085E"/>
              </w:rPr>
              <w:t>Operating Lease Liabilities</w:t>
            </w:r>
          </w:p>
        </w:tc>
        <w:tc>
          <w:tcPr>
            <w:tcW w:w="440" w:type="dxa"/>
            <w:vAlign w:val="bottom"/>
          </w:tcPr>
          <w:p>
            <w:pPr>
              <w:spacing w:after="0"/>
              <w:rPr>
                <w:sz w:val="22"/>
                <w:szCs w:val="22"/>
                <w:color w:val="auto"/>
              </w:rPr>
            </w:pPr>
          </w:p>
        </w:tc>
        <w:tc>
          <w:tcPr>
            <w:tcW w:w="1140" w:type="dxa"/>
            <w:vAlign w:val="bottom"/>
          </w:tcPr>
          <w:p>
            <w:pPr>
              <w:jc w:val="right"/>
              <w:ind w:right="120"/>
              <w:spacing w:after="0"/>
              <w:rPr>
                <w:sz w:val="20"/>
                <w:szCs w:val="20"/>
                <w:color w:val="auto"/>
              </w:rPr>
            </w:pPr>
            <w:r>
              <w:rPr>
                <w:rFonts w:ascii="Arial Narrow" w:cs="Arial Narrow" w:eastAsia="Arial Narrow" w:hAnsi="Arial Narrow"/>
                <w:sz w:val="16"/>
                <w:szCs w:val="16"/>
                <w:color w:val="auto"/>
              </w:rPr>
              <w:t>4,144</w:t>
            </w: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40" w:type="dxa"/>
            <w:vAlign w:val="bottom"/>
          </w:tcPr>
          <w:p>
            <w:pPr>
              <w:jc w:val="right"/>
              <w:ind w:right="100"/>
              <w:spacing w:after="0"/>
              <w:rPr>
                <w:sz w:val="20"/>
                <w:szCs w:val="20"/>
                <w:color w:val="auto"/>
              </w:rPr>
            </w:pPr>
            <w:r>
              <w:rPr>
                <w:rFonts w:ascii="Arial Narrow" w:cs="Arial Narrow" w:eastAsia="Arial Narrow" w:hAnsi="Arial Narrow"/>
                <w:sz w:val="16"/>
                <w:szCs w:val="16"/>
                <w:color w:val="auto"/>
              </w:rPr>
              <w:t>4,032</w:t>
            </w:r>
          </w:p>
        </w:tc>
        <w:tc>
          <w:tcPr>
            <w:tcW w:w="0" w:type="dxa"/>
            <w:vAlign w:val="bottom"/>
          </w:tcPr>
          <w:p>
            <w:pPr>
              <w:spacing w:after="0"/>
              <w:rPr>
                <w:sz w:val="1"/>
                <w:szCs w:val="1"/>
                <w:color w:val="auto"/>
              </w:rPr>
            </w:pPr>
          </w:p>
        </w:tc>
      </w:tr>
      <w:tr>
        <w:trPr>
          <w:trHeight w:val="34"/>
        </w:trPr>
        <w:tc>
          <w:tcPr>
            <w:tcW w:w="6080" w:type="dxa"/>
            <w:vAlign w:val="bottom"/>
            <w:tcBorders>
              <w:bottom w:val="single" w:sz="8" w:color="A6A6A6"/>
            </w:tcBorders>
          </w:tcPr>
          <w:p>
            <w:pPr>
              <w:spacing w:after="0"/>
              <w:rPr>
                <w:sz w:val="2"/>
                <w:szCs w:val="2"/>
                <w:color w:val="auto"/>
              </w:rPr>
            </w:pPr>
          </w:p>
        </w:tc>
        <w:tc>
          <w:tcPr>
            <w:tcW w:w="440" w:type="dxa"/>
            <w:vAlign w:val="bottom"/>
            <w:tcBorders>
              <w:bottom w:val="single" w:sz="8" w:color="A6A6A6"/>
            </w:tcBorders>
          </w:tcPr>
          <w:p>
            <w:pPr>
              <w:spacing w:after="0"/>
              <w:rPr>
                <w:sz w:val="2"/>
                <w:szCs w:val="2"/>
                <w:color w:val="auto"/>
              </w:rPr>
            </w:pPr>
          </w:p>
        </w:tc>
        <w:tc>
          <w:tcPr>
            <w:tcW w:w="1140" w:type="dxa"/>
            <w:vAlign w:val="bottom"/>
            <w:tcBorders>
              <w:bottom w:val="single" w:sz="8" w:color="A6A6A6"/>
            </w:tcBorders>
          </w:tcPr>
          <w:p>
            <w:pPr>
              <w:spacing w:after="0"/>
              <w:rPr>
                <w:sz w:val="2"/>
                <w:szCs w:val="2"/>
                <w:color w:val="auto"/>
              </w:rPr>
            </w:pPr>
          </w:p>
        </w:tc>
        <w:tc>
          <w:tcPr>
            <w:tcW w:w="140" w:type="dxa"/>
            <w:vAlign w:val="bottom"/>
            <w:tcBorders>
              <w:bottom w:val="single" w:sz="8" w:color="A6A6A6"/>
            </w:tcBorders>
          </w:tcPr>
          <w:p>
            <w:pPr>
              <w:spacing w:after="0"/>
              <w:rPr>
                <w:sz w:val="2"/>
                <w:szCs w:val="2"/>
                <w:color w:val="auto"/>
              </w:rPr>
            </w:pPr>
          </w:p>
        </w:tc>
        <w:tc>
          <w:tcPr>
            <w:tcW w:w="620" w:type="dxa"/>
            <w:vAlign w:val="bottom"/>
            <w:tcBorders>
              <w:bottom w:val="single" w:sz="8" w:color="A6A6A6"/>
            </w:tcBorders>
          </w:tcPr>
          <w:p>
            <w:pPr>
              <w:spacing w:after="0"/>
              <w:rPr>
                <w:sz w:val="2"/>
                <w:szCs w:val="2"/>
                <w:color w:val="auto"/>
              </w:rPr>
            </w:pPr>
          </w:p>
        </w:tc>
        <w:tc>
          <w:tcPr>
            <w:tcW w:w="940" w:type="dxa"/>
            <w:vAlign w:val="bottom"/>
            <w:tcBorders>
              <w:bottom w:val="single" w:sz="8" w:color="A6A6A6"/>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080" w:type="dxa"/>
            <w:vAlign w:val="bottom"/>
          </w:tcPr>
          <w:p>
            <w:pPr>
              <w:spacing w:after="0"/>
              <w:rPr>
                <w:sz w:val="20"/>
                <w:szCs w:val="20"/>
                <w:color w:val="auto"/>
              </w:rPr>
            </w:pPr>
            <w:r>
              <w:rPr>
                <w:rFonts w:ascii="Arial Narrow" w:cs="Arial Narrow" w:eastAsia="Arial Narrow" w:hAnsi="Arial Narrow"/>
                <w:sz w:val="16"/>
                <w:szCs w:val="16"/>
                <w:b w:val="1"/>
                <w:bCs w:val="1"/>
                <w:color w:val="00085E"/>
              </w:rPr>
              <w:t>Current Portion of Long-Term Debt</w:t>
            </w:r>
          </w:p>
        </w:tc>
        <w:tc>
          <w:tcPr>
            <w:tcW w:w="440" w:type="dxa"/>
            <w:vAlign w:val="bottom"/>
          </w:tcPr>
          <w:p>
            <w:pPr>
              <w:spacing w:after="0"/>
              <w:rPr>
                <w:sz w:val="22"/>
                <w:szCs w:val="22"/>
                <w:color w:val="auto"/>
              </w:rPr>
            </w:pPr>
          </w:p>
        </w:tc>
        <w:tc>
          <w:tcPr>
            <w:tcW w:w="1140" w:type="dxa"/>
            <w:vAlign w:val="bottom"/>
          </w:tcPr>
          <w:p>
            <w:pPr>
              <w:jc w:val="right"/>
              <w:ind w:right="120"/>
              <w:spacing w:after="0"/>
              <w:rPr>
                <w:sz w:val="20"/>
                <w:szCs w:val="20"/>
                <w:color w:val="auto"/>
              </w:rPr>
            </w:pPr>
            <w:r>
              <w:rPr>
                <w:rFonts w:ascii="Arial Narrow" w:cs="Arial Narrow" w:eastAsia="Arial Narrow" w:hAnsi="Arial Narrow"/>
                <w:sz w:val="16"/>
                <w:szCs w:val="16"/>
                <w:color w:val="auto"/>
              </w:rPr>
              <w:t>15,000</w:t>
            </w: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40" w:type="dxa"/>
            <w:vAlign w:val="bottom"/>
          </w:tcPr>
          <w:p>
            <w:pPr>
              <w:jc w:val="right"/>
              <w:ind w:right="100"/>
              <w:spacing w:after="0"/>
              <w:rPr>
                <w:sz w:val="20"/>
                <w:szCs w:val="20"/>
                <w:color w:val="auto"/>
              </w:rPr>
            </w:pPr>
            <w:r>
              <w:rPr>
                <w:rFonts w:ascii="Arial Narrow" w:cs="Arial Narrow" w:eastAsia="Arial Narrow" w:hAnsi="Arial Narrow"/>
                <w:sz w:val="16"/>
                <w:szCs w:val="16"/>
                <w:color w:val="auto"/>
              </w:rPr>
              <w:t>15,000</w:t>
            </w:r>
          </w:p>
        </w:tc>
        <w:tc>
          <w:tcPr>
            <w:tcW w:w="0" w:type="dxa"/>
            <w:vAlign w:val="bottom"/>
          </w:tcPr>
          <w:p>
            <w:pPr>
              <w:spacing w:after="0"/>
              <w:rPr>
                <w:sz w:val="1"/>
                <w:szCs w:val="1"/>
                <w:color w:val="auto"/>
              </w:rPr>
            </w:pPr>
          </w:p>
        </w:tc>
      </w:tr>
      <w:tr>
        <w:trPr>
          <w:trHeight w:val="59"/>
        </w:trPr>
        <w:tc>
          <w:tcPr>
            <w:tcW w:w="6080" w:type="dxa"/>
            <w:vAlign w:val="bottom"/>
            <w:tcBorders>
              <w:bottom w:val="single" w:sz="8" w:color="A6A6A6"/>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6080" w:type="dxa"/>
            <w:vAlign w:val="bottom"/>
          </w:tcPr>
          <w:p>
            <w:pPr>
              <w:spacing w:after="0"/>
              <w:rPr>
                <w:sz w:val="20"/>
                <w:szCs w:val="20"/>
                <w:color w:val="auto"/>
              </w:rPr>
            </w:pPr>
            <w:r>
              <w:rPr>
                <w:rFonts w:ascii="Arial Narrow" w:cs="Arial Narrow" w:eastAsia="Arial Narrow" w:hAnsi="Arial Narrow"/>
                <w:sz w:val="16"/>
                <w:szCs w:val="16"/>
                <w:b w:val="1"/>
                <w:bCs w:val="1"/>
                <w:color w:val="00085E"/>
              </w:rPr>
              <w:t>Total Current Liabilities</w:t>
            </w:r>
          </w:p>
        </w:tc>
        <w:tc>
          <w:tcPr>
            <w:tcW w:w="440" w:type="dxa"/>
            <w:vAlign w:val="bottom"/>
          </w:tcPr>
          <w:p>
            <w:pPr>
              <w:spacing w:after="0"/>
              <w:rPr>
                <w:sz w:val="22"/>
                <w:szCs w:val="22"/>
                <w:color w:val="auto"/>
              </w:rPr>
            </w:pPr>
          </w:p>
        </w:tc>
        <w:tc>
          <w:tcPr>
            <w:tcW w:w="1140" w:type="dxa"/>
            <w:vAlign w:val="bottom"/>
          </w:tcPr>
          <w:p>
            <w:pPr>
              <w:jc w:val="right"/>
              <w:ind w:right="120"/>
              <w:spacing w:after="0"/>
              <w:rPr>
                <w:sz w:val="20"/>
                <w:szCs w:val="20"/>
                <w:color w:val="auto"/>
              </w:rPr>
            </w:pPr>
            <w:r>
              <w:rPr>
                <w:rFonts w:ascii="Arial Narrow" w:cs="Arial Narrow" w:eastAsia="Arial Narrow" w:hAnsi="Arial Narrow"/>
                <w:sz w:val="16"/>
                <w:szCs w:val="16"/>
                <w:color w:val="auto"/>
              </w:rPr>
              <w:t>260,155</w:t>
            </w: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40" w:type="dxa"/>
            <w:vAlign w:val="bottom"/>
          </w:tcPr>
          <w:p>
            <w:pPr>
              <w:jc w:val="right"/>
              <w:ind w:right="100"/>
              <w:spacing w:after="0"/>
              <w:rPr>
                <w:sz w:val="20"/>
                <w:szCs w:val="20"/>
                <w:color w:val="auto"/>
              </w:rPr>
            </w:pPr>
            <w:r>
              <w:rPr>
                <w:rFonts w:ascii="Arial Narrow" w:cs="Arial Narrow" w:eastAsia="Arial Narrow" w:hAnsi="Arial Narrow"/>
                <w:sz w:val="16"/>
                <w:szCs w:val="16"/>
                <w:color w:val="auto"/>
              </w:rPr>
              <w:t>245,004</w:t>
            </w:r>
          </w:p>
        </w:tc>
        <w:tc>
          <w:tcPr>
            <w:tcW w:w="0" w:type="dxa"/>
            <w:vAlign w:val="bottom"/>
          </w:tcPr>
          <w:p>
            <w:pPr>
              <w:spacing w:after="0"/>
              <w:rPr>
                <w:sz w:val="1"/>
                <w:szCs w:val="1"/>
                <w:color w:val="auto"/>
              </w:rPr>
            </w:pPr>
          </w:p>
        </w:tc>
      </w:tr>
      <w:tr>
        <w:trPr>
          <w:trHeight w:val="34"/>
        </w:trPr>
        <w:tc>
          <w:tcPr>
            <w:tcW w:w="6080" w:type="dxa"/>
            <w:vAlign w:val="bottom"/>
            <w:tcBorders>
              <w:bottom w:val="single" w:sz="8" w:color="A6A6A6"/>
            </w:tcBorders>
          </w:tcPr>
          <w:p>
            <w:pPr>
              <w:spacing w:after="0"/>
              <w:rPr>
                <w:sz w:val="2"/>
                <w:szCs w:val="2"/>
                <w:color w:val="auto"/>
              </w:rPr>
            </w:pPr>
          </w:p>
        </w:tc>
        <w:tc>
          <w:tcPr>
            <w:tcW w:w="440" w:type="dxa"/>
            <w:vAlign w:val="bottom"/>
            <w:tcBorders>
              <w:bottom w:val="single" w:sz="8" w:color="A6A6A6"/>
            </w:tcBorders>
          </w:tcPr>
          <w:p>
            <w:pPr>
              <w:spacing w:after="0"/>
              <w:rPr>
                <w:sz w:val="2"/>
                <w:szCs w:val="2"/>
                <w:color w:val="auto"/>
              </w:rPr>
            </w:pPr>
          </w:p>
        </w:tc>
        <w:tc>
          <w:tcPr>
            <w:tcW w:w="1140" w:type="dxa"/>
            <w:vAlign w:val="bottom"/>
            <w:tcBorders>
              <w:bottom w:val="single" w:sz="8" w:color="A6A6A6"/>
            </w:tcBorders>
          </w:tcPr>
          <w:p>
            <w:pPr>
              <w:spacing w:after="0"/>
              <w:rPr>
                <w:sz w:val="2"/>
                <w:szCs w:val="2"/>
                <w:color w:val="auto"/>
              </w:rPr>
            </w:pPr>
          </w:p>
        </w:tc>
        <w:tc>
          <w:tcPr>
            <w:tcW w:w="140" w:type="dxa"/>
            <w:vAlign w:val="bottom"/>
            <w:tcBorders>
              <w:bottom w:val="single" w:sz="8" w:color="A6A6A6"/>
            </w:tcBorders>
          </w:tcPr>
          <w:p>
            <w:pPr>
              <w:spacing w:after="0"/>
              <w:rPr>
                <w:sz w:val="2"/>
                <w:szCs w:val="2"/>
                <w:color w:val="auto"/>
              </w:rPr>
            </w:pPr>
          </w:p>
        </w:tc>
        <w:tc>
          <w:tcPr>
            <w:tcW w:w="620" w:type="dxa"/>
            <w:vAlign w:val="bottom"/>
            <w:tcBorders>
              <w:bottom w:val="single" w:sz="8" w:color="A6A6A6"/>
            </w:tcBorders>
          </w:tcPr>
          <w:p>
            <w:pPr>
              <w:spacing w:after="0"/>
              <w:rPr>
                <w:sz w:val="2"/>
                <w:szCs w:val="2"/>
                <w:color w:val="auto"/>
              </w:rPr>
            </w:pPr>
          </w:p>
        </w:tc>
        <w:tc>
          <w:tcPr>
            <w:tcW w:w="940" w:type="dxa"/>
            <w:vAlign w:val="bottom"/>
            <w:tcBorders>
              <w:bottom w:val="single" w:sz="8" w:color="A6A6A6"/>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080" w:type="dxa"/>
            <w:vAlign w:val="bottom"/>
          </w:tcPr>
          <w:p>
            <w:pPr>
              <w:spacing w:after="0"/>
              <w:rPr>
                <w:sz w:val="20"/>
                <w:szCs w:val="20"/>
                <w:color w:val="auto"/>
              </w:rPr>
            </w:pPr>
            <w:r>
              <w:rPr>
                <w:rFonts w:ascii="Arial Narrow" w:cs="Arial Narrow" w:eastAsia="Arial Narrow" w:hAnsi="Arial Narrow"/>
                <w:sz w:val="16"/>
                <w:szCs w:val="16"/>
                <w:b w:val="1"/>
                <w:bCs w:val="1"/>
                <w:color w:val="00085E"/>
              </w:rPr>
              <w:t>Long-Term Debt</w:t>
            </w:r>
          </w:p>
        </w:tc>
        <w:tc>
          <w:tcPr>
            <w:tcW w:w="440" w:type="dxa"/>
            <w:vAlign w:val="bottom"/>
          </w:tcPr>
          <w:p>
            <w:pPr>
              <w:spacing w:after="0"/>
              <w:rPr>
                <w:sz w:val="22"/>
                <w:szCs w:val="22"/>
                <w:color w:val="auto"/>
              </w:rPr>
            </w:pPr>
          </w:p>
        </w:tc>
        <w:tc>
          <w:tcPr>
            <w:tcW w:w="1140" w:type="dxa"/>
            <w:vAlign w:val="bottom"/>
          </w:tcPr>
          <w:p>
            <w:pPr>
              <w:jc w:val="right"/>
              <w:ind w:right="120"/>
              <w:spacing w:after="0"/>
              <w:rPr>
                <w:sz w:val="20"/>
                <w:szCs w:val="20"/>
                <w:color w:val="auto"/>
              </w:rPr>
            </w:pPr>
            <w:r>
              <w:rPr>
                <w:rFonts w:ascii="Arial Narrow" w:cs="Arial Narrow" w:eastAsia="Arial Narrow" w:hAnsi="Arial Narrow"/>
                <w:sz w:val="16"/>
                <w:szCs w:val="16"/>
                <w:color w:val="auto"/>
              </w:rPr>
              <w:t>1,745,081</w:t>
            </w: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40" w:type="dxa"/>
            <w:vAlign w:val="bottom"/>
          </w:tcPr>
          <w:p>
            <w:pPr>
              <w:jc w:val="right"/>
              <w:ind w:right="100"/>
              <w:spacing w:after="0"/>
              <w:rPr>
                <w:sz w:val="20"/>
                <w:szCs w:val="20"/>
                <w:color w:val="auto"/>
              </w:rPr>
            </w:pPr>
            <w:r>
              <w:rPr>
                <w:rFonts w:ascii="Arial Narrow" w:cs="Arial Narrow" w:eastAsia="Arial Narrow" w:hAnsi="Arial Narrow"/>
                <w:sz w:val="16"/>
                <w:szCs w:val="16"/>
                <w:color w:val="auto"/>
              </w:rPr>
              <w:t>1,223,316</w:t>
            </w:r>
          </w:p>
        </w:tc>
        <w:tc>
          <w:tcPr>
            <w:tcW w:w="0" w:type="dxa"/>
            <w:vAlign w:val="bottom"/>
          </w:tcPr>
          <w:p>
            <w:pPr>
              <w:spacing w:after="0"/>
              <w:rPr>
                <w:sz w:val="1"/>
                <w:szCs w:val="1"/>
                <w:color w:val="auto"/>
              </w:rPr>
            </w:pPr>
          </w:p>
        </w:tc>
      </w:tr>
      <w:tr>
        <w:trPr>
          <w:trHeight w:val="34"/>
        </w:trPr>
        <w:tc>
          <w:tcPr>
            <w:tcW w:w="6080" w:type="dxa"/>
            <w:vAlign w:val="bottom"/>
            <w:tcBorders>
              <w:bottom w:val="single" w:sz="8" w:color="A6A6A6"/>
            </w:tcBorders>
          </w:tcPr>
          <w:p>
            <w:pPr>
              <w:spacing w:after="0"/>
              <w:rPr>
                <w:sz w:val="2"/>
                <w:szCs w:val="2"/>
                <w:color w:val="auto"/>
              </w:rPr>
            </w:pPr>
          </w:p>
        </w:tc>
        <w:tc>
          <w:tcPr>
            <w:tcW w:w="440" w:type="dxa"/>
            <w:vAlign w:val="bottom"/>
            <w:tcBorders>
              <w:bottom w:val="single" w:sz="8" w:color="A6A6A6"/>
            </w:tcBorders>
          </w:tcPr>
          <w:p>
            <w:pPr>
              <w:spacing w:after="0"/>
              <w:rPr>
                <w:sz w:val="2"/>
                <w:szCs w:val="2"/>
                <w:color w:val="auto"/>
              </w:rPr>
            </w:pPr>
          </w:p>
        </w:tc>
        <w:tc>
          <w:tcPr>
            <w:tcW w:w="1140" w:type="dxa"/>
            <w:vAlign w:val="bottom"/>
            <w:tcBorders>
              <w:bottom w:val="single" w:sz="8" w:color="A6A6A6"/>
            </w:tcBorders>
          </w:tcPr>
          <w:p>
            <w:pPr>
              <w:spacing w:after="0"/>
              <w:rPr>
                <w:sz w:val="2"/>
                <w:szCs w:val="2"/>
                <w:color w:val="auto"/>
              </w:rPr>
            </w:pPr>
          </w:p>
        </w:tc>
        <w:tc>
          <w:tcPr>
            <w:tcW w:w="140" w:type="dxa"/>
            <w:vAlign w:val="bottom"/>
            <w:tcBorders>
              <w:bottom w:val="single" w:sz="8" w:color="A6A6A6"/>
            </w:tcBorders>
          </w:tcPr>
          <w:p>
            <w:pPr>
              <w:spacing w:after="0"/>
              <w:rPr>
                <w:sz w:val="2"/>
                <w:szCs w:val="2"/>
                <w:color w:val="auto"/>
              </w:rPr>
            </w:pPr>
          </w:p>
        </w:tc>
        <w:tc>
          <w:tcPr>
            <w:tcW w:w="620" w:type="dxa"/>
            <w:vAlign w:val="bottom"/>
            <w:tcBorders>
              <w:bottom w:val="single" w:sz="8" w:color="A6A6A6"/>
            </w:tcBorders>
          </w:tcPr>
          <w:p>
            <w:pPr>
              <w:spacing w:after="0"/>
              <w:rPr>
                <w:sz w:val="2"/>
                <w:szCs w:val="2"/>
                <w:color w:val="auto"/>
              </w:rPr>
            </w:pPr>
          </w:p>
        </w:tc>
        <w:tc>
          <w:tcPr>
            <w:tcW w:w="940" w:type="dxa"/>
            <w:vAlign w:val="bottom"/>
            <w:tcBorders>
              <w:bottom w:val="single" w:sz="8" w:color="A6A6A6"/>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080" w:type="dxa"/>
            <w:vAlign w:val="bottom"/>
          </w:tcPr>
          <w:p>
            <w:pPr>
              <w:spacing w:after="0"/>
              <w:rPr>
                <w:sz w:val="20"/>
                <w:szCs w:val="20"/>
                <w:color w:val="auto"/>
              </w:rPr>
            </w:pPr>
            <w:r>
              <w:rPr>
                <w:rFonts w:ascii="Arial Narrow" w:cs="Arial Narrow" w:eastAsia="Arial Narrow" w:hAnsi="Arial Narrow"/>
                <w:sz w:val="16"/>
                <w:szCs w:val="16"/>
                <w:b w:val="1"/>
                <w:bCs w:val="1"/>
                <w:color w:val="00085E"/>
              </w:rPr>
              <w:t>Noncurrent Operating Lease Liabilities</w:t>
            </w:r>
          </w:p>
        </w:tc>
        <w:tc>
          <w:tcPr>
            <w:tcW w:w="440" w:type="dxa"/>
            <w:vAlign w:val="bottom"/>
          </w:tcPr>
          <w:p>
            <w:pPr>
              <w:spacing w:after="0"/>
              <w:rPr>
                <w:sz w:val="22"/>
                <w:szCs w:val="22"/>
                <w:color w:val="auto"/>
              </w:rPr>
            </w:pPr>
          </w:p>
        </w:tc>
        <w:tc>
          <w:tcPr>
            <w:tcW w:w="1140" w:type="dxa"/>
            <w:vAlign w:val="bottom"/>
          </w:tcPr>
          <w:p>
            <w:pPr>
              <w:jc w:val="right"/>
              <w:ind w:right="120"/>
              <w:spacing w:after="0"/>
              <w:rPr>
                <w:sz w:val="20"/>
                <w:szCs w:val="20"/>
                <w:color w:val="auto"/>
              </w:rPr>
            </w:pPr>
            <w:r>
              <w:rPr>
                <w:rFonts w:ascii="Arial Narrow" w:cs="Arial Narrow" w:eastAsia="Arial Narrow" w:hAnsi="Arial Narrow"/>
                <w:sz w:val="16"/>
                <w:szCs w:val="16"/>
                <w:color w:val="auto"/>
              </w:rPr>
              <w:t>32,559</w:t>
            </w: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40" w:type="dxa"/>
            <w:vAlign w:val="bottom"/>
          </w:tcPr>
          <w:p>
            <w:pPr>
              <w:jc w:val="right"/>
              <w:ind w:right="100"/>
              <w:spacing w:after="0"/>
              <w:rPr>
                <w:sz w:val="20"/>
                <w:szCs w:val="20"/>
                <w:color w:val="auto"/>
              </w:rPr>
            </w:pPr>
            <w:r>
              <w:rPr>
                <w:rFonts w:ascii="Arial Narrow" w:cs="Arial Narrow" w:eastAsia="Arial Narrow" w:hAnsi="Arial Narrow"/>
                <w:sz w:val="16"/>
                <w:szCs w:val="16"/>
                <w:color w:val="auto"/>
              </w:rPr>
              <w:t>33,597</w:t>
            </w:r>
          </w:p>
        </w:tc>
        <w:tc>
          <w:tcPr>
            <w:tcW w:w="0" w:type="dxa"/>
            <w:vAlign w:val="bottom"/>
          </w:tcPr>
          <w:p>
            <w:pPr>
              <w:spacing w:after="0"/>
              <w:rPr>
                <w:sz w:val="1"/>
                <w:szCs w:val="1"/>
                <w:color w:val="auto"/>
              </w:rPr>
            </w:pPr>
          </w:p>
        </w:tc>
      </w:tr>
      <w:tr>
        <w:trPr>
          <w:trHeight w:val="34"/>
        </w:trPr>
        <w:tc>
          <w:tcPr>
            <w:tcW w:w="6080" w:type="dxa"/>
            <w:vAlign w:val="bottom"/>
            <w:tcBorders>
              <w:bottom w:val="single" w:sz="8" w:color="A6A6A6"/>
            </w:tcBorders>
          </w:tcPr>
          <w:p>
            <w:pPr>
              <w:spacing w:after="0"/>
              <w:rPr>
                <w:sz w:val="2"/>
                <w:szCs w:val="2"/>
                <w:color w:val="auto"/>
              </w:rPr>
            </w:pPr>
          </w:p>
        </w:tc>
        <w:tc>
          <w:tcPr>
            <w:tcW w:w="440" w:type="dxa"/>
            <w:vAlign w:val="bottom"/>
            <w:tcBorders>
              <w:bottom w:val="single" w:sz="8" w:color="A6A6A6"/>
            </w:tcBorders>
          </w:tcPr>
          <w:p>
            <w:pPr>
              <w:spacing w:after="0"/>
              <w:rPr>
                <w:sz w:val="2"/>
                <w:szCs w:val="2"/>
                <w:color w:val="auto"/>
              </w:rPr>
            </w:pPr>
          </w:p>
        </w:tc>
        <w:tc>
          <w:tcPr>
            <w:tcW w:w="1140" w:type="dxa"/>
            <w:vAlign w:val="bottom"/>
            <w:tcBorders>
              <w:bottom w:val="single" w:sz="8" w:color="A6A6A6"/>
            </w:tcBorders>
          </w:tcPr>
          <w:p>
            <w:pPr>
              <w:spacing w:after="0"/>
              <w:rPr>
                <w:sz w:val="2"/>
                <w:szCs w:val="2"/>
                <w:color w:val="auto"/>
              </w:rPr>
            </w:pPr>
          </w:p>
        </w:tc>
        <w:tc>
          <w:tcPr>
            <w:tcW w:w="140" w:type="dxa"/>
            <w:vAlign w:val="bottom"/>
            <w:tcBorders>
              <w:bottom w:val="single" w:sz="8" w:color="A6A6A6"/>
            </w:tcBorders>
          </w:tcPr>
          <w:p>
            <w:pPr>
              <w:spacing w:after="0"/>
              <w:rPr>
                <w:sz w:val="2"/>
                <w:szCs w:val="2"/>
                <w:color w:val="auto"/>
              </w:rPr>
            </w:pPr>
          </w:p>
        </w:tc>
        <w:tc>
          <w:tcPr>
            <w:tcW w:w="620" w:type="dxa"/>
            <w:vAlign w:val="bottom"/>
            <w:tcBorders>
              <w:bottom w:val="single" w:sz="8" w:color="A6A6A6"/>
            </w:tcBorders>
          </w:tcPr>
          <w:p>
            <w:pPr>
              <w:spacing w:after="0"/>
              <w:rPr>
                <w:sz w:val="2"/>
                <w:szCs w:val="2"/>
                <w:color w:val="auto"/>
              </w:rPr>
            </w:pPr>
          </w:p>
        </w:tc>
        <w:tc>
          <w:tcPr>
            <w:tcW w:w="940" w:type="dxa"/>
            <w:vAlign w:val="bottom"/>
            <w:tcBorders>
              <w:bottom w:val="single" w:sz="8" w:color="A6A6A6"/>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080" w:type="dxa"/>
            <w:vAlign w:val="bottom"/>
          </w:tcPr>
          <w:p>
            <w:pPr>
              <w:spacing w:after="0"/>
              <w:rPr>
                <w:sz w:val="20"/>
                <w:szCs w:val="20"/>
                <w:color w:val="auto"/>
              </w:rPr>
            </w:pPr>
            <w:r>
              <w:rPr>
                <w:rFonts w:ascii="Arial Narrow" w:cs="Arial Narrow" w:eastAsia="Arial Narrow" w:hAnsi="Arial Narrow"/>
                <w:sz w:val="16"/>
                <w:szCs w:val="16"/>
                <w:b w:val="1"/>
                <w:bCs w:val="1"/>
                <w:color w:val="00085E"/>
              </w:rPr>
              <w:t>Other Long-Term Liabilities</w:t>
            </w:r>
          </w:p>
        </w:tc>
        <w:tc>
          <w:tcPr>
            <w:tcW w:w="440" w:type="dxa"/>
            <w:vAlign w:val="bottom"/>
          </w:tcPr>
          <w:p>
            <w:pPr>
              <w:spacing w:after="0"/>
              <w:rPr>
                <w:sz w:val="22"/>
                <w:szCs w:val="22"/>
                <w:color w:val="auto"/>
              </w:rPr>
            </w:pPr>
          </w:p>
        </w:tc>
        <w:tc>
          <w:tcPr>
            <w:tcW w:w="1140" w:type="dxa"/>
            <w:vAlign w:val="bottom"/>
          </w:tcPr>
          <w:p>
            <w:pPr>
              <w:jc w:val="right"/>
              <w:ind w:right="120"/>
              <w:spacing w:after="0"/>
              <w:rPr>
                <w:sz w:val="20"/>
                <w:szCs w:val="20"/>
                <w:color w:val="auto"/>
              </w:rPr>
            </w:pPr>
            <w:r>
              <w:rPr>
                <w:rFonts w:ascii="Arial Narrow" w:cs="Arial Narrow" w:eastAsia="Arial Narrow" w:hAnsi="Arial Narrow"/>
                <w:sz w:val="16"/>
                <w:szCs w:val="16"/>
                <w:color w:val="auto"/>
              </w:rPr>
              <w:t>66,959</w:t>
            </w: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40" w:type="dxa"/>
            <w:vAlign w:val="bottom"/>
          </w:tcPr>
          <w:p>
            <w:pPr>
              <w:jc w:val="right"/>
              <w:ind w:right="100"/>
              <w:spacing w:after="0"/>
              <w:rPr>
                <w:sz w:val="20"/>
                <w:szCs w:val="20"/>
                <w:color w:val="auto"/>
              </w:rPr>
            </w:pPr>
            <w:r>
              <w:rPr>
                <w:rFonts w:ascii="Arial Narrow" w:cs="Arial Narrow" w:eastAsia="Arial Narrow" w:hAnsi="Arial Narrow"/>
                <w:sz w:val="16"/>
                <w:szCs w:val="16"/>
                <w:color w:val="auto"/>
              </w:rPr>
              <w:t>66,029</w:t>
            </w:r>
          </w:p>
        </w:tc>
        <w:tc>
          <w:tcPr>
            <w:tcW w:w="0" w:type="dxa"/>
            <w:vAlign w:val="bottom"/>
          </w:tcPr>
          <w:p>
            <w:pPr>
              <w:spacing w:after="0"/>
              <w:rPr>
                <w:sz w:val="1"/>
                <w:szCs w:val="1"/>
                <w:color w:val="auto"/>
              </w:rPr>
            </w:pPr>
          </w:p>
        </w:tc>
      </w:tr>
      <w:tr>
        <w:trPr>
          <w:trHeight w:val="34"/>
        </w:trPr>
        <w:tc>
          <w:tcPr>
            <w:tcW w:w="6080" w:type="dxa"/>
            <w:vAlign w:val="bottom"/>
            <w:tcBorders>
              <w:bottom w:val="single" w:sz="8" w:color="A6A6A6"/>
            </w:tcBorders>
          </w:tcPr>
          <w:p>
            <w:pPr>
              <w:spacing w:after="0"/>
              <w:rPr>
                <w:sz w:val="2"/>
                <w:szCs w:val="2"/>
                <w:color w:val="auto"/>
              </w:rPr>
            </w:pPr>
          </w:p>
        </w:tc>
        <w:tc>
          <w:tcPr>
            <w:tcW w:w="440" w:type="dxa"/>
            <w:vAlign w:val="bottom"/>
            <w:tcBorders>
              <w:bottom w:val="single" w:sz="8" w:color="A6A6A6"/>
            </w:tcBorders>
          </w:tcPr>
          <w:p>
            <w:pPr>
              <w:spacing w:after="0"/>
              <w:rPr>
                <w:sz w:val="2"/>
                <w:szCs w:val="2"/>
                <w:color w:val="auto"/>
              </w:rPr>
            </w:pPr>
          </w:p>
        </w:tc>
        <w:tc>
          <w:tcPr>
            <w:tcW w:w="1140" w:type="dxa"/>
            <w:vAlign w:val="bottom"/>
            <w:tcBorders>
              <w:bottom w:val="single" w:sz="8" w:color="A6A6A6"/>
            </w:tcBorders>
          </w:tcPr>
          <w:p>
            <w:pPr>
              <w:spacing w:after="0"/>
              <w:rPr>
                <w:sz w:val="2"/>
                <w:szCs w:val="2"/>
                <w:color w:val="auto"/>
              </w:rPr>
            </w:pPr>
          </w:p>
        </w:tc>
        <w:tc>
          <w:tcPr>
            <w:tcW w:w="140" w:type="dxa"/>
            <w:vAlign w:val="bottom"/>
            <w:tcBorders>
              <w:bottom w:val="single" w:sz="8" w:color="A6A6A6"/>
            </w:tcBorders>
          </w:tcPr>
          <w:p>
            <w:pPr>
              <w:spacing w:after="0"/>
              <w:rPr>
                <w:sz w:val="2"/>
                <w:szCs w:val="2"/>
                <w:color w:val="auto"/>
              </w:rPr>
            </w:pPr>
          </w:p>
        </w:tc>
        <w:tc>
          <w:tcPr>
            <w:tcW w:w="620" w:type="dxa"/>
            <w:vAlign w:val="bottom"/>
            <w:tcBorders>
              <w:bottom w:val="single" w:sz="8" w:color="A6A6A6"/>
            </w:tcBorders>
          </w:tcPr>
          <w:p>
            <w:pPr>
              <w:spacing w:after="0"/>
              <w:rPr>
                <w:sz w:val="2"/>
                <w:szCs w:val="2"/>
                <w:color w:val="auto"/>
              </w:rPr>
            </w:pPr>
          </w:p>
        </w:tc>
        <w:tc>
          <w:tcPr>
            <w:tcW w:w="940" w:type="dxa"/>
            <w:vAlign w:val="bottom"/>
            <w:tcBorders>
              <w:bottom w:val="single" w:sz="8" w:color="A6A6A6"/>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080" w:type="dxa"/>
            <w:vAlign w:val="bottom"/>
          </w:tcPr>
          <w:p>
            <w:pPr>
              <w:spacing w:after="0"/>
              <w:rPr>
                <w:sz w:val="20"/>
                <w:szCs w:val="20"/>
                <w:color w:val="auto"/>
              </w:rPr>
            </w:pPr>
            <w:r>
              <w:rPr>
                <w:rFonts w:ascii="Arial Narrow" w:cs="Arial Narrow" w:eastAsia="Arial Narrow" w:hAnsi="Arial Narrow"/>
                <w:sz w:val="16"/>
                <w:szCs w:val="16"/>
                <w:b w:val="1"/>
                <w:bCs w:val="1"/>
                <w:color w:val="00085E"/>
              </w:rPr>
              <w:t>Deferred Income Taxes</w:t>
            </w:r>
          </w:p>
        </w:tc>
        <w:tc>
          <w:tcPr>
            <w:tcW w:w="440" w:type="dxa"/>
            <w:vAlign w:val="bottom"/>
          </w:tcPr>
          <w:p>
            <w:pPr>
              <w:spacing w:after="0"/>
              <w:rPr>
                <w:sz w:val="22"/>
                <w:szCs w:val="22"/>
                <w:color w:val="auto"/>
              </w:rPr>
            </w:pPr>
          </w:p>
        </w:tc>
        <w:tc>
          <w:tcPr>
            <w:tcW w:w="1140" w:type="dxa"/>
            <w:vAlign w:val="bottom"/>
          </w:tcPr>
          <w:p>
            <w:pPr>
              <w:jc w:val="right"/>
              <w:ind w:right="120"/>
              <w:spacing w:after="0"/>
              <w:rPr>
                <w:sz w:val="20"/>
                <w:szCs w:val="20"/>
                <w:color w:val="auto"/>
              </w:rPr>
            </w:pPr>
            <w:r>
              <w:rPr>
                <w:rFonts w:ascii="Arial Narrow" w:cs="Arial Narrow" w:eastAsia="Arial Narrow" w:hAnsi="Arial Narrow"/>
                <w:sz w:val="16"/>
                <w:szCs w:val="16"/>
                <w:color w:val="auto"/>
              </w:rPr>
              <w:t>262,662</w:t>
            </w: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40" w:type="dxa"/>
            <w:vAlign w:val="bottom"/>
          </w:tcPr>
          <w:p>
            <w:pPr>
              <w:jc w:val="right"/>
              <w:ind w:right="100"/>
              <w:spacing w:after="0"/>
              <w:rPr>
                <w:sz w:val="20"/>
                <w:szCs w:val="20"/>
                <w:color w:val="auto"/>
              </w:rPr>
            </w:pPr>
            <w:r>
              <w:rPr>
                <w:rFonts w:ascii="Arial Narrow" w:cs="Arial Narrow" w:eastAsia="Arial Narrow" w:hAnsi="Arial Narrow"/>
                <w:sz w:val="16"/>
                <w:szCs w:val="16"/>
                <w:color w:val="auto"/>
              </w:rPr>
              <w:t>239,942</w:t>
            </w:r>
          </w:p>
        </w:tc>
        <w:tc>
          <w:tcPr>
            <w:tcW w:w="0" w:type="dxa"/>
            <w:vAlign w:val="bottom"/>
          </w:tcPr>
          <w:p>
            <w:pPr>
              <w:spacing w:after="0"/>
              <w:rPr>
                <w:sz w:val="1"/>
                <w:szCs w:val="1"/>
                <w:color w:val="auto"/>
              </w:rPr>
            </w:pPr>
          </w:p>
        </w:tc>
      </w:tr>
      <w:tr>
        <w:trPr>
          <w:trHeight w:val="59"/>
        </w:trPr>
        <w:tc>
          <w:tcPr>
            <w:tcW w:w="6080" w:type="dxa"/>
            <w:vAlign w:val="bottom"/>
            <w:tcBorders>
              <w:bottom w:val="single" w:sz="8" w:color="A6A6A6"/>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6080" w:type="dxa"/>
            <w:vAlign w:val="bottom"/>
          </w:tcPr>
          <w:p>
            <w:pPr>
              <w:spacing w:after="0"/>
              <w:rPr>
                <w:sz w:val="20"/>
                <w:szCs w:val="20"/>
                <w:color w:val="auto"/>
              </w:rPr>
            </w:pPr>
            <w:r>
              <w:rPr>
                <w:rFonts w:ascii="Arial Narrow" w:cs="Arial Narrow" w:eastAsia="Arial Narrow" w:hAnsi="Arial Narrow"/>
                <w:sz w:val="16"/>
                <w:szCs w:val="16"/>
                <w:b w:val="1"/>
                <w:bCs w:val="1"/>
                <w:color w:val="00085E"/>
              </w:rPr>
              <w:t>Total Liabilities</w:t>
            </w:r>
          </w:p>
        </w:tc>
        <w:tc>
          <w:tcPr>
            <w:tcW w:w="440" w:type="dxa"/>
            <w:vAlign w:val="bottom"/>
          </w:tcPr>
          <w:p>
            <w:pPr>
              <w:spacing w:after="0"/>
              <w:rPr>
                <w:sz w:val="22"/>
                <w:szCs w:val="22"/>
                <w:color w:val="auto"/>
              </w:rPr>
            </w:pPr>
          </w:p>
        </w:tc>
        <w:tc>
          <w:tcPr>
            <w:tcW w:w="1140" w:type="dxa"/>
            <w:vAlign w:val="bottom"/>
          </w:tcPr>
          <w:p>
            <w:pPr>
              <w:jc w:val="right"/>
              <w:ind w:right="120"/>
              <w:spacing w:after="0"/>
              <w:rPr>
                <w:sz w:val="20"/>
                <w:szCs w:val="20"/>
                <w:color w:val="auto"/>
              </w:rPr>
            </w:pPr>
            <w:r>
              <w:rPr>
                <w:rFonts w:ascii="Arial Narrow" w:cs="Arial Narrow" w:eastAsia="Arial Narrow" w:hAnsi="Arial Narrow"/>
                <w:sz w:val="16"/>
                <w:szCs w:val="16"/>
                <w:color w:val="auto"/>
              </w:rPr>
              <w:t>2,367,416</w:t>
            </w: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40" w:type="dxa"/>
            <w:vAlign w:val="bottom"/>
          </w:tcPr>
          <w:p>
            <w:pPr>
              <w:jc w:val="right"/>
              <w:ind w:right="100"/>
              <w:spacing w:after="0"/>
              <w:rPr>
                <w:sz w:val="20"/>
                <w:szCs w:val="20"/>
                <w:color w:val="auto"/>
              </w:rPr>
            </w:pPr>
            <w:r>
              <w:rPr>
                <w:rFonts w:ascii="Arial Narrow" w:cs="Arial Narrow" w:eastAsia="Arial Narrow" w:hAnsi="Arial Narrow"/>
                <w:sz w:val="16"/>
                <w:szCs w:val="16"/>
                <w:color w:val="auto"/>
              </w:rPr>
              <w:t>1,807,888</w:t>
            </w:r>
          </w:p>
        </w:tc>
        <w:tc>
          <w:tcPr>
            <w:tcW w:w="0" w:type="dxa"/>
            <w:vAlign w:val="bottom"/>
          </w:tcPr>
          <w:p>
            <w:pPr>
              <w:spacing w:after="0"/>
              <w:rPr>
                <w:sz w:val="1"/>
                <w:szCs w:val="1"/>
                <w:color w:val="auto"/>
              </w:rPr>
            </w:pPr>
          </w:p>
        </w:tc>
      </w:tr>
      <w:tr>
        <w:trPr>
          <w:trHeight w:val="59"/>
        </w:trPr>
        <w:tc>
          <w:tcPr>
            <w:tcW w:w="6080" w:type="dxa"/>
            <w:vAlign w:val="bottom"/>
            <w:tcBorders>
              <w:bottom w:val="single" w:sz="8" w:color="A6A6A6"/>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6080" w:type="dxa"/>
            <w:vAlign w:val="bottom"/>
          </w:tcPr>
          <w:p>
            <w:pPr>
              <w:spacing w:after="0"/>
              <w:rPr>
                <w:sz w:val="20"/>
                <w:szCs w:val="20"/>
                <w:color w:val="auto"/>
              </w:rPr>
            </w:pPr>
            <w:r>
              <w:rPr>
                <w:rFonts w:ascii="Arial Narrow" w:cs="Arial Narrow" w:eastAsia="Arial Narrow" w:hAnsi="Arial Narrow"/>
                <w:sz w:val="16"/>
                <w:szCs w:val="16"/>
                <w:b w:val="1"/>
                <w:bCs w:val="1"/>
                <w:color w:val="00085E"/>
              </w:rPr>
              <w:t>Stockholders’ Equity</w:t>
            </w:r>
          </w:p>
        </w:tc>
        <w:tc>
          <w:tcPr>
            <w:tcW w:w="4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6080" w:type="dxa"/>
            <w:vAlign w:val="bottom"/>
            <w:tcBorders>
              <w:bottom w:val="single" w:sz="8" w:color="A6A6A6"/>
            </w:tcBorders>
          </w:tcPr>
          <w:p>
            <w:pPr>
              <w:spacing w:after="0"/>
              <w:rPr>
                <w:sz w:val="2"/>
                <w:szCs w:val="2"/>
                <w:color w:val="auto"/>
              </w:rPr>
            </w:pPr>
          </w:p>
        </w:tc>
        <w:tc>
          <w:tcPr>
            <w:tcW w:w="440" w:type="dxa"/>
            <w:vAlign w:val="bottom"/>
            <w:tcBorders>
              <w:bottom w:val="single" w:sz="8" w:color="A6A6A6"/>
            </w:tcBorders>
          </w:tcPr>
          <w:p>
            <w:pPr>
              <w:spacing w:after="0"/>
              <w:rPr>
                <w:sz w:val="2"/>
                <w:szCs w:val="2"/>
                <w:color w:val="auto"/>
              </w:rPr>
            </w:pPr>
          </w:p>
        </w:tc>
        <w:tc>
          <w:tcPr>
            <w:tcW w:w="1140" w:type="dxa"/>
            <w:vAlign w:val="bottom"/>
            <w:tcBorders>
              <w:bottom w:val="single" w:sz="8" w:color="A6A6A6"/>
            </w:tcBorders>
          </w:tcPr>
          <w:p>
            <w:pPr>
              <w:spacing w:after="0"/>
              <w:rPr>
                <w:sz w:val="2"/>
                <w:szCs w:val="2"/>
                <w:color w:val="auto"/>
              </w:rPr>
            </w:pPr>
          </w:p>
        </w:tc>
        <w:tc>
          <w:tcPr>
            <w:tcW w:w="140" w:type="dxa"/>
            <w:vAlign w:val="bottom"/>
            <w:tcBorders>
              <w:bottom w:val="single" w:sz="8" w:color="A6A6A6"/>
            </w:tcBorders>
          </w:tcPr>
          <w:p>
            <w:pPr>
              <w:spacing w:after="0"/>
              <w:rPr>
                <w:sz w:val="2"/>
                <w:szCs w:val="2"/>
                <w:color w:val="auto"/>
              </w:rPr>
            </w:pPr>
          </w:p>
        </w:tc>
        <w:tc>
          <w:tcPr>
            <w:tcW w:w="620" w:type="dxa"/>
            <w:vAlign w:val="bottom"/>
            <w:tcBorders>
              <w:bottom w:val="single" w:sz="8" w:color="A6A6A6"/>
            </w:tcBorders>
          </w:tcPr>
          <w:p>
            <w:pPr>
              <w:spacing w:after="0"/>
              <w:rPr>
                <w:sz w:val="2"/>
                <w:szCs w:val="2"/>
                <w:color w:val="auto"/>
              </w:rPr>
            </w:pPr>
          </w:p>
        </w:tc>
        <w:tc>
          <w:tcPr>
            <w:tcW w:w="940" w:type="dxa"/>
            <w:vAlign w:val="bottom"/>
            <w:tcBorders>
              <w:bottom w:val="single" w:sz="8" w:color="A6A6A6"/>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080" w:type="dxa"/>
            <w:vAlign w:val="bottom"/>
          </w:tcPr>
          <w:p>
            <w:pPr>
              <w:spacing w:after="0"/>
              <w:rPr>
                <w:sz w:val="20"/>
                <w:szCs w:val="20"/>
                <w:color w:val="auto"/>
              </w:rPr>
            </w:pPr>
            <w:r>
              <w:rPr>
                <w:rFonts w:ascii="Arial Narrow" w:cs="Arial Narrow" w:eastAsia="Arial Narrow" w:hAnsi="Arial Narrow"/>
                <w:sz w:val="16"/>
                <w:szCs w:val="16"/>
                <w:b w:val="1"/>
                <w:bCs w:val="1"/>
                <w:color w:val="00085E"/>
              </w:rPr>
              <w:t>Preferred Stock, Par Value $0.01; Authorized 5,000,000 Shares; None Issued</w:t>
            </w:r>
          </w:p>
        </w:tc>
        <w:tc>
          <w:tcPr>
            <w:tcW w:w="440" w:type="dxa"/>
            <w:vAlign w:val="bottom"/>
          </w:tcPr>
          <w:p>
            <w:pPr>
              <w:spacing w:after="0"/>
              <w:rPr>
                <w:sz w:val="22"/>
                <w:szCs w:val="22"/>
                <w:color w:val="auto"/>
              </w:rPr>
            </w:pPr>
          </w:p>
        </w:tc>
        <w:tc>
          <w:tcPr>
            <w:tcW w:w="1140" w:type="dxa"/>
            <w:vAlign w:val="bottom"/>
          </w:tcPr>
          <w:p>
            <w:pPr>
              <w:jc w:val="right"/>
              <w:ind w:right="120"/>
              <w:spacing w:after="0"/>
              <w:rPr>
                <w:sz w:val="20"/>
                <w:szCs w:val="20"/>
                <w:color w:val="auto"/>
              </w:rPr>
            </w:pPr>
            <w:r>
              <w:rPr>
                <w:rFonts w:ascii="Arial Narrow" w:cs="Arial Narrow" w:eastAsia="Arial Narrow" w:hAnsi="Arial Narrow"/>
                <w:sz w:val="16"/>
                <w:szCs w:val="16"/>
                <w:color w:val="auto"/>
              </w:rPr>
              <w:t>—</w:t>
            </w: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40" w:type="dxa"/>
            <w:vAlign w:val="bottom"/>
          </w:tcPr>
          <w:p>
            <w:pPr>
              <w:jc w:val="right"/>
              <w:ind w:right="100"/>
              <w:spacing w:after="0"/>
              <w:rPr>
                <w:sz w:val="20"/>
                <w:szCs w:val="20"/>
                <w:color w:val="auto"/>
              </w:rPr>
            </w:pPr>
            <w:r>
              <w:rPr>
                <w:rFonts w:ascii="Arial Narrow" w:cs="Arial Narrow" w:eastAsia="Arial Narrow" w:hAnsi="Arial Narrow"/>
                <w:sz w:val="16"/>
                <w:szCs w:val="16"/>
                <w:color w:val="auto"/>
              </w:rPr>
              <w:t>—</w:t>
            </w:r>
          </w:p>
        </w:tc>
        <w:tc>
          <w:tcPr>
            <w:tcW w:w="0" w:type="dxa"/>
            <w:vAlign w:val="bottom"/>
          </w:tcPr>
          <w:p>
            <w:pPr>
              <w:spacing w:after="0"/>
              <w:rPr>
                <w:sz w:val="1"/>
                <w:szCs w:val="1"/>
                <w:color w:val="auto"/>
              </w:rPr>
            </w:pPr>
          </w:p>
        </w:tc>
      </w:tr>
      <w:tr>
        <w:trPr>
          <w:trHeight w:val="34"/>
        </w:trPr>
        <w:tc>
          <w:tcPr>
            <w:tcW w:w="6080" w:type="dxa"/>
            <w:vAlign w:val="bottom"/>
            <w:tcBorders>
              <w:bottom w:val="single" w:sz="8" w:color="A6A6A6"/>
            </w:tcBorders>
          </w:tcPr>
          <w:p>
            <w:pPr>
              <w:spacing w:after="0"/>
              <w:rPr>
                <w:sz w:val="2"/>
                <w:szCs w:val="2"/>
                <w:color w:val="auto"/>
              </w:rPr>
            </w:pPr>
          </w:p>
        </w:tc>
        <w:tc>
          <w:tcPr>
            <w:tcW w:w="440" w:type="dxa"/>
            <w:vAlign w:val="bottom"/>
            <w:tcBorders>
              <w:bottom w:val="single" w:sz="8" w:color="A6A6A6"/>
            </w:tcBorders>
          </w:tcPr>
          <w:p>
            <w:pPr>
              <w:spacing w:after="0"/>
              <w:rPr>
                <w:sz w:val="2"/>
                <w:szCs w:val="2"/>
                <w:color w:val="auto"/>
              </w:rPr>
            </w:pPr>
          </w:p>
        </w:tc>
        <w:tc>
          <w:tcPr>
            <w:tcW w:w="1140" w:type="dxa"/>
            <w:vAlign w:val="bottom"/>
            <w:tcBorders>
              <w:bottom w:val="single" w:sz="8" w:color="A6A6A6"/>
            </w:tcBorders>
          </w:tcPr>
          <w:p>
            <w:pPr>
              <w:spacing w:after="0"/>
              <w:rPr>
                <w:sz w:val="2"/>
                <w:szCs w:val="2"/>
                <w:color w:val="auto"/>
              </w:rPr>
            </w:pPr>
          </w:p>
        </w:tc>
        <w:tc>
          <w:tcPr>
            <w:tcW w:w="140" w:type="dxa"/>
            <w:vAlign w:val="bottom"/>
            <w:tcBorders>
              <w:bottom w:val="single" w:sz="8" w:color="A6A6A6"/>
            </w:tcBorders>
          </w:tcPr>
          <w:p>
            <w:pPr>
              <w:spacing w:after="0"/>
              <w:rPr>
                <w:sz w:val="2"/>
                <w:szCs w:val="2"/>
                <w:color w:val="auto"/>
              </w:rPr>
            </w:pPr>
          </w:p>
        </w:tc>
        <w:tc>
          <w:tcPr>
            <w:tcW w:w="620" w:type="dxa"/>
            <w:vAlign w:val="bottom"/>
            <w:tcBorders>
              <w:bottom w:val="single" w:sz="8" w:color="A6A6A6"/>
            </w:tcBorders>
          </w:tcPr>
          <w:p>
            <w:pPr>
              <w:spacing w:after="0"/>
              <w:rPr>
                <w:sz w:val="2"/>
                <w:szCs w:val="2"/>
                <w:color w:val="auto"/>
              </w:rPr>
            </w:pPr>
          </w:p>
        </w:tc>
        <w:tc>
          <w:tcPr>
            <w:tcW w:w="940" w:type="dxa"/>
            <w:vAlign w:val="bottom"/>
            <w:tcBorders>
              <w:bottom w:val="single" w:sz="8" w:color="A6A6A6"/>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6080" w:type="dxa"/>
            <w:vAlign w:val="bottom"/>
          </w:tcPr>
          <w:p>
            <w:pPr>
              <w:spacing w:after="0"/>
              <w:rPr>
                <w:sz w:val="20"/>
                <w:szCs w:val="20"/>
                <w:color w:val="auto"/>
              </w:rPr>
            </w:pPr>
            <w:r>
              <w:rPr>
                <w:rFonts w:ascii="Arial Narrow" w:cs="Arial Narrow" w:eastAsia="Arial Narrow" w:hAnsi="Arial Narrow"/>
                <w:sz w:val="16"/>
                <w:szCs w:val="16"/>
                <w:b w:val="1"/>
                <w:bCs w:val="1"/>
                <w:color w:val="00085E"/>
              </w:rPr>
              <w:t>Common Stock, Par Value $0.01; Authorized 100,000,000 Shares;</w:t>
            </w:r>
          </w:p>
        </w:tc>
        <w:tc>
          <w:tcPr>
            <w:tcW w:w="440" w:type="dxa"/>
            <w:vAlign w:val="bottom"/>
          </w:tcPr>
          <w:p>
            <w:pPr>
              <w:spacing w:after="0"/>
              <w:rPr>
                <w:sz w:val="18"/>
                <w:szCs w:val="18"/>
                <w:color w:val="auto"/>
              </w:rPr>
            </w:pPr>
          </w:p>
        </w:tc>
        <w:tc>
          <w:tcPr>
            <w:tcW w:w="1140" w:type="dxa"/>
            <w:vAlign w:val="bottom"/>
            <w:vMerge w:val="restart"/>
          </w:tcPr>
          <w:p>
            <w:pPr>
              <w:jc w:val="right"/>
              <w:ind w:right="120"/>
              <w:spacing w:after="0"/>
              <w:rPr>
                <w:sz w:val="20"/>
                <w:szCs w:val="20"/>
                <w:color w:val="auto"/>
              </w:rPr>
            </w:pPr>
            <w:r>
              <w:rPr>
                <w:rFonts w:ascii="Arial Narrow" w:cs="Arial Narrow" w:eastAsia="Arial Narrow" w:hAnsi="Arial Narrow"/>
                <w:sz w:val="16"/>
                <w:szCs w:val="16"/>
                <w:color w:val="auto"/>
              </w:rPr>
              <w:t>312</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vMerge w:val="restart"/>
          </w:tcPr>
          <w:p>
            <w:pPr>
              <w:jc w:val="right"/>
              <w:ind w:right="100"/>
              <w:spacing w:after="0"/>
              <w:rPr>
                <w:sz w:val="20"/>
                <w:szCs w:val="20"/>
                <w:color w:val="auto"/>
              </w:rPr>
            </w:pPr>
            <w:r>
              <w:rPr>
                <w:rFonts w:ascii="Arial Narrow" w:cs="Arial Narrow" w:eastAsia="Arial Narrow" w:hAnsi="Arial Narrow"/>
                <w:sz w:val="16"/>
                <w:szCs w:val="16"/>
                <w:color w:val="auto"/>
              </w:rPr>
              <w:t>330</w:t>
            </w:r>
          </w:p>
        </w:tc>
        <w:tc>
          <w:tcPr>
            <w:tcW w:w="0" w:type="dxa"/>
            <w:vAlign w:val="bottom"/>
          </w:tcPr>
          <w:p>
            <w:pPr>
              <w:spacing w:after="0"/>
              <w:rPr>
                <w:sz w:val="1"/>
                <w:szCs w:val="1"/>
                <w:color w:val="auto"/>
              </w:rPr>
            </w:pPr>
          </w:p>
        </w:tc>
      </w:tr>
      <w:tr>
        <w:trPr>
          <w:trHeight w:val="134"/>
        </w:trPr>
        <w:tc>
          <w:tcPr>
            <w:tcW w:w="6080" w:type="dxa"/>
            <w:vAlign w:val="bottom"/>
            <w:vMerge w:val="restart"/>
          </w:tcPr>
          <w:p>
            <w:pPr>
              <w:ind w:left="100"/>
              <w:spacing w:after="0"/>
              <w:rPr>
                <w:sz w:val="20"/>
                <w:szCs w:val="20"/>
                <w:color w:val="auto"/>
              </w:rPr>
            </w:pPr>
            <w:r>
              <w:rPr>
                <w:rFonts w:ascii="Arial Narrow" w:cs="Arial Narrow" w:eastAsia="Arial Narrow" w:hAnsi="Arial Narrow"/>
                <w:sz w:val="16"/>
                <w:szCs w:val="16"/>
                <w:b w:val="1"/>
                <w:bCs w:val="1"/>
                <w:color w:val="00085E"/>
              </w:rPr>
              <w:t>Issued and Outstanding 31,227,012 and 32,973,121 Shares, respectively</w:t>
            </w:r>
          </w:p>
        </w:tc>
        <w:tc>
          <w:tcPr>
            <w:tcW w:w="44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608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6080" w:type="dxa"/>
            <w:vAlign w:val="bottom"/>
            <w:tcBorders>
              <w:bottom w:val="single" w:sz="8" w:color="A6A6A6"/>
            </w:tcBorders>
          </w:tcPr>
          <w:p>
            <w:pPr>
              <w:spacing w:after="0"/>
              <w:rPr>
                <w:sz w:val="2"/>
                <w:szCs w:val="2"/>
                <w:color w:val="auto"/>
              </w:rPr>
            </w:pPr>
          </w:p>
        </w:tc>
        <w:tc>
          <w:tcPr>
            <w:tcW w:w="440" w:type="dxa"/>
            <w:vAlign w:val="bottom"/>
            <w:tcBorders>
              <w:bottom w:val="single" w:sz="8" w:color="A6A6A6"/>
            </w:tcBorders>
          </w:tcPr>
          <w:p>
            <w:pPr>
              <w:spacing w:after="0"/>
              <w:rPr>
                <w:sz w:val="2"/>
                <w:szCs w:val="2"/>
                <w:color w:val="auto"/>
              </w:rPr>
            </w:pPr>
          </w:p>
        </w:tc>
        <w:tc>
          <w:tcPr>
            <w:tcW w:w="1140" w:type="dxa"/>
            <w:vAlign w:val="bottom"/>
            <w:tcBorders>
              <w:bottom w:val="single" w:sz="8" w:color="A6A6A6"/>
            </w:tcBorders>
          </w:tcPr>
          <w:p>
            <w:pPr>
              <w:spacing w:after="0"/>
              <w:rPr>
                <w:sz w:val="2"/>
                <w:szCs w:val="2"/>
                <w:color w:val="auto"/>
              </w:rPr>
            </w:pPr>
          </w:p>
        </w:tc>
        <w:tc>
          <w:tcPr>
            <w:tcW w:w="140" w:type="dxa"/>
            <w:vAlign w:val="bottom"/>
            <w:tcBorders>
              <w:bottom w:val="single" w:sz="8" w:color="A6A6A6"/>
            </w:tcBorders>
          </w:tcPr>
          <w:p>
            <w:pPr>
              <w:spacing w:after="0"/>
              <w:rPr>
                <w:sz w:val="2"/>
                <w:szCs w:val="2"/>
                <w:color w:val="auto"/>
              </w:rPr>
            </w:pPr>
          </w:p>
        </w:tc>
        <w:tc>
          <w:tcPr>
            <w:tcW w:w="620" w:type="dxa"/>
            <w:vAlign w:val="bottom"/>
            <w:tcBorders>
              <w:bottom w:val="single" w:sz="8" w:color="A6A6A6"/>
            </w:tcBorders>
          </w:tcPr>
          <w:p>
            <w:pPr>
              <w:spacing w:after="0"/>
              <w:rPr>
                <w:sz w:val="2"/>
                <w:szCs w:val="2"/>
                <w:color w:val="auto"/>
              </w:rPr>
            </w:pPr>
          </w:p>
        </w:tc>
        <w:tc>
          <w:tcPr>
            <w:tcW w:w="940" w:type="dxa"/>
            <w:vAlign w:val="bottom"/>
            <w:tcBorders>
              <w:bottom w:val="single" w:sz="8" w:color="A6A6A6"/>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080" w:type="dxa"/>
            <w:vAlign w:val="bottom"/>
          </w:tcPr>
          <w:p>
            <w:pPr>
              <w:spacing w:after="0"/>
              <w:rPr>
                <w:sz w:val="20"/>
                <w:szCs w:val="20"/>
                <w:color w:val="auto"/>
              </w:rPr>
            </w:pPr>
            <w:r>
              <w:rPr>
                <w:rFonts w:ascii="Arial Narrow" w:cs="Arial Narrow" w:eastAsia="Arial Narrow" w:hAnsi="Arial Narrow"/>
                <w:sz w:val="16"/>
                <w:szCs w:val="16"/>
                <w:b w:val="1"/>
                <w:bCs w:val="1"/>
                <w:color w:val="00085E"/>
              </w:rPr>
              <w:t>Capital in Excess of Par Value</w:t>
            </w:r>
          </w:p>
        </w:tc>
        <w:tc>
          <w:tcPr>
            <w:tcW w:w="440" w:type="dxa"/>
            <w:vAlign w:val="bottom"/>
          </w:tcPr>
          <w:p>
            <w:pPr>
              <w:spacing w:after="0"/>
              <w:rPr>
                <w:sz w:val="22"/>
                <w:szCs w:val="22"/>
                <w:color w:val="auto"/>
              </w:rPr>
            </w:pPr>
          </w:p>
        </w:tc>
        <w:tc>
          <w:tcPr>
            <w:tcW w:w="1140" w:type="dxa"/>
            <w:vAlign w:val="bottom"/>
          </w:tcPr>
          <w:p>
            <w:pPr>
              <w:jc w:val="right"/>
              <w:ind w:right="120"/>
              <w:spacing w:after="0"/>
              <w:rPr>
                <w:sz w:val="20"/>
                <w:szCs w:val="20"/>
                <w:color w:val="auto"/>
              </w:rPr>
            </w:pPr>
            <w:r>
              <w:rPr>
                <w:rFonts w:ascii="Arial Narrow" w:cs="Arial Narrow" w:eastAsia="Arial Narrow" w:hAnsi="Arial Narrow"/>
                <w:sz w:val="16"/>
                <w:szCs w:val="16"/>
                <w:color w:val="auto"/>
              </w:rPr>
              <w:t>—</w:t>
            </w: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40" w:type="dxa"/>
            <w:vAlign w:val="bottom"/>
          </w:tcPr>
          <w:p>
            <w:pPr>
              <w:jc w:val="right"/>
              <w:ind w:right="100"/>
              <w:spacing w:after="0"/>
              <w:rPr>
                <w:sz w:val="20"/>
                <w:szCs w:val="20"/>
                <w:color w:val="auto"/>
              </w:rPr>
            </w:pPr>
            <w:r>
              <w:rPr>
                <w:rFonts w:ascii="Arial Narrow" w:cs="Arial Narrow" w:eastAsia="Arial Narrow" w:hAnsi="Arial Narrow"/>
                <w:sz w:val="16"/>
                <w:szCs w:val="16"/>
                <w:color w:val="auto"/>
              </w:rPr>
              <w:t>—</w:t>
            </w:r>
          </w:p>
        </w:tc>
        <w:tc>
          <w:tcPr>
            <w:tcW w:w="0" w:type="dxa"/>
            <w:vAlign w:val="bottom"/>
          </w:tcPr>
          <w:p>
            <w:pPr>
              <w:spacing w:after="0"/>
              <w:rPr>
                <w:sz w:val="1"/>
                <w:szCs w:val="1"/>
                <w:color w:val="auto"/>
              </w:rPr>
            </w:pPr>
          </w:p>
        </w:tc>
      </w:tr>
      <w:tr>
        <w:trPr>
          <w:trHeight w:val="34"/>
        </w:trPr>
        <w:tc>
          <w:tcPr>
            <w:tcW w:w="6080" w:type="dxa"/>
            <w:vAlign w:val="bottom"/>
            <w:tcBorders>
              <w:bottom w:val="single" w:sz="8" w:color="A6A6A6"/>
            </w:tcBorders>
          </w:tcPr>
          <w:p>
            <w:pPr>
              <w:spacing w:after="0"/>
              <w:rPr>
                <w:sz w:val="2"/>
                <w:szCs w:val="2"/>
                <w:color w:val="auto"/>
              </w:rPr>
            </w:pPr>
          </w:p>
        </w:tc>
        <w:tc>
          <w:tcPr>
            <w:tcW w:w="440" w:type="dxa"/>
            <w:vAlign w:val="bottom"/>
            <w:tcBorders>
              <w:bottom w:val="single" w:sz="8" w:color="A6A6A6"/>
            </w:tcBorders>
          </w:tcPr>
          <w:p>
            <w:pPr>
              <w:spacing w:after="0"/>
              <w:rPr>
                <w:sz w:val="2"/>
                <w:szCs w:val="2"/>
                <w:color w:val="auto"/>
              </w:rPr>
            </w:pPr>
          </w:p>
        </w:tc>
        <w:tc>
          <w:tcPr>
            <w:tcW w:w="1140" w:type="dxa"/>
            <w:vAlign w:val="bottom"/>
            <w:tcBorders>
              <w:bottom w:val="single" w:sz="8" w:color="A6A6A6"/>
            </w:tcBorders>
          </w:tcPr>
          <w:p>
            <w:pPr>
              <w:spacing w:after="0"/>
              <w:rPr>
                <w:sz w:val="2"/>
                <w:szCs w:val="2"/>
                <w:color w:val="auto"/>
              </w:rPr>
            </w:pPr>
          </w:p>
        </w:tc>
        <w:tc>
          <w:tcPr>
            <w:tcW w:w="140" w:type="dxa"/>
            <w:vAlign w:val="bottom"/>
            <w:tcBorders>
              <w:bottom w:val="single" w:sz="8" w:color="A6A6A6"/>
            </w:tcBorders>
          </w:tcPr>
          <w:p>
            <w:pPr>
              <w:spacing w:after="0"/>
              <w:rPr>
                <w:sz w:val="2"/>
                <w:szCs w:val="2"/>
                <w:color w:val="auto"/>
              </w:rPr>
            </w:pPr>
          </w:p>
        </w:tc>
        <w:tc>
          <w:tcPr>
            <w:tcW w:w="620" w:type="dxa"/>
            <w:vAlign w:val="bottom"/>
            <w:tcBorders>
              <w:bottom w:val="single" w:sz="8" w:color="A6A6A6"/>
            </w:tcBorders>
          </w:tcPr>
          <w:p>
            <w:pPr>
              <w:spacing w:after="0"/>
              <w:rPr>
                <w:sz w:val="2"/>
                <w:szCs w:val="2"/>
                <w:color w:val="auto"/>
              </w:rPr>
            </w:pPr>
          </w:p>
        </w:tc>
        <w:tc>
          <w:tcPr>
            <w:tcW w:w="940" w:type="dxa"/>
            <w:vAlign w:val="bottom"/>
            <w:tcBorders>
              <w:bottom w:val="single" w:sz="8" w:color="A6A6A6"/>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080" w:type="dxa"/>
            <w:vAlign w:val="bottom"/>
          </w:tcPr>
          <w:p>
            <w:pPr>
              <w:spacing w:after="0"/>
              <w:rPr>
                <w:sz w:val="20"/>
                <w:szCs w:val="20"/>
                <w:color w:val="auto"/>
              </w:rPr>
            </w:pPr>
            <w:r>
              <w:rPr>
                <w:rFonts w:ascii="Arial Narrow" w:cs="Arial Narrow" w:eastAsia="Arial Narrow" w:hAnsi="Arial Narrow"/>
                <w:sz w:val="16"/>
                <w:szCs w:val="16"/>
                <w:b w:val="1"/>
                <w:bCs w:val="1"/>
                <w:color w:val="00085E"/>
              </w:rPr>
              <w:t>Accumulated Other Comprehensive Losses</w:t>
            </w:r>
          </w:p>
        </w:tc>
        <w:tc>
          <w:tcPr>
            <w:tcW w:w="440" w:type="dxa"/>
            <w:vAlign w:val="bottom"/>
          </w:tcPr>
          <w:p>
            <w:pPr>
              <w:spacing w:after="0"/>
              <w:rPr>
                <w:sz w:val="22"/>
                <w:szCs w:val="22"/>
                <w:color w:val="auto"/>
              </w:rPr>
            </w:pPr>
          </w:p>
        </w:tc>
        <w:tc>
          <w:tcPr>
            <w:tcW w:w="1140" w:type="dxa"/>
            <w:vAlign w:val="bottom"/>
          </w:tcPr>
          <w:p>
            <w:pPr>
              <w:jc w:val="right"/>
              <w:ind w:right="60"/>
              <w:spacing w:after="0"/>
              <w:rPr>
                <w:sz w:val="20"/>
                <w:szCs w:val="20"/>
                <w:color w:val="auto"/>
              </w:rPr>
            </w:pPr>
            <w:r>
              <w:rPr>
                <w:rFonts w:ascii="Arial Narrow" w:cs="Arial Narrow" w:eastAsia="Arial Narrow" w:hAnsi="Arial Narrow"/>
                <w:sz w:val="16"/>
                <w:szCs w:val="16"/>
                <w:color w:val="auto"/>
              </w:rPr>
              <w:t>(4,404)</w:t>
            </w: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40" w:type="dxa"/>
            <w:vAlign w:val="bottom"/>
          </w:tcPr>
          <w:p>
            <w:pPr>
              <w:jc w:val="right"/>
              <w:ind w:right="60"/>
              <w:spacing w:after="0"/>
              <w:rPr>
                <w:sz w:val="20"/>
                <w:szCs w:val="20"/>
                <w:color w:val="auto"/>
              </w:rPr>
            </w:pPr>
            <w:r>
              <w:rPr>
                <w:rFonts w:ascii="Arial Narrow" w:cs="Arial Narrow" w:eastAsia="Arial Narrow" w:hAnsi="Arial Narrow"/>
                <w:sz w:val="16"/>
                <w:szCs w:val="16"/>
                <w:color w:val="auto"/>
              </w:rPr>
              <w:t>(3,125)</w:t>
            </w:r>
          </w:p>
        </w:tc>
        <w:tc>
          <w:tcPr>
            <w:tcW w:w="0" w:type="dxa"/>
            <w:vAlign w:val="bottom"/>
          </w:tcPr>
          <w:p>
            <w:pPr>
              <w:spacing w:after="0"/>
              <w:rPr>
                <w:sz w:val="1"/>
                <w:szCs w:val="1"/>
                <w:color w:val="auto"/>
              </w:rPr>
            </w:pPr>
          </w:p>
        </w:tc>
      </w:tr>
      <w:tr>
        <w:trPr>
          <w:trHeight w:val="34"/>
        </w:trPr>
        <w:tc>
          <w:tcPr>
            <w:tcW w:w="6080" w:type="dxa"/>
            <w:vAlign w:val="bottom"/>
            <w:tcBorders>
              <w:bottom w:val="single" w:sz="8" w:color="A6A6A6"/>
            </w:tcBorders>
          </w:tcPr>
          <w:p>
            <w:pPr>
              <w:spacing w:after="0"/>
              <w:rPr>
                <w:sz w:val="2"/>
                <w:szCs w:val="2"/>
                <w:color w:val="auto"/>
              </w:rPr>
            </w:pPr>
          </w:p>
        </w:tc>
        <w:tc>
          <w:tcPr>
            <w:tcW w:w="440" w:type="dxa"/>
            <w:vAlign w:val="bottom"/>
            <w:tcBorders>
              <w:bottom w:val="single" w:sz="8" w:color="A6A6A6"/>
            </w:tcBorders>
          </w:tcPr>
          <w:p>
            <w:pPr>
              <w:spacing w:after="0"/>
              <w:rPr>
                <w:sz w:val="2"/>
                <w:szCs w:val="2"/>
                <w:color w:val="auto"/>
              </w:rPr>
            </w:pPr>
          </w:p>
        </w:tc>
        <w:tc>
          <w:tcPr>
            <w:tcW w:w="1140" w:type="dxa"/>
            <w:vAlign w:val="bottom"/>
            <w:tcBorders>
              <w:bottom w:val="single" w:sz="8" w:color="A6A6A6"/>
            </w:tcBorders>
          </w:tcPr>
          <w:p>
            <w:pPr>
              <w:spacing w:after="0"/>
              <w:rPr>
                <w:sz w:val="2"/>
                <w:szCs w:val="2"/>
                <w:color w:val="auto"/>
              </w:rPr>
            </w:pPr>
          </w:p>
        </w:tc>
        <w:tc>
          <w:tcPr>
            <w:tcW w:w="140" w:type="dxa"/>
            <w:vAlign w:val="bottom"/>
            <w:tcBorders>
              <w:bottom w:val="single" w:sz="8" w:color="A6A6A6"/>
            </w:tcBorders>
          </w:tcPr>
          <w:p>
            <w:pPr>
              <w:spacing w:after="0"/>
              <w:rPr>
                <w:sz w:val="2"/>
                <w:szCs w:val="2"/>
                <w:color w:val="auto"/>
              </w:rPr>
            </w:pPr>
          </w:p>
        </w:tc>
        <w:tc>
          <w:tcPr>
            <w:tcW w:w="620" w:type="dxa"/>
            <w:vAlign w:val="bottom"/>
            <w:tcBorders>
              <w:bottom w:val="single" w:sz="8" w:color="A6A6A6"/>
            </w:tcBorders>
          </w:tcPr>
          <w:p>
            <w:pPr>
              <w:spacing w:after="0"/>
              <w:rPr>
                <w:sz w:val="2"/>
                <w:szCs w:val="2"/>
                <w:color w:val="auto"/>
              </w:rPr>
            </w:pPr>
          </w:p>
        </w:tc>
        <w:tc>
          <w:tcPr>
            <w:tcW w:w="940" w:type="dxa"/>
            <w:vAlign w:val="bottom"/>
            <w:tcBorders>
              <w:bottom w:val="single" w:sz="8" w:color="A6A6A6"/>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080" w:type="dxa"/>
            <w:vAlign w:val="bottom"/>
          </w:tcPr>
          <w:p>
            <w:pPr>
              <w:spacing w:after="0"/>
              <w:rPr>
                <w:sz w:val="20"/>
                <w:szCs w:val="20"/>
                <w:color w:val="auto"/>
              </w:rPr>
            </w:pPr>
            <w:r>
              <w:rPr>
                <w:rFonts w:ascii="Arial Narrow" w:cs="Arial Narrow" w:eastAsia="Arial Narrow" w:hAnsi="Arial Narrow"/>
                <w:sz w:val="16"/>
                <w:szCs w:val="16"/>
                <w:b w:val="1"/>
                <w:bCs w:val="1"/>
                <w:color w:val="00085E"/>
              </w:rPr>
              <w:t>Retained Earnings</w:t>
            </w:r>
          </w:p>
        </w:tc>
        <w:tc>
          <w:tcPr>
            <w:tcW w:w="440" w:type="dxa"/>
            <w:vAlign w:val="bottom"/>
          </w:tcPr>
          <w:p>
            <w:pPr>
              <w:spacing w:after="0"/>
              <w:rPr>
                <w:sz w:val="22"/>
                <w:szCs w:val="22"/>
                <w:color w:val="auto"/>
              </w:rPr>
            </w:pPr>
          </w:p>
        </w:tc>
        <w:tc>
          <w:tcPr>
            <w:tcW w:w="1140" w:type="dxa"/>
            <w:vAlign w:val="bottom"/>
          </w:tcPr>
          <w:p>
            <w:pPr>
              <w:jc w:val="right"/>
              <w:ind w:right="120"/>
              <w:spacing w:after="0"/>
              <w:rPr>
                <w:sz w:val="20"/>
                <w:szCs w:val="20"/>
                <w:color w:val="auto"/>
              </w:rPr>
            </w:pPr>
            <w:r>
              <w:rPr>
                <w:rFonts w:ascii="Arial Narrow" w:cs="Arial Narrow" w:eastAsia="Arial Narrow" w:hAnsi="Arial Narrow"/>
                <w:sz w:val="16"/>
                <w:szCs w:val="16"/>
                <w:color w:val="auto"/>
              </w:rPr>
              <w:t>1,478,920</w:t>
            </w: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40" w:type="dxa"/>
            <w:vAlign w:val="bottom"/>
          </w:tcPr>
          <w:p>
            <w:pPr>
              <w:jc w:val="right"/>
              <w:ind w:right="100"/>
              <w:spacing w:after="0"/>
              <w:rPr>
                <w:sz w:val="20"/>
                <w:szCs w:val="20"/>
                <w:color w:val="auto"/>
              </w:rPr>
            </w:pPr>
            <w:r>
              <w:rPr>
                <w:rFonts w:ascii="Arial Narrow" w:cs="Arial Narrow" w:eastAsia="Arial Narrow" w:hAnsi="Arial Narrow"/>
                <w:sz w:val="16"/>
                <w:szCs w:val="16"/>
                <w:color w:val="auto"/>
              </w:rPr>
              <w:t>1,459,495</w:t>
            </w:r>
          </w:p>
        </w:tc>
        <w:tc>
          <w:tcPr>
            <w:tcW w:w="0" w:type="dxa"/>
            <w:vAlign w:val="bottom"/>
          </w:tcPr>
          <w:p>
            <w:pPr>
              <w:spacing w:after="0"/>
              <w:rPr>
                <w:sz w:val="1"/>
                <w:szCs w:val="1"/>
                <w:color w:val="auto"/>
              </w:rPr>
            </w:pPr>
          </w:p>
        </w:tc>
      </w:tr>
      <w:tr>
        <w:trPr>
          <w:trHeight w:val="59"/>
        </w:trPr>
        <w:tc>
          <w:tcPr>
            <w:tcW w:w="6080" w:type="dxa"/>
            <w:vAlign w:val="bottom"/>
            <w:tcBorders>
              <w:bottom w:val="single" w:sz="8" w:color="A6A6A6"/>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6080" w:type="dxa"/>
            <w:vAlign w:val="bottom"/>
          </w:tcPr>
          <w:p>
            <w:pPr>
              <w:spacing w:after="0"/>
              <w:rPr>
                <w:sz w:val="20"/>
                <w:szCs w:val="20"/>
                <w:color w:val="auto"/>
              </w:rPr>
            </w:pPr>
            <w:r>
              <w:rPr>
                <w:rFonts w:ascii="Arial Narrow" w:cs="Arial Narrow" w:eastAsia="Arial Narrow" w:hAnsi="Arial Narrow"/>
                <w:sz w:val="16"/>
                <w:szCs w:val="16"/>
                <w:b w:val="1"/>
                <w:bCs w:val="1"/>
                <w:color w:val="auto"/>
              </w:rPr>
              <w:t>Total Stockholders’ Equity</w:t>
            </w:r>
          </w:p>
        </w:tc>
        <w:tc>
          <w:tcPr>
            <w:tcW w:w="440" w:type="dxa"/>
            <w:vAlign w:val="bottom"/>
          </w:tcPr>
          <w:p>
            <w:pPr>
              <w:spacing w:after="0"/>
              <w:rPr>
                <w:sz w:val="22"/>
                <w:szCs w:val="22"/>
                <w:color w:val="auto"/>
              </w:rPr>
            </w:pPr>
          </w:p>
        </w:tc>
        <w:tc>
          <w:tcPr>
            <w:tcW w:w="1140" w:type="dxa"/>
            <w:vAlign w:val="bottom"/>
          </w:tcPr>
          <w:p>
            <w:pPr>
              <w:jc w:val="right"/>
              <w:ind w:right="120"/>
              <w:spacing w:after="0"/>
              <w:rPr>
                <w:sz w:val="20"/>
                <w:szCs w:val="20"/>
                <w:color w:val="auto"/>
              </w:rPr>
            </w:pPr>
            <w:r>
              <w:rPr>
                <w:rFonts w:ascii="Arial Narrow" w:cs="Arial Narrow" w:eastAsia="Arial Narrow" w:hAnsi="Arial Narrow"/>
                <w:sz w:val="16"/>
                <w:szCs w:val="16"/>
                <w:color w:val="auto"/>
              </w:rPr>
              <w:t>1,474,828</w:t>
            </w: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40" w:type="dxa"/>
            <w:vAlign w:val="bottom"/>
          </w:tcPr>
          <w:p>
            <w:pPr>
              <w:jc w:val="right"/>
              <w:ind w:right="100"/>
              <w:spacing w:after="0"/>
              <w:rPr>
                <w:sz w:val="20"/>
                <w:szCs w:val="20"/>
                <w:color w:val="auto"/>
              </w:rPr>
            </w:pPr>
            <w:r>
              <w:rPr>
                <w:rFonts w:ascii="Arial Narrow" w:cs="Arial Narrow" w:eastAsia="Arial Narrow" w:hAnsi="Arial Narrow"/>
                <w:sz w:val="16"/>
                <w:szCs w:val="16"/>
                <w:color w:val="auto"/>
              </w:rPr>
              <w:t>1,456,700</w:t>
            </w:r>
          </w:p>
        </w:tc>
        <w:tc>
          <w:tcPr>
            <w:tcW w:w="0" w:type="dxa"/>
            <w:vAlign w:val="bottom"/>
          </w:tcPr>
          <w:p>
            <w:pPr>
              <w:spacing w:after="0"/>
              <w:rPr>
                <w:sz w:val="1"/>
                <w:szCs w:val="1"/>
                <w:color w:val="auto"/>
              </w:rPr>
            </w:pPr>
          </w:p>
        </w:tc>
      </w:tr>
      <w:tr>
        <w:trPr>
          <w:trHeight w:val="59"/>
        </w:trPr>
        <w:tc>
          <w:tcPr>
            <w:tcW w:w="6080" w:type="dxa"/>
            <w:vAlign w:val="bottom"/>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6080" w:type="dxa"/>
            <w:vAlign w:val="bottom"/>
          </w:tcPr>
          <w:p>
            <w:pPr>
              <w:spacing w:after="0"/>
              <w:rPr>
                <w:sz w:val="22"/>
                <w:szCs w:val="22"/>
                <w:color w:val="auto"/>
              </w:rPr>
            </w:pPr>
          </w:p>
        </w:tc>
        <w:tc>
          <w:tcPr>
            <w:tcW w:w="440" w:type="dxa"/>
            <w:vAlign w:val="bottom"/>
          </w:tcPr>
          <w:p>
            <w:pPr>
              <w:jc w:val="right"/>
              <w:ind w:right="280"/>
              <w:spacing w:after="0"/>
              <w:rPr>
                <w:sz w:val="20"/>
                <w:szCs w:val="20"/>
                <w:color w:val="auto"/>
              </w:rPr>
            </w:pPr>
            <w:r>
              <w:rPr>
                <w:rFonts w:ascii="Arial Narrow" w:cs="Arial Narrow" w:eastAsia="Arial Narrow" w:hAnsi="Arial Narrow"/>
                <w:sz w:val="16"/>
                <w:szCs w:val="16"/>
                <w:b w:val="1"/>
                <w:bCs w:val="1"/>
                <w:color w:val="auto"/>
                <w:w w:val="81"/>
              </w:rPr>
              <w:t>$</w:t>
            </w:r>
          </w:p>
        </w:tc>
        <w:tc>
          <w:tcPr>
            <w:tcW w:w="1140" w:type="dxa"/>
            <w:vAlign w:val="bottom"/>
          </w:tcPr>
          <w:p>
            <w:pPr>
              <w:jc w:val="right"/>
              <w:ind w:right="120"/>
              <w:spacing w:after="0"/>
              <w:rPr>
                <w:sz w:val="20"/>
                <w:szCs w:val="20"/>
                <w:color w:val="auto"/>
              </w:rPr>
            </w:pPr>
            <w:r>
              <w:rPr>
                <w:rFonts w:ascii="Arial Narrow" w:cs="Arial Narrow" w:eastAsia="Arial Narrow" w:hAnsi="Arial Narrow"/>
                <w:sz w:val="16"/>
                <w:szCs w:val="16"/>
                <w:b w:val="1"/>
                <w:bCs w:val="1"/>
                <w:color w:val="auto"/>
              </w:rPr>
              <w:t>3,842,244</w:t>
            </w:r>
          </w:p>
        </w:tc>
        <w:tc>
          <w:tcPr>
            <w:tcW w:w="760" w:type="dxa"/>
            <w:vAlign w:val="bottom"/>
            <w:gridSpan w:val="2"/>
          </w:tcPr>
          <w:p>
            <w:pPr>
              <w:jc w:val="right"/>
              <w:ind w:right="540"/>
              <w:spacing w:after="0"/>
              <w:rPr>
                <w:sz w:val="20"/>
                <w:szCs w:val="20"/>
                <w:color w:val="auto"/>
              </w:rPr>
            </w:pPr>
            <w:r>
              <w:rPr>
                <w:rFonts w:ascii="Arial Narrow" w:cs="Arial Narrow" w:eastAsia="Arial Narrow" w:hAnsi="Arial Narrow"/>
                <w:sz w:val="16"/>
                <w:szCs w:val="16"/>
                <w:b w:val="1"/>
                <w:bCs w:val="1"/>
                <w:color w:val="auto"/>
              </w:rPr>
              <w:t>$</w:t>
            </w:r>
          </w:p>
        </w:tc>
        <w:tc>
          <w:tcPr>
            <w:tcW w:w="940" w:type="dxa"/>
            <w:vAlign w:val="bottom"/>
          </w:tcPr>
          <w:p>
            <w:pPr>
              <w:jc w:val="right"/>
              <w:ind w:right="100"/>
              <w:spacing w:after="0"/>
              <w:rPr>
                <w:sz w:val="20"/>
                <w:szCs w:val="20"/>
                <w:color w:val="auto"/>
              </w:rPr>
            </w:pPr>
            <w:r>
              <w:rPr>
                <w:rFonts w:ascii="Arial Narrow" w:cs="Arial Narrow" w:eastAsia="Arial Narrow" w:hAnsi="Arial Narrow"/>
                <w:sz w:val="16"/>
                <w:szCs w:val="16"/>
                <w:b w:val="1"/>
                <w:bCs w:val="1"/>
                <w:color w:val="auto"/>
              </w:rPr>
              <w:t>3,264,588</w:t>
            </w:r>
          </w:p>
        </w:tc>
        <w:tc>
          <w:tcPr>
            <w:tcW w:w="0" w:type="dxa"/>
            <w:vAlign w:val="bottom"/>
          </w:tcPr>
          <w:p>
            <w:pPr>
              <w:spacing w:after="0"/>
              <w:rPr>
                <w:sz w:val="1"/>
                <w:szCs w:val="1"/>
                <w:color w:val="auto"/>
              </w:rPr>
            </w:pPr>
          </w:p>
        </w:tc>
      </w:tr>
      <w:tr>
        <w:trPr>
          <w:trHeight w:val="34"/>
        </w:trPr>
        <w:tc>
          <w:tcPr>
            <w:tcW w:w="60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Notes to Consolidated Financial Statements.</w:t>
      </w:r>
    </w:p>
    <w:p>
      <w:pPr>
        <w:sectPr>
          <w:pgSz w:w="11880" w:h="15480" w:orient="portrait"/>
          <w:cols w:equalWidth="0" w:num="1">
            <w:col w:w="9360"/>
          </w:cols>
          <w:pgMar w:left="1260" w:top="1264"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73</w:t>
      </w:r>
    </w:p>
    <w:p>
      <w:pPr>
        <w:sectPr>
          <w:pgSz w:w="11880" w:h="15480" w:orient="portrait"/>
          <w:cols w:equalWidth="0" w:num="1">
            <w:col w:w="9360"/>
          </w:cols>
          <w:pgMar w:left="1260" w:top="1264" w:right="1260" w:bottom="0" w:gutter="0" w:footer="0" w:header="0"/>
          <w:type w:val="continuous"/>
        </w:sectPr>
      </w:pPr>
    </w:p>
    <w:bookmarkStart w:id="81" w:name="page82"/>
    <w:bookmarkEnd w:id="81"/>
    <w:p>
      <w:pPr>
        <w:spacing w:after="0"/>
        <w:rPr>
          <w:sz w:val="20"/>
          <w:szCs w:val="20"/>
          <w:color w:val="auto"/>
        </w:rPr>
      </w:pPr>
      <w:r>
        <w:rPr>
          <w:rFonts w:ascii="Arial" w:cs="Arial" w:eastAsia="Arial" w:hAnsi="Arial"/>
          <w:sz w:val="20"/>
          <w:szCs w:val="20"/>
          <w:b w:val="1"/>
          <w:bCs w:val="1"/>
          <w:color w:val="auto"/>
        </w:rPr>
        <w:t>EAGLE MATERIALS INC. AND SUBSIDIARIES CONSOLIDATED STATEMENTS OF CASH FLOWS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40" w:type="dxa"/>
            <w:vAlign w:val="bottom"/>
            <w:gridSpan w:val="6"/>
          </w:tcPr>
          <w:p>
            <w:pPr>
              <w:jc w:val="right"/>
              <w:ind w:right="340"/>
              <w:spacing w:after="0"/>
              <w:rPr>
                <w:sz w:val="20"/>
                <w:szCs w:val="20"/>
                <w:color w:val="auto"/>
              </w:rPr>
            </w:pPr>
            <w:r>
              <w:rPr>
                <w:rFonts w:ascii="Arial Narrow" w:cs="Arial Narrow" w:eastAsia="Arial Narrow" w:hAnsi="Arial Narrow"/>
                <w:sz w:val="14"/>
                <w:szCs w:val="14"/>
                <w:b w:val="1"/>
                <w:bCs w:val="1"/>
                <w:color w:val="auto"/>
              </w:rPr>
              <w:t>For the Years Ended March 31,</w:t>
            </w: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4"/>
        </w:trPr>
        <w:tc>
          <w:tcPr>
            <w:tcW w:w="5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19"/>
        </w:trPr>
        <w:tc>
          <w:tcPr>
            <w:tcW w:w="5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Narrow" w:cs="Arial Narrow" w:eastAsia="Arial Narrow" w:hAnsi="Arial Narrow"/>
                <w:sz w:val="14"/>
                <w:szCs w:val="14"/>
                <w:b w:val="1"/>
                <w:bCs w:val="1"/>
                <w:color w:val="auto"/>
              </w:rPr>
              <w:t>2026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Arial Narrow" w:cs="Arial Narrow" w:eastAsia="Arial Narrow" w:hAnsi="Arial Narrow"/>
                <w:sz w:val="14"/>
                <w:szCs w:val="14"/>
                <w:b w:val="1"/>
                <w:bCs w:val="1"/>
                <w:color w:val="auto"/>
              </w:rPr>
              <w:t>2025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Arial Narrow" w:cs="Arial Narrow" w:eastAsia="Arial Narrow" w:hAnsi="Arial Narrow"/>
                <w:sz w:val="14"/>
                <w:szCs w:val="14"/>
                <w:b w:val="1"/>
                <w:bCs w:val="1"/>
                <w:color w:val="auto"/>
              </w:rPr>
              <w:t>2024</w:t>
            </w:r>
          </w:p>
        </w:tc>
        <w:tc>
          <w:tcPr>
            <w:tcW w:w="60" w:type="dxa"/>
            <w:vAlign w:val="bottom"/>
          </w:tcPr>
          <w:p>
            <w:pPr>
              <w:spacing w:after="0"/>
              <w:rPr>
                <w:sz w:val="19"/>
                <w:szCs w:val="19"/>
                <w:color w:val="auto"/>
              </w:rPr>
            </w:pPr>
          </w:p>
        </w:tc>
      </w:tr>
      <w:tr>
        <w:trPr>
          <w:trHeight w:val="24"/>
        </w:trPr>
        <w:tc>
          <w:tcPr>
            <w:tcW w:w="5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19"/>
        </w:trPr>
        <w:tc>
          <w:tcPr>
            <w:tcW w:w="5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jc w:val="right"/>
              <w:ind w:right="90"/>
              <w:spacing w:after="0"/>
              <w:rPr>
                <w:sz w:val="20"/>
                <w:szCs w:val="20"/>
                <w:color w:val="auto"/>
              </w:rPr>
            </w:pPr>
            <w:r>
              <w:rPr>
                <w:rFonts w:ascii="Arial Narrow" w:cs="Arial Narrow" w:eastAsia="Arial Narrow" w:hAnsi="Arial Narrow"/>
                <w:sz w:val="14"/>
                <w:szCs w:val="14"/>
                <w:color w:val="auto"/>
                <w:w w:val="98"/>
              </w:rPr>
              <w:t>(dollars in thousands)</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9"/>
        </w:trPr>
        <w:tc>
          <w:tcPr>
            <w:tcW w:w="51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r>
      <w:tr>
        <w:trPr>
          <w:trHeight w:val="224"/>
        </w:trPr>
        <w:tc>
          <w:tcPr>
            <w:tcW w:w="5160" w:type="dxa"/>
            <w:vAlign w:val="bottom"/>
          </w:tcPr>
          <w:p>
            <w:pPr>
              <w:spacing w:after="0"/>
              <w:rPr>
                <w:sz w:val="20"/>
                <w:szCs w:val="20"/>
                <w:color w:val="auto"/>
              </w:rPr>
            </w:pPr>
            <w:r>
              <w:rPr>
                <w:rFonts w:ascii="Arial Narrow" w:cs="Arial Narrow" w:eastAsia="Arial Narrow" w:hAnsi="Arial Narrow"/>
                <w:sz w:val="14"/>
                <w:szCs w:val="14"/>
                <w:b w:val="1"/>
                <w:bCs w:val="1"/>
                <w:color w:val="auto"/>
              </w:rPr>
              <w:t>CASH FLOWS FROM OPERATING ACTIVITIES</w:t>
            </w: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7"/>
        </w:trPr>
        <w:tc>
          <w:tcPr>
            <w:tcW w:w="5160" w:type="dxa"/>
            <w:vAlign w:val="bottom"/>
            <w:tcBorders>
              <w:bottom w:val="single" w:sz="8" w:color="A6A6A6"/>
            </w:tcBorders>
          </w:tcPr>
          <w:p>
            <w:pPr>
              <w:spacing w:after="0"/>
              <w:rPr>
                <w:sz w:val="4"/>
                <w:szCs w:val="4"/>
                <w:color w:val="auto"/>
              </w:rPr>
            </w:pPr>
          </w:p>
        </w:tc>
        <w:tc>
          <w:tcPr>
            <w:tcW w:w="380" w:type="dxa"/>
            <w:vAlign w:val="bottom"/>
            <w:tcBorders>
              <w:bottom w:val="single" w:sz="8" w:color="A6A6A6"/>
            </w:tcBorders>
          </w:tcPr>
          <w:p>
            <w:pPr>
              <w:spacing w:after="0"/>
              <w:rPr>
                <w:sz w:val="4"/>
                <w:szCs w:val="4"/>
                <w:color w:val="auto"/>
              </w:rPr>
            </w:pPr>
          </w:p>
        </w:tc>
        <w:tc>
          <w:tcPr>
            <w:tcW w:w="840" w:type="dxa"/>
            <w:vAlign w:val="bottom"/>
            <w:tcBorders>
              <w:bottom w:val="single" w:sz="8" w:color="A6A6A6"/>
            </w:tcBorders>
          </w:tcPr>
          <w:p>
            <w:pPr>
              <w:spacing w:after="0"/>
              <w:rPr>
                <w:sz w:val="4"/>
                <w:szCs w:val="4"/>
                <w:color w:val="auto"/>
              </w:rPr>
            </w:pPr>
          </w:p>
        </w:tc>
        <w:tc>
          <w:tcPr>
            <w:tcW w:w="300" w:type="dxa"/>
            <w:vAlign w:val="bottom"/>
            <w:tcBorders>
              <w:bottom w:val="single" w:sz="8" w:color="A6A6A6"/>
            </w:tcBorders>
            <w:gridSpan w:val="3"/>
          </w:tcPr>
          <w:p>
            <w:pPr>
              <w:spacing w:after="0"/>
              <w:rPr>
                <w:sz w:val="4"/>
                <w:szCs w:val="4"/>
                <w:color w:val="auto"/>
              </w:rPr>
            </w:pPr>
          </w:p>
        </w:tc>
        <w:tc>
          <w:tcPr>
            <w:tcW w:w="1260" w:type="dxa"/>
            <w:vAlign w:val="bottom"/>
            <w:tcBorders>
              <w:bottom w:val="single" w:sz="8" w:color="A6A6A6"/>
            </w:tcBorders>
          </w:tcPr>
          <w:p>
            <w:pPr>
              <w:spacing w:after="0"/>
              <w:rPr>
                <w:sz w:val="4"/>
                <w:szCs w:val="4"/>
                <w:color w:val="auto"/>
              </w:rPr>
            </w:pPr>
          </w:p>
        </w:tc>
        <w:tc>
          <w:tcPr>
            <w:tcW w:w="480" w:type="dxa"/>
            <w:vAlign w:val="bottom"/>
            <w:tcBorders>
              <w:bottom w:val="single" w:sz="8" w:color="A6A6A6"/>
            </w:tcBorders>
            <w:gridSpan w:val="2"/>
          </w:tcPr>
          <w:p>
            <w:pPr>
              <w:spacing w:after="0"/>
              <w:rPr>
                <w:sz w:val="4"/>
                <w:szCs w:val="4"/>
                <w:color w:val="auto"/>
              </w:rPr>
            </w:pPr>
          </w:p>
        </w:tc>
        <w:tc>
          <w:tcPr>
            <w:tcW w:w="880" w:type="dxa"/>
            <w:vAlign w:val="bottom"/>
            <w:tcBorders>
              <w:bottom w:val="single" w:sz="8" w:color="A6A6A6"/>
            </w:tcBorders>
          </w:tcPr>
          <w:p>
            <w:pPr>
              <w:spacing w:after="0"/>
              <w:rPr>
                <w:sz w:val="4"/>
                <w:szCs w:val="4"/>
                <w:color w:val="auto"/>
              </w:rPr>
            </w:pPr>
          </w:p>
        </w:tc>
        <w:tc>
          <w:tcPr>
            <w:tcW w:w="60" w:type="dxa"/>
            <w:vAlign w:val="bottom"/>
            <w:tcBorders>
              <w:bottom w:val="single" w:sz="8" w:color="A6A6A6"/>
            </w:tcBorders>
          </w:tcPr>
          <w:p>
            <w:pPr>
              <w:spacing w:after="0"/>
              <w:rPr>
                <w:sz w:val="4"/>
                <w:szCs w:val="4"/>
                <w:color w:val="auto"/>
              </w:rPr>
            </w:pPr>
          </w:p>
        </w:tc>
      </w:tr>
      <w:tr>
        <w:trPr>
          <w:trHeight w:val="242"/>
        </w:trPr>
        <w:tc>
          <w:tcPr>
            <w:tcW w:w="5160" w:type="dxa"/>
            <w:vAlign w:val="bottom"/>
          </w:tcPr>
          <w:p>
            <w:pPr>
              <w:spacing w:after="0"/>
              <w:rPr>
                <w:sz w:val="20"/>
                <w:szCs w:val="20"/>
                <w:color w:val="auto"/>
              </w:rPr>
            </w:pPr>
            <w:r>
              <w:rPr>
                <w:rFonts w:ascii="Arial Narrow" w:cs="Arial Narrow" w:eastAsia="Arial Narrow" w:hAnsi="Arial Narrow"/>
                <w:sz w:val="14"/>
                <w:szCs w:val="14"/>
                <w:b w:val="1"/>
                <w:bCs w:val="1"/>
                <w:color w:val="00085E"/>
              </w:rPr>
              <w:t>Net Earnings</w:t>
            </w:r>
          </w:p>
        </w:tc>
        <w:tc>
          <w:tcPr>
            <w:tcW w:w="380" w:type="dxa"/>
            <w:vAlign w:val="bottom"/>
          </w:tcPr>
          <w:p>
            <w:pPr>
              <w:jc w:val="right"/>
              <w:ind w:right="260"/>
              <w:spacing w:after="0"/>
              <w:rPr>
                <w:sz w:val="20"/>
                <w:szCs w:val="20"/>
                <w:color w:val="auto"/>
              </w:rPr>
            </w:pPr>
            <w:r>
              <w:rPr>
                <w:rFonts w:ascii="Arial Narrow" w:cs="Arial Narrow" w:eastAsia="Arial Narrow" w:hAnsi="Arial Narrow"/>
                <w:sz w:val="12"/>
                <w:szCs w:val="12"/>
                <w:color w:val="auto"/>
                <w:w w:val="72"/>
              </w:rPr>
              <w:t>$</w:t>
            </w:r>
          </w:p>
        </w:tc>
        <w:tc>
          <w:tcPr>
            <w:tcW w:w="840" w:type="dxa"/>
            <w:vAlign w:val="bottom"/>
          </w:tcPr>
          <w:p>
            <w:pPr>
              <w:jc w:val="right"/>
              <w:ind w:right="10"/>
              <w:spacing w:after="0"/>
              <w:rPr>
                <w:sz w:val="20"/>
                <w:szCs w:val="20"/>
                <w:color w:val="auto"/>
              </w:rPr>
            </w:pPr>
            <w:r>
              <w:rPr>
                <w:rFonts w:ascii="Arial Narrow" w:cs="Arial Narrow" w:eastAsia="Arial Narrow" w:hAnsi="Arial Narrow"/>
                <w:sz w:val="14"/>
                <w:szCs w:val="14"/>
                <w:color w:val="auto"/>
              </w:rPr>
              <w:t>423,809</w:t>
            </w:r>
          </w:p>
        </w:tc>
        <w:tc>
          <w:tcPr>
            <w:tcW w:w="300" w:type="dxa"/>
            <w:vAlign w:val="bottom"/>
            <w:gridSpan w:val="3"/>
          </w:tcPr>
          <w:p>
            <w:pPr>
              <w:jc w:val="right"/>
              <w:spacing w:after="0"/>
              <w:rPr>
                <w:sz w:val="20"/>
                <w:szCs w:val="20"/>
                <w:color w:val="auto"/>
              </w:rPr>
            </w:pPr>
            <w:r>
              <w:rPr>
                <w:rFonts w:ascii="Arial Narrow" w:cs="Arial Narrow" w:eastAsia="Arial Narrow" w:hAnsi="Arial Narrow"/>
                <w:sz w:val="14"/>
                <w:szCs w:val="14"/>
                <w:color w:val="auto"/>
              </w:rPr>
              <w:t>$</w:t>
            </w:r>
          </w:p>
        </w:tc>
        <w:tc>
          <w:tcPr>
            <w:tcW w:w="1260" w:type="dxa"/>
            <w:vAlign w:val="bottom"/>
          </w:tcPr>
          <w:p>
            <w:pPr>
              <w:jc w:val="right"/>
              <w:ind w:right="130"/>
              <w:spacing w:after="0"/>
              <w:rPr>
                <w:sz w:val="20"/>
                <w:szCs w:val="20"/>
                <w:color w:val="auto"/>
              </w:rPr>
            </w:pPr>
            <w:r>
              <w:rPr>
                <w:rFonts w:ascii="Arial Narrow" w:cs="Arial Narrow" w:eastAsia="Arial Narrow" w:hAnsi="Arial Narrow"/>
                <w:sz w:val="14"/>
                <w:szCs w:val="14"/>
                <w:color w:val="auto"/>
              </w:rPr>
              <w:t>463,416</w:t>
            </w:r>
          </w:p>
        </w:tc>
        <w:tc>
          <w:tcPr>
            <w:tcW w:w="480" w:type="dxa"/>
            <w:vAlign w:val="bottom"/>
            <w:gridSpan w:val="2"/>
          </w:tcPr>
          <w:p>
            <w:pPr>
              <w:jc w:val="right"/>
              <w:ind w:right="300"/>
              <w:spacing w:after="0"/>
              <w:rPr>
                <w:sz w:val="20"/>
                <w:szCs w:val="20"/>
                <w:color w:val="auto"/>
              </w:rPr>
            </w:pPr>
            <w:r>
              <w:rPr>
                <w:rFonts w:ascii="Arial Narrow" w:cs="Arial Narrow" w:eastAsia="Arial Narrow" w:hAnsi="Arial Narrow"/>
                <w:sz w:val="14"/>
                <w:szCs w:val="14"/>
                <w:color w:val="auto"/>
              </w:rPr>
              <w:t>$</w:t>
            </w:r>
          </w:p>
        </w:tc>
        <w:tc>
          <w:tcPr>
            <w:tcW w:w="880" w:type="dxa"/>
            <w:vAlign w:val="bottom"/>
          </w:tcPr>
          <w:p>
            <w:pPr>
              <w:jc w:val="right"/>
              <w:ind w:right="50"/>
              <w:spacing w:after="0"/>
              <w:rPr>
                <w:sz w:val="20"/>
                <w:szCs w:val="20"/>
                <w:color w:val="auto"/>
              </w:rPr>
            </w:pPr>
            <w:r>
              <w:rPr>
                <w:rFonts w:ascii="Arial Narrow" w:cs="Arial Narrow" w:eastAsia="Arial Narrow" w:hAnsi="Arial Narrow"/>
                <w:sz w:val="14"/>
                <w:szCs w:val="14"/>
                <w:color w:val="auto"/>
              </w:rPr>
              <w:t>477,639</w:t>
            </w:r>
          </w:p>
        </w:tc>
        <w:tc>
          <w:tcPr>
            <w:tcW w:w="60" w:type="dxa"/>
            <w:vAlign w:val="bottom"/>
          </w:tcPr>
          <w:p>
            <w:pPr>
              <w:spacing w:after="0"/>
              <w:rPr>
                <w:sz w:val="21"/>
                <w:szCs w:val="21"/>
                <w:color w:val="auto"/>
              </w:rPr>
            </w:pPr>
          </w:p>
        </w:tc>
      </w:tr>
      <w:tr>
        <w:trPr>
          <w:trHeight w:val="47"/>
        </w:trPr>
        <w:tc>
          <w:tcPr>
            <w:tcW w:w="5160" w:type="dxa"/>
            <w:vAlign w:val="bottom"/>
            <w:tcBorders>
              <w:bottom w:val="single" w:sz="8" w:color="A6A6A6"/>
            </w:tcBorders>
          </w:tcPr>
          <w:p>
            <w:pPr>
              <w:spacing w:after="0"/>
              <w:rPr>
                <w:sz w:val="4"/>
                <w:szCs w:val="4"/>
                <w:color w:val="auto"/>
              </w:rPr>
            </w:pPr>
          </w:p>
        </w:tc>
        <w:tc>
          <w:tcPr>
            <w:tcW w:w="380" w:type="dxa"/>
            <w:vAlign w:val="bottom"/>
            <w:tcBorders>
              <w:bottom w:val="single" w:sz="8" w:color="A6A6A6"/>
            </w:tcBorders>
          </w:tcPr>
          <w:p>
            <w:pPr>
              <w:spacing w:after="0"/>
              <w:rPr>
                <w:sz w:val="4"/>
                <w:szCs w:val="4"/>
                <w:color w:val="auto"/>
              </w:rPr>
            </w:pPr>
          </w:p>
        </w:tc>
        <w:tc>
          <w:tcPr>
            <w:tcW w:w="84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60" w:type="dxa"/>
            <w:vAlign w:val="bottom"/>
            <w:tcBorders>
              <w:bottom w:val="single" w:sz="8" w:color="A6A6A6"/>
            </w:tcBorders>
          </w:tcPr>
          <w:p>
            <w:pPr>
              <w:spacing w:after="0"/>
              <w:rPr>
                <w:sz w:val="4"/>
                <w:szCs w:val="4"/>
                <w:color w:val="auto"/>
              </w:rPr>
            </w:pPr>
          </w:p>
        </w:tc>
        <w:tc>
          <w:tcPr>
            <w:tcW w:w="126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360" w:type="dxa"/>
            <w:vAlign w:val="bottom"/>
            <w:tcBorders>
              <w:bottom w:val="single" w:sz="8" w:color="A6A6A6"/>
            </w:tcBorders>
          </w:tcPr>
          <w:p>
            <w:pPr>
              <w:spacing w:after="0"/>
              <w:rPr>
                <w:sz w:val="4"/>
                <w:szCs w:val="4"/>
                <w:color w:val="auto"/>
              </w:rPr>
            </w:pPr>
          </w:p>
        </w:tc>
        <w:tc>
          <w:tcPr>
            <w:tcW w:w="880" w:type="dxa"/>
            <w:vAlign w:val="bottom"/>
            <w:tcBorders>
              <w:bottom w:val="single" w:sz="8" w:color="A6A6A6"/>
            </w:tcBorders>
          </w:tcPr>
          <w:p>
            <w:pPr>
              <w:spacing w:after="0"/>
              <w:rPr>
                <w:sz w:val="4"/>
                <w:szCs w:val="4"/>
                <w:color w:val="auto"/>
              </w:rPr>
            </w:pPr>
          </w:p>
        </w:tc>
        <w:tc>
          <w:tcPr>
            <w:tcW w:w="60" w:type="dxa"/>
            <w:vAlign w:val="bottom"/>
            <w:tcBorders>
              <w:bottom w:val="single" w:sz="8" w:color="A6A6A6"/>
            </w:tcBorders>
          </w:tcPr>
          <w:p>
            <w:pPr>
              <w:spacing w:after="0"/>
              <w:rPr>
                <w:sz w:val="4"/>
                <w:szCs w:val="4"/>
                <w:color w:val="auto"/>
              </w:rPr>
            </w:pPr>
          </w:p>
        </w:tc>
      </w:tr>
      <w:tr>
        <w:trPr>
          <w:trHeight w:val="206"/>
        </w:trPr>
        <w:tc>
          <w:tcPr>
            <w:tcW w:w="5160" w:type="dxa"/>
            <w:vAlign w:val="bottom"/>
          </w:tcPr>
          <w:p>
            <w:pPr>
              <w:spacing w:after="0"/>
              <w:rPr>
                <w:sz w:val="20"/>
                <w:szCs w:val="20"/>
                <w:color w:val="auto"/>
              </w:rPr>
            </w:pPr>
            <w:r>
              <w:rPr>
                <w:rFonts w:ascii="Arial Narrow" w:cs="Arial Narrow" w:eastAsia="Arial Narrow" w:hAnsi="Arial Narrow"/>
                <w:sz w:val="14"/>
                <w:szCs w:val="14"/>
                <w:b w:val="1"/>
                <w:bCs w:val="1"/>
                <w:color w:val="00085E"/>
              </w:rPr>
              <w:t>Adjustments to Reconcile Net Earnings to Net Cash Provided</w:t>
            </w: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7"/>
        </w:trPr>
        <w:tc>
          <w:tcPr>
            <w:tcW w:w="5160" w:type="dxa"/>
            <w:vAlign w:val="bottom"/>
          </w:tcPr>
          <w:p>
            <w:pPr>
              <w:spacing w:after="0"/>
              <w:rPr>
                <w:sz w:val="20"/>
                <w:szCs w:val="20"/>
                <w:color w:val="auto"/>
              </w:rPr>
            </w:pPr>
            <w:r>
              <w:rPr>
                <w:rFonts w:ascii="Arial Narrow" w:cs="Arial Narrow" w:eastAsia="Arial Narrow" w:hAnsi="Arial Narrow"/>
                <w:sz w:val="14"/>
                <w:szCs w:val="14"/>
                <w:b w:val="1"/>
                <w:bCs w:val="1"/>
                <w:color w:val="00085E"/>
              </w:rPr>
              <w:t>by Operating Activities, Net of Effect of Non-Cash Activity:</w:t>
            </w: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7"/>
        </w:trPr>
        <w:tc>
          <w:tcPr>
            <w:tcW w:w="5160" w:type="dxa"/>
            <w:vAlign w:val="bottom"/>
            <w:tcBorders>
              <w:bottom w:val="single" w:sz="8" w:color="A6A6A6"/>
            </w:tcBorders>
          </w:tcPr>
          <w:p>
            <w:pPr>
              <w:spacing w:after="0"/>
              <w:rPr>
                <w:sz w:val="4"/>
                <w:szCs w:val="4"/>
                <w:color w:val="auto"/>
              </w:rPr>
            </w:pPr>
          </w:p>
        </w:tc>
        <w:tc>
          <w:tcPr>
            <w:tcW w:w="380" w:type="dxa"/>
            <w:vAlign w:val="bottom"/>
            <w:tcBorders>
              <w:bottom w:val="single" w:sz="8" w:color="A6A6A6"/>
            </w:tcBorders>
          </w:tcPr>
          <w:p>
            <w:pPr>
              <w:spacing w:after="0"/>
              <w:rPr>
                <w:sz w:val="4"/>
                <w:szCs w:val="4"/>
                <w:color w:val="auto"/>
              </w:rPr>
            </w:pPr>
          </w:p>
        </w:tc>
        <w:tc>
          <w:tcPr>
            <w:tcW w:w="84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60" w:type="dxa"/>
            <w:vAlign w:val="bottom"/>
            <w:tcBorders>
              <w:bottom w:val="single" w:sz="8" w:color="A6A6A6"/>
            </w:tcBorders>
          </w:tcPr>
          <w:p>
            <w:pPr>
              <w:spacing w:after="0"/>
              <w:rPr>
                <w:sz w:val="4"/>
                <w:szCs w:val="4"/>
                <w:color w:val="auto"/>
              </w:rPr>
            </w:pPr>
          </w:p>
        </w:tc>
        <w:tc>
          <w:tcPr>
            <w:tcW w:w="126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360" w:type="dxa"/>
            <w:vAlign w:val="bottom"/>
            <w:tcBorders>
              <w:bottom w:val="single" w:sz="8" w:color="A6A6A6"/>
            </w:tcBorders>
          </w:tcPr>
          <w:p>
            <w:pPr>
              <w:spacing w:after="0"/>
              <w:rPr>
                <w:sz w:val="4"/>
                <w:szCs w:val="4"/>
                <w:color w:val="auto"/>
              </w:rPr>
            </w:pPr>
          </w:p>
        </w:tc>
        <w:tc>
          <w:tcPr>
            <w:tcW w:w="880" w:type="dxa"/>
            <w:vAlign w:val="bottom"/>
            <w:tcBorders>
              <w:bottom w:val="single" w:sz="8" w:color="A6A6A6"/>
            </w:tcBorders>
          </w:tcPr>
          <w:p>
            <w:pPr>
              <w:spacing w:after="0"/>
              <w:rPr>
                <w:sz w:val="4"/>
                <w:szCs w:val="4"/>
                <w:color w:val="auto"/>
              </w:rPr>
            </w:pPr>
          </w:p>
        </w:tc>
        <w:tc>
          <w:tcPr>
            <w:tcW w:w="60" w:type="dxa"/>
            <w:vAlign w:val="bottom"/>
            <w:tcBorders>
              <w:bottom w:val="single" w:sz="8" w:color="A6A6A6"/>
            </w:tcBorders>
          </w:tcPr>
          <w:p>
            <w:pPr>
              <w:spacing w:after="0"/>
              <w:rPr>
                <w:sz w:val="4"/>
                <w:szCs w:val="4"/>
                <w:color w:val="auto"/>
              </w:rPr>
            </w:pPr>
          </w:p>
        </w:tc>
      </w:tr>
      <w:tr>
        <w:trPr>
          <w:trHeight w:val="242"/>
        </w:trPr>
        <w:tc>
          <w:tcPr>
            <w:tcW w:w="5160" w:type="dxa"/>
            <w:vAlign w:val="bottom"/>
          </w:tcPr>
          <w:p>
            <w:pPr>
              <w:spacing w:after="0"/>
              <w:rPr>
                <w:sz w:val="20"/>
                <w:szCs w:val="20"/>
                <w:color w:val="auto"/>
              </w:rPr>
            </w:pPr>
            <w:r>
              <w:rPr>
                <w:rFonts w:ascii="Arial Narrow" w:cs="Arial Narrow" w:eastAsia="Arial Narrow" w:hAnsi="Arial Narrow"/>
                <w:sz w:val="14"/>
                <w:szCs w:val="14"/>
                <w:b w:val="1"/>
                <w:bCs w:val="1"/>
                <w:color w:val="00085E"/>
              </w:rPr>
              <w:t>Depreciation, Depletion, and Amortization</w:t>
            </w:r>
          </w:p>
        </w:tc>
        <w:tc>
          <w:tcPr>
            <w:tcW w:w="3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Narrow" w:cs="Arial Narrow" w:eastAsia="Arial Narrow" w:hAnsi="Arial Narrow"/>
                <w:sz w:val="14"/>
                <w:szCs w:val="14"/>
                <w:color w:val="auto"/>
              </w:rPr>
              <w:t>164,746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Arial Narrow" w:cs="Arial Narrow" w:eastAsia="Arial Narrow" w:hAnsi="Arial Narrow"/>
                <w:sz w:val="14"/>
                <w:szCs w:val="14"/>
                <w:color w:val="auto"/>
              </w:rPr>
              <w:t>158,902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Narrow" w:cs="Arial Narrow" w:eastAsia="Arial Narrow" w:hAnsi="Arial Narrow"/>
                <w:sz w:val="14"/>
                <w:szCs w:val="14"/>
                <w:color w:val="auto"/>
              </w:rPr>
              <w:t>149,832</w:t>
            </w:r>
          </w:p>
        </w:tc>
        <w:tc>
          <w:tcPr>
            <w:tcW w:w="60" w:type="dxa"/>
            <w:vAlign w:val="bottom"/>
          </w:tcPr>
          <w:p>
            <w:pPr>
              <w:spacing w:after="0"/>
              <w:rPr>
                <w:sz w:val="21"/>
                <w:szCs w:val="21"/>
                <w:color w:val="auto"/>
              </w:rPr>
            </w:pPr>
          </w:p>
        </w:tc>
      </w:tr>
      <w:tr>
        <w:trPr>
          <w:trHeight w:val="47"/>
        </w:trPr>
        <w:tc>
          <w:tcPr>
            <w:tcW w:w="5160" w:type="dxa"/>
            <w:vAlign w:val="bottom"/>
            <w:tcBorders>
              <w:bottom w:val="single" w:sz="8" w:color="A6A6A6"/>
            </w:tcBorders>
          </w:tcPr>
          <w:p>
            <w:pPr>
              <w:spacing w:after="0"/>
              <w:rPr>
                <w:sz w:val="4"/>
                <w:szCs w:val="4"/>
                <w:color w:val="auto"/>
              </w:rPr>
            </w:pPr>
          </w:p>
        </w:tc>
        <w:tc>
          <w:tcPr>
            <w:tcW w:w="380" w:type="dxa"/>
            <w:vAlign w:val="bottom"/>
            <w:tcBorders>
              <w:bottom w:val="single" w:sz="8" w:color="A6A6A6"/>
            </w:tcBorders>
          </w:tcPr>
          <w:p>
            <w:pPr>
              <w:spacing w:after="0"/>
              <w:rPr>
                <w:sz w:val="4"/>
                <w:szCs w:val="4"/>
                <w:color w:val="auto"/>
              </w:rPr>
            </w:pPr>
          </w:p>
        </w:tc>
        <w:tc>
          <w:tcPr>
            <w:tcW w:w="84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60" w:type="dxa"/>
            <w:vAlign w:val="bottom"/>
            <w:tcBorders>
              <w:bottom w:val="single" w:sz="8" w:color="A6A6A6"/>
            </w:tcBorders>
          </w:tcPr>
          <w:p>
            <w:pPr>
              <w:spacing w:after="0"/>
              <w:rPr>
                <w:sz w:val="4"/>
                <w:szCs w:val="4"/>
                <w:color w:val="auto"/>
              </w:rPr>
            </w:pPr>
          </w:p>
        </w:tc>
        <w:tc>
          <w:tcPr>
            <w:tcW w:w="126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360" w:type="dxa"/>
            <w:vAlign w:val="bottom"/>
            <w:tcBorders>
              <w:bottom w:val="single" w:sz="8" w:color="A6A6A6"/>
            </w:tcBorders>
          </w:tcPr>
          <w:p>
            <w:pPr>
              <w:spacing w:after="0"/>
              <w:rPr>
                <w:sz w:val="4"/>
                <w:szCs w:val="4"/>
                <w:color w:val="auto"/>
              </w:rPr>
            </w:pPr>
          </w:p>
        </w:tc>
        <w:tc>
          <w:tcPr>
            <w:tcW w:w="880" w:type="dxa"/>
            <w:vAlign w:val="bottom"/>
            <w:tcBorders>
              <w:bottom w:val="single" w:sz="8" w:color="A6A6A6"/>
            </w:tcBorders>
          </w:tcPr>
          <w:p>
            <w:pPr>
              <w:spacing w:after="0"/>
              <w:rPr>
                <w:sz w:val="4"/>
                <w:szCs w:val="4"/>
                <w:color w:val="auto"/>
              </w:rPr>
            </w:pPr>
          </w:p>
        </w:tc>
        <w:tc>
          <w:tcPr>
            <w:tcW w:w="60" w:type="dxa"/>
            <w:vAlign w:val="bottom"/>
            <w:tcBorders>
              <w:bottom w:val="single" w:sz="8" w:color="A6A6A6"/>
            </w:tcBorders>
          </w:tcPr>
          <w:p>
            <w:pPr>
              <w:spacing w:after="0"/>
              <w:rPr>
                <w:sz w:val="4"/>
                <w:szCs w:val="4"/>
                <w:color w:val="auto"/>
              </w:rPr>
            </w:pPr>
          </w:p>
        </w:tc>
      </w:tr>
      <w:tr>
        <w:trPr>
          <w:trHeight w:val="242"/>
        </w:trPr>
        <w:tc>
          <w:tcPr>
            <w:tcW w:w="5160" w:type="dxa"/>
            <w:vAlign w:val="bottom"/>
          </w:tcPr>
          <w:p>
            <w:pPr>
              <w:spacing w:after="0"/>
              <w:rPr>
                <w:sz w:val="20"/>
                <w:szCs w:val="20"/>
                <w:color w:val="auto"/>
              </w:rPr>
            </w:pPr>
            <w:r>
              <w:rPr>
                <w:rFonts w:ascii="Arial Narrow" w:cs="Arial Narrow" w:eastAsia="Arial Narrow" w:hAnsi="Arial Narrow"/>
                <w:sz w:val="14"/>
                <w:szCs w:val="14"/>
                <w:b w:val="1"/>
                <w:bCs w:val="1"/>
                <w:color w:val="00085E"/>
              </w:rPr>
              <w:t>Deferred Income Tax Provision</w:t>
            </w:r>
          </w:p>
        </w:tc>
        <w:tc>
          <w:tcPr>
            <w:tcW w:w="3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Narrow" w:cs="Arial Narrow" w:eastAsia="Arial Narrow" w:hAnsi="Arial Narrow"/>
                <w:sz w:val="14"/>
                <w:szCs w:val="14"/>
                <w:color w:val="auto"/>
              </w:rPr>
              <w:t>22,720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Narrow" w:cs="Arial Narrow" w:eastAsia="Arial Narrow" w:hAnsi="Arial Narrow"/>
                <w:sz w:val="14"/>
                <w:szCs w:val="14"/>
                <w:color w:val="auto"/>
              </w:rPr>
              <w:t>(4,855)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Narrow" w:cs="Arial Narrow" w:eastAsia="Arial Narrow" w:hAnsi="Arial Narrow"/>
                <w:sz w:val="14"/>
                <w:szCs w:val="14"/>
                <w:color w:val="auto"/>
              </w:rPr>
              <w:t>7,953</w:t>
            </w:r>
          </w:p>
        </w:tc>
        <w:tc>
          <w:tcPr>
            <w:tcW w:w="60" w:type="dxa"/>
            <w:vAlign w:val="bottom"/>
          </w:tcPr>
          <w:p>
            <w:pPr>
              <w:spacing w:after="0"/>
              <w:rPr>
                <w:sz w:val="21"/>
                <w:szCs w:val="21"/>
                <w:color w:val="auto"/>
              </w:rPr>
            </w:pPr>
          </w:p>
        </w:tc>
      </w:tr>
      <w:tr>
        <w:trPr>
          <w:trHeight w:val="47"/>
        </w:trPr>
        <w:tc>
          <w:tcPr>
            <w:tcW w:w="5160" w:type="dxa"/>
            <w:vAlign w:val="bottom"/>
            <w:tcBorders>
              <w:bottom w:val="single" w:sz="8" w:color="A6A6A6"/>
            </w:tcBorders>
          </w:tcPr>
          <w:p>
            <w:pPr>
              <w:spacing w:after="0"/>
              <w:rPr>
                <w:sz w:val="4"/>
                <w:szCs w:val="4"/>
                <w:color w:val="auto"/>
              </w:rPr>
            </w:pPr>
          </w:p>
        </w:tc>
        <w:tc>
          <w:tcPr>
            <w:tcW w:w="380" w:type="dxa"/>
            <w:vAlign w:val="bottom"/>
            <w:tcBorders>
              <w:bottom w:val="single" w:sz="8" w:color="A6A6A6"/>
            </w:tcBorders>
          </w:tcPr>
          <w:p>
            <w:pPr>
              <w:spacing w:after="0"/>
              <w:rPr>
                <w:sz w:val="4"/>
                <w:szCs w:val="4"/>
                <w:color w:val="auto"/>
              </w:rPr>
            </w:pPr>
          </w:p>
        </w:tc>
        <w:tc>
          <w:tcPr>
            <w:tcW w:w="84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60" w:type="dxa"/>
            <w:vAlign w:val="bottom"/>
            <w:tcBorders>
              <w:bottom w:val="single" w:sz="8" w:color="A6A6A6"/>
            </w:tcBorders>
          </w:tcPr>
          <w:p>
            <w:pPr>
              <w:spacing w:after="0"/>
              <w:rPr>
                <w:sz w:val="4"/>
                <w:szCs w:val="4"/>
                <w:color w:val="auto"/>
              </w:rPr>
            </w:pPr>
          </w:p>
        </w:tc>
        <w:tc>
          <w:tcPr>
            <w:tcW w:w="126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360" w:type="dxa"/>
            <w:vAlign w:val="bottom"/>
            <w:tcBorders>
              <w:bottom w:val="single" w:sz="8" w:color="A6A6A6"/>
            </w:tcBorders>
          </w:tcPr>
          <w:p>
            <w:pPr>
              <w:spacing w:after="0"/>
              <w:rPr>
                <w:sz w:val="4"/>
                <w:szCs w:val="4"/>
                <w:color w:val="auto"/>
              </w:rPr>
            </w:pPr>
          </w:p>
        </w:tc>
        <w:tc>
          <w:tcPr>
            <w:tcW w:w="880" w:type="dxa"/>
            <w:vAlign w:val="bottom"/>
            <w:tcBorders>
              <w:bottom w:val="single" w:sz="8" w:color="A6A6A6"/>
            </w:tcBorders>
          </w:tcPr>
          <w:p>
            <w:pPr>
              <w:spacing w:after="0"/>
              <w:rPr>
                <w:sz w:val="4"/>
                <w:szCs w:val="4"/>
                <w:color w:val="auto"/>
              </w:rPr>
            </w:pPr>
          </w:p>
        </w:tc>
        <w:tc>
          <w:tcPr>
            <w:tcW w:w="60" w:type="dxa"/>
            <w:vAlign w:val="bottom"/>
            <w:tcBorders>
              <w:bottom w:val="single" w:sz="8" w:color="A6A6A6"/>
            </w:tcBorders>
          </w:tcPr>
          <w:p>
            <w:pPr>
              <w:spacing w:after="0"/>
              <w:rPr>
                <w:sz w:val="4"/>
                <w:szCs w:val="4"/>
                <w:color w:val="auto"/>
              </w:rPr>
            </w:pPr>
          </w:p>
        </w:tc>
      </w:tr>
      <w:tr>
        <w:trPr>
          <w:trHeight w:val="242"/>
        </w:trPr>
        <w:tc>
          <w:tcPr>
            <w:tcW w:w="5160" w:type="dxa"/>
            <w:vAlign w:val="bottom"/>
          </w:tcPr>
          <w:p>
            <w:pPr>
              <w:spacing w:after="0"/>
              <w:rPr>
                <w:sz w:val="20"/>
                <w:szCs w:val="20"/>
                <w:color w:val="auto"/>
              </w:rPr>
            </w:pPr>
            <w:r>
              <w:rPr>
                <w:rFonts w:ascii="Arial Narrow" w:cs="Arial Narrow" w:eastAsia="Arial Narrow" w:hAnsi="Arial Narrow"/>
                <w:sz w:val="14"/>
                <w:szCs w:val="14"/>
                <w:b w:val="1"/>
                <w:bCs w:val="1"/>
                <w:color w:val="00085E"/>
              </w:rPr>
              <w:t>Stock Compensation Expense</w:t>
            </w:r>
          </w:p>
        </w:tc>
        <w:tc>
          <w:tcPr>
            <w:tcW w:w="3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Narrow" w:cs="Arial Narrow" w:eastAsia="Arial Narrow" w:hAnsi="Arial Narrow"/>
                <w:sz w:val="14"/>
                <w:szCs w:val="14"/>
                <w:color w:val="auto"/>
              </w:rPr>
              <w:t>21,266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Arial Narrow" w:cs="Arial Narrow" w:eastAsia="Arial Narrow" w:hAnsi="Arial Narrow"/>
                <w:sz w:val="14"/>
                <w:szCs w:val="14"/>
                <w:color w:val="auto"/>
              </w:rPr>
              <w:t>18,743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Narrow" w:cs="Arial Narrow" w:eastAsia="Arial Narrow" w:hAnsi="Arial Narrow"/>
                <w:sz w:val="14"/>
                <w:szCs w:val="14"/>
                <w:color w:val="auto"/>
              </w:rPr>
              <w:t>19,900</w:t>
            </w:r>
          </w:p>
        </w:tc>
        <w:tc>
          <w:tcPr>
            <w:tcW w:w="60" w:type="dxa"/>
            <w:vAlign w:val="bottom"/>
          </w:tcPr>
          <w:p>
            <w:pPr>
              <w:spacing w:after="0"/>
              <w:rPr>
                <w:sz w:val="21"/>
                <w:szCs w:val="21"/>
                <w:color w:val="auto"/>
              </w:rPr>
            </w:pPr>
          </w:p>
        </w:tc>
      </w:tr>
      <w:tr>
        <w:trPr>
          <w:trHeight w:val="47"/>
        </w:trPr>
        <w:tc>
          <w:tcPr>
            <w:tcW w:w="5160" w:type="dxa"/>
            <w:vAlign w:val="bottom"/>
            <w:tcBorders>
              <w:bottom w:val="single" w:sz="8" w:color="A6A6A6"/>
            </w:tcBorders>
          </w:tcPr>
          <w:p>
            <w:pPr>
              <w:spacing w:after="0"/>
              <w:rPr>
                <w:sz w:val="4"/>
                <w:szCs w:val="4"/>
                <w:color w:val="auto"/>
              </w:rPr>
            </w:pPr>
          </w:p>
        </w:tc>
        <w:tc>
          <w:tcPr>
            <w:tcW w:w="380" w:type="dxa"/>
            <w:vAlign w:val="bottom"/>
            <w:tcBorders>
              <w:bottom w:val="single" w:sz="8" w:color="A6A6A6"/>
            </w:tcBorders>
          </w:tcPr>
          <w:p>
            <w:pPr>
              <w:spacing w:after="0"/>
              <w:rPr>
                <w:sz w:val="4"/>
                <w:szCs w:val="4"/>
                <w:color w:val="auto"/>
              </w:rPr>
            </w:pPr>
          </w:p>
        </w:tc>
        <w:tc>
          <w:tcPr>
            <w:tcW w:w="84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60" w:type="dxa"/>
            <w:vAlign w:val="bottom"/>
            <w:tcBorders>
              <w:bottom w:val="single" w:sz="8" w:color="A6A6A6"/>
            </w:tcBorders>
          </w:tcPr>
          <w:p>
            <w:pPr>
              <w:spacing w:after="0"/>
              <w:rPr>
                <w:sz w:val="4"/>
                <w:szCs w:val="4"/>
                <w:color w:val="auto"/>
              </w:rPr>
            </w:pPr>
          </w:p>
        </w:tc>
        <w:tc>
          <w:tcPr>
            <w:tcW w:w="126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360" w:type="dxa"/>
            <w:vAlign w:val="bottom"/>
            <w:tcBorders>
              <w:bottom w:val="single" w:sz="8" w:color="A6A6A6"/>
            </w:tcBorders>
          </w:tcPr>
          <w:p>
            <w:pPr>
              <w:spacing w:after="0"/>
              <w:rPr>
                <w:sz w:val="4"/>
                <w:szCs w:val="4"/>
                <w:color w:val="auto"/>
              </w:rPr>
            </w:pPr>
          </w:p>
        </w:tc>
        <w:tc>
          <w:tcPr>
            <w:tcW w:w="880" w:type="dxa"/>
            <w:vAlign w:val="bottom"/>
            <w:tcBorders>
              <w:bottom w:val="single" w:sz="8" w:color="A6A6A6"/>
            </w:tcBorders>
          </w:tcPr>
          <w:p>
            <w:pPr>
              <w:spacing w:after="0"/>
              <w:rPr>
                <w:sz w:val="4"/>
                <w:szCs w:val="4"/>
                <w:color w:val="auto"/>
              </w:rPr>
            </w:pPr>
          </w:p>
        </w:tc>
        <w:tc>
          <w:tcPr>
            <w:tcW w:w="60" w:type="dxa"/>
            <w:vAlign w:val="bottom"/>
            <w:tcBorders>
              <w:bottom w:val="single" w:sz="8" w:color="A6A6A6"/>
            </w:tcBorders>
          </w:tcPr>
          <w:p>
            <w:pPr>
              <w:spacing w:after="0"/>
              <w:rPr>
                <w:sz w:val="4"/>
                <w:szCs w:val="4"/>
                <w:color w:val="auto"/>
              </w:rPr>
            </w:pPr>
          </w:p>
        </w:tc>
      </w:tr>
      <w:tr>
        <w:trPr>
          <w:trHeight w:val="242"/>
        </w:trPr>
        <w:tc>
          <w:tcPr>
            <w:tcW w:w="5160" w:type="dxa"/>
            <w:vAlign w:val="bottom"/>
          </w:tcPr>
          <w:p>
            <w:pPr>
              <w:spacing w:after="0"/>
              <w:rPr>
                <w:sz w:val="20"/>
                <w:szCs w:val="20"/>
                <w:color w:val="auto"/>
              </w:rPr>
            </w:pPr>
            <w:r>
              <w:rPr>
                <w:rFonts w:ascii="Arial Narrow" w:cs="Arial Narrow" w:eastAsia="Arial Narrow" w:hAnsi="Arial Narrow"/>
                <w:sz w:val="14"/>
                <w:szCs w:val="14"/>
                <w:b w:val="1"/>
                <w:bCs w:val="1"/>
                <w:color w:val="00085E"/>
              </w:rPr>
              <w:t>Equity in Earnings of Unconsolidated Joint Venture</w:t>
            </w: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Narrow" w:cs="Arial Narrow" w:eastAsia="Arial Narrow" w:hAnsi="Arial Narrow"/>
                <w:sz w:val="14"/>
                <w:szCs w:val="14"/>
                <w:color w:val="auto"/>
              </w:rPr>
              <w:t>(19,989)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Narrow" w:cs="Arial Narrow" w:eastAsia="Arial Narrow" w:hAnsi="Arial Narrow"/>
                <w:sz w:val="14"/>
                <w:szCs w:val="14"/>
                <w:color w:val="auto"/>
              </w:rPr>
              <w:t>(26,396)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Narrow" w:cs="Arial Narrow" w:eastAsia="Arial Narrow" w:hAnsi="Arial Narrow"/>
                <w:sz w:val="14"/>
                <w:szCs w:val="14"/>
                <w:color w:val="auto"/>
              </w:rPr>
              <w:t>(31,581)</w:t>
            </w:r>
          </w:p>
        </w:tc>
        <w:tc>
          <w:tcPr>
            <w:tcW w:w="60" w:type="dxa"/>
            <w:vAlign w:val="bottom"/>
          </w:tcPr>
          <w:p>
            <w:pPr>
              <w:spacing w:after="0"/>
              <w:rPr>
                <w:sz w:val="21"/>
                <w:szCs w:val="21"/>
                <w:color w:val="auto"/>
              </w:rPr>
            </w:pPr>
          </w:p>
        </w:tc>
      </w:tr>
      <w:tr>
        <w:trPr>
          <w:trHeight w:val="47"/>
        </w:trPr>
        <w:tc>
          <w:tcPr>
            <w:tcW w:w="5160" w:type="dxa"/>
            <w:vAlign w:val="bottom"/>
            <w:tcBorders>
              <w:bottom w:val="single" w:sz="8" w:color="A6A6A6"/>
            </w:tcBorders>
          </w:tcPr>
          <w:p>
            <w:pPr>
              <w:spacing w:after="0"/>
              <w:rPr>
                <w:sz w:val="4"/>
                <w:szCs w:val="4"/>
                <w:color w:val="auto"/>
              </w:rPr>
            </w:pPr>
          </w:p>
        </w:tc>
        <w:tc>
          <w:tcPr>
            <w:tcW w:w="380" w:type="dxa"/>
            <w:vAlign w:val="bottom"/>
            <w:tcBorders>
              <w:bottom w:val="single" w:sz="8" w:color="A6A6A6"/>
            </w:tcBorders>
          </w:tcPr>
          <w:p>
            <w:pPr>
              <w:spacing w:after="0"/>
              <w:rPr>
                <w:sz w:val="4"/>
                <w:szCs w:val="4"/>
                <w:color w:val="auto"/>
              </w:rPr>
            </w:pPr>
          </w:p>
        </w:tc>
        <w:tc>
          <w:tcPr>
            <w:tcW w:w="84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60" w:type="dxa"/>
            <w:vAlign w:val="bottom"/>
            <w:tcBorders>
              <w:bottom w:val="single" w:sz="8" w:color="A6A6A6"/>
            </w:tcBorders>
          </w:tcPr>
          <w:p>
            <w:pPr>
              <w:spacing w:after="0"/>
              <w:rPr>
                <w:sz w:val="4"/>
                <w:szCs w:val="4"/>
                <w:color w:val="auto"/>
              </w:rPr>
            </w:pPr>
          </w:p>
        </w:tc>
        <w:tc>
          <w:tcPr>
            <w:tcW w:w="126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360" w:type="dxa"/>
            <w:vAlign w:val="bottom"/>
            <w:tcBorders>
              <w:bottom w:val="single" w:sz="8" w:color="A6A6A6"/>
            </w:tcBorders>
          </w:tcPr>
          <w:p>
            <w:pPr>
              <w:spacing w:after="0"/>
              <w:rPr>
                <w:sz w:val="4"/>
                <w:szCs w:val="4"/>
                <w:color w:val="auto"/>
              </w:rPr>
            </w:pPr>
          </w:p>
        </w:tc>
        <w:tc>
          <w:tcPr>
            <w:tcW w:w="880" w:type="dxa"/>
            <w:vAlign w:val="bottom"/>
            <w:tcBorders>
              <w:bottom w:val="single" w:sz="8" w:color="A6A6A6"/>
            </w:tcBorders>
          </w:tcPr>
          <w:p>
            <w:pPr>
              <w:spacing w:after="0"/>
              <w:rPr>
                <w:sz w:val="4"/>
                <w:szCs w:val="4"/>
                <w:color w:val="auto"/>
              </w:rPr>
            </w:pPr>
          </w:p>
        </w:tc>
        <w:tc>
          <w:tcPr>
            <w:tcW w:w="60" w:type="dxa"/>
            <w:vAlign w:val="bottom"/>
            <w:tcBorders>
              <w:bottom w:val="single" w:sz="8" w:color="A6A6A6"/>
            </w:tcBorders>
          </w:tcPr>
          <w:p>
            <w:pPr>
              <w:spacing w:after="0"/>
              <w:rPr>
                <w:sz w:val="4"/>
                <w:szCs w:val="4"/>
                <w:color w:val="auto"/>
              </w:rPr>
            </w:pPr>
          </w:p>
        </w:tc>
      </w:tr>
      <w:tr>
        <w:trPr>
          <w:trHeight w:val="242"/>
        </w:trPr>
        <w:tc>
          <w:tcPr>
            <w:tcW w:w="5160" w:type="dxa"/>
            <w:vAlign w:val="bottom"/>
          </w:tcPr>
          <w:p>
            <w:pPr>
              <w:spacing w:after="0"/>
              <w:rPr>
                <w:sz w:val="20"/>
                <w:szCs w:val="20"/>
                <w:color w:val="auto"/>
              </w:rPr>
            </w:pPr>
            <w:r>
              <w:rPr>
                <w:rFonts w:ascii="Arial Narrow" w:cs="Arial Narrow" w:eastAsia="Arial Narrow" w:hAnsi="Arial Narrow"/>
                <w:sz w:val="14"/>
                <w:szCs w:val="14"/>
                <w:b w:val="1"/>
                <w:bCs w:val="1"/>
                <w:color w:val="00085E"/>
              </w:rPr>
              <w:t>Distributions from Joint Venture</w:t>
            </w:r>
          </w:p>
        </w:tc>
        <w:tc>
          <w:tcPr>
            <w:tcW w:w="3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Narrow" w:cs="Arial Narrow" w:eastAsia="Arial Narrow" w:hAnsi="Arial Narrow"/>
                <w:sz w:val="14"/>
                <w:szCs w:val="14"/>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Arial Narrow" w:cs="Arial Narrow" w:eastAsia="Arial Narrow" w:hAnsi="Arial Narrow"/>
                <w:sz w:val="14"/>
                <w:szCs w:val="14"/>
                <w:color w:val="auto"/>
              </w:rPr>
              <w:t>—</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Narrow" w:cs="Arial Narrow" w:eastAsia="Arial Narrow" w:hAnsi="Arial Narrow"/>
                <w:sz w:val="14"/>
                <w:szCs w:val="14"/>
                <w:color w:val="auto"/>
              </w:rPr>
              <w:t>7,000</w:t>
            </w:r>
          </w:p>
        </w:tc>
        <w:tc>
          <w:tcPr>
            <w:tcW w:w="60" w:type="dxa"/>
            <w:vAlign w:val="bottom"/>
          </w:tcPr>
          <w:p>
            <w:pPr>
              <w:spacing w:after="0"/>
              <w:rPr>
                <w:sz w:val="21"/>
                <w:szCs w:val="21"/>
                <w:color w:val="auto"/>
              </w:rPr>
            </w:pPr>
          </w:p>
        </w:tc>
      </w:tr>
      <w:tr>
        <w:trPr>
          <w:trHeight w:val="47"/>
        </w:trPr>
        <w:tc>
          <w:tcPr>
            <w:tcW w:w="5160" w:type="dxa"/>
            <w:vAlign w:val="bottom"/>
            <w:tcBorders>
              <w:bottom w:val="single" w:sz="8" w:color="A6A6A6"/>
            </w:tcBorders>
          </w:tcPr>
          <w:p>
            <w:pPr>
              <w:spacing w:after="0"/>
              <w:rPr>
                <w:sz w:val="4"/>
                <w:szCs w:val="4"/>
                <w:color w:val="auto"/>
              </w:rPr>
            </w:pPr>
          </w:p>
        </w:tc>
        <w:tc>
          <w:tcPr>
            <w:tcW w:w="380" w:type="dxa"/>
            <w:vAlign w:val="bottom"/>
            <w:tcBorders>
              <w:bottom w:val="single" w:sz="8" w:color="A6A6A6"/>
            </w:tcBorders>
          </w:tcPr>
          <w:p>
            <w:pPr>
              <w:spacing w:after="0"/>
              <w:rPr>
                <w:sz w:val="4"/>
                <w:szCs w:val="4"/>
                <w:color w:val="auto"/>
              </w:rPr>
            </w:pPr>
          </w:p>
        </w:tc>
        <w:tc>
          <w:tcPr>
            <w:tcW w:w="84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60" w:type="dxa"/>
            <w:vAlign w:val="bottom"/>
            <w:tcBorders>
              <w:bottom w:val="single" w:sz="8" w:color="A6A6A6"/>
            </w:tcBorders>
          </w:tcPr>
          <w:p>
            <w:pPr>
              <w:spacing w:after="0"/>
              <w:rPr>
                <w:sz w:val="4"/>
                <w:szCs w:val="4"/>
                <w:color w:val="auto"/>
              </w:rPr>
            </w:pPr>
          </w:p>
        </w:tc>
        <w:tc>
          <w:tcPr>
            <w:tcW w:w="126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360" w:type="dxa"/>
            <w:vAlign w:val="bottom"/>
            <w:tcBorders>
              <w:bottom w:val="single" w:sz="8" w:color="A6A6A6"/>
            </w:tcBorders>
          </w:tcPr>
          <w:p>
            <w:pPr>
              <w:spacing w:after="0"/>
              <w:rPr>
                <w:sz w:val="4"/>
                <w:szCs w:val="4"/>
                <w:color w:val="auto"/>
              </w:rPr>
            </w:pPr>
          </w:p>
        </w:tc>
        <w:tc>
          <w:tcPr>
            <w:tcW w:w="880" w:type="dxa"/>
            <w:vAlign w:val="bottom"/>
            <w:tcBorders>
              <w:bottom w:val="single" w:sz="8" w:color="A6A6A6"/>
            </w:tcBorders>
          </w:tcPr>
          <w:p>
            <w:pPr>
              <w:spacing w:after="0"/>
              <w:rPr>
                <w:sz w:val="4"/>
                <w:szCs w:val="4"/>
                <w:color w:val="auto"/>
              </w:rPr>
            </w:pPr>
          </w:p>
        </w:tc>
        <w:tc>
          <w:tcPr>
            <w:tcW w:w="60" w:type="dxa"/>
            <w:vAlign w:val="bottom"/>
            <w:tcBorders>
              <w:bottom w:val="single" w:sz="8" w:color="A6A6A6"/>
            </w:tcBorders>
          </w:tcPr>
          <w:p>
            <w:pPr>
              <w:spacing w:after="0"/>
              <w:rPr>
                <w:sz w:val="4"/>
                <w:szCs w:val="4"/>
                <w:color w:val="auto"/>
              </w:rPr>
            </w:pPr>
          </w:p>
        </w:tc>
      </w:tr>
      <w:tr>
        <w:trPr>
          <w:trHeight w:val="242"/>
        </w:trPr>
        <w:tc>
          <w:tcPr>
            <w:tcW w:w="5160" w:type="dxa"/>
            <w:vAlign w:val="bottom"/>
          </w:tcPr>
          <w:p>
            <w:pPr>
              <w:spacing w:after="0"/>
              <w:rPr>
                <w:sz w:val="20"/>
                <w:szCs w:val="20"/>
                <w:color w:val="auto"/>
              </w:rPr>
            </w:pPr>
            <w:r>
              <w:rPr>
                <w:rFonts w:ascii="Arial Narrow" w:cs="Arial Narrow" w:eastAsia="Arial Narrow" w:hAnsi="Arial Narrow"/>
                <w:sz w:val="14"/>
                <w:szCs w:val="14"/>
                <w:b w:val="1"/>
                <w:bCs w:val="1"/>
                <w:color w:val="00085E"/>
              </w:rPr>
              <w:t>Changes in Operating Assets and Liabilities:</w:t>
            </w: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47"/>
        </w:trPr>
        <w:tc>
          <w:tcPr>
            <w:tcW w:w="5160" w:type="dxa"/>
            <w:vAlign w:val="bottom"/>
            <w:tcBorders>
              <w:bottom w:val="single" w:sz="8" w:color="A6A6A6"/>
            </w:tcBorders>
          </w:tcPr>
          <w:p>
            <w:pPr>
              <w:spacing w:after="0"/>
              <w:rPr>
                <w:sz w:val="4"/>
                <w:szCs w:val="4"/>
                <w:color w:val="auto"/>
              </w:rPr>
            </w:pPr>
          </w:p>
        </w:tc>
        <w:tc>
          <w:tcPr>
            <w:tcW w:w="380" w:type="dxa"/>
            <w:vAlign w:val="bottom"/>
            <w:tcBorders>
              <w:bottom w:val="single" w:sz="8" w:color="A6A6A6"/>
            </w:tcBorders>
          </w:tcPr>
          <w:p>
            <w:pPr>
              <w:spacing w:after="0"/>
              <w:rPr>
                <w:sz w:val="4"/>
                <w:szCs w:val="4"/>
                <w:color w:val="auto"/>
              </w:rPr>
            </w:pPr>
          </w:p>
        </w:tc>
        <w:tc>
          <w:tcPr>
            <w:tcW w:w="84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60" w:type="dxa"/>
            <w:vAlign w:val="bottom"/>
            <w:tcBorders>
              <w:bottom w:val="single" w:sz="8" w:color="A6A6A6"/>
            </w:tcBorders>
          </w:tcPr>
          <w:p>
            <w:pPr>
              <w:spacing w:after="0"/>
              <w:rPr>
                <w:sz w:val="4"/>
                <w:szCs w:val="4"/>
                <w:color w:val="auto"/>
              </w:rPr>
            </w:pPr>
          </w:p>
        </w:tc>
        <w:tc>
          <w:tcPr>
            <w:tcW w:w="126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360" w:type="dxa"/>
            <w:vAlign w:val="bottom"/>
            <w:tcBorders>
              <w:bottom w:val="single" w:sz="8" w:color="A6A6A6"/>
            </w:tcBorders>
          </w:tcPr>
          <w:p>
            <w:pPr>
              <w:spacing w:after="0"/>
              <w:rPr>
                <w:sz w:val="4"/>
                <w:szCs w:val="4"/>
                <w:color w:val="auto"/>
              </w:rPr>
            </w:pPr>
          </w:p>
        </w:tc>
        <w:tc>
          <w:tcPr>
            <w:tcW w:w="880" w:type="dxa"/>
            <w:vAlign w:val="bottom"/>
            <w:tcBorders>
              <w:bottom w:val="single" w:sz="8" w:color="A6A6A6"/>
            </w:tcBorders>
          </w:tcPr>
          <w:p>
            <w:pPr>
              <w:spacing w:after="0"/>
              <w:rPr>
                <w:sz w:val="4"/>
                <w:szCs w:val="4"/>
                <w:color w:val="auto"/>
              </w:rPr>
            </w:pPr>
          </w:p>
        </w:tc>
        <w:tc>
          <w:tcPr>
            <w:tcW w:w="60" w:type="dxa"/>
            <w:vAlign w:val="bottom"/>
            <w:tcBorders>
              <w:bottom w:val="single" w:sz="8" w:color="A6A6A6"/>
            </w:tcBorders>
          </w:tcPr>
          <w:p>
            <w:pPr>
              <w:spacing w:after="0"/>
              <w:rPr>
                <w:sz w:val="4"/>
                <w:szCs w:val="4"/>
                <w:color w:val="auto"/>
              </w:rPr>
            </w:pPr>
          </w:p>
        </w:tc>
      </w:tr>
      <w:tr>
        <w:trPr>
          <w:trHeight w:val="242"/>
        </w:trPr>
        <w:tc>
          <w:tcPr>
            <w:tcW w:w="5160" w:type="dxa"/>
            <w:vAlign w:val="bottom"/>
          </w:tcPr>
          <w:p>
            <w:pPr>
              <w:spacing w:after="0"/>
              <w:rPr>
                <w:sz w:val="20"/>
                <w:szCs w:val="20"/>
                <w:color w:val="auto"/>
              </w:rPr>
            </w:pPr>
            <w:r>
              <w:rPr>
                <w:rFonts w:ascii="Arial Narrow" w:cs="Arial Narrow" w:eastAsia="Arial Narrow" w:hAnsi="Arial Narrow"/>
                <w:sz w:val="14"/>
                <w:szCs w:val="14"/>
                <w:b w:val="1"/>
                <w:bCs w:val="1"/>
                <w:color w:val="00085E"/>
              </w:rPr>
              <w:t>Accounts Receivable</w:t>
            </w: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Narrow" w:cs="Arial Narrow" w:eastAsia="Arial Narrow" w:hAnsi="Arial Narrow"/>
                <w:sz w:val="14"/>
                <w:szCs w:val="14"/>
                <w:color w:val="auto"/>
              </w:rPr>
              <w:t>(16,241)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Narrow" w:cs="Arial Narrow" w:eastAsia="Arial Narrow" w:hAnsi="Arial Narrow"/>
                <w:sz w:val="14"/>
                <w:szCs w:val="14"/>
                <w:color w:val="auto"/>
              </w:rPr>
              <w:t>(7,904)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Narrow" w:cs="Arial Narrow" w:eastAsia="Arial Narrow" w:hAnsi="Arial Narrow"/>
                <w:sz w:val="14"/>
                <w:szCs w:val="14"/>
                <w:color w:val="auto"/>
              </w:rPr>
              <w:t>(551)</w:t>
            </w:r>
          </w:p>
        </w:tc>
        <w:tc>
          <w:tcPr>
            <w:tcW w:w="60" w:type="dxa"/>
            <w:vAlign w:val="bottom"/>
          </w:tcPr>
          <w:p>
            <w:pPr>
              <w:spacing w:after="0"/>
              <w:rPr>
                <w:sz w:val="21"/>
                <w:szCs w:val="21"/>
                <w:color w:val="auto"/>
              </w:rPr>
            </w:pPr>
          </w:p>
        </w:tc>
      </w:tr>
      <w:tr>
        <w:trPr>
          <w:trHeight w:val="47"/>
        </w:trPr>
        <w:tc>
          <w:tcPr>
            <w:tcW w:w="5160" w:type="dxa"/>
            <w:vAlign w:val="bottom"/>
            <w:tcBorders>
              <w:bottom w:val="single" w:sz="8" w:color="A6A6A6"/>
            </w:tcBorders>
          </w:tcPr>
          <w:p>
            <w:pPr>
              <w:spacing w:after="0"/>
              <w:rPr>
                <w:sz w:val="4"/>
                <w:szCs w:val="4"/>
                <w:color w:val="auto"/>
              </w:rPr>
            </w:pPr>
          </w:p>
        </w:tc>
        <w:tc>
          <w:tcPr>
            <w:tcW w:w="380" w:type="dxa"/>
            <w:vAlign w:val="bottom"/>
            <w:tcBorders>
              <w:bottom w:val="single" w:sz="8" w:color="A6A6A6"/>
            </w:tcBorders>
          </w:tcPr>
          <w:p>
            <w:pPr>
              <w:spacing w:after="0"/>
              <w:rPr>
                <w:sz w:val="4"/>
                <w:szCs w:val="4"/>
                <w:color w:val="auto"/>
              </w:rPr>
            </w:pPr>
          </w:p>
        </w:tc>
        <w:tc>
          <w:tcPr>
            <w:tcW w:w="84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60" w:type="dxa"/>
            <w:vAlign w:val="bottom"/>
            <w:tcBorders>
              <w:bottom w:val="single" w:sz="8" w:color="A6A6A6"/>
            </w:tcBorders>
          </w:tcPr>
          <w:p>
            <w:pPr>
              <w:spacing w:after="0"/>
              <w:rPr>
                <w:sz w:val="4"/>
                <w:szCs w:val="4"/>
                <w:color w:val="auto"/>
              </w:rPr>
            </w:pPr>
          </w:p>
        </w:tc>
        <w:tc>
          <w:tcPr>
            <w:tcW w:w="126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360" w:type="dxa"/>
            <w:vAlign w:val="bottom"/>
            <w:tcBorders>
              <w:bottom w:val="single" w:sz="8" w:color="A6A6A6"/>
            </w:tcBorders>
          </w:tcPr>
          <w:p>
            <w:pPr>
              <w:spacing w:after="0"/>
              <w:rPr>
                <w:sz w:val="4"/>
                <w:szCs w:val="4"/>
                <w:color w:val="auto"/>
              </w:rPr>
            </w:pPr>
          </w:p>
        </w:tc>
        <w:tc>
          <w:tcPr>
            <w:tcW w:w="880" w:type="dxa"/>
            <w:vAlign w:val="bottom"/>
            <w:tcBorders>
              <w:bottom w:val="single" w:sz="8" w:color="A6A6A6"/>
            </w:tcBorders>
          </w:tcPr>
          <w:p>
            <w:pPr>
              <w:spacing w:after="0"/>
              <w:rPr>
                <w:sz w:val="4"/>
                <w:szCs w:val="4"/>
                <w:color w:val="auto"/>
              </w:rPr>
            </w:pPr>
          </w:p>
        </w:tc>
        <w:tc>
          <w:tcPr>
            <w:tcW w:w="60" w:type="dxa"/>
            <w:vAlign w:val="bottom"/>
            <w:tcBorders>
              <w:bottom w:val="single" w:sz="8" w:color="A6A6A6"/>
            </w:tcBorders>
          </w:tcPr>
          <w:p>
            <w:pPr>
              <w:spacing w:after="0"/>
              <w:rPr>
                <w:sz w:val="4"/>
                <w:szCs w:val="4"/>
                <w:color w:val="auto"/>
              </w:rPr>
            </w:pPr>
          </w:p>
        </w:tc>
      </w:tr>
      <w:tr>
        <w:trPr>
          <w:trHeight w:val="242"/>
        </w:trPr>
        <w:tc>
          <w:tcPr>
            <w:tcW w:w="5160" w:type="dxa"/>
            <w:vAlign w:val="bottom"/>
          </w:tcPr>
          <w:p>
            <w:pPr>
              <w:spacing w:after="0"/>
              <w:rPr>
                <w:sz w:val="20"/>
                <w:szCs w:val="20"/>
                <w:color w:val="auto"/>
              </w:rPr>
            </w:pPr>
            <w:r>
              <w:rPr>
                <w:rFonts w:ascii="Arial Narrow" w:cs="Arial Narrow" w:eastAsia="Arial Narrow" w:hAnsi="Arial Narrow"/>
                <w:sz w:val="14"/>
                <w:szCs w:val="14"/>
                <w:b w:val="1"/>
                <w:bCs w:val="1"/>
                <w:color w:val="00085E"/>
              </w:rPr>
              <w:t>Inventories</w:t>
            </w:r>
          </w:p>
        </w:tc>
        <w:tc>
          <w:tcPr>
            <w:tcW w:w="3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Narrow" w:cs="Arial Narrow" w:eastAsia="Arial Narrow" w:hAnsi="Arial Narrow"/>
                <w:sz w:val="14"/>
                <w:szCs w:val="14"/>
                <w:color w:val="auto"/>
              </w:rPr>
              <w:t>6,784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Narrow" w:cs="Arial Narrow" w:eastAsia="Arial Narrow" w:hAnsi="Arial Narrow"/>
                <w:sz w:val="14"/>
                <w:szCs w:val="14"/>
                <w:color w:val="auto"/>
              </w:rPr>
              <w:t>(36,832)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Narrow" w:cs="Arial Narrow" w:eastAsia="Arial Narrow" w:hAnsi="Arial Narrow"/>
                <w:sz w:val="14"/>
                <w:szCs w:val="14"/>
                <w:color w:val="auto"/>
              </w:rPr>
              <w:t>(67,232)</w:t>
            </w:r>
          </w:p>
        </w:tc>
        <w:tc>
          <w:tcPr>
            <w:tcW w:w="60" w:type="dxa"/>
            <w:vAlign w:val="bottom"/>
          </w:tcPr>
          <w:p>
            <w:pPr>
              <w:spacing w:after="0"/>
              <w:rPr>
                <w:sz w:val="21"/>
                <w:szCs w:val="21"/>
                <w:color w:val="auto"/>
              </w:rPr>
            </w:pPr>
          </w:p>
        </w:tc>
      </w:tr>
      <w:tr>
        <w:trPr>
          <w:trHeight w:val="47"/>
        </w:trPr>
        <w:tc>
          <w:tcPr>
            <w:tcW w:w="5160" w:type="dxa"/>
            <w:vAlign w:val="bottom"/>
            <w:tcBorders>
              <w:bottom w:val="single" w:sz="8" w:color="A6A6A6"/>
            </w:tcBorders>
          </w:tcPr>
          <w:p>
            <w:pPr>
              <w:spacing w:after="0"/>
              <w:rPr>
                <w:sz w:val="4"/>
                <w:szCs w:val="4"/>
                <w:color w:val="auto"/>
              </w:rPr>
            </w:pPr>
          </w:p>
        </w:tc>
        <w:tc>
          <w:tcPr>
            <w:tcW w:w="380" w:type="dxa"/>
            <w:vAlign w:val="bottom"/>
            <w:tcBorders>
              <w:bottom w:val="single" w:sz="8" w:color="A6A6A6"/>
            </w:tcBorders>
          </w:tcPr>
          <w:p>
            <w:pPr>
              <w:spacing w:after="0"/>
              <w:rPr>
                <w:sz w:val="4"/>
                <w:szCs w:val="4"/>
                <w:color w:val="auto"/>
              </w:rPr>
            </w:pPr>
          </w:p>
        </w:tc>
        <w:tc>
          <w:tcPr>
            <w:tcW w:w="84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60" w:type="dxa"/>
            <w:vAlign w:val="bottom"/>
            <w:tcBorders>
              <w:bottom w:val="single" w:sz="8" w:color="A6A6A6"/>
            </w:tcBorders>
          </w:tcPr>
          <w:p>
            <w:pPr>
              <w:spacing w:after="0"/>
              <w:rPr>
                <w:sz w:val="4"/>
                <w:szCs w:val="4"/>
                <w:color w:val="auto"/>
              </w:rPr>
            </w:pPr>
          </w:p>
        </w:tc>
        <w:tc>
          <w:tcPr>
            <w:tcW w:w="126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360" w:type="dxa"/>
            <w:vAlign w:val="bottom"/>
            <w:tcBorders>
              <w:bottom w:val="single" w:sz="8" w:color="A6A6A6"/>
            </w:tcBorders>
          </w:tcPr>
          <w:p>
            <w:pPr>
              <w:spacing w:after="0"/>
              <w:rPr>
                <w:sz w:val="4"/>
                <w:szCs w:val="4"/>
                <w:color w:val="auto"/>
              </w:rPr>
            </w:pPr>
          </w:p>
        </w:tc>
        <w:tc>
          <w:tcPr>
            <w:tcW w:w="880" w:type="dxa"/>
            <w:vAlign w:val="bottom"/>
            <w:tcBorders>
              <w:bottom w:val="single" w:sz="8" w:color="A6A6A6"/>
            </w:tcBorders>
          </w:tcPr>
          <w:p>
            <w:pPr>
              <w:spacing w:after="0"/>
              <w:rPr>
                <w:sz w:val="4"/>
                <w:szCs w:val="4"/>
                <w:color w:val="auto"/>
              </w:rPr>
            </w:pPr>
          </w:p>
        </w:tc>
        <w:tc>
          <w:tcPr>
            <w:tcW w:w="60" w:type="dxa"/>
            <w:vAlign w:val="bottom"/>
            <w:tcBorders>
              <w:bottom w:val="single" w:sz="8" w:color="A6A6A6"/>
            </w:tcBorders>
          </w:tcPr>
          <w:p>
            <w:pPr>
              <w:spacing w:after="0"/>
              <w:rPr>
                <w:sz w:val="4"/>
                <w:szCs w:val="4"/>
                <w:color w:val="auto"/>
              </w:rPr>
            </w:pPr>
          </w:p>
        </w:tc>
      </w:tr>
      <w:tr>
        <w:trPr>
          <w:trHeight w:val="242"/>
        </w:trPr>
        <w:tc>
          <w:tcPr>
            <w:tcW w:w="5160" w:type="dxa"/>
            <w:vAlign w:val="bottom"/>
          </w:tcPr>
          <w:p>
            <w:pPr>
              <w:spacing w:after="0"/>
              <w:rPr>
                <w:sz w:val="20"/>
                <w:szCs w:val="20"/>
                <w:color w:val="auto"/>
              </w:rPr>
            </w:pPr>
            <w:r>
              <w:rPr>
                <w:rFonts w:ascii="Arial Narrow" w:cs="Arial Narrow" w:eastAsia="Arial Narrow" w:hAnsi="Arial Narrow"/>
                <w:sz w:val="14"/>
                <w:szCs w:val="14"/>
                <w:b w:val="1"/>
                <w:bCs w:val="1"/>
                <w:color w:val="00085E"/>
              </w:rPr>
              <w:t>Accounts Payable and Accrued Liabilities</w:t>
            </w:r>
          </w:p>
        </w:tc>
        <w:tc>
          <w:tcPr>
            <w:tcW w:w="3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Narrow" w:cs="Arial Narrow" w:eastAsia="Arial Narrow" w:hAnsi="Arial Narrow"/>
                <w:sz w:val="14"/>
                <w:szCs w:val="14"/>
                <w:color w:val="auto"/>
              </w:rPr>
              <w:t>8,795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Arial Narrow" w:cs="Arial Narrow" w:eastAsia="Arial Narrow" w:hAnsi="Arial Narrow"/>
                <w:sz w:val="14"/>
                <w:szCs w:val="14"/>
                <w:color w:val="auto"/>
              </w:rPr>
              <w:t>874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Narrow" w:cs="Arial Narrow" w:eastAsia="Arial Narrow" w:hAnsi="Arial Narrow"/>
                <w:sz w:val="14"/>
                <w:szCs w:val="14"/>
                <w:color w:val="auto"/>
              </w:rPr>
              <w:t>13,794</w:t>
            </w:r>
          </w:p>
        </w:tc>
        <w:tc>
          <w:tcPr>
            <w:tcW w:w="60" w:type="dxa"/>
            <w:vAlign w:val="bottom"/>
          </w:tcPr>
          <w:p>
            <w:pPr>
              <w:spacing w:after="0"/>
              <w:rPr>
                <w:sz w:val="21"/>
                <w:szCs w:val="21"/>
                <w:color w:val="auto"/>
              </w:rPr>
            </w:pPr>
          </w:p>
        </w:tc>
      </w:tr>
      <w:tr>
        <w:trPr>
          <w:trHeight w:val="47"/>
        </w:trPr>
        <w:tc>
          <w:tcPr>
            <w:tcW w:w="5160" w:type="dxa"/>
            <w:vAlign w:val="bottom"/>
            <w:tcBorders>
              <w:bottom w:val="single" w:sz="8" w:color="A6A6A6"/>
            </w:tcBorders>
          </w:tcPr>
          <w:p>
            <w:pPr>
              <w:spacing w:after="0"/>
              <w:rPr>
                <w:sz w:val="4"/>
                <w:szCs w:val="4"/>
                <w:color w:val="auto"/>
              </w:rPr>
            </w:pPr>
          </w:p>
        </w:tc>
        <w:tc>
          <w:tcPr>
            <w:tcW w:w="380" w:type="dxa"/>
            <w:vAlign w:val="bottom"/>
            <w:tcBorders>
              <w:bottom w:val="single" w:sz="8" w:color="A6A6A6"/>
            </w:tcBorders>
          </w:tcPr>
          <w:p>
            <w:pPr>
              <w:spacing w:after="0"/>
              <w:rPr>
                <w:sz w:val="4"/>
                <w:szCs w:val="4"/>
                <w:color w:val="auto"/>
              </w:rPr>
            </w:pPr>
          </w:p>
        </w:tc>
        <w:tc>
          <w:tcPr>
            <w:tcW w:w="84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60" w:type="dxa"/>
            <w:vAlign w:val="bottom"/>
            <w:tcBorders>
              <w:bottom w:val="single" w:sz="8" w:color="A6A6A6"/>
            </w:tcBorders>
          </w:tcPr>
          <w:p>
            <w:pPr>
              <w:spacing w:after="0"/>
              <w:rPr>
                <w:sz w:val="4"/>
                <w:szCs w:val="4"/>
                <w:color w:val="auto"/>
              </w:rPr>
            </w:pPr>
          </w:p>
        </w:tc>
        <w:tc>
          <w:tcPr>
            <w:tcW w:w="126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360" w:type="dxa"/>
            <w:vAlign w:val="bottom"/>
            <w:tcBorders>
              <w:bottom w:val="single" w:sz="8" w:color="A6A6A6"/>
            </w:tcBorders>
          </w:tcPr>
          <w:p>
            <w:pPr>
              <w:spacing w:after="0"/>
              <w:rPr>
                <w:sz w:val="4"/>
                <w:szCs w:val="4"/>
                <w:color w:val="auto"/>
              </w:rPr>
            </w:pPr>
          </w:p>
        </w:tc>
        <w:tc>
          <w:tcPr>
            <w:tcW w:w="880" w:type="dxa"/>
            <w:vAlign w:val="bottom"/>
            <w:tcBorders>
              <w:bottom w:val="single" w:sz="8" w:color="A6A6A6"/>
            </w:tcBorders>
          </w:tcPr>
          <w:p>
            <w:pPr>
              <w:spacing w:after="0"/>
              <w:rPr>
                <w:sz w:val="4"/>
                <w:szCs w:val="4"/>
                <w:color w:val="auto"/>
              </w:rPr>
            </w:pPr>
          </w:p>
        </w:tc>
        <w:tc>
          <w:tcPr>
            <w:tcW w:w="60" w:type="dxa"/>
            <w:vAlign w:val="bottom"/>
            <w:tcBorders>
              <w:bottom w:val="single" w:sz="8" w:color="A6A6A6"/>
            </w:tcBorders>
          </w:tcPr>
          <w:p>
            <w:pPr>
              <w:spacing w:after="0"/>
              <w:rPr>
                <w:sz w:val="4"/>
                <w:szCs w:val="4"/>
                <w:color w:val="auto"/>
              </w:rPr>
            </w:pPr>
          </w:p>
        </w:tc>
      </w:tr>
      <w:tr>
        <w:trPr>
          <w:trHeight w:val="242"/>
        </w:trPr>
        <w:tc>
          <w:tcPr>
            <w:tcW w:w="5160" w:type="dxa"/>
            <w:vAlign w:val="bottom"/>
          </w:tcPr>
          <w:p>
            <w:pPr>
              <w:spacing w:after="0"/>
              <w:rPr>
                <w:sz w:val="20"/>
                <w:szCs w:val="20"/>
                <w:color w:val="auto"/>
              </w:rPr>
            </w:pPr>
            <w:r>
              <w:rPr>
                <w:rFonts w:ascii="Arial Narrow" w:cs="Arial Narrow" w:eastAsia="Arial Narrow" w:hAnsi="Arial Narrow"/>
                <w:sz w:val="14"/>
                <w:szCs w:val="14"/>
                <w:b w:val="1"/>
                <w:bCs w:val="1"/>
                <w:color w:val="00085E"/>
              </w:rPr>
              <w:t>Other Assets</w:t>
            </w: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Narrow" w:cs="Arial Narrow" w:eastAsia="Arial Narrow" w:hAnsi="Arial Narrow"/>
                <w:sz w:val="14"/>
                <w:szCs w:val="14"/>
                <w:color w:val="auto"/>
              </w:rPr>
              <w:t>(546)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Narrow" w:cs="Arial Narrow" w:eastAsia="Arial Narrow" w:hAnsi="Arial Narrow"/>
                <w:sz w:val="14"/>
                <w:szCs w:val="14"/>
                <w:color w:val="auto"/>
              </w:rPr>
              <w:t>(16,747)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Narrow" w:cs="Arial Narrow" w:eastAsia="Arial Narrow" w:hAnsi="Arial Narrow"/>
                <w:sz w:val="14"/>
                <w:szCs w:val="14"/>
                <w:color w:val="auto"/>
              </w:rPr>
              <w:t>(20,468)</w:t>
            </w:r>
          </w:p>
        </w:tc>
        <w:tc>
          <w:tcPr>
            <w:tcW w:w="60" w:type="dxa"/>
            <w:vAlign w:val="bottom"/>
          </w:tcPr>
          <w:p>
            <w:pPr>
              <w:spacing w:after="0"/>
              <w:rPr>
                <w:sz w:val="21"/>
                <w:szCs w:val="21"/>
                <w:color w:val="auto"/>
              </w:rPr>
            </w:pPr>
          </w:p>
        </w:tc>
      </w:tr>
      <w:tr>
        <w:trPr>
          <w:trHeight w:val="47"/>
        </w:trPr>
        <w:tc>
          <w:tcPr>
            <w:tcW w:w="5160" w:type="dxa"/>
            <w:vAlign w:val="bottom"/>
            <w:tcBorders>
              <w:bottom w:val="single" w:sz="8" w:color="A6A6A6"/>
            </w:tcBorders>
          </w:tcPr>
          <w:p>
            <w:pPr>
              <w:spacing w:after="0"/>
              <w:rPr>
                <w:sz w:val="4"/>
                <w:szCs w:val="4"/>
                <w:color w:val="auto"/>
              </w:rPr>
            </w:pPr>
          </w:p>
        </w:tc>
        <w:tc>
          <w:tcPr>
            <w:tcW w:w="380" w:type="dxa"/>
            <w:vAlign w:val="bottom"/>
            <w:tcBorders>
              <w:bottom w:val="single" w:sz="8" w:color="A6A6A6"/>
            </w:tcBorders>
          </w:tcPr>
          <w:p>
            <w:pPr>
              <w:spacing w:after="0"/>
              <w:rPr>
                <w:sz w:val="4"/>
                <w:szCs w:val="4"/>
                <w:color w:val="auto"/>
              </w:rPr>
            </w:pPr>
          </w:p>
        </w:tc>
        <w:tc>
          <w:tcPr>
            <w:tcW w:w="84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60" w:type="dxa"/>
            <w:vAlign w:val="bottom"/>
            <w:tcBorders>
              <w:bottom w:val="single" w:sz="8" w:color="A6A6A6"/>
            </w:tcBorders>
          </w:tcPr>
          <w:p>
            <w:pPr>
              <w:spacing w:after="0"/>
              <w:rPr>
                <w:sz w:val="4"/>
                <w:szCs w:val="4"/>
                <w:color w:val="auto"/>
              </w:rPr>
            </w:pPr>
          </w:p>
        </w:tc>
        <w:tc>
          <w:tcPr>
            <w:tcW w:w="126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360" w:type="dxa"/>
            <w:vAlign w:val="bottom"/>
            <w:tcBorders>
              <w:bottom w:val="single" w:sz="8" w:color="A6A6A6"/>
            </w:tcBorders>
          </w:tcPr>
          <w:p>
            <w:pPr>
              <w:spacing w:after="0"/>
              <w:rPr>
                <w:sz w:val="4"/>
                <w:szCs w:val="4"/>
                <w:color w:val="auto"/>
              </w:rPr>
            </w:pPr>
          </w:p>
        </w:tc>
        <w:tc>
          <w:tcPr>
            <w:tcW w:w="880" w:type="dxa"/>
            <w:vAlign w:val="bottom"/>
            <w:tcBorders>
              <w:bottom w:val="single" w:sz="8" w:color="A6A6A6"/>
            </w:tcBorders>
          </w:tcPr>
          <w:p>
            <w:pPr>
              <w:spacing w:after="0"/>
              <w:rPr>
                <w:sz w:val="4"/>
                <w:szCs w:val="4"/>
                <w:color w:val="auto"/>
              </w:rPr>
            </w:pPr>
          </w:p>
        </w:tc>
        <w:tc>
          <w:tcPr>
            <w:tcW w:w="60" w:type="dxa"/>
            <w:vAlign w:val="bottom"/>
            <w:tcBorders>
              <w:bottom w:val="single" w:sz="8" w:color="A6A6A6"/>
            </w:tcBorders>
          </w:tcPr>
          <w:p>
            <w:pPr>
              <w:spacing w:after="0"/>
              <w:rPr>
                <w:sz w:val="4"/>
                <w:szCs w:val="4"/>
                <w:color w:val="auto"/>
              </w:rPr>
            </w:pPr>
          </w:p>
        </w:tc>
      </w:tr>
      <w:tr>
        <w:trPr>
          <w:trHeight w:val="242"/>
        </w:trPr>
        <w:tc>
          <w:tcPr>
            <w:tcW w:w="5160" w:type="dxa"/>
            <w:vAlign w:val="bottom"/>
          </w:tcPr>
          <w:p>
            <w:pPr>
              <w:spacing w:after="0"/>
              <w:rPr>
                <w:sz w:val="20"/>
                <w:szCs w:val="20"/>
                <w:color w:val="auto"/>
              </w:rPr>
            </w:pPr>
            <w:r>
              <w:rPr>
                <w:rFonts w:ascii="Arial Narrow" w:cs="Arial Narrow" w:eastAsia="Arial Narrow" w:hAnsi="Arial Narrow"/>
                <w:sz w:val="14"/>
                <w:szCs w:val="14"/>
                <w:b w:val="1"/>
                <w:bCs w:val="1"/>
                <w:color w:val="00085E"/>
              </w:rPr>
              <w:t>Income Taxes Receivable</w:t>
            </w:r>
          </w:p>
        </w:tc>
        <w:tc>
          <w:tcPr>
            <w:tcW w:w="3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Narrow" w:cs="Arial Narrow" w:eastAsia="Arial Narrow" w:hAnsi="Arial Narrow"/>
                <w:sz w:val="14"/>
                <w:szCs w:val="14"/>
                <w:color w:val="auto"/>
              </w:rPr>
              <w:t>2,822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Narrow" w:cs="Arial Narrow" w:eastAsia="Arial Narrow" w:hAnsi="Arial Narrow"/>
                <w:sz w:val="14"/>
                <w:szCs w:val="14"/>
                <w:color w:val="auto"/>
              </w:rPr>
              <w:t>(653)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Narrow" w:cs="Arial Narrow" w:eastAsia="Arial Narrow" w:hAnsi="Arial Narrow"/>
                <w:sz w:val="14"/>
                <w:szCs w:val="14"/>
                <w:color w:val="auto"/>
              </w:rPr>
              <w:t>7,652</w:t>
            </w:r>
          </w:p>
        </w:tc>
        <w:tc>
          <w:tcPr>
            <w:tcW w:w="60" w:type="dxa"/>
            <w:vAlign w:val="bottom"/>
          </w:tcPr>
          <w:p>
            <w:pPr>
              <w:spacing w:after="0"/>
              <w:rPr>
                <w:sz w:val="21"/>
                <w:szCs w:val="21"/>
                <w:color w:val="auto"/>
              </w:rPr>
            </w:pPr>
          </w:p>
        </w:tc>
      </w:tr>
      <w:tr>
        <w:trPr>
          <w:trHeight w:val="72"/>
        </w:trPr>
        <w:tc>
          <w:tcPr>
            <w:tcW w:w="5160" w:type="dxa"/>
            <w:vAlign w:val="bottom"/>
            <w:tcBorders>
              <w:bottom w:val="single" w:sz="8" w:color="A6A6A6"/>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r>
      <w:tr>
        <w:trPr>
          <w:trHeight w:val="247"/>
        </w:trPr>
        <w:tc>
          <w:tcPr>
            <w:tcW w:w="5160" w:type="dxa"/>
            <w:vAlign w:val="bottom"/>
          </w:tcPr>
          <w:p>
            <w:pPr>
              <w:spacing w:after="0"/>
              <w:rPr>
                <w:sz w:val="20"/>
                <w:szCs w:val="20"/>
                <w:color w:val="auto"/>
              </w:rPr>
            </w:pPr>
            <w:r>
              <w:rPr>
                <w:rFonts w:ascii="Arial Narrow" w:cs="Arial Narrow" w:eastAsia="Arial Narrow" w:hAnsi="Arial Narrow"/>
                <w:sz w:val="14"/>
                <w:szCs w:val="14"/>
                <w:b w:val="1"/>
                <w:bCs w:val="1"/>
                <w:color w:val="00085E"/>
              </w:rPr>
              <w:t>Net Cash Provided by Operating Activities</w:t>
            </w:r>
          </w:p>
        </w:tc>
        <w:tc>
          <w:tcPr>
            <w:tcW w:w="3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Narrow" w:cs="Arial Narrow" w:eastAsia="Arial Narrow" w:hAnsi="Arial Narrow"/>
                <w:sz w:val="14"/>
                <w:szCs w:val="14"/>
                <w:color w:val="auto"/>
              </w:rPr>
              <w:t>614,166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Arial Narrow" w:cs="Arial Narrow" w:eastAsia="Arial Narrow" w:hAnsi="Arial Narrow"/>
                <w:sz w:val="14"/>
                <w:szCs w:val="14"/>
                <w:color w:val="auto"/>
              </w:rPr>
              <w:t>548,548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Narrow" w:cs="Arial Narrow" w:eastAsia="Arial Narrow" w:hAnsi="Arial Narrow"/>
                <w:sz w:val="14"/>
                <w:szCs w:val="14"/>
                <w:color w:val="auto"/>
              </w:rPr>
              <w:t>563,938</w:t>
            </w:r>
          </w:p>
        </w:tc>
        <w:tc>
          <w:tcPr>
            <w:tcW w:w="60" w:type="dxa"/>
            <w:vAlign w:val="bottom"/>
          </w:tcPr>
          <w:p>
            <w:pPr>
              <w:spacing w:after="0"/>
              <w:rPr>
                <w:sz w:val="21"/>
                <w:szCs w:val="21"/>
                <w:color w:val="auto"/>
              </w:rPr>
            </w:pPr>
          </w:p>
        </w:tc>
      </w:tr>
      <w:tr>
        <w:trPr>
          <w:trHeight w:val="72"/>
        </w:trPr>
        <w:tc>
          <w:tcPr>
            <w:tcW w:w="5160" w:type="dxa"/>
            <w:vAlign w:val="bottom"/>
            <w:tcBorders>
              <w:bottom w:val="single" w:sz="8" w:color="A6A6A6"/>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r>
      <w:tr>
        <w:trPr>
          <w:trHeight w:val="247"/>
        </w:trPr>
        <w:tc>
          <w:tcPr>
            <w:tcW w:w="5160" w:type="dxa"/>
            <w:vAlign w:val="bottom"/>
          </w:tcPr>
          <w:p>
            <w:pPr>
              <w:spacing w:after="0"/>
              <w:rPr>
                <w:sz w:val="20"/>
                <w:szCs w:val="20"/>
                <w:color w:val="auto"/>
              </w:rPr>
            </w:pPr>
            <w:r>
              <w:rPr>
                <w:rFonts w:ascii="Arial Narrow" w:cs="Arial Narrow" w:eastAsia="Arial Narrow" w:hAnsi="Arial Narrow"/>
                <w:sz w:val="14"/>
                <w:szCs w:val="14"/>
                <w:b w:val="1"/>
                <w:bCs w:val="1"/>
                <w:color w:val="auto"/>
              </w:rPr>
              <w:t>CASH FLOWS FROM INVESTING ACTIVITIES</w:t>
            </w: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47"/>
        </w:trPr>
        <w:tc>
          <w:tcPr>
            <w:tcW w:w="5160" w:type="dxa"/>
            <w:vAlign w:val="bottom"/>
            <w:tcBorders>
              <w:bottom w:val="single" w:sz="8" w:color="A6A6A6"/>
            </w:tcBorders>
          </w:tcPr>
          <w:p>
            <w:pPr>
              <w:spacing w:after="0"/>
              <w:rPr>
                <w:sz w:val="4"/>
                <w:szCs w:val="4"/>
                <w:color w:val="auto"/>
              </w:rPr>
            </w:pPr>
          </w:p>
        </w:tc>
        <w:tc>
          <w:tcPr>
            <w:tcW w:w="380" w:type="dxa"/>
            <w:vAlign w:val="bottom"/>
            <w:tcBorders>
              <w:bottom w:val="single" w:sz="8" w:color="A6A6A6"/>
            </w:tcBorders>
          </w:tcPr>
          <w:p>
            <w:pPr>
              <w:spacing w:after="0"/>
              <w:rPr>
                <w:sz w:val="4"/>
                <w:szCs w:val="4"/>
                <w:color w:val="auto"/>
              </w:rPr>
            </w:pPr>
          </w:p>
        </w:tc>
        <w:tc>
          <w:tcPr>
            <w:tcW w:w="84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60" w:type="dxa"/>
            <w:vAlign w:val="bottom"/>
            <w:tcBorders>
              <w:bottom w:val="single" w:sz="8" w:color="A6A6A6"/>
            </w:tcBorders>
          </w:tcPr>
          <w:p>
            <w:pPr>
              <w:spacing w:after="0"/>
              <w:rPr>
                <w:sz w:val="4"/>
                <w:szCs w:val="4"/>
                <w:color w:val="auto"/>
              </w:rPr>
            </w:pPr>
          </w:p>
        </w:tc>
        <w:tc>
          <w:tcPr>
            <w:tcW w:w="126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360" w:type="dxa"/>
            <w:vAlign w:val="bottom"/>
            <w:tcBorders>
              <w:bottom w:val="single" w:sz="8" w:color="A6A6A6"/>
            </w:tcBorders>
          </w:tcPr>
          <w:p>
            <w:pPr>
              <w:spacing w:after="0"/>
              <w:rPr>
                <w:sz w:val="4"/>
                <w:szCs w:val="4"/>
                <w:color w:val="auto"/>
              </w:rPr>
            </w:pPr>
          </w:p>
        </w:tc>
        <w:tc>
          <w:tcPr>
            <w:tcW w:w="880" w:type="dxa"/>
            <w:vAlign w:val="bottom"/>
            <w:tcBorders>
              <w:bottom w:val="single" w:sz="8" w:color="A6A6A6"/>
            </w:tcBorders>
          </w:tcPr>
          <w:p>
            <w:pPr>
              <w:spacing w:after="0"/>
              <w:rPr>
                <w:sz w:val="4"/>
                <w:szCs w:val="4"/>
                <w:color w:val="auto"/>
              </w:rPr>
            </w:pPr>
          </w:p>
        </w:tc>
        <w:tc>
          <w:tcPr>
            <w:tcW w:w="60" w:type="dxa"/>
            <w:vAlign w:val="bottom"/>
            <w:tcBorders>
              <w:bottom w:val="single" w:sz="8" w:color="A6A6A6"/>
            </w:tcBorders>
          </w:tcPr>
          <w:p>
            <w:pPr>
              <w:spacing w:after="0"/>
              <w:rPr>
                <w:sz w:val="4"/>
                <w:szCs w:val="4"/>
                <w:color w:val="auto"/>
              </w:rPr>
            </w:pPr>
          </w:p>
        </w:tc>
      </w:tr>
      <w:tr>
        <w:trPr>
          <w:trHeight w:val="242"/>
        </w:trPr>
        <w:tc>
          <w:tcPr>
            <w:tcW w:w="5160" w:type="dxa"/>
            <w:vAlign w:val="bottom"/>
          </w:tcPr>
          <w:p>
            <w:pPr>
              <w:spacing w:after="0"/>
              <w:rPr>
                <w:sz w:val="20"/>
                <w:szCs w:val="20"/>
                <w:color w:val="auto"/>
              </w:rPr>
            </w:pPr>
            <w:r>
              <w:rPr>
                <w:rFonts w:ascii="Arial Narrow" w:cs="Arial Narrow" w:eastAsia="Arial Narrow" w:hAnsi="Arial Narrow"/>
                <w:sz w:val="14"/>
                <w:szCs w:val="14"/>
                <w:b w:val="1"/>
                <w:bCs w:val="1"/>
                <w:color w:val="00085E"/>
              </w:rPr>
              <w:t>Additions to Property, Plant, and Equipment</w:t>
            </w: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Narrow" w:cs="Arial Narrow" w:eastAsia="Arial Narrow" w:hAnsi="Arial Narrow"/>
                <w:sz w:val="14"/>
                <w:szCs w:val="14"/>
                <w:color w:val="auto"/>
              </w:rPr>
              <w:t>(416,739)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Narrow" w:cs="Arial Narrow" w:eastAsia="Arial Narrow" w:hAnsi="Arial Narrow"/>
                <w:sz w:val="14"/>
                <w:szCs w:val="14"/>
                <w:color w:val="auto"/>
              </w:rPr>
              <w:t>(195,281)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Narrow" w:cs="Arial Narrow" w:eastAsia="Arial Narrow" w:hAnsi="Arial Narrow"/>
                <w:sz w:val="14"/>
                <w:szCs w:val="14"/>
                <w:color w:val="auto"/>
              </w:rPr>
              <w:t>(120,305)</w:t>
            </w:r>
          </w:p>
        </w:tc>
        <w:tc>
          <w:tcPr>
            <w:tcW w:w="60" w:type="dxa"/>
            <w:vAlign w:val="bottom"/>
          </w:tcPr>
          <w:p>
            <w:pPr>
              <w:spacing w:after="0"/>
              <w:rPr>
                <w:sz w:val="21"/>
                <w:szCs w:val="21"/>
                <w:color w:val="auto"/>
              </w:rPr>
            </w:pPr>
          </w:p>
        </w:tc>
      </w:tr>
      <w:tr>
        <w:trPr>
          <w:trHeight w:val="47"/>
        </w:trPr>
        <w:tc>
          <w:tcPr>
            <w:tcW w:w="5160" w:type="dxa"/>
            <w:vAlign w:val="bottom"/>
            <w:tcBorders>
              <w:bottom w:val="single" w:sz="8" w:color="A6A6A6"/>
            </w:tcBorders>
          </w:tcPr>
          <w:p>
            <w:pPr>
              <w:spacing w:after="0"/>
              <w:rPr>
                <w:sz w:val="4"/>
                <w:szCs w:val="4"/>
                <w:color w:val="auto"/>
              </w:rPr>
            </w:pPr>
          </w:p>
        </w:tc>
        <w:tc>
          <w:tcPr>
            <w:tcW w:w="380" w:type="dxa"/>
            <w:vAlign w:val="bottom"/>
            <w:tcBorders>
              <w:bottom w:val="single" w:sz="8" w:color="A6A6A6"/>
            </w:tcBorders>
          </w:tcPr>
          <w:p>
            <w:pPr>
              <w:spacing w:after="0"/>
              <w:rPr>
                <w:sz w:val="4"/>
                <w:szCs w:val="4"/>
                <w:color w:val="auto"/>
              </w:rPr>
            </w:pPr>
          </w:p>
        </w:tc>
        <w:tc>
          <w:tcPr>
            <w:tcW w:w="84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60" w:type="dxa"/>
            <w:vAlign w:val="bottom"/>
            <w:tcBorders>
              <w:bottom w:val="single" w:sz="8" w:color="A6A6A6"/>
            </w:tcBorders>
          </w:tcPr>
          <w:p>
            <w:pPr>
              <w:spacing w:after="0"/>
              <w:rPr>
                <w:sz w:val="4"/>
                <w:szCs w:val="4"/>
                <w:color w:val="auto"/>
              </w:rPr>
            </w:pPr>
          </w:p>
        </w:tc>
        <w:tc>
          <w:tcPr>
            <w:tcW w:w="126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360" w:type="dxa"/>
            <w:vAlign w:val="bottom"/>
            <w:tcBorders>
              <w:bottom w:val="single" w:sz="8" w:color="A6A6A6"/>
            </w:tcBorders>
          </w:tcPr>
          <w:p>
            <w:pPr>
              <w:spacing w:after="0"/>
              <w:rPr>
                <w:sz w:val="4"/>
                <w:szCs w:val="4"/>
                <w:color w:val="auto"/>
              </w:rPr>
            </w:pPr>
          </w:p>
        </w:tc>
        <w:tc>
          <w:tcPr>
            <w:tcW w:w="880" w:type="dxa"/>
            <w:vAlign w:val="bottom"/>
            <w:tcBorders>
              <w:bottom w:val="single" w:sz="8" w:color="A6A6A6"/>
            </w:tcBorders>
          </w:tcPr>
          <w:p>
            <w:pPr>
              <w:spacing w:after="0"/>
              <w:rPr>
                <w:sz w:val="4"/>
                <w:szCs w:val="4"/>
                <w:color w:val="auto"/>
              </w:rPr>
            </w:pPr>
          </w:p>
        </w:tc>
        <w:tc>
          <w:tcPr>
            <w:tcW w:w="60" w:type="dxa"/>
            <w:vAlign w:val="bottom"/>
            <w:tcBorders>
              <w:bottom w:val="single" w:sz="8" w:color="A6A6A6"/>
            </w:tcBorders>
          </w:tcPr>
          <w:p>
            <w:pPr>
              <w:spacing w:after="0"/>
              <w:rPr>
                <w:sz w:val="4"/>
                <w:szCs w:val="4"/>
                <w:color w:val="auto"/>
              </w:rPr>
            </w:pPr>
          </w:p>
        </w:tc>
      </w:tr>
      <w:tr>
        <w:trPr>
          <w:trHeight w:val="242"/>
        </w:trPr>
        <w:tc>
          <w:tcPr>
            <w:tcW w:w="5160" w:type="dxa"/>
            <w:vAlign w:val="bottom"/>
          </w:tcPr>
          <w:p>
            <w:pPr>
              <w:spacing w:after="0"/>
              <w:rPr>
                <w:sz w:val="20"/>
                <w:szCs w:val="20"/>
                <w:color w:val="auto"/>
              </w:rPr>
            </w:pPr>
            <w:r>
              <w:rPr>
                <w:rFonts w:ascii="Arial Narrow" w:cs="Arial Narrow" w:eastAsia="Arial Narrow" w:hAnsi="Arial Narrow"/>
                <w:sz w:val="14"/>
                <w:szCs w:val="14"/>
                <w:b w:val="1"/>
                <w:bCs w:val="1"/>
                <w:color w:val="00085E"/>
              </w:rPr>
              <w:t>Minority Investment</w:t>
            </w: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Narrow" w:cs="Arial Narrow" w:eastAsia="Arial Narrow" w:hAnsi="Arial Narrow"/>
                <w:sz w:val="14"/>
                <w:szCs w:val="14"/>
                <w:color w:val="auto"/>
              </w:rPr>
              <w:t>(15,000)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Arial Narrow" w:cs="Arial Narrow" w:eastAsia="Arial Narrow" w:hAnsi="Arial Narrow"/>
                <w:sz w:val="14"/>
                <w:szCs w:val="14"/>
                <w:color w:val="auto"/>
              </w:rPr>
              <w:t>—</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Narrow" w:cs="Arial Narrow" w:eastAsia="Arial Narrow" w:hAnsi="Arial Narrow"/>
                <w:sz w:val="14"/>
                <w:szCs w:val="14"/>
                <w:color w:val="auto"/>
              </w:rPr>
              <w:t>—</w:t>
            </w:r>
          </w:p>
        </w:tc>
        <w:tc>
          <w:tcPr>
            <w:tcW w:w="60" w:type="dxa"/>
            <w:vAlign w:val="bottom"/>
          </w:tcPr>
          <w:p>
            <w:pPr>
              <w:spacing w:after="0"/>
              <w:rPr>
                <w:sz w:val="21"/>
                <w:szCs w:val="21"/>
                <w:color w:val="auto"/>
              </w:rPr>
            </w:pPr>
          </w:p>
        </w:tc>
      </w:tr>
      <w:tr>
        <w:trPr>
          <w:trHeight w:val="47"/>
        </w:trPr>
        <w:tc>
          <w:tcPr>
            <w:tcW w:w="5160" w:type="dxa"/>
            <w:vAlign w:val="bottom"/>
            <w:tcBorders>
              <w:bottom w:val="single" w:sz="8" w:color="A6A6A6"/>
            </w:tcBorders>
          </w:tcPr>
          <w:p>
            <w:pPr>
              <w:spacing w:after="0"/>
              <w:rPr>
                <w:sz w:val="4"/>
                <w:szCs w:val="4"/>
                <w:color w:val="auto"/>
              </w:rPr>
            </w:pPr>
          </w:p>
        </w:tc>
        <w:tc>
          <w:tcPr>
            <w:tcW w:w="380" w:type="dxa"/>
            <w:vAlign w:val="bottom"/>
            <w:tcBorders>
              <w:bottom w:val="single" w:sz="8" w:color="A6A6A6"/>
            </w:tcBorders>
          </w:tcPr>
          <w:p>
            <w:pPr>
              <w:spacing w:after="0"/>
              <w:rPr>
                <w:sz w:val="4"/>
                <w:szCs w:val="4"/>
                <w:color w:val="auto"/>
              </w:rPr>
            </w:pPr>
          </w:p>
        </w:tc>
        <w:tc>
          <w:tcPr>
            <w:tcW w:w="84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60" w:type="dxa"/>
            <w:vAlign w:val="bottom"/>
            <w:tcBorders>
              <w:bottom w:val="single" w:sz="8" w:color="A6A6A6"/>
            </w:tcBorders>
          </w:tcPr>
          <w:p>
            <w:pPr>
              <w:spacing w:after="0"/>
              <w:rPr>
                <w:sz w:val="4"/>
                <w:szCs w:val="4"/>
                <w:color w:val="auto"/>
              </w:rPr>
            </w:pPr>
          </w:p>
        </w:tc>
        <w:tc>
          <w:tcPr>
            <w:tcW w:w="126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360" w:type="dxa"/>
            <w:vAlign w:val="bottom"/>
            <w:tcBorders>
              <w:bottom w:val="single" w:sz="8" w:color="A6A6A6"/>
            </w:tcBorders>
          </w:tcPr>
          <w:p>
            <w:pPr>
              <w:spacing w:after="0"/>
              <w:rPr>
                <w:sz w:val="4"/>
                <w:szCs w:val="4"/>
                <w:color w:val="auto"/>
              </w:rPr>
            </w:pPr>
          </w:p>
        </w:tc>
        <w:tc>
          <w:tcPr>
            <w:tcW w:w="880" w:type="dxa"/>
            <w:vAlign w:val="bottom"/>
            <w:tcBorders>
              <w:bottom w:val="single" w:sz="8" w:color="A6A6A6"/>
            </w:tcBorders>
          </w:tcPr>
          <w:p>
            <w:pPr>
              <w:spacing w:after="0"/>
              <w:rPr>
                <w:sz w:val="4"/>
                <w:szCs w:val="4"/>
                <w:color w:val="auto"/>
              </w:rPr>
            </w:pPr>
          </w:p>
        </w:tc>
        <w:tc>
          <w:tcPr>
            <w:tcW w:w="60" w:type="dxa"/>
            <w:vAlign w:val="bottom"/>
            <w:tcBorders>
              <w:bottom w:val="single" w:sz="8" w:color="A6A6A6"/>
            </w:tcBorders>
          </w:tcPr>
          <w:p>
            <w:pPr>
              <w:spacing w:after="0"/>
              <w:rPr>
                <w:sz w:val="4"/>
                <w:szCs w:val="4"/>
                <w:color w:val="auto"/>
              </w:rPr>
            </w:pPr>
          </w:p>
        </w:tc>
      </w:tr>
      <w:tr>
        <w:trPr>
          <w:trHeight w:val="242"/>
        </w:trPr>
        <w:tc>
          <w:tcPr>
            <w:tcW w:w="5160" w:type="dxa"/>
            <w:vAlign w:val="bottom"/>
          </w:tcPr>
          <w:p>
            <w:pPr>
              <w:spacing w:after="0"/>
              <w:rPr>
                <w:sz w:val="20"/>
                <w:szCs w:val="20"/>
                <w:color w:val="auto"/>
              </w:rPr>
            </w:pPr>
            <w:r>
              <w:rPr>
                <w:rFonts w:ascii="Arial Narrow" w:cs="Arial Narrow" w:eastAsia="Arial Narrow" w:hAnsi="Arial Narrow"/>
                <w:sz w:val="14"/>
                <w:szCs w:val="14"/>
                <w:b w:val="1"/>
                <w:bCs w:val="1"/>
                <w:color w:val="00085E"/>
              </w:rPr>
              <w:t>Acquisition Spending</w:t>
            </w:r>
          </w:p>
        </w:tc>
        <w:tc>
          <w:tcPr>
            <w:tcW w:w="3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Narrow" w:cs="Arial Narrow" w:eastAsia="Arial Narrow" w:hAnsi="Arial Narrow"/>
                <w:sz w:val="14"/>
                <w:szCs w:val="14"/>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Narrow" w:cs="Arial Narrow" w:eastAsia="Arial Narrow" w:hAnsi="Arial Narrow"/>
                <w:sz w:val="14"/>
                <w:szCs w:val="14"/>
                <w:color w:val="auto"/>
              </w:rPr>
              <w:t>(174,850)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Narrow" w:cs="Arial Narrow" w:eastAsia="Arial Narrow" w:hAnsi="Arial Narrow"/>
                <w:sz w:val="14"/>
                <w:szCs w:val="14"/>
                <w:color w:val="auto"/>
              </w:rPr>
              <w:t>(55,053)</w:t>
            </w:r>
          </w:p>
        </w:tc>
        <w:tc>
          <w:tcPr>
            <w:tcW w:w="60" w:type="dxa"/>
            <w:vAlign w:val="bottom"/>
          </w:tcPr>
          <w:p>
            <w:pPr>
              <w:spacing w:after="0"/>
              <w:rPr>
                <w:sz w:val="21"/>
                <w:szCs w:val="21"/>
                <w:color w:val="auto"/>
              </w:rPr>
            </w:pPr>
          </w:p>
        </w:tc>
      </w:tr>
      <w:tr>
        <w:trPr>
          <w:trHeight w:val="72"/>
        </w:trPr>
        <w:tc>
          <w:tcPr>
            <w:tcW w:w="5160" w:type="dxa"/>
            <w:vAlign w:val="bottom"/>
            <w:tcBorders>
              <w:bottom w:val="single" w:sz="8" w:color="A6A6A6"/>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r>
      <w:tr>
        <w:trPr>
          <w:trHeight w:val="247"/>
        </w:trPr>
        <w:tc>
          <w:tcPr>
            <w:tcW w:w="5160" w:type="dxa"/>
            <w:vAlign w:val="bottom"/>
          </w:tcPr>
          <w:p>
            <w:pPr>
              <w:spacing w:after="0"/>
              <w:rPr>
                <w:sz w:val="20"/>
                <w:szCs w:val="20"/>
                <w:color w:val="auto"/>
              </w:rPr>
            </w:pPr>
            <w:r>
              <w:rPr>
                <w:rFonts w:ascii="Arial Narrow" w:cs="Arial Narrow" w:eastAsia="Arial Narrow" w:hAnsi="Arial Narrow"/>
                <w:sz w:val="14"/>
                <w:szCs w:val="14"/>
                <w:b w:val="1"/>
                <w:bCs w:val="1"/>
                <w:color w:val="00085E"/>
              </w:rPr>
              <w:t>Net Cash Used in Investing Activities</w:t>
            </w: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Narrow" w:cs="Arial Narrow" w:eastAsia="Arial Narrow" w:hAnsi="Arial Narrow"/>
                <w:sz w:val="14"/>
                <w:szCs w:val="14"/>
                <w:color w:val="auto"/>
              </w:rPr>
              <w:t>(431,739)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Narrow" w:cs="Arial Narrow" w:eastAsia="Arial Narrow" w:hAnsi="Arial Narrow"/>
                <w:sz w:val="14"/>
                <w:szCs w:val="14"/>
                <w:color w:val="auto"/>
              </w:rPr>
              <w:t>(370,131)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Narrow" w:cs="Arial Narrow" w:eastAsia="Arial Narrow" w:hAnsi="Arial Narrow"/>
                <w:sz w:val="14"/>
                <w:szCs w:val="14"/>
                <w:color w:val="auto"/>
              </w:rPr>
              <w:t>(175,358)</w:t>
            </w:r>
          </w:p>
        </w:tc>
        <w:tc>
          <w:tcPr>
            <w:tcW w:w="60" w:type="dxa"/>
            <w:vAlign w:val="bottom"/>
          </w:tcPr>
          <w:p>
            <w:pPr>
              <w:spacing w:after="0"/>
              <w:rPr>
                <w:sz w:val="21"/>
                <w:szCs w:val="21"/>
                <w:color w:val="auto"/>
              </w:rPr>
            </w:pPr>
          </w:p>
        </w:tc>
      </w:tr>
      <w:tr>
        <w:trPr>
          <w:trHeight w:val="72"/>
        </w:trPr>
        <w:tc>
          <w:tcPr>
            <w:tcW w:w="5160" w:type="dxa"/>
            <w:vAlign w:val="bottom"/>
            <w:tcBorders>
              <w:bottom w:val="single" w:sz="8" w:color="A6A6A6"/>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r>
      <w:tr>
        <w:trPr>
          <w:trHeight w:val="247"/>
        </w:trPr>
        <w:tc>
          <w:tcPr>
            <w:tcW w:w="5160" w:type="dxa"/>
            <w:vAlign w:val="bottom"/>
          </w:tcPr>
          <w:p>
            <w:pPr>
              <w:spacing w:after="0"/>
              <w:rPr>
                <w:sz w:val="20"/>
                <w:szCs w:val="20"/>
                <w:color w:val="auto"/>
              </w:rPr>
            </w:pPr>
            <w:r>
              <w:rPr>
                <w:rFonts w:ascii="Arial Narrow" w:cs="Arial Narrow" w:eastAsia="Arial Narrow" w:hAnsi="Arial Narrow"/>
                <w:sz w:val="14"/>
                <w:szCs w:val="14"/>
                <w:b w:val="1"/>
                <w:bCs w:val="1"/>
                <w:color w:val="auto"/>
              </w:rPr>
              <w:t>CASH FLOWS FROM FINANCING ACTIVITIES</w:t>
            </w: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47"/>
        </w:trPr>
        <w:tc>
          <w:tcPr>
            <w:tcW w:w="5160" w:type="dxa"/>
            <w:vAlign w:val="bottom"/>
            <w:tcBorders>
              <w:bottom w:val="single" w:sz="8" w:color="A6A6A6"/>
            </w:tcBorders>
          </w:tcPr>
          <w:p>
            <w:pPr>
              <w:spacing w:after="0"/>
              <w:rPr>
                <w:sz w:val="4"/>
                <w:szCs w:val="4"/>
                <w:color w:val="auto"/>
              </w:rPr>
            </w:pPr>
          </w:p>
        </w:tc>
        <w:tc>
          <w:tcPr>
            <w:tcW w:w="380" w:type="dxa"/>
            <w:vAlign w:val="bottom"/>
            <w:tcBorders>
              <w:bottom w:val="single" w:sz="8" w:color="A6A6A6"/>
            </w:tcBorders>
          </w:tcPr>
          <w:p>
            <w:pPr>
              <w:spacing w:after="0"/>
              <w:rPr>
                <w:sz w:val="4"/>
                <w:szCs w:val="4"/>
                <w:color w:val="auto"/>
              </w:rPr>
            </w:pPr>
          </w:p>
        </w:tc>
        <w:tc>
          <w:tcPr>
            <w:tcW w:w="84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60" w:type="dxa"/>
            <w:vAlign w:val="bottom"/>
            <w:tcBorders>
              <w:bottom w:val="single" w:sz="8" w:color="A6A6A6"/>
            </w:tcBorders>
          </w:tcPr>
          <w:p>
            <w:pPr>
              <w:spacing w:after="0"/>
              <w:rPr>
                <w:sz w:val="4"/>
                <w:szCs w:val="4"/>
                <w:color w:val="auto"/>
              </w:rPr>
            </w:pPr>
          </w:p>
        </w:tc>
        <w:tc>
          <w:tcPr>
            <w:tcW w:w="126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360" w:type="dxa"/>
            <w:vAlign w:val="bottom"/>
            <w:tcBorders>
              <w:bottom w:val="single" w:sz="8" w:color="A6A6A6"/>
            </w:tcBorders>
          </w:tcPr>
          <w:p>
            <w:pPr>
              <w:spacing w:after="0"/>
              <w:rPr>
                <w:sz w:val="4"/>
                <w:szCs w:val="4"/>
                <w:color w:val="auto"/>
              </w:rPr>
            </w:pPr>
          </w:p>
        </w:tc>
        <w:tc>
          <w:tcPr>
            <w:tcW w:w="880" w:type="dxa"/>
            <w:vAlign w:val="bottom"/>
            <w:tcBorders>
              <w:bottom w:val="single" w:sz="8" w:color="A6A6A6"/>
            </w:tcBorders>
          </w:tcPr>
          <w:p>
            <w:pPr>
              <w:spacing w:after="0"/>
              <w:rPr>
                <w:sz w:val="4"/>
                <w:szCs w:val="4"/>
                <w:color w:val="auto"/>
              </w:rPr>
            </w:pPr>
          </w:p>
        </w:tc>
        <w:tc>
          <w:tcPr>
            <w:tcW w:w="60" w:type="dxa"/>
            <w:vAlign w:val="bottom"/>
            <w:tcBorders>
              <w:bottom w:val="single" w:sz="8" w:color="A6A6A6"/>
            </w:tcBorders>
          </w:tcPr>
          <w:p>
            <w:pPr>
              <w:spacing w:after="0"/>
              <w:rPr>
                <w:sz w:val="4"/>
                <w:szCs w:val="4"/>
                <w:color w:val="auto"/>
              </w:rPr>
            </w:pPr>
          </w:p>
        </w:tc>
      </w:tr>
      <w:tr>
        <w:trPr>
          <w:trHeight w:val="242"/>
        </w:trPr>
        <w:tc>
          <w:tcPr>
            <w:tcW w:w="5160" w:type="dxa"/>
            <w:vAlign w:val="bottom"/>
          </w:tcPr>
          <w:p>
            <w:pPr>
              <w:spacing w:after="0"/>
              <w:rPr>
                <w:sz w:val="20"/>
                <w:szCs w:val="20"/>
                <w:color w:val="auto"/>
              </w:rPr>
            </w:pPr>
            <w:r>
              <w:rPr>
                <w:rFonts w:ascii="Arial Narrow" w:cs="Arial Narrow" w:eastAsia="Arial Narrow" w:hAnsi="Arial Narrow"/>
                <w:sz w:val="14"/>
                <w:szCs w:val="14"/>
                <w:b w:val="1"/>
                <w:bCs w:val="1"/>
                <w:color w:val="00085E"/>
              </w:rPr>
              <w:t>Borrowings Under Revolving Credit Facility</w:t>
            </w:r>
          </w:p>
        </w:tc>
        <w:tc>
          <w:tcPr>
            <w:tcW w:w="3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Narrow" w:cs="Arial Narrow" w:eastAsia="Arial Narrow" w:hAnsi="Arial Narrow"/>
                <w:sz w:val="14"/>
                <w:szCs w:val="14"/>
                <w:color w:val="auto"/>
              </w:rPr>
              <w:t>145,000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Arial Narrow" w:cs="Arial Narrow" w:eastAsia="Arial Narrow" w:hAnsi="Arial Narrow"/>
                <w:sz w:val="14"/>
                <w:szCs w:val="14"/>
                <w:color w:val="auto"/>
              </w:rPr>
              <w:t>335,000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Narrow" w:cs="Arial Narrow" w:eastAsia="Arial Narrow" w:hAnsi="Arial Narrow"/>
                <w:sz w:val="14"/>
                <w:szCs w:val="14"/>
                <w:color w:val="auto"/>
              </w:rPr>
              <w:t>13,000</w:t>
            </w:r>
          </w:p>
        </w:tc>
        <w:tc>
          <w:tcPr>
            <w:tcW w:w="60" w:type="dxa"/>
            <w:vAlign w:val="bottom"/>
          </w:tcPr>
          <w:p>
            <w:pPr>
              <w:spacing w:after="0"/>
              <w:rPr>
                <w:sz w:val="21"/>
                <w:szCs w:val="21"/>
                <w:color w:val="auto"/>
              </w:rPr>
            </w:pPr>
          </w:p>
        </w:tc>
      </w:tr>
      <w:tr>
        <w:trPr>
          <w:trHeight w:val="47"/>
        </w:trPr>
        <w:tc>
          <w:tcPr>
            <w:tcW w:w="5160" w:type="dxa"/>
            <w:vAlign w:val="bottom"/>
            <w:tcBorders>
              <w:bottom w:val="single" w:sz="8" w:color="A6A6A6"/>
            </w:tcBorders>
          </w:tcPr>
          <w:p>
            <w:pPr>
              <w:spacing w:after="0"/>
              <w:rPr>
                <w:sz w:val="4"/>
                <w:szCs w:val="4"/>
                <w:color w:val="auto"/>
              </w:rPr>
            </w:pPr>
          </w:p>
        </w:tc>
        <w:tc>
          <w:tcPr>
            <w:tcW w:w="380" w:type="dxa"/>
            <w:vAlign w:val="bottom"/>
            <w:tcBorders>
              <w:bottom w:val="single" w:sz="8" w:color="A6A6A6"/>
            </w:tcBorders>
          </w:tcPr>
          <w:p>
            <w:pPr>
              <w:spacing w:after="0"/>
              <w:rPr>
                <w:sz w:val="4"/>
                <w:szCs w:val="4"/>
                <w:color w:val="auto"/>
              </w:rPr>
            </w:pPr>
          </w:p>
        </w:tc>
        <w:tc>
          <w:tcPr>
            <w:tcW w:w="84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60" w:type="dxa"/>
            <w:vAlign w:val="bottom"/>
            <w:tcBorders>
              <w:bottom w:val="single" w:sz="8" w:color="A6A6A6"/>
            </w:tcBorders>
          </w:tcPr>
          <w:p>
            <w:pPr>
              <w:spacing w:after="0"/>
              <w:rPr>
                <w:sz w:val="4"/>
                <w:szCs w:val="4"/>
                <w:color w:val="auto"/>
              </w:rPr>
            </w:pPr>
          </w:p>
        </w:tc>
        <w:tc>
          <w:tcPr>
            <w:tcW w:w="126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360" w:type="dxa"/>
            <w:vAlign w:val="bottom"/>
            <w:tcBorders>
              <w:bottom w:val="single" w:sz="8" w:color="A6A6A6"/>
            </w:tcBorders>
          </w:tcPr>
          <w:p>
            <w:pPr>
              <w:spacing w:after="0"/>
              <w:rPr>
                <w:sz w:val="4"/>
                <w:szCs w:val="4"/>
                <w:color w:val="auto"/>
              </w:rPr>
            </w:pPr>
          </w:p>
        </w:tc>
        <w:tc>
          <w:tcPr>
            <w:tcW w:w="880" w:type="dxa"/>
            <w:vAlign w:val="bottom"/>
            <w:tcBorders>
              <w:bottom w:val="single" w:sz="8" w:color="A6A6A6"/>
            </w:tcBorders>
          </w:tcPr>
          <w:p>
            <w:pPr>
              <w:spacing w:after="0"/>
              <w:rPr>
                <w:sz w:val="4"/>
                <w:szCs w:val="4"/>
                <w:color w:val="auto"/>
              </w:rPr>
            </w:pPr>
          </w:p>
        </w:tc>
        <w:tc>
          <w:tcPr>
            <w:tcW w:w="60" w:type="dxa"/>
            <w:vAlign w:val="bottom"/>
            <w:tcBorders>
              <w:bottom w:val="single" w:sz="8" w:color="A6A6A6"/>
            </w:tcBorders>
          </w:tcPr>
          <w:p>
            <w:pPr>
              <w:spacing w:after="0"/>
              <w:rPr>
                <w:sz w:val="4"/>
                <w:szCs w:val="4"/>
                <w:color w:val="auto"/>
              </w:rPr>
            </w:pPr>
          </w:p>
        </w:tc>
      </w:tr>
      <w:tr>
        <w:trPr>
          <w:trHeight w:val="242"/>
        </w:trPr>
        <w:tc>
          <w:tcPr>
            <w:tcW w:w="5160" w:type="dxa"/>
            <w:vAlign w:val="bottom"/>
          </w:tcPr>
          <w:p>
            <w:pPr>
              <w:spacing w:after="0"/>
              <w:rPr>
                <w:sz w:val="20"/>
                <w:szCs w:val="20"/>
                <w:color w:val="auto"/>
              </w:rPr>
            </w:pPr>
            <w:r>
              <w:rPr>
                <w:rFonts w:ascii="Arial Narrow" w:cs="Arial Narrow" w:eastAsia="Arial Narrow" w:hAnsi="Arial Narrow"/>
                <w:sz w:val="14"/>
                <w:szCs w:val="14"/>
                <w:b w:val="1"/>
                <w:bCs w:val="1"/>
                <w:color w:val="00085E"/>
              </w:rPr>
              <w:t>Repayment of Borrowings Under Revolving Credit Facility</w:t>
            </w: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Narrow" w:cs="Arial Narrow" w:eastAsia="Arial Narrow" w:hAnsi="Arial Narrow"/>
                <w:sz w:val="14"/>
                <w:szCs w:val="14"/>
                <w:color w:val="auto"/>
              </w:rPr>
              <w:t>(345,000)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Narrow" w:cs="Arial Narrow" w:eastAsia="Arial Narrow" w:hAnsi="Arial Narrow"/>
                <w:sz w:val="14"/>
                <w:szCs w:val="14"/>
                <w:color w:val="auto"/>
              </w:rPr>
              <w:t>(305,000)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Narrow" w:cs="Arial Narrow" w:eastAsia="Arial Narrow" w:hAnsi="Arial Narrow"/>
                <w:sz w:val="14"/>
                <w:szCs w:val="14"/>
                <w:color w:val="auto"/>
              </w:rPr>
              <w:t>—</w:t>
            </w:r>
          </w:p>
        </w:tc>
        <w:tc>
          <w:tcPr>
            <w:tcW w:w="60" w:type="dxa"/>
            <w:vAlign w:val="bottom"/>
          </w:tcPr>
          <w:p>
            <w:pPr>
              <w:spacing w:after="0"/>
              <w:rPr>
                <w:sz w:val="21"/>
                <w:szCs w:val="21"/>
                <w:color w:val="auto"/>
              </w:rPr>
            </w:pPr>
          </w:p>
        </w:tc>
      </w:tr>
      <w:tr>
        <w:trPr>
          <w:trHeight w:val="47"/>
        </w:trPr>
        <w:tc>
          <w:tcPr>
            <w:tcW w:w="5160" w:type="dxa"/>
            <w:vAlign w:val="bottom"/>
            <w:tcBorders>
              <w:bottom w:val="single" w:sz="8" w:color="A6A6A6"/>
            </w:tcBorders>
          </w:tcPr>
          <w:p>
            <w:pPr>
              <w:spacing w:after="0"/>
              <w:rPr>
                <w:sz w:val="4"/>
                <w:szCs w:val="4"/>
                <w:color w:val="auto"/>
              </w:rPr>
            </w:pPr>
          </w:p>
        </w:tc>
        <w:tc>
          <w:tcPr>
            <w:tcW w:w="380" w:type="dxa"/>
            <w:vAlign w:val="bottom"/>
            <w:tcBorders>
              <w:bottom w:val="single" w:sz="8" w:color="A6A6A6"/>
            </w:tcBorders>
          </w:tcPr>
          <w:p>
            <w:pPr>
              <w:spacing w:after="0"/>
              <w:rPr>
                <w:sz w:val="4"/>
                <w:szCs w:val="4"/>
                <w:color w:val="auto"/>
              </w:rPr>
            </w:pPr>
          </w:p>
        </w:tc>
        <w:tc>
          <w:tcPr>
            <w:tcW w:w="84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60" w:type="dxa"/>
            <w:vAlign w:val="bottom"/>
            <w:tcBorders>
              <w:bottom w:val="single" w:sz="8" w:color="A6A6A6"/>
            </w:tcBorders>
          </w:tcPr>
          <w:p>
            <w:pPr>
              <w:spacing w:after="0"/>
              <w:rPr>
                <w:sz w:val="4"/>
                <w:szCs w:val="4"/>
                <w:color w:val="auto"/>
              </w:rPr>
            </w:pPr>
          </w:p>
        </w:tc>
        <w:tc>
          <w:tcPr>
            <w:tcW w:w="126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360" w:type="dxa"/>
            <w:vAlign w:val="bottom"/>
            <w:tcBorders>
              <w:bottom w:val="single" w:sz="8" w:color="A6A6A6"/>
            </w:tcBorders>
          </w:tcPr>
          <w:p>
            <w:pPr>
              <w:spacing w:after="0"/>
              <w:rPr>
                <w:sz w:val="4"/>
                <w:szCs w:val="4"/>
                <w:color w:val="auto"/>
              </w:rPr>
            </w:pPr>
          </w:p>
        </w:tc>
        <w:tc>
          <w:tcPr>
            <w:tcW w:w="880" w:type="dxa"/>
            <w:vAlign w:val="bottom"/>
            <w:tcBorders>
              <w:bottom w:val="single" w:sz="8" w:color="A6A6A6"/>
            </w:tcBorders>
          </w:tcPr>
          <w:p>
            <w:pPr>
              <w:spacing w:after="0"/>
              <w:rPr>
                <w:sz w:val="4"/>
                <w:szCs w:val="4"/>
                <w:color w:val="auto"/>
              </w:rPr>
            </w:pPr>
          </w:p>
        </w:tc>
        <w:tc>
          <w:tcPr>
            <w:tcW w:w="60" w:type="dxa"/>
            <w:vAlign w:val="bottom"/>
            <w:tcBorders>
              <w:bottom w:val="single" w:sz="8" w:color="A6A6A6"/>
            </w:tcBorders>
          </w:tcPr>
          <w:p>
            <w:pPr>
              <w:spacing w:after="0"/>
              <w:rPr>
                <w:sz w:val="4"/>
                <w:szCs w:val="4"/>
                <w:color w:val="auto"/>
              </w:rPr>
            </w:pPr>
          </w:p>
        </w:tc>
      </w:tr>
      <w:tr>
        <w:trPr>
          <w:trHeight w:val="242"/>
        </w:trPr>
        <w:tc>
          <w:tcPr>
            <w:tcW w:w="5160" w:type="dxa"/>
            <w:vAlign w:val="bottom"/>
          </w:tcPr>
          <w:p>
            <w:pPr>
              <w:spacing w:after="0"/>
              <w:rPr>
                <w:sz w:val="20"/>
                <w:szCs w:val="20"/>
                <w:color w:val="auto"/>
              </w:rPr>
            </w:pPr>
            <w:r>
              <w:rPr>
                <w:rFonts w:ascii="Arial Narrow" w:cs="Arial Narrow" w:eastAsia="Arial Narrow" w:hAnsi="Arial Narrow"/>
                <w:sz w:val="14"/>
                <w:szCs w:val="14"/>
                <w:b w:val="1"/>
                <w:bCs w:val="1"/>
                <w:color w:val="00085E"/>
              </w:rPr>
              <w:t>Borrowings Under Term Loan</w:t>
            </w:r>
          </w:p>
        </w:tc>
        <w:tc>
          <w:tcPr>
            <w:tcW w:w="3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Narrow" w:cs="Arial Narrow" w:eastAsia="Arial Narrow" w:hAnsi="Arial Narrow"/>
                <w:sz w:val="14"/>
                <w:szCs w:val="14"/>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Arial Narrow" w:cs="Arial Narrow" w:eastAsia="Arial Narrow" w:hAnsi="Arial Narrow"/>
                <w:sz w:val="14"/>
                <w:szCs w:val="14"/>
                <w:color w:val="auto"/>
              </w:rPr>
              <w:t>125,000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Narrow" w:cs="Arial Narrow" w:eastAsia="Arial Narrow" w:hAnsi="Arial Narrow"/>
                <w:sz w:val="14"/>
                <w:szCs w:val="14"/>
                <w:color w:val="auto"/>
              </w:rPr>
              <w:t>—</w:t>
            </w:r>
          </w:p>
        </w:tc>
        <w:tc>
          <w:tcPr>
            <w:tcW w:w="60" w:type="dxa"/>
            <w:vAlign w:val="bottom"/>
          </w:tcPr>
          <w:p>
            <w:pPr>
              <w:spacing w:after="0"/>
              <w:rPr>
                <w:sz w:val="21"/>
                <w:szCs w:val="21"/>
                <w:color w:val="auto"/>
              </w:rPr>
            </w:pPr>
          </w:p>
        </w:tc>
      </w:tr>
      <w:tr>
        <w:trPr>
          <w:trHeight w:val="47"/>
        </w:trPr>
        <w:tc>
          <w:tcPr>
            <w:tcW w:w="5160" w:type="dxa"/>
            <w:vAlign w:val="bottom"/>
            <w:tcBorders>
              <w:bottom w:val="single" w:sz="8" w:color="A6A6A6"/>
            </w:tcBorders>
          </w:tcPr>
          <w:p>
            <w:pPr>
              <w:spacing w:after="0"/>
              <w:rPr>
                <w:sz w:val="4"/>
                <w:szCs w:val="4"/>
                <w:color w:val="auto"/>
              </w:rPr>
            </w:pPr>
          </w:p>
        </w:tc>
        <w:tc>
          <w:tcPr>
            <w:tcW w:w="380" w:type="dxa"/>
            <w:vAlign w:val="bottom"/>
            <w:tcBorders>
              <w:bottom w:val="single" w:sz="8" w:color="A6A6A6"/>
            </w:tcBorders>
          </w:tcPr>
          <w:p>
            <w:pPr>
              <w:spacing w:after="0"/>
              <w:rPr>
                <w:sz w:val="4"/>
                <w:szCs w:val="4"/>
                <w:color w:val="auto"/>
              </w:rPr>
            </w:pPr>
          </w:p>
        </w:tc>
        <w:tc>
          <w:tcPr>
            <w:tcW w:w="84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60" w:type="dxa"/>
            <w:vAlign w:val="bottom"/>
            <w:tcBorders>
              <w:bottom w:val="single" w:sz="8" w:color="A6A6A6"/>
            </w:tcBorders>
          </w:tcPr>
          <w:p>
            <w:pPr>
              <w:spacing w:after="0"/>
              <w:rPr>
                <w:sz w:val="4"/>
                <w:szCs w:val="4"/>
                <w:color w:val="auto"/>
              </w:rPr>
            </w:pPr>
          </w:p>
        </w:tc>
        <w:tc>
          <w:tcPr>
            <w:tcW w:w="126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360" w:type="dxa"/>
            <w:vAlign w:val="bottom"/>
            <w:tcBorders>
              <w:bottom w:val="single" w:sz="8" w:color="A6A6A6"/>
            </w:tcBorders>
          </w:tcPr>
          <w:p>
            <w:pPr>
              <w:spacing w:after="0"/>
              <w:rPr>
                <w:sz w:val="4"/>
                <w:szCs w:val="4"/>
                <w:color w:val="auto"/>
              </w:rPr>
            </w:pPr>
          </w:p>
        </w:tc>
        <w:tc>
          <w:tcPr>
            <w:tcW w:w="880" w:type="dxa"/>
            <w:vAlign w:val="bottom"/>
            <w:tcBorders>
              <w:bottom w:val="single" w:sz="8" w:color="A6A6A6"/>
            </w:tcBorders>
          </w:tcPr>
          <w:p>
            <w:pPr>
              <w:spacing w:after="0"/>
              <w:rPr>
                <w:sz w:val="4"/>
                <w:szCs w:val="4"/>
                <w:color w:val="auto"/>
              </w:rPr>
            </w:pPr>
          </w:p>
        </w:tc>
        <w:tc>
          <w:tcPr>
            <w:tcW w:w="60" w:type="dxa"/>
            <w:vAlign w:val="bottom"/>
            <w:tcBorders>
              <w:bottom w:val="single" w:sz="8" w:color="A6A6A6"/>
            </w:tcBorders>
          </w:tcPr>
          <w:p>
            <w:pPr>
              <w:spacing w:after="0"/>
              <w:rPr>
                <w:sz w:val="4"/>
                <w:szCs w:val="4"/>
                <w:color w:val="auto"/>
              </w:rPr>
            </w:pPr>
          </w:p>
        </w:tc>
      </w:tr>
      <w:tr>
        <w:trPr>
          <w:trHeight w:val="242"/>
        </w:trPr>
        <w:tc>
          <w:tcPr>
            <w:tcW w:w="5160" w:type="dxa"/>
            <w:vAlign w:val="bottom"/>
          </w:tcPr>
          <w:p>
            <w:pPr>
              <w:spacing w:after="0"/>
              <w:rPr>
                <w:sz w:val="20"/>
                <w:szCs w:val="20"/>
                <w:color w:val="auto"/>
              </w:rPr>
            </w:pPr>
            <w:r>
              <w:rPr>
                <w:rFonts w:ascii="Arial Narrow" w:cs="Arial Narrow" w:eastAsia="Arial Narrow" w:hAnsi="Arial Narrow"/>
                <w:sz w:val="14"/>
                <w:szCs w:val="14"/>
                <w:b w:val="1"/>
                <w:bCs w:val="1"/>
                <w:color w:val="00085E"/>
              </w:rPr>
              <w:t>Repayment of Term Loan</w:t>
            </w: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Narrow" w:cs="Arial Narrow" w:eastAsia="Arial Narrow" w:hAnsi="Arial Narrow"/>
                <w:sz w:val="14"/>
                <w:szCs w:val="14"/>
                <w:color w:val="auto"/>
              </w:rPr>
              <w:t>(15,000)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Narrow" w:cs="Arial Narrow" w:eastAsia="Arial Narrow" w:hAnsi="Arial Narrow"/>
                <w:sz w:val="14"/>
                <w:szCs w:val="14"/>
                <w:color w:val="auto"/>
              </w:rPr>
              <w:t>(11,250)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Narrow" w:cs="Arial Narrow" w:eastAsia="Arial Narrow" w:hAnsi="Arial Narrow"/>
                <w:sz w:val="14"/>
                <w:szCs w:val="14"/>
                <w:color w:val="auto"/>
              </w:rPr>
              <w:t>(10,000)</w:t>
            </w:r>
          </w:p>
        </w:tc>
        <w:tc>
          <w:tcPr>
            <w:tcW w:w="60" w:type="dxa"/>
            <w:vAlign w:val="bottom"/>
          </w:tcPr>
          <w:p>
            <w:pPr>
              <w:spacing w:after="0"/>
              <w:rPr>
                <w:sz w:val="21"/>
                <w:szCs w:val="21"/>
                <w:color w:val="auto"/>
              </w:rPr>
            </w:pPr>
          </w:p>
        </w:tc>
      </w:tr>
      <w:tr>
        <w:trPr>
          <w:trHeight w:val="47"/>
        </w:trPr>
        <w:tc>
          <w:tcPr>
            <w:tcW w:w="5160" w:type="dxa"/>
            <w:vAlign w:val="bottom"/>
            <w:tcBorders>
              <w:bottom w:val="single" w:sz="8" w:color="A6A6A6"/>
            </w:tcBorders>
          </w:tcPr>
          <w:p>
            <w:pPr>
              <w:spacing w:after="0"/>
              <w:rPr>
                <w:sz w:val="4"/>
                <w:szCs w:val="4"/>
                <w:color w:val="auto"/>
              </w:rPr>
            </w:pPr>
          </w:p>
        </w:tc>
        <w:tc>
          <w:tcPr>
            <w:tcW w:w="380" w:type="dxa"/>
            <w:vAlign w:val="bottom"/>
            <w:tcBorders>
              <w:bottom w:val="single" w:sz="8" w:color="A6A6A6"/>
            </w:tcBorders>
          </w:tcPr>
          <w:p>
            <w:pPr>
              <w:spacing w:after="0"/>
              <w:rPr>
                <w:sz w:val="4"/>
                <w:szCs w:val="4"/>
                <w:color w:val="auto"/>
              </w:rPr>
            </w:pPr>
          </w:p>
        </w:tc>
        <w:tc>
          <w:tcPr>
            <w:tcW w:w="84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60" w:type="dxa"/>
            <w:vAlign w:val="bottom"/>
            <w:tcBorders>
              <w:bottom w:val="single" w:sz="8" w:color="A6A6A6"/>
            </w:tcBorders>
          </w:tcPr>
          <w:p>
            <w:pPr>
              <w:spacing w:after="0"/>
              <w:rPr>
                <w:sz w:val="4"/>
                <w:szCs w:val="4"/>
                <w:color w:val="auto"/>
              </w:rPr>
            </w:pPr>
          </w:p>
        </w:tc>
        <w:tc>
          <w:tcPr>
            <w:tcW w:w="126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360" w:type="dxa"/>
            <w:vAlign w:val="bottom"/>
            <w:tcBorders>
              <w:bottom w:val="single" w:sz="8" w:color="A6A6A6"/>
            </w:tcBorders>
          </w:tcPr>
          <w:p>
            <w:pPr>
              <w:spacing w:after="0"/>
              <w:rPr>
                <w:sz w:val="4"/>
                <w:szCs w:val="4"/>
                <w:color w:val="auto"/>
              </w:rPr>
            </w:pPr>
          </w:p>
        </w:tc>
        <w:tc>
          <w:tcPr>
            <w:tcW w:w="880" w:type="dxa"/>
            <w:vAlign w:val="bottom"/>
            <w:tcBorders>
              <w:bottom w:val="single" w:sz="8" w:color="A6A6A6"/>
            </w:tcBorders>
          </w:tcPr>
          <w:p>
            <w:pPr>
              <w:spacing w:after="0"/>
              <w:rPr>
                <w:sz w:val="4"/>
                <w:szCs w:val="4"/>
                <w:color w:val="auto"/>
              </w:rPr>
            </w:pPr>
          </w:p>
        </w:tc>
        <w:tc>
          <w:tcPr>
            <w:tcW w:w="60" w:type="dxa"/>
            <w:vAlign w:val="bottom"/>
            <w:tcBorders>
              <w:bottom w:val="single" w:sz="8" w:color="A6A6A6"/>
            </w:tcBorders>
          </w:tcPr>
          <w:p>
            <w:pPr>
              <w:spacing w:after="0"/>
              <w:rPr>
                <w:sz w:val="4"/>
                <w:szCs w:val="4"/>
                <w:color w:val="auto"/>
              </w:rPr>
            </w:pPr>
          </w:p>
        </w:tc>
      </w:tr>
      <w:tr>
        <w:trPr>
          <w:trHeight w:val="242"/>
        </w:trPr>
        <w:tc>
          <w:tcPr>
            <w:tcW w:w="5160" w:type="dxa"/>
            <w:vAlign w:val="bottom"/>
          </w:tcPr>
          <w:p>
            <w:pPr>
              <w:spacing w:after="0"/>
              <w:rPr>
                <w:sz w:val="20"/>
                <w:szCs w:val="20"/>
                <w:color w:val="auto"/>
              </w:rPr>
            </w:pPr>
            <w:r>
              <w:rPr>
                <w:rFonts w:ascii="Arial Narrow" w:cs="Arial Narrow" w:eastAsia="Arial Narrow" w:hAnsi="Arial Narrow"/>
                <w:sz w:val="14"/>
                <w:szCs w:val="14"/>
                <w:b w:val="1"/>
                <w:bCs w:val="1"/>
                <w:color w:val="00085E"/>
              </w:rPr>
              <w:t>Proceeds from Issuance of 5.000% Senior Notes</w:t>
            </w:r>
          </w:p>
        </w:tc>
        <w:tc>
          <w:tcPr>
            <w:tcW w:w="3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Narrow" w:cs="Arial Narrow" w:eastAsia="Arial Narrow" w:hAnsi="Arial Narrow"/>
                <w:sz w:val="14"/>
                <w:szCs w:val="14"/>
                <w:color w:val="auto"/>
              </w:rPr>
              <w:t>741,772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Arial Narrow" w:cs="Arial Narrow" w:eastAsia="Arial Narrow" w:hAnsi="Arial Narrow"/>
                <w:sz w:val="14"/>
                <w:szCs w:val="14"/>
                <w:color w:val="auto"/>
              </w:rPr>
              <w:t>—</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Narrow" w:cs="Arial Narrow" w:eastAsia="Arial Narrow" w:hAnsi="Arial Narrow"/>
                <w:sz w:val="14"/>
                <w:szCs w:val="14"/>
                <w:color w:val="auto"/>
              </w:rPr>
              <w:t>—</w:t>
            </w:r>
          </w:p>
        </w:tc>
        <w:tc>
          <w:tcPr>
            <w:tcW w:w="60" w:type="dxa"/>
            <w:vAlign w:val="bottom"/>
          </w:tcPr>
          <w:p>
            <w:pPr>
              <w:spacing w:after="0"/>
              <w:rPr>
                <w:sz w:val="21"/>
                <w:szCs w:val="21"/>
                <w:color w:val="auto"/>
              </w:rPr>
            </w:pPr>
          </w:p>
        </w:tc>
      </w:tr>
      <w:tr>
        <w:trPr>
          <w:trHeight w:val="47"/>
        </w:trPr>
        <w:tc>
          <w:tcPr>
            <w:tcW w:w="5160" w:type="dxa"/>
            <w:vAlign w:val="bottom"/>
            <w:tcBorders>
              <w:bottom w:val="single" w:sz="8" w:color="A6A6A6"/>
            </w:tcBorders>
          </w:tcPr>
          <w:p>
            <w:pPr>
              <w:spacing w:after="0"/>
              <w:rPr>
                <w:sz w:val="4"/>
                <w:szCs w:val="4"/>
                <w:color w:val="auto"/>
              </w:rPr>
            </w:pPr>
          </w:p>
        </w:tc>
        <w:tc>
          <w:tcPr>
            <w:tcW w:w="380" w:type="dxa"/>
            <w:vAlign w:val="bottom"/>
            <w:tcBorders>
              <w:bottom w:val="single" w:sz="8" w:color="A6A6A6"/>
            </w:tcBorders>
          </w:tcPr>
          <w:p>
            <w:pPr>
              <w:spacing w:after="0"/>
              <w:rPr>
                <w:sz w:val="4"/>
                <w:szCs w:val="4"/>
                <w:color w:val="auto"/>
              </w:rPr>
            </w:pPr>
          </w:p>
        </w:tc>
        <w:tc>
          <w:tcPr>
            <w:tcW w:w="84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60" w:type="dxa"/>
            <w:vAlign w:val="bottom"/>
            <w:tcBorders>
              <w:bottom w:val="single" w:sz="8" w:color="A6A6A6"/>
            </w:tcBorders>
          </w:tcPr>
          <w:p>
            <w:pPr>
              <w:spacing w:after="0"/>
              <w:rPr>
                <w:sz w:val="4"/>
                <w:szCs w:val="4"/>
                <w:color w:val="auto"/>
              </w:rPr>
            </w:pPr>
          </w:p>
        </w:tc>
        <w:tc>
          <w:tcPr>
            <w:tcW w:w="126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360" w:type="dxa"/>
            <w:vAlign w:val="bottom"/>
            <w:tcBorders>
              <w:bottom w:val="single" w:sz="8" w:color="A6A6A6"/>
            </w:tcBorders>
          </w:tcPr>
          <w:p>
            <w:pPr>
              <w:spacing w:after="0"/>
              <w:rPr>
                <w:sz w:val="4"/>
                <w:szCs w:val="4"/>
                <w:color w:val="auto"/>
              </w:rPr>
            </w:pPr>
          </w:p>
        </w:tc>
        <w:tc>
          <w:tcPr>
            <w:tcW w:w="880" w:type="dxa"/>
            <w:vAlign w:val="bottom"/>
            <w:tcBorders>
              <w:bottom w:val="single" w:sz="8" w:color="A6A6A6"/>
            </w:tcBorders>
          </w:tcPr>
          <w:p>
            <w:pPr>
              <w:spacing w:after="0"/>
              <w:rPr>
                <w:sz w:val="4"/>
                <w:szCs w:val="4"/>
                <w:color w:val="auto"/>
              </w:rPr>
            </w:pPr>
          </w:p>
        </w:tc>
        <w:tc>
          <w:tcPr>
            <w:tcW w:w="60" w:type="dxa"/>
            <w:vAlign w:val="bottom"/>
          </w:tcPr>
          <w:p>
            <w:pPr>
              <w:spacing w:after="0"/>
              <w:rPr>
                <w:sz w:val="4"/>
                <w:szCs w:val="4"/>
                <w:color w:val="auto"/>
              </w:rPr>
            </w:pPr>
          </w:p>
        </w:tc>
      </w:tr>
      <w:tr>
        <w:trPr>
          <w:trHeight w:val="242"/>
        </w:trPr>
        <w:tc>
          <w:tcPr>
            <w:tcW w:w="5160" w:type="dxa"/>
            <w:vAlign w:val="bottom"/>
          </w:tcPr>
          <w:p>
            <w:pPr>
              <w:spacing w:after="0"/>
              <w:rPr>
                <w:sz w:val="20"/>
                <w:szCs w:val="20"/>
                <w:color w:val="auto"/>
              </w:rPr>
            </w:pPr>
            <w:r>
              <w:rPr>
                <w:rFonts w:ascii="Arial Narrow" w:cs="Arial Narrow" w:eastAsia="Arial Narrow" w:hAnsi="Arial Narrow"/>
                <w:sz w:val="14"/>
                <w:szCs w:val="14"/>
                <w:b w:val="1"/>
                <w:bCs w:val="1"/>
                <w:color w:val="00085E"/>
              </w:rPr>
              <w:t>Dividends Paid to Stockholders</w:t>
            </w: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Narrow" w:cs="Arial Narrow" w:eastAsia="Arial Narrow" w:hAnsi="Arial Narrow"/>
                <w:sz w:val="14"/>
                <w:szCs w:val="14"/>
                <w:color w:val="auto"/>
              </w:rPr>
              <w:t>(32,385)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Narrow" w:cs="Arial Narrow" w:eastAsia="Arial Narrow" w:hAnsi="Arial Narrow"/>
                <w:sz w:val="14"/>
                <w:szCs w:val="14"/>
                <w:color w:val="auto"/>
              </w:rPr>
              <w:t>(33,722)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Narrow" w:cs="Arial Narrow" w:eastAsia="Arial Narrow" w:hAnsi="Arial Narrow"/>
                <w:sz w:val="14"/>
                <w:szCs w:val="14"/>
                <w:color w:val="auto"/>
              </w:rPr>
              <w:t>(35,298)</w:t>
            </w:r>
          </w:p>
        </w:tc>
        <w:tc>
          <w:tcPr>
            <w:tcW w:w="60" w:type="dxa"/>
            <w:vAlign w:val="bottom"/>
          </w:tcPr>
          <w:p>
            <w:pPr>
              <w:spacing w:after="0"/>
              <w:rPr>
                <w:sz w:val="21"/>
                <w:szCs w:val="21"/>
                <w:color w:val="auto"/>
              </w:rPr>
            </w:pPr>
          </w:p>
        </w:tc>
      </w:tr>
      <w:tr>
        <w:trPr>
          <w:trHeight w:val="47"/>
        </w:trPr>
        <w:tc>
          <w:tcPr>
            <w:tcW w:w="5160" w:type="dxa"/>
            <w:vAlign w:val="bottom"/>
            <w:tcBorders>
              <w:bottom w:val="single" w:sz="8" w:color="A6A6A6"/>
            </w:tcBorders>
          </w:tcPr>
          <w:p>
            <w:pPr>
              <w:spacing w:after="0"/>
              <w:rPr>
                <w:sz w:val="4"/>
                <w:szCs w:val="4"/>
                <w:color w:val="auto"/>
              </w:rPr>
            </w:pPr>
          </w:p>
        </w:tc>
        <w:tc>
          <w:tcPr>
            <w:tcW w:w="380" w:type="dxa"/>
            <w:vAlign w:val="bottom"/>
            <w:tcBorders>
              <w:bottom w:val="single" w:sz="8" w:color="A6A6A6"/>
            </w:tcBorders>
          </w:tcPr>
          <w:p>
            <w:pPr>
              <w:spacing w:after="0"/>
              <w:rPr>
                <w:sz w:val="4"/>
                <w:szCs w:val="4"/>
                <w:color w:val="auto"/>
              </w:rPr>
            </w:pPr>
          </w:p>
        </w:tc>
        <w:tc>
          <w:tcPr>
            <w:tcW w:w="84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60" w:type="dxa"/>
            <w:vAlign w:val="bottom"/>
            <w:tcBorders>
              <w:bottom w:val="single" w:sz="8" w:color="A6A6A6"/>
            </w:tcBorders>
          </w:tcPr>
          <w:p>
            <w:pPr>
              <w:spacing w:after="0"/>
              <w:rPr>
                <w:sz w:val="4"/>
                <w:szCs w:val="4"/>
                <w:color w:val="auto"/>
              </w:rPr>
            </w:pPr>
          </w:p>
        </w:tc>
        <w:tc>
          <w:tcPr>
            <w:tcW w:w="126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360" w:type="dxa"/>
            <w:vAlign w:val="bottom"/>
            <w:tcBorders>
              <w:bottom w:val="single" w:sz="8" w:color="A6A6A6"/>
            </w:tcBorders>
          </w:tcPr>
          <w:p>
            <w:pPr>
              <w:spacing w:after="0"/>
              <w:rPr>
                <w:sz w:val="4"/>
                <w:szCs w:val="4"/>
                <w:color w:val="auto"/>
              </w:rPr>
            </w:pPr>
          </w:p>
        </w:tc>
        <w:tc>
          <w:tcPr>
            <w:tcW w:w="880" w:type="dxa"/>
            <w:vAlign w:val="bottom"/>
            <w:tcBorders>
              <w:bottom w:val="single" w:sz="8" w:color="A6A6A6"/>
            </w:tcBorders>
          </w:tcPr>
          <w:p>
            <w:pPr>
              <w:spacing w:after="0"/>
              <w:rPr>
                <w:sz w:val="4"/>
                <w:szCs w:val="4"/>
                <w:color w:val="auto"/>
              </w:rPr>
            </w:pPr>
          </w:p>
        </w:tc>
        <w:tc>
          <w:tcPr>
            <w:tcW w:w="60" w:type="dxa"/>
            <w:vAlign w:val="bottom"/>
            <w:tcBorders>
              <w:bottom w:val="single" w:sz="8" w:color="A6A6A6"/>
            </w:tcBorders>
          </w:tcPr>
          <w:p>
            <w:pPr>
              <w:spacing w:after="0"/>
              <w:rPr>
                <w:sz w:val="4"/>
                <w:szCs w:val="4"/>
                <w:color w:val="auto"/>
              </w:rPr>
            </w:pPr>
          </w:p>
        </w:tc>
      </w:tr>
      <w:tr>
        <w:trPr>
          <w:trHeight w:val="242"/>
        </w:trPr>
        <w:tc>
          <w:tcPr>
            <w:tcW w:w="5160" w:type="dxa"/>
            <w:vAlign w:val="bottom"/>
          </w:tcPr>
          <w:p>
            <w:pPr>
              <w:spacing w:after="0"/>
              <w:rPr>
                <w:sz w:val="20"/>
                <w:szCs w:val="20"/>
                <w:color w:val="auto"/>
              </w:rPr>
            </w:pPr>
            <w:r>
              <w:rPr>
                <w:rFonts w:ascii="Arial Narrow" w:cs="Arial Narrow" w:eastAsia="Arial Narrow" w:hAnsi="Arial Narrow"/>
                <w:sz w:val="14"/>
                <w:szCs w:val="14"/>
                <w:b w:val="1"/>
                <w:bCs w:val="1"/>
                <w:color w:val="00085E"/>
              </w:rPr>
              <w:t>Purchase and Retirement of Common Stock</w:t>
            </w: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Narrow" w:cs="Arial Narrow" w:eastAsia="Arial Narrow" w:hAnsi="Arial Narrow"/>
                <w:sz w:val="14"/>
                <w:szCs w:val="14"/>
                <w:color w:val="auto"/>
              </w:rPr>
              <w:t>(381,809)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Narrow" w:cs="Arial Narrow" w:eastAsia="Arial Narrow" w:hAnsi="Arial Narrow"/>
                <w:sz w:val="14"/>
                <w:szCs w:val="14"/>
                <w:color w:val="auto"/>
              </w:rPr>
              <w:t>(298,286)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Narrow" w:cs="Arial Narrow" w:eastAsia="Arial Narrow" w:hAnsi="Arial Narrow"/>
                <w:sz w:val="14"/>
                <w:szCs w:val="14"/>
                <w:color w:val="auto"/>
              </w:rPr>
              <w:t>(343,274)</w:t>
            </w:r>
          </w:p>
        </w:tc>
        <w:tc>
          <w:tcPr>
            <w:tcW w:w="60" w:type="dxa"/>
            <w:vAlign w:val="bottom"/>
          </w:tcPr>
          <w:p>
            <w:pPr>
              <w:spacing w:after="0"/>
              <w:rPr>
                <w:sz w:val="21"/>
                <w:szCs w:val="21"/>
                <w:color w:val="auto"/>
              </w:rPr>
            </w:pPr>
          </w:p>
        </w:tc>
      </w:tr>
      <w:tr>
        <w:trPr>
          <w:trHeight w:val="47"/>
        </w:trPr>
        <w:tc>
          <w:tcPr>
            <w:tcW w:w="5160" w:type="dxa"/>
            <w:vAlign w:val="bottom"/>
            <w:tcBorders>
              <w:bottom w:val="single" w:sz="8" w:color="A6A6A6"/>
            </w:tcBorders>
          </w:tcPr>
          <w:p>
            <w:pPr>
              <w:spacing w:after="0"/>
              <w:rPr>
                <w:sz w:val="4"/>
                <w:szCs w:val="4"/>
                <w:color w:val="auto"/>
              </w:rPr>
            </w:pPr>
          </w:p>
        </w:tc>
        <w:tc>
          <w:tcPr>
            <w:tcW w:w="380" w:type="dxa"/>
            <w:vAlign w:val="bottom"/>
            <w:tcBorders>
              <w:bottom w:val="single" w:sz="8" w:color="A6A6A6"/>
            </w:tcBorders>
          </w:tcPr>
          <w:p>
            <w:pPr>
              <w:spacing w:after="0"/>
              <w:rPr>
                <w:sz w:val="4"/>
                <w:szCs w:val="4"/>
                <w:color w:val="auto"/>
              </w:rPr>
            </w:pPr>
          </w:p>
        </w:tc>
        <w:tc>
          <w:tcPr>
            <w:tcW w:w="84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60" w:type="dxa"/>
            <w:vAlign w:val="bottom"/>
            <w:tcBorders>
              <w:bottom w:val="single" w:sz="8" w:color="A6A6A6"/>
            </w:tcBorders>
          </w:tcPr>
          <w:p>
            <w:pPr>
              <w:spacing w:after="0"/>
              <w:rPr>
                <w:sz w:val="4"/>
                <w:szCs w:val="4"/>
                <w:color w:val="auto"/>
              </w:rPr>
            </w:pPr>
          </w:p>
        </w:tc>
        <w:tc>
          <w:tcPr>
            <w:tcW w:w="126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360" w:type="dxa"/>
            <w:vAlign w:val="bottom"/>
            <w:tcBorders>
              <w:bottom w:val="single" w:sz="8" w:color="A6A6A6"/>
            </w:tcBorders>
          </w:tcPr>
          <w:p>
            <w:pPr>
              <w:spacing w:after="0"/>
              <w:rPr>
                <w:sz w:val="4"/>
                <w:szCs w:val="4"/>
                <w:color w:val="auto"/>
              </w:rPr>
            </w:pPr>
          </w:p>
        </w:tc>
        <w:tc>
          <w:tcPr>
            <w:tcW w:w="880" w:type="dxa"/>
            <w:vAlign w:val="bottom"/>
            <w:tcBorders>
              <w:bottom w:val="single" w:sz="8" w:color="A6A6A6"/>
            </w:tcBorders>
          </w:tcPr>
          <w:p>
            <w:pPr>
              <w:spacing w:after="0"/>
              <w:rPr>
                <w:sz w:val="4"/>
                <w:szCs w:val="4"/>
                <w:color w:val="auto"/>
              </w:rPr>
            </w:pPr>
          </w:p>
        </w:tc>
        <w:tc>
          <w:tcPr>
            <w:tcW w:w="60" w:type="dxa"/>
            <w:vAlign w:val="bottom"/>
            <w:tcBorders>
              <w:bottom w:val="single" w:sz="8" w:color="A6A6A6"/>
            </w:tcBorders>
          </w:tcPr>
          <w:p>
            <w:pPr>
              <w:spacing w:after="0"/>
              <w:rPr>
                <w:sz w:val="4"/>
                <w:szCs w:val="4"/>
                <w:color w:val="auto"/>
              </w:rPr>
            </w:pPr>
          </w:p>
        </w:tc>
      </w:tr>
      <w:tr>
        <w:trPr>
          <w:trHeight w:val="242"/>
        </w:trPr>
        <w:tc>
          <w:tcPr>
            <w:tcW w:w="5160" w:type="dxa"/>
            <w:vAlign w:val="bottom"/>
          </w:tcPr>
          <w:p>
            <w:pPr>
              <w:spacing w:after="0"/>
              <w:rPr>
                <w:sz w:val="20"/>
                <w:szCs w:val="20"/>
                <w:color w:val="auto"/>
              </w:rPr>
            </w:pPr>
            <w:r>
              <w:rPr>
                <w:rFonts w:ascii="Arial Narrow" w:cs="Arial Narrow" w:eastAsia="Arial Narrow" w:hAnsi="Arial Narrow"/>
                <w:sz w:val="14"/>
                <w:szCs w:val="14"/>
                <w:b w:val="1"/>
                <w:bCs w:val="1"/>
                <w:color w:val="00085E"/>
              </w:rPr>
              <w:t>Payment of Excise Tax on Purchases and Retirement of Common Stock</w:t>
            </w: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Narrow" w:cs="Arial Narrow" w:eastAsia="Arial Narrow" w:hAnsi="Arial Narrow"/>
                <w:sz w:val="14"/>
                <w:szCs w:val="14"/>
                <w:color w:val="auto"/>
              </w:rPr>
              <w:t>(2,587)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Narrow" w:cs="Arial Narrow" w:eastAsia="Arial Narrow" w:hAnsi="Arial Narrow"/>
                <w:sz w:val="14"/>
                <w:szCs w:val="14"/>
                <w:color w:val="auto"/>
              </w:rPr>
              <w:t>(3,331)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Narrow" w:cs="Arial Narrow" w:eastAsia="Arial Narrow" w:hAnsi="Arial Narrow"/>
                <w:sz w:val="14"/>
                <w:szCs w:val="14"/>
                <w:color w:val="auto"/>
              </w:rPr>
              <w:t>—</w:t>
            </w:r>
          </w:p>
        </w:tc>
        <w:tc>
          <w:tcPr>
            <w:tcW w:w="60" w:type="dxa"/>
            <w:vAlign w:val="bottom"/>
          </w:tcPr>
          <w:p>
            <w:pPr>
              <w:spacing w:after="0"/>
              <w:rPr>
                <w:sz w:val="21"/>
                <w:szCs w:val="21"/>
                <w:color w:val="auto"/>
              </w:rPr>
            </w:pPr>
          </w:p>
        </w:tc>
      </w:tr>
      <w:tr>
        <w:trPr>
          <w:trHeight w:val="47"/>
        </w:trPr>
        <w:tc>
          <w:tcPr>
            <w:tcW w:w="5160" w:type="dxa"/>
            <w:vAlign w:val="bottom"/>
            <w:tcBorders>
              <w:bottom w:val="single" w:sz="8" w:color="A6A6A6"/>
            </w:tcBorders>
          </w:tcPr>
          <w:p>
            <w:pPr>
              <w:spacing w:after="0"/>
              <w:rPr>
                <w:sz w:val="4"/>
                <w:szCs w:val="4"/>
                <w:color w:val="auto"/>
              </w:rPr>
            </w:pPr>
          </w:p>
        </w:tc>
        <w:tc>
          <w:tcPr>
            <w:tcW w:w="380" w:type="dxa"/>
            <w:vAlign w:val="bottom"/>
            <w:tcBorders>
              <w:bottom w:val="single" w:sz="8" w:color="A6A6A6"/>
            </w:tcBorders>
          </w:tcPr>
          <w:p>
            <w:pPr>
              <w:spacing w:after="0"/>
              <w:rPr>
                <w:sz w:val="4"/>
                <w:szCs w:val="4"/>
                <w:color w:val="auto"/>
              </w:rPr>
            </w:pPr>
          </w:p>
        </w:tc>
        <w:tc>
          <w:tcPr>
            <w:tcW w:w="84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60" w:type="dxa"/>
            <w:vAlign w:val="bottom"/>
            <w:tcBorders>
              <w:bottom w:val="single" w:sz="8" w:color="A6A6A6"/>
            </w:tcBorders>
          </w:tcPr>
          <w:p>
            <w:pPr>
              <w:spacing w:after="0"/>
              <w:rPr>
                <w:sz w:val="4"/>
                <w:szCs w:val="4"/>
                <w:color w:val="auto"/>
              </w:rPr>
            </w:pPr>
          </w:p>
        </w:tc>
        <w:tc>
          <w:tcPr>
            <w:tcW w:w="126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360" w:type="dxa"/>
            <w:vAlign w:val="bottom"/>
            <w:tcBorders>
              <w:bottom w:val="single" w:sz="8" w:color="A6A6A6"/>
            </w:tcBorders>
          </w:tcPr>
          <w:p>
            <w:pPr>
              <w:spacing w:after="0"/>
              <w:rPr>
                <w:sz w:val="4"/>
                <w:szCs w:val="4"/>
                <w:color w:val="auto"/>
              </w:rPr>
            </w:pPr>
          </w:p>
        </w:tc>
        <w:tc>
          <w:tcPr>
            <w:tcW w:w="880" w:type="dxa"/>
            <w:vAlign w:val="bottom"/>
            <w:tcBorders>
              <w:bottom w:val="single" w:sz="8" w:color="A6A6A6"/>
            </w:tcBorders>
          </w:tcPr>
          <w:p>
            <w:pPr>
              <w:spacing w:after="0"/>
              <w:rPr>
                <w:sz w:val="4"/>
                <w:szCs w:val="4"/>
                <w:color w:val="auto"/>
              </w:rPr>
            </w:pPr>
          </w:p>
        </w:tc>
        <w:tc>
          <w:tcPr>
            <w:tcW w:w="60" w:type="dxa"/>
            <w:vAlign w:val="bottom"/>
            <w:tcBorders>
              <w:bottom w:val="single" w:sz="8" w:color="A6A6A6"/>
            </w:tcBorders>
          </w:tcPr>
          <w:p>
            <w:pPr>
              <w:spacing w:after="0"/>
              <w:rPr>
                <w:sz w:val="4"/>
                <w:szCs w:val="4"/>
                <w:color w:val="auto"/>
              </w:rPr>
            </w:pPr>
          </w:p>
        </w:tc>
      </w:tr>
      <w:tr>
        <w:trPr>
          <w:trHeight w:val="242"/>
        </w:trPr>
        <w:tc>
          <w:tcPr>
            <w:tcW w:w="5160" w:type="dxa"/>
            <w:vAlign w:val="bottom"/>
          </w:tcPr>
          <w:p>
            <w:pPr>
              <w:spacing w:after="0"/>
              <w:rPr>
                <w:sz w:val="20"/>
                <w:szCs w:val="20"/>
                <w:color w:val="auto"/>
              </w:rPr>
            </w:pPr>
            <w:r>
              <w:rPr>
                <w:rFonts w:ascii="Arial Narrow" w:cs="Arial Narrow" w:eastAsia="Arial Narrow" w:hAnsi="Arial Narrow"/>
                <w:sz w:val="14"/>
                <w:szCs w:val="14"/>
                <w:b w:val="1"/>
                <w:bCs w:val="1"/>
                <w:color w:val="00085E"/>
              </w:rPr>
              <w:t>Proceeds from Stock Option Exercises</w:t>
            </w:r>
          </w:p>
        </w:tc>
        <w:tc>
          <w:tcPr>
            <w:tcW w:w="3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Narrow" w:cs="Arial Narrow" w:eastAsia="Arial Narrow" w:hAnsi="Arial Narrow"/>
                <w:sz w:val="14"/>
                <w:szCs w:val="14"/>
                <w:color w:val="auto"/>
              </w:rPr>
              <w:t>535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Arial Narrow" w:cs="Arial Narrow" w:eastAsia="Arial Narrow" w:hAnsi="Arial Narrow"/>
                <w:sz w:val="14"/>
                <w:szCs w:val="14"/>
                <w:color w:val="auto"/>
              </w:rPr>
              <w:t>6,380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Narrow" w:cs="Arial Narrow" w:eastAsia="Arial Narrow" w:hAnsi="Arial Narrow"/>
                <w:sz w:val="14"/>
                <w:szCs w:val="14"/>
                <w:color w:val="auto"/>
              </w:rPr>
              <w:t>17,098</w:t>
            </w:r>
          </w:p>
        </w:tc>
        <w:tc>
          <w:tcPr>
            <w:tcW w:w="60" w:type="dxa"/>
            <w:vAlign w:val="bottom"/>
          </w:tcPr>
          <w:p>
            <w:pPr>
              <w:spacing w:after="0"/>
              <w:rPr>
                <w:sz w:val="21"/>
                <w:szCs w:val="21"/>
                <w:color w:val="auto"/>
              </w:rPr>
            </w:pPr>
          </w:p>
        </w:tc>
      </w:tr>
      <w:tr>
        <w:trPr>
          <w:trHeight w:val="47"/>
        </w:trPr>
        <w:tc>
          <w:tcPr>
            <w:tcW w:w="5160" w:type="dxa"/>
            <w:vAlign w:val="bottom"/>
            <w:tcBorders>
              <w:bottom w:val="single" w:sz="8" w:color="A6A6A6"/>
            </w:tcBorders>
          </w:tcPr>
          <w:p>
            <w:pPr>
              <w:spacing w:after="0"/>
              <w:rPr>
                <w:sz w:val="4"/>
                <w:szCs w:val="4"/>
                <w:color w:val="auto"/>
              </w:rPr>
            </w:pPr>
          </w:p>
        </w:tc>
        <w:tc>
          <w:tcPr>
            <w:tcW w:w="380" w:type="dxa"/>
            <w:vAlign w:val="bottom"/>
            <w:tcBorders>
              <w:bottom w:val="single" w:sz="8" w:color="A6A6A6"/>
            </w:tcBorders>
          </w:tcPr>
          <w:p>
            <w:pPr>
              <w:spacing w:after="0"/>
              <w:rPr>
                <w:sz w:val="4"/>
                <w:szCs w:val="4"/>
                <w:color w:val="auto"/>
              </w:rPr>
            </w:pPr>
          </w:p>
        </w:tc>
        <w:tc>
          <w:tcPr>
            <w:tcW w:w="84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60" w:type="dxa"/>
            <w:vAlign w:val="bottom"/>
            <w:tcBorders>
              <w:bottom w:val="single" w:sz="8" w:color="A6A6A6"/>
            </w:tcBorders>
          </w:tcPr>
          <w:p>
            <w:pPr>
              <w:spacing w:after="0"/>
              <w:rPr>
                <w:sz w:val="4"/>
                <w:szCs w:val="4"/>
                <w:color w:val="auto"/>
              </w:rPr>
            </w:pPr>
          </w:p>
        </w:tc>
        <w:tc>
          <w:tcPr>
            <w:tcW w:w="126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360" w:type="dxa"/>
            <w:vAlign w:val="bottom"/>
            <w:tcBorders>
              <w:bottom w:val="single" w:sz="8" w:color="A6A6A6"/>
            </w:tcBorders>
          </w:tcPr>
          <w:p>
            <w:pPr>
              <w:spacing w:after="0"/>
              <w:rPr>
                <w:sz w:val="4"/>
                <w:szCs w:val="4"/>
                <w:color w:val="auto"/>
              </w:rPr>
            </w:pPr>
          </w:p>
        </w:tc>
        <w:tc>
          <w:tcPr>
            <w:tcW w:w="880" w:type="dxa"/>
            <w:vAlign w:val="bottom"/>
            <w:tcBorders>
              <w:bottom w:val="single" w:sz="8" w:color="A6A6A6"/>
            </w:tcBorders>
          </w:tcPr>
          <w:p>
            <w:pPr>
              <w:spacing w:after="0"/>
              <w:rPr>
                <w:sz w:val="4"/>
                <w:szCs w:val="4"/>
                <w:color w:val="auto"/>
              </w:rPr>
            </w:pPr>
          </w:p>
        </w:tc>
        <w:tc>
          <w:tcPr>
            <w:tcW w:w="60" w:type="dxa"/>
            <w:vAlign w:val="bottom"/>
            <w:tcBorders>
              <w:bottom w:val="single" w:sz="8" w:color="A6A6A6"/>
            </w:tcBorders>
          </w:tcPr>
          <w:p>
            <w:pPr>
              <w:spacing w:after="0"/>
              <w:rPr>
                <w:sz w:val="4"/>
                <w:szCs w:val="4"/>
                <w:color w:val="auto"/>
              </w:rPr>
            </w:pPr>
          </w:p>
        </w:tc>
      </w:tr>
      <w:tr>
        <w:trPr>
          <w:trHeight w:val="242"/>
        </w:trPr>
        <w:tc>
          <w:tcPr>
            <w:tcW w:w="5160" w:type="dxa"/>
            <w:vAlign w:val="bottom"/>
          </w:tcPr>
          <w:p>
            <w:pPr>
              <w:spacing w:after="0"/>
              <w:rPr>
                <w:sz w:val="20"/>
                <w:szCs w:val="20"/>
                <w:color w:val="auto"/>
              </w:rPr>
            </w:pPr>
            <w:r>
              <w:rPr>
                <w:rFonts w:ascii="Arial Narrow" w:cs="Arial Narrow" w:eastAsia="Arial Narrow" w:hAnsi="Arial Narrow"/>
                <w:sz w:val="14"/>
                <w:szCs w:val="14"/>
                <w:b w:val="1"/>
                <w:bCs w:val="1"/>
                <w:color w:val="00085E"/>
              </w:rPr>
              <w:t>Payment of Debt Issuance Costs</w:t>
            </w: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Narrow" w:cs="Arial Narrow" w:eastAsia="Arial Narrow" w:hAnsi="Arial Narrow"/>
                <w:sz w:val="14"/>
                <w:szCs w:val="14"/>
                <w:color w:val="auto"/>
              </w:rPr>
              <w:t>(6,851)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Narrow" w:cs="Arial Narrow" w:eastAsia="Arial Narrow" w:hAnsi="Arial Narrow"/>
                <w:sz w:val="14"/>
                <w:szCs w:val="14"/>
                <w:color w:val="auto"/>
              </w:rPr>
              <w:t>(1,834)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Narrow" w:cs="Arial Narrow" w:eastAsia="Arial Narrow" w:hAnsi="Arial Narrow"/>
                <w:sz w:val="14"/>
                <w:szCs w:val="14"/>
                <w:color w:val="auto"/>
              </w:rPr>
              <w:t>—</w:t>
            </w:r>
          </w:p>
        </w:tc>
        <w:tc>
          <w:tcPr>
            <w:tcW w:w="60" w:type="dxa"/>
            <w:vAlign w:val="bottom"/>
          </w:tcPr>
          <w:p>
            <w:pPr>
              <w:spacing w:after="0"/>
              <w:rPr>
                <w:sz w:val="21"/>
                <w:szCs w:val="21"/>
                <w:color w:val="auto"/>
              </w:rPr>
            </w:pPr>
          </w:p>
        </w:tc>
      </w:tr>
      <w:tr>
        <w:trPr>
          <w:trHeight w:val="47"/>
        </w:trPr>
        <w:tc>
          <w:tcPr>
            <w:tcW w:w="5160" w:type="dxa"/>
            <w:vAlign w:val="bottom"/>
            <w:tcBorders>
              <w:bottom w:val="single" w:sz="8" w:color="A6A6A6"/>
            </w:tcBorders>
          </w:tcPr>
          <w:p>
            <w:pPr>
              <w:spacing w:after="0"/>
              <w:rPr>
                <w:sz w:val="4"/>
                <w:szCs w:val="4"/>
                <w:color w:val="auto"/>
              </w:rPr>
            </w:pPr>
          </w:p>
        </w:tc>
        <w:tc>
          <w:tcPr>
            <w:tcW w:w="380" w:type="dxa"/>
            <w:vAlign w:val="bottom"/>
            <w:tcBorders>
              <w:bottom w:val="single" w:sz="8" w:color="A6A6A6"/>
            </w:tcBorders>
          </w:tcPr>
          <w:p>
            <w:pPr>
              <w:spacing w:after="0"/>
              <w:rPr>
                <w:sz w:val="4"/>
                <w:szCs w:val="4"/>
                <w:color w:val="auto"/>
              </w:rPr>
            </w:pPr>
          </w:p>
        </w:tc>
        <w:tc>
          <w:tcPr>
            <w:tcW w:w="84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60" w:type="dxa"/>
            <w:vAlign w:val="bottom"/>
            <w:tcBorders>
              <w:bottom w:val="single" w:sz="8" w:color="A6A6A6"/>
            </w:tcBorders>
          </w:tcPr>
          <w:p>
            <w:pPr>
              <w:spacing w:after="0"/>
              <w:rPr>
                <w:sz w:val="4"/>
                <w:szCs w:val="4"/>
                <w:color w:val="auto"/>
              </w:rPr>
            </w:pPr>
          </w:p>
        </w:tc>
        <w:tc>
          <w:tcPr>
            <w:tcW w:w="126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360" w:type="dxa"/>
            <w:vAlign w:val="bottom"/>
            <w:tcBorders>
              <w:bottom w:val="single" w:sz="8" w:color="A6A6A6"/>
            </w:tcBorders>
          </w:tcPr>
          <w:p>
            <w:pPr>
              <w:spacing w:after="0"/>
              <w:rPr>
                <w:sz w:val="4"/>
                <w:szCs w:val="4"/>
                <w:color w:val="auto"/>
              </w:rPr>
            </w:pPr>
          </w:p>
        </w:tc>
        <w:tc>
          <w:tcPr>
            <w:tcW w:w="880" w:type="dxa"/>
            <w:vAlign w:val="bottom"/>
            <w:tcBorders>
              <w:bottom w:val="single" w:sz="8" w:color="A6A6A6"/>
            </w:tcBorders>
          </w:tcPr>
          <w:p>
            <w:pPr>
              <w:spacing w:after="0"/>
              <w:rPr>
                <w:sz w:val="4"/>
                <w:szCs w:val="4"/>
                <w:color w:val="auto"/>
              </w:rPr>
            </w:pPr>
          </w:p>
        </w:tc>
        <w:tc>
          <w:tcPr>
            <w:tcW w:w="60" w:type="dxa"/>
            <w:vAlign w:val="bottom"/>
            <w:tcBorders>
              <w:bottom w:val="single" w:sz="8" w:color="A6A6A6"/>
            </w:tcBorders>
          </w:tcPr>
          <w:p>
            <w:pPr>
              <w:spacing w:after="0"/>
              <w:rPr>
                <w:sz w:val="4"/>
                <w:szCs w:val="4"/>
                <w:color w:val="auto"/>
              </w:rPr>
            </w:pPr>
          </w:p>
        </w:tc>
      </w:tr>
      <w:tr>
        <w:trPr>
          <w:trHeight w:val="242"/>
        </w:trPr>
        <w:tc>
          <w:tcPr>
            <w:tcW w:w="5160" w:type="dxa"/>
            <w:vAlign w:val="bottom"/>
          </w:tcPr>
          <w:p>
            <w:pPr>
              <w:spacing w:after="0"/>
              <w:rPr>
                <w:sz w:val="20"/>
                <w:szCs w:val="20"/>
                <w:color w:val="auto"/>
              </w:rPr>
            </w:pPr>
            <w:r>
              <w:rPr>
                <w:rFonts w:ascii="Arial Narrow" w:cs="Arial Narrow" w:eastAsia="Arial Narrow" w:hAnsi="Arial Narrow"/>
                <w:sz w:val="14"/>
                <w:szCs w:val="14"/>
                <w:b w:val="1"/>
                <w:bCs w:val="1"/>
                <w:color w:val="00085E"/>
              </w:rPr>
              <w:t>Shares Redeemed to Settle Employee Taxes on Stock Compensation</w:t>
            </w: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Narrow" w:cs="Arial Narrow" w:eastAsia="Arial Narrow" w:hAnsi="Arial Narrow"/>
                <w:sz w:val="14"/>
                <w:szCs w:val="14"/>
                <w:color w:val="auto"/>
              </w:rPr>
              <w:t>(8,583)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Narrow" w:cs="Arial Narrow" w:eastAsia="Arial Narrow" w:hAnsi="Arial Narrow"/>
                <w:sz w:val="14"/>
                <w:szCs w:val="14"/>
                <w:color w:val="auto"/>
              </w:rPr>
              <w:t>(5,898)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Narrow" w:cs="Arial Narrow" w:eastAsia="Arial Narrow" w:hAnsi="Arial Narrow"/>
                <w:sz w:val="14"/>
                <w:szCs w:val="14"/>
                <w:color w:val="auto"/>
              </w:rPr>
              <w:t>(10,423)</w:t>
            </w:r>
          </w:p>
        </w:tc>
        <w:tc>
          <w:tcPr>
            <w:tcW w:w="60" w:type="dxa"/>
            <w:vAlign w:val="bottom"/>
          </w:tcPr>
          <w:p>
            <w:pPr>
              <w:spacing w:after="0"/>
              <w:rPr>
                <w:sz w:val="21"/>
                <w:szCs w:val="21"/>
                <w:color w:val="auto"/>
              </w:rPr>
            </w:pPr>
          </w:p>
        </w:tc>
      </w:tr>
      <w:tr>
        <w:trPr>
          <w:trHeight w:val="72"/>
        </w:trPr>
        <w:tc>
          <w:tcPr>
            <w:tcW w:w="5160" w:type="dxa"/>
            <w:vAlign w:val="bottom"/>
            <w:tcBorders>
              <w:bottom w:val="single" w:sz="8" w:color="A6A6A6"/>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r>
      <w:tr>
        <w:trPr>
          <w:trHeight w:val="247"/>
        </w:trPr>
        <w:tc>
          <w:tcPr>
            <w:tcW w:w="5160" w:type="dxa"/>
            <w:vAlign w:val="bottom"/>
          </w:tcPr>
          <w:p>
            <w:pPr>
              <w:spacing w:after="0"/>
              <w:rPr>
                <w:sz w:val="20"/>
                <w:szCs w:val="20"/>
                <w:color w:val="auto"/>
              </w:rPr>
            </w:pPr>
            <w:r>
              <w:rPr>
                <w:rFonts w:ascii="Arial Narrow" w:cs="Arial Narrow" w:eastAsia="Arial Narrow" w:hAnsi="Arial Narrow"/>
                <w:sz w:val="14"/>
                <w:szCs w:val="14"/>
                <w:b w:val="1"/>
                <w:bCs w:val="1"/>
                <w:color w:val="00085E"/>
              </w:rPr>
              <w:t>Net Cash Provided by (Used in) Financing Activities</w:t>
            </w:r>
          </w:p>
        </w:tc>
        <w:tc>
          <w:tcPr>
            <w:tcW w:w="3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Narrow" w:cs="Arial Narrow" w:eastAsia="Arial Narrow" w:hAnsi="Arial Narrow"/>
                <w:sz w:val="14"/>
                <w:szCs w:val="14"/>
                <w:color w:val="auto"/>
              </w:rPr>
              <w:t>95,092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Narrow" w:cs="Arial Narrow" w:eastAsia="Arial Narrow" w:hAnsi="Arial Narrow"/>
                <w:sz w:val="14"/>
                <w:szCs w:val="14"/>
                <w:color w:val="auto"/>
              </w:rPr>
              <w:t>(192,941)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Narrow" w:cs="Arial Narrow" w:eastAsia="Arial Narrow" w:hAnsi="Arial Narrow"/>
                <w:sz w:val="14"/>
                <w:szCs w:val="14"/>
                <w:color w:val="auto"/>
              </w:rPr>
              <w:t>(368,897)</w:t>
            </w:r>
          </w:p>
        </w:tc>
        <w:tc>
          <w:tcPr>
            <w:tcW w:w="60" w:type="dxa"/>
            <w:vAlign w:val="bottom"/>
          </w:tcPr>
          <w:p>
            <w:pPr>
              <w:spacing w:after="0"/>
              <w:rPr>
                <w:sz w:val="21"/>
                <w:szCs w:val="21"/>
                <w:color w:val="auto"/>
              </w:rPr>
            </w:pPr>
          </w:p>
        </w:tc>
      </w:tr>
      <w:tr>
        <w:trPr>
          <w:trHeight w:val="72"/>
        </w:trPr>
        <w:tc>
          <w:tcPr>
            <w:tcW w:w="5160" w:type="dxa"/>
            <w:vAlign w:val="bottom"/>
            <w:tcBorders>
              <w:bottom w:val="single" w:sz="8" w:color="A6A6A6"/>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r>
      <w:tr>
        <w:trPr>
          <w:trHeight w:val="247"/>
        </w:trPr>
        <w:tc>
          <w:tcPr>
            <w:tcW w:w="5160" w:type="dxa"/>
            <w:vAlign w:val="bottom"/>
          </w:tcPr>
          <w:p>
            <w:pPr>
              <w:spacing w:after="0"/>
              <w:rPr>
                <w:sz w:val="20"/>
                <w:szCs w:val="20"/>
                <w:color w:val="auto"/>
              </w:rPr>
            </w:pPr>
            <w:r>
              <w:rPr>
                <w:rFonts w:ascii="Arial Narrow" w:cs="Arial Narrow" w:eastAsia="Arial Narrow" w:hAnsi="Arial Narrow"/>
                <w:sz w:val="14"/>
                <w:szCs w:val="14"/>
                <w:b w:val="1"/>
                <w:bCs w:val="1"/>
                <w:color w:val="auto"/>
              </w:rPr>
              <w:t>NET INCREASE (DECREASE) IN CASH AND CASH EQUIVALENTS</w:t>
            </w:r>
          </w:p>
        </w:tc>
        <w:tc>
          <w:tcPr>
            <w:tcW w:w="3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Narrow" w:cs="Arial Narrow" w:eastAsia="Arial Narrow" w:hAnsi="Arial Narrow"/>
                <w:sz w:val="14"/>
                <w:szCs w:val="14"/>
                <w:color w:val="auto"/>
              </w:rPr>
              <w:t>277,519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Narrow" w:cs="Arial Narrow" w:eastAsia="Arial Narrow" w:hAnsi="Arial Narrow"/>
                <w:sz w:val="14"/>
                <w:szCs w:val="14"/>
                <w:color w:val="auto"/>
              </w:rPr>
              <w:t>(14,524)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Narrow" w:cs="Arial Narrow" w:eastAsia="Arial Narrow" w:hAnsi="Arial Narrow"/>
                <w:sz w:val="14"/>
                <w:szCs w:val="14"/>
                <w:color w:val="auto"/>
              </w:rPr>
              <w:t>19,683</w:t>
            </w:r>
          </w:p>
        </w:tc>
        <w:tc>
          <w:tcPr>
            <w:tcW w:w="60" w:type="dxa"/>
            <w:vAlign w:val="bottom"/>
          </w:tcPr>
          <w:p>
            <w:pPr>
              <w:spacing w:after="0"/>
              <w:rPr>
                <w:sz w:val="21"/>
                <w:szCs w:val="21"/>
                <w:color w:val="auto"/>
              </w:rPr>
            </w:pPr>
          </w:p>
        </w:tc>
      </w:tr>
      <w:tr>
        <w:trPr>
          <w:trHeight w:val="47"/>
        </w:trPr>
        <w:tc>
          <w:tcPr>
            <w:tcW w:w="5160" w:type="dxa"/>
            <w:vAlign w:val="bottom"/>
            <w:tcBorders>
              <w:bottom w:val="single" w:sz="8" w:color="A6A6A6"/>
            </w:tcBorders>
          </w:tcPr>
          <w:p>
            <w:pPr>
              <w:spacing w:after="0"/>
              <w:rPr>
                <w:sz w:val="4"/>
                <w:szCs w:val="4"/>
                <w:color w:val="auto"/>
              </w:rPr>
            </w:pPr>
          </w:p>
        </w:tc>
        <w:tc>
          <w:tcPr>
            <w:tcW w:w="380" w:type="dxa"/>
            <w:vAlign w:val="bottom"/>
            <w:tcBorders>
              <w:bottom w:val="single" w:sz="8" w:color="A6A6A6"/>
            </w:tcBorders>
          </w:tcPr>
          <w:p>
            <w:pPr>
              <w:spacing w:after="0"/>
              <w:rPr>
                <w:sz w:val="4"/>
                <w:szCs w:val="4"/>
                <w:color w:val="auto"/>
              </w:rPr>
            </w:pPr>
          </w:p>
        </w:tc>
        <w:tc>
          <w:tcPr>
            <w:tcW w:w="84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60" w:type="dxa"/>
            <w:vAlign w:val="bottom"/>
            <w:tcBorders>
              <w:bottom w:val="single" w:sz="8" w:color="A6A6A6"/>
            </w:tcBorders>
          </w:tcPr>
          <w:p>
            <w:pPr>
              <w:spacing w:after="0"/>
              <w:rPr>
                <w:sz w:val="4"/>
                <w:szCs w:val="4"/>
                <w:color w:val="auto"/>
              </w:rPr>
            </w:pPr>
          </w:p>
        </w:tc>
        <w:tc>
          <w:tcPr>
            <w:tcW w:w="1260" w:type="dxa"/>
            <w:vAlign w:val="bottom"/>
            <w:tcBorders>
              <w:bottom w:val="single" w:sz="8" w:color="A6A6A6"/>
            </w:tcBorders>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360" w:type="dxa"/>
            <w:vAlign w:val="bottom"/>
            <w:tcBorders>
              <w:bottom w:val="single" w:sz="8" w:color="A6A6A6"/>
            </w:tcBorders>
          </w:tcPr>
          <w:p>
            <w:pPr>
              <w:spacing w:after="0"/>
              <w:rPr>
                <w:sz w:val="4"/>
                <w:szCs w:val="4"/>
                <w:color w:val="auto"/>
              </w:rPr>
            </w:pPr>
          </w:p>
        </w:tc>
        <w:tc>
          <w:tcPr>
            <w:tcW w:w="880" w:type="dxa"/>
            <w:vAlign w:val="bottom"/>
            <w:tcBorders>
              <w:bottom w:val="single" w:sz="8" w:color="A6A6A6"/>
            </w:tcBorders>
          </w:tcPr>
          <w:p>
            <w:pPr>
              <w:spacing w:after="0"/>
              <w:rPr>
                <w:sz w:val="4"/>
                <w:szCs w:val="4"/>
                <w:color w:val="auto"/>
              </w:rPr>
            </w:pPr>
          </w:p>
        </w:tc>
        <w:tc>
          <w:tcPr>
            <w:tcW w:w="60" w:type="dxa"/>
            <w:vAlign w:val="bottom"/>
            <w:tcBorders>
              <w:bottom w:val="single" w:sz="8" w:color="A6A6A6"/>
            </w:tcBorders>
          </w:tcPr>
          <w:p>
            <w:pPr>
              <w:spacing w:after="0"/>
              <w:rPr>
                <w:sz w:val="4"/>
                <w:szCs w:val="4"/>
                <w:color w:val="auto"/>
              </w:rPr>
            </w:pPr>
          </w:p>
        </w:tc>
      </w:tr>
      <w:tr>
        <w:trPr>
          <w:trHeight w:val="242"/>
        </w:trPr>
        <w:tc>
          <w:tcPr>
            <w:tcW w:w="5160" w:type="dxa"/>
            <w:vAlign w:val="bottom"/>
          </w:tcPr>
          <w:p>
            <w:pPr>
              <w:spacing w:after="0"/>
              <w:rPr>
                <w:sz w:val="20"/>
                <w:szCs w:val="20"/>
                <w:color w:val="auto"/>
              </w:rPr>
            </w:pPr>
            <w:r>
              <w:rPr>
                <w:rFonts w:ascii="Arial Narrow" w:cs="Arial Narrow" w:eastAsia="Arial Narrow" w:hAnsi="Arial Narrow"/>
                <w:sz w:val="14"/>
                <w:szCs w:val="14"/>
                <w:b w:val="1"/>
                <w:bCs w:val="1"/>
                <w:color w:val="auto"/>
              </w:rPr>
              <w:t>CASH AND CASH EQUIVALENTS AT BEGINNING OF PERIOD</w:t>
            </w:r>
          </w:p>
        </w:tc>
        <w:tc>
          <w:tcPr>
            <w:tcW w:w="3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Narrow" w:cs="Arial Narrow" w:eastAsia="Arial Narrow" w:hAnsi="Arial Narrow"/>
                <w:sz w:val="14"/>
                <w:szCs w:val="14"/>
                <w:color w:val="auto"/>
              </w:rPr>
              <w:t>20,401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Arial Narrow" w:cs="Arial Narrow" w:eastAsia="Arial Narrow" w:hAnsi="Arial Narrow"/>
                <w:sz w:val="14"/>
                <w:szCs w:val="14"/>
                <w:color w:val="auto"/>
              </w:rPr>
              <w:t>34,925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Narrow" w:cs="Arial Narrow" w:eastAsia="Arial Narrow" w:hAnsi="Arial Narrow"/>
                <w:sz w:val="14"/>
                <w:szCs w:val="14"/>
                <w:color w:val="auto"/>
              </w:rPr>
              <w:t>15,242</w:t>
            </w:r>
          </w:p>
        </w:tc>
        <w:tc>
          <w:tcPr>
            <w:tcW w:w="60" w:type="dxa"/>
            <w:vAlign w:val="bottom"/>
          </w:tcPr>
          <w:p>
            <w:pPr>
              <w:spacing w:after="0"/>
              <w:rPr>
                <w:sz w:val="21"/>
                <w:szCs w:val="21"/>
                <w:color w:val="auto"/>
              </w:rPr>
            </w:pPr>
          </w:p>
        </w:tc>
      </w:tr>
      <w:tr>
        <w:trPr>
          <w:trHeight w:val="72"/>
        </w:trPr>
        <w:tc>
          <w:tcPr>
            <w:tcW w:w="5160" w:type="dxa"/>
            <w:vAlign w:val="bottom"/>
            <w:tcBorders>
              <w:bottom w:val="single" w:sz="8" w:color="A6A6A6"/>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r>
      <w:tr>
        <w:trPr>
          <w:trHeight w:val="247"/>
        </w:trPr>
        <w:tc>
          <w:tcPr>
            <w:tcW w:w="5160" w:type="dxa"/>
            <w:vAlign w:val="bottom"/>
          </w:tcPr>
          <w:p>
            <w:pPr>
              <w:spacing w:after="0"/>
              <w:rPr>
                <w:sz w:val="20"/>
                <w:szCs w:val="20"/>
                <w:color w:val="auto"/>
              </w:rPr>
            </w:pPr>
            <w:r>
              <w:rPr>
                <w:rFonts w:ascii="Arial Narrow" w:cs="Arial Narrow" w:eastAsia="Arial Narrow" w:hAnsi="Arial Narrow"/>
                <w:sz w:val="14"/>
                <w:szCs w:val="14"/>
                <w:b w:val="1"/>
                <w:bCs w:val="1"/>
                <w:color w:val="auto"/>
              </w:rPr>
              <w:t>CASH AND CASH EQUIVALENTS AT END OF PERIOD</w:t>
            </w:r>
          </w:p>
        </w:tc>
        <w:tc>
          <w:tcPr>
            <w:tcW w:w="380" w:type="dxa"/>
            <w:vAlign w:val="bottom"/>
          </w:tcPr>
          <w:p>
            <w:pPr>
              <w:jc w:val="right"/>
              <w:ind w:right="260"/>
              <w:spacing w:after="0"/>
              <w:rPr>
                <w:sz w:val="20"/>
                <w:szCs w:val="20"/>
                <w:color w:val="auto"/>
              </w:rPr>
            </w:pPr>
            <w:r>
              <w:rPr>
                <w:rFonts w:ascii="Arial Narrow" w:cs="Arial Narrow" w:eastAsia="Arial Narrow" w:hAnsi="Arial Narrow"/>
                <w:sz w:val="12"/>
                <w:szCs w:val="12"/>
                <w:b w:val="1"/>
                <w:bCs w:val="1"/>
                <w:color w:val="auto"/>
                <w:w w:val="72"/>
              </w:rPr>
              <w:t>$</w:t>
            </w:r>
          </w:p>
        </w:tc>
        <w:tc>
          <w:tcPr>
            <w:tcW w:w="840" w:type="dxa"/>
            <w:vAlign w:val="bottom"/>
          </w:tcPr>
          <w:p>
            <w:pPr>
              <w:jc w:val="right"/>
              <w:ind w:right="10"/>
              <w:spacing w:after="0"/>
              <w:rPr>
                <w:sz w:val="20"/>
                <w:szCs w:val="20"/>
                <w:color w:val="auto"/>
              </w:rPr>
            </w:pPr>
            <w:r>
              <w:rPr>
                <w:rFonts w:ascii="Arial Narrow" w:cs="Arial Narrow" w:eastAsia="Arial Narrow" w:hAnsi="Arial Narrow"/>
                <w:sz w:val="14"/>
                <w:szCs w:val="14"/>
                <w:b w:val="1"/>
                <w:bCs w:val="1"/>
                <w:color w:val="auto"/>
              </w:rPr>
              <w:t>297,920</w:t>
            </w:r>
          </w:p>
        </w:tc>
        <w:tc>
          <w:tcPr>
            <w:tcW w:w="300" w:type="dxa"/>
            <w:vAlign w:val="bottom"/>
            <w:gridSpan w:val="3"/>
          </w:tcPr>
          <w:p>
            <w:pPr>
              <w:jc w:val="right"/>
              <w:spacing w:after="0"/>
              <w:rPr>
                <w:sz w:val="20"/>
                <w:szCs w:val="20"/>
                <w:color w:val="auto"/>
              </w:rPr>
            </w:pPr>
            <w:r>
              <w:rPr>
                <w:rFonts w:ascii="Arial Narrow" w:cs="Arial Narrow" w:eastAsia="Arial Narrow" w:hAnsi="Arial Narrow"/>
                <w:sz w:val="14"/>
                <w:szCs w:val="14"/>
                <w:b w:val="1"/>
                <w:bCs w:val="1"/>
                <w:color w:val="auto"/>
              </w:rPr>
              <w:t>$</w:t>
            </w:r>
          </w:p>
        </w:tc>
        <w:tc>
          <w:tcPr>
            <w:tcW w:w="1260" w:type="dxa"/>
            <w:vAlign w:val="bottom"/>
          </w:tcPr>
          <w:p>
            <w:pPr>
              <w:jc w:val="right"/>
              <w:ind w:right="130"/>
              <w:spacing w:after="0"/>
              <w:rPr>
                <w:sz w:val="20"/>
                <w:szCs w:val="20"/>
                <w:color w:val="auto"/>
              </w:rPr>
            </w:pPr>
            <w:r>
              <w:rPr>
                <w:rFonts w:ascii="Arial Narrow" w:cs="Arial Narrow" w:eastAsia="Arial Narrow" w:hAnsi="Arial Narrow"/>
                <w:sz w:val="14"/>
                <w:szCs w:val="14"/>
                <w:b w:val="1"/>
                <w:bCs w:val="1"/>
                <w:color w:val="auto"/>
              </w:rPr>
              <w:t>20,401</w:t>
            </w:r>
          </w:p>
        </w:tc>
        <w:tc>
          <w:tcPr>
            <w:tcW w:w="480" w:type="dxa"/>
            <w:vAlign w:val="bottom"/>
            <w:gridSpan w:val="2"/>
          </w:tcPr>
          <w:p>
            <w:pPr>
              <w:jc w:val="right"/>
              <w:ind w:right="300"/>
              <w:spacing w:after="0"/>
              <w:rPr>
                <w:sz w:val="20"/>
                <w:szCs w:val="20"/>
                <w:color w:val="auto"/>
              </w:rPr>
            </w:pPr>
            <w:r>
              <w:rPr>
                <w:rFonts w:ascii="Arial Narrow" w:cs="Arial Narrow" w:eastAsia="Arial Narrow" w:hAnsi="Arial Narrow"/>
                <w:sz w:val="14"/>
                <w:szCs w:val="14"/>
                <w:b w:val="1"/>
                <w:bCs w:val="1"/>
                <w:color w:val="auto"/>
              </w:rPr>
              <w:t>$</w:t>
            </w:r>
          </w:p>
        </w:tc>
        <w:tc>
          <w:tcPr>
            <w:tcW w:w="880" w:type="dxa"/>
            <w:vAlign w:val="bottom"/>
          </w:tcPr>
          <w:p>
            <w:pPr>
              <w:jc w:val="right"/>
              <w:ind w:right="50"/>
              <w:spacing w:after="0"/>
              <w:rPr>
                <w:sz w:val="20"/>
                <w:szCs w:val="20"/>
                <w:color w:val="auto"/>
              </w:rPr>
            </w:pPr>
            <w:r>
              <w:rPr>
                <w:rFonts w:ascii="Arial Narrow" w:cs="Arial Narrow" w:eastAsia="Arial Narrow" w:hAnsi="Arial Narrow"/>
                <w:sz w:val="14"/>
                <w:szCs w:val="14"/>
                <w:b w:val="1"/>
                <w:bCs w:val="1"/>
                <w:color w:val="auto"/>
              </w:rPr>
              <w:t>34,925</w:t>
            </w:r>
          </w:p>
        </w:tc>
        <w:tc>
          <w:tcPr>
            <w:tcW w:w="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3277235</wp:posOffset>
            </wp:positionH>
            <wp:positionV relativeFrom="paragraph">
              <wp:posOffset>29845</wp:posOffset>
            </wp:positionV>
            <wp:extent cx="2666365" cy="285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3">
                      <a:extLst>
                        <a:ext uri="{28A0092B-C50C-407E-A947-70E740481C1C}"/>
                      </a:extLst>
                    </a:blip>
                    <a:srcRect/>
                    <a:stretch>
                      <a:fillRect/>
                    </a:stretch>
                  </pic:blipFill>
                  <pic:spPr bwMode="auto">
                    <a:xfrm>
                      <a:off x="0" y="0"/>
                      <a:ext cx="2666365" cy="28575"/>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Notes to Consolidated Financial Statements.</w:t>
      </w:r>
    </w:p>
    <w:p>
      <w:pPr>
        <w:sectPr>
          <w:pgSz w:w="11880" w:h="15480" w:orient="portrait"/>
          <w:cols w:equalWidth="0" w:num="1">
            <w:col w:w="9360"/>
          </w:cols>
          <w:pgMar w:left="1260" w:top="1264" w:right="1260" w:bottom="0"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74</w:t>
      </w:r>
    </w:p>
    <w:p>
      <w:pPr>
        <w:sectPr>
          <w:pgSz w:w="11880" w:h="15480" w:orient="portrait"/>
          <w:cols w:equalWidth="0" w:num="1">
            <w:col w:w="9360"/>
          </w:cols>
          <w:pgMar w:left="1260" w:top="1264" w:right="1260" w:bottom="0" w:gutter="0" w:footer="0" w:header="0"/>
          <w:type w:val="continuous"/>
        </w:sectPr>
      </w:pPr>
    </w:p>
    <w:bookmarkStart w:id="82" w:name="page83"/>
    <w:bookmarkEnd w:id="82"/>
    <w:p>
      <w:pPr>
        <w:ind w:right="1620"/>
        <w:spacing w:after="0" w:line="339" w:lineRule="auto"/>
        <w:rPr>
          <w:sz w:val="20"/>
          <w:szCs w:val="20"/>
          <w:color w:val="auto"/>
        </w:rPr>
      </w:pPr>
      <w:r>
        <w:rPr>
          <w:rFonts w:ascii="Arial" w:cs="Arial" w:eastAsia="Arial" w:hAnsi="Arial"/>
          <w:sz w:val="20"/>
          <w:szCs w:val="20"/>
          <w:b w:val="1"/>
          <w:bCs w:val="1"/>
          <w:color w:val="auto"/>
        </w:rPr>
        <w:t>EAGLE MATERIALS INC. AND SUBSIDIARIES CONSOLIDATED STATEMENTS OF STOCKHOLDERS’ EQUITY</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vMerge w:val="restart"/>
          </w:tcPr>
          <w:p>
            <w:pPr>
              <w:jc w:val="right"/>
              <w:ind w:right="110"/>
              <w:spacing w:after="0"/>
              <w:rPr>
                <w:sz w:val="20"/>
                <w:szCs w:val="20"/>
                <w:color w:val="auto"/>
              </w:rPr>
            </w:pPr>
            <w:r>
              <w:rPr>
                <w:rFonts w:ascii="Arial Narrow" w:cs="Arial Narrow" w:eastAsia="Arial Narrow" w:hAnsi="Arial Narrow"/>
                <w:sz w:val="18"/>
                <w:szCs w:val="18"/>
                <w:b w:val="1"/>
                <w:bCs w:val="1"/>
                <w:color w:val="auto"/>
              </w:rPr>
              <w:t>Capital in</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90"/>
              <w:spacing w:after="0"/>
              <w:rPr>
                <w:sz w:val="20"/>
                <w:szCs w:val="20"/>
                <w:color w:val="auto"/>
              </w:rPr>
            </w:pPr>
            <w:r>
              <w:rPr>
                <w:rFonts w:ascii="Arial Narrow" w:cs="Arial Narrow" w:eastAsia="Arial Narrow" w:hAnsi="Arial Narrow"/>
                <w:sz w:val="18"/>
                <w:szCs w:val="18"/>
                <w:b w:val="1"/>
                <w:bCs w:val="1"/>
                <w:color w:val="auto"/>
              </w:rPr>
              <w:t>Accumulated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vMerge w:val="restart"/>
          </w:tcPr>
          <w:p>
            <w:pPr>
              <w:jc w:val="right"/>
              <w:ind w:right="90"/>
              <w:spacing w:after="0"/>
              <w:rPr>
                <w:sz w:val="20"/>
                <w:szCs w:val="20"/>
                <w:color w:val="auto"/>
              </w:rPr>
            </w:pPr>
            <w:r>
              <w:rPr>
                <w:rFonts w:ascii="Arial Narrow" w:cs="Arial Narrow" w:eastAsia="Arial Narrow" w:hAnsi="Arial Narrow"/>
                <w:sz w:val="18"/>
                <w:szCs w:val="18"/>
                <w:b w:val="1"/>
                <w:bCs w:val="1"/>
                <w:color w:val="auto"/>
              </w:rPr>
              <w:t>Common</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90"/>
              <w:spacing w:after="0"/>
              <w:rPr>
                <w:sz w:val="20"/>
                <w:szCs w:val="20"/>
                <w:color w:val="auto"/>
              </w:rPr>
            </w:pPr>
            <w:r>
              <w:rPr>
                <w:rFonts w:ascii="Arial Narrow" w:cs="Arial Narrow" w:eastAsia="Arial Narrow" w:hAnsi="Arial Narrow"/>
                <w:sz w:val="18"/>
                <w:szCs w:val="18"/>
                <w:b w:val="1"/>
                <w:bCs w:val="1"/>
                <w:color w:val="auto"/>
              </w:rPr>
              <w:t>Other</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110"/>
              <w:spacing w:after="0"/>
              <w:rPr>
                <w:sz w:val="20"/>
                <w:szCs w:val="20"/>
                <w:color w:val="auto"/>
              </w:rPr>
            </w:pPr>
            <w:r>
              <w:rPr>
                <w:rFonts w:ascii="Arial Narrow" w:cs="Arial Narrow" w:eastAsia="Arial Narrow" w:hAnsi="Arial Narrow"/>
                <w:sz w:val="18"/>
                <w:szCs w:val="18"/>
                <w:b w:val="1"/>
                <w:bCs w:val="1"/>
                <w:color w:val="auto"/>
              </w:rPr>
              <w:t>Excess of</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110"/>
              <w:spacing w:after="0"/>
              <w:rPr>
                <w:sz w:val="20"/>
                <w:szCs w:val="20"/>
                <w:color w:val="auto"/>
              </w:rPr>
            </w:pPr>
            <w:r>
              <w:rPr>
                <w:rFonts w:ascii="Arial Narrow" w:cs="Arial Narrow" w:eastAsia="Arial Narrow" w:hAnsi="Arial Narrow"/>
                <w:sz w:val="18"/>
                <w:szCs w:val="18"/>
                <w:b w:val="1"/>
                <w:bCs w:val="1"/>
                <w:color w:val="auto"/>
              </w:rPr>
              <w:t>Retained</w:t>
            </w:r>
          </w:p>
        </w:tc>
        <w:tc>
          <w:tcPr>
            <w:tcW w:w="100" w:type="dxa"/>
            <w:vAlign w:val="bottom"/>
          </w:tcPr>
          <w:p>
            <w:pPr>
              <w:spacing w:after="0"/>
              <w:rPr>
                <w:sz w:val="17"/>
                <w:szCs w:val="17"/>
                <w:color w:val="auto"/>
              </w:rPr>
            </w:pPr>
          </w:p>
        </w:tc>
        <w:tc>
          <w:tcPr>
            <w:tcW w:w="1300" w:type="dxa"/>
            <w:vAlign w:val="bottom"/>
            <w:gridSpan w:val="2"/>
          </w:tcPr>
          <w:p>
            <w:pPr>
              <w:spacing w:after="0"/>
              <w:rPr>
                <w:sz w:val="20"/>
                <w:szCs w:val="20"/>
                <w:color w:val="auto"/>
              </w:rPr>
            </w:pPr>
            <w:r>
              <w:rPr>
                <w:rFonts w:ascii="Arial Narrow" w:cs="Arial Narrow" w:eastAsia="Arial Narrow" w:hAnsi="Arial Narrow"/>
                <w:sz w:val="18"/>
                <w:szCs w:val="18"/>
                <w:b w:val="1"/>
                <w:bCs w:val="1"/>
                <w:color w:val="auto"/>
              </w:rPr>
              <w:t>Comprehensive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3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ind w:right="90"/>
              <w:spacing w:after="0"/>
              <w:rPr>
                <w:sz w:val="20"/>
                <w:szCs w:val="20"/>
                <w:color w:val="auto"/>
              </w:rPr>
            </w:pPr>
            <w:r>
              <w:rPr>
                <w:rFonts w:ascii="Arial Narrow" w:cs="Arial Narrow" w:eastAsia="Arial Narrow" w:hAnsi="Arial Narrow"/>
                <w:sz w:val="18"/>
                <w:szCs w:val="18"/>
                <w:b w:val="1"/>
                <w:bCs w:val="1"/>
                <w:color w:val="auto"/>
              </w:rPr>
              <w:t>Stock</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ind w:right="110"/>
              <w:spacing w:after="0"/>
              <w:rPr>
                <w:sz w:val="20"/>
                <w:szCs w:val="20"/>
                <w:color w:val="auto"/>
              </w:rPr>
            </w:pPr>
            <w:r>
              <w:rPr>
                <w:rFonts w:ascii="Arial Narrow" w:cs="Arial Narrow" w:eastAsia="Arial Narrow" w:hAnsi="Arial Narrow"/>
                <w:sz w:val="18"/>
                <w:szCs w:val="18"/>
                <w:b w:val="1"/>
                <w:bCs w:val="1"/>
                <w:color w:val="auto"/>
              </w:rPr>
              <w:t>Par Value</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ind w:right="110"/>
              <w:spacing w:after="0"/>
              <w:rPr>
                <w:sz w:val="20"/>
                <w:szCs w:val="20"/>
                <w:color w:val="auto"/>
              </w:rPr>
            </w:pPr>
            <w:r>
              <w:rPr>
                <w:rFonts w:ascii="Arial Narrow" w:cs="Arial Narrow" w:eastAsia="Arial Narrow" w:hAnsi="Arial Narrow"/>
                <w:sz w:val="18"/>
                <w:szCs w:val="18"/>
                <w:b w:val="1"/>
                <w:bCs w:val="1"/>
                <w:color w:val="auto"/>
              </w:rPr>
              <w:t>Earnings</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jc w:val="right"/>
              <w:ind w:right="90"/>
              <w:spacing w:after="0"/>
              <w:rPr>
                <w:sz w:val="20"/>
                <w:szCs w:val="20"/>
                <w:color w:val="auto"/>
              </w:rPr>
            </w:pPr>
            <w:r>
              <w:rPr>
                <w:rFonts w:ascii="Arial Narrow" w:cs="Arial Narrow" w:eastAsia="Arial Narrow" w:hAnsi="Arial Narrow"/>
                <w:sz w:val="18"/>
                <w:szCs w:val="18"/>
                <w:b w:val="1"/>
                <w:bCs w:val="1"/>
                <w:color w:val="auto"/>
              </w:rPr>
              <w:t>Losses</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70"/>
              <w:spacing w:after="0"/>
              <w:rPr>
                <w:sz w:val="20"/>
                <w:szCs w:val="20"/>
                <w:color w:val="auto"/>
              </w:rPr>
            </w:pPr>
            <w:r>
              <w:rPr>
                <w:rFonts w:ascii="Arial Narrow" w:cs="Arial Narrow" w:eastAsia="Arial Narrow" w:hAnsi="Arial Narrow"/>
                <w:sz w:val="18"/>
                <w:szCs w:val="18"/>
                <w:b w:val="1"/>
                <w:bCs w:val="1"/>
                <w:color w:val="auto"/>
              </w:rPr>
              <w:t>Total</w:t>
            </w:r>
          </w:p>
        </w:tc>
        <w:tc>
          <w:tcPr>
            <w:tcW w:w="0" w:type="dxa"/>
            <w:vAlign w:val="bottom"/>
          </w:tcPr>
          <w:p>
            <w:pPr>
              <w:spacing w:after="0"/>
              <w:rPr>
                <w:sz w:val="1"/>
                <w:szCs w:val="1"/>
                <w:color w:val="auto"/>
              </w:rPr>
            </w:pPr>
          </w:p>
        </w:tc>
      </w:tr>
      <w:tr>
        <w:trPr>
          <w:trHeight w:val="270"/>
        </w:trPr>
        <w:tc>
          <w:tcPr>
            <w:tcW w:w="3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gridSpan w:val="4"/>
          </w:tcPr>
          <w:p>
            <w:pPr>
              <w:ind w:left="40"/>
              <w:spacing w:after="0"/>
              <w:rPr>
                <w:sz w:val="20"/>
                <w:szCs w:val="20"/>
                <w:color w:val="auto"/>
              </w:rPr>
            </w:pPr>
            <w:r>
              <w:rPr>
                <w:rFonts w:ascii="Arial Narrow" w:cs="Arial Narrow" w:eastAsia="Arial Narrow" w:hAnsi="Arial Narrow"/>
                <w:sz w:val="16"/>
                <w:szCs w:val="16"/>
                <w:color w:val="auto"/>
              </w:rPr>
              <w:t>(dollars in thousands)</w:t>
            </w: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
        </w:trPr>
        <w:tc>
          <w:tcPr>
            <w:tcW w:w="34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gridSpan w:val="2"/>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gridSpan w:val="2"/>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gridSpan w:val="2"/>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gridSpan w:val="2"/>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4"/>
        </w:trPr>
        <w:tc>
          <w:tcPr>
            <w:tcW w:w="3460" w:type="dxa"/>
            <w:vAlign w:val="bottom"/>
          </w:tcPr>
          <w:p>
            <w:pPr>
              <w:spacing w:after="0"/>
              <w:rPr>
                <w:sz w:val="20"/>
                <w:szCs w:val="20"/>
                <w:color w:val="auto"/>
              </w:rPr>
            </w:pPr>
            <w:r>
              <w:rPr>
                <w:rFonts w:ascii="Arial Narrow" w:cs="Arial Narrow" w:eastAsia="Arial Narrow" w:hAnsi="Arial Narrow"/>
                <w:sz w:val="18"/>
                <w:szCs w:val="18"/>
                <w:b w:val="1"/>
                <w:bCs w:val="1"/>
                <w:color w:val="auto"/>
              </w:rPr>
              <w:t>Balance at March 31, 2023</w:t>
            </w:r>
          </w:p>
        </w:tc>
        <w:tc>
          <w:tcPr>
            <w:tcW w:w="100" w:type="dxa"/>
            <w:vAlign w:val="bottom"/>
          </w:tcPr>
          <w:p>
            <w:pPr>
              <w:jc w:val="right"/>
              <w:spacing w:after="0"/>
              <w:rPr>
                <w:sz w:val="20"/>
                <w:szCs w:val="20"/>
                <w:color w:val="auto"/>
              </w:rPr>
            </w:pPr>
            <w:r>
              <w:rPr>
                <w:rFonts w:ascii="Arial Narrow" w:cs="Arial Narrow" w:eastAsia="Arial Narrow" w:hAnsi="Arial Narrow"/>
                <w:sz w:val="18"/>
                <w:szCs w:val="18"/>
                <w:b w:val="1"/>
                <w:bCs w:val="1"/>
                <w:color w:val="auto"/>
                <w:w w:val="72"/>
              </w:rPr>
              <w:t>$</w:t>
            </w:r>
          </w:p>
        </w:tc>
        <w:tc>
          <w:tcPr>
            <w:tcW w:w="860" w:type="dxa"/>
            <w:vAlign w:val="bottom"/>
          </w:tcPr>
          <w:p>
            <w:pPr>
              <w:jc w:val="right"/>
              <w:ind w:right="90"/>
              <w:spacing w:after="0"/>
              <w:rPr>
                <w:sz w:val="20"/>
                <w:szCs w:val="20"/>
                <w:color w:val="auto"/>
              </w:rPr>
            </w:pPr>
            <w:r>
              <w:rPr>
                <w:rFonts w:ascii="Arial Narrow" w:cs="Arial Narrow" w:eastAsia="Arial Narrow" w:hAnsi="Arial Narrow"/>
                <w:sz w:val="18"/>
                <w:szCs w:val="18"/>
                <w:b w:val="1"/>
                <w:bCs w:val="1"/>
                <w:color w:val="auto"/>
              </w:rPr>
              <w:t>358</w:t>
            </w:r>
          </w:p>
        </w:tc>
        <w:tc>
          <w:tcPr>
            <w:tcW w:w="260" w:type="dxa"/>
            <w:vAlign w:val="bottom"/>
            <w:gridSpan w:val="2"/>
          </w:tcPr>
          <w:p>
            <w:pPr>
              <w:jc w:val="right"/>
              <w:ind w:right="60"/>
              <w:spacing w:after="0"/>
              <w:rPr>
                <w:sz w:val="20"/>
                <w:szCs w:val="20"/>
                <w:color w:val="auto"/>
              </w:rPr>
            </w:pPr>
            <w:r>
              <w:rPr>
                <w:rFonts w:ascii="Arial Narrow" w:cs="Arial Narrow" w:eastAsia="Arial Narrow" w:hAnsi="Arial Narrow"/>
                <w:sz w:val="18"/>
                <w:szCs w:val="18"/>
                <w:b w:val="1"/>
                <w:bCs w:val="1"/>
                <w:color w:val="auto"/>
              </w:rPr>
              <w:t>$</w:t>
            </w:r>
          </w:p>
        </w:tc>
        <w:tc>
          <w:tcPr>
            <w:tcW w:w="940" w:type="dxa"/>
            <w:vAlign w:val="bottom"/>
          </w:tcPr>
          <w:p>
            <w:pPr>
              <w:jc w:val="right"/>
              <w:ind w:right="110"/>
              <w:spacing w:after="0"/>
              <w:rPr>
                <w:sz w:val="20"/>
                <w:szCs w:val="20"/>
                <w:color w:val="auto"/>
              </w:rPr>
            </w:pPr>
            <w:r>
              <w:rPr>
                <w:rFonts w:ascii="Arial Narrow" w:cs="Arial Narrow" w:eastAsia="Arial Narrow" w:hAnsi="Arial Narrow"/>
                <w:sz w:val="18"/>
                <w:szCs w:val="18"/>
                <w:b w:val="1"/>
                <w:bCs w:val="1"/>
                <w:color w:val="auto"/>
              </w:rPr>
              <w:t>—</w:t>
            </w:r>
          </w:p>
        </w:tc>
        <w:tc>
          <w:tcPr>
            <w:tcW w:w="260" w:type="dxa"/>
            <w:vAlign w:val="bottom"/>
            <w:gridSpan w:val="2"/>
          </w:tcPr>
          <w:p>
            <w:pPr>
              <w:jc w:val="right"/>
              <w:spacing w:after="0"/>
              <w:rPr>
                <w:sz w:val="20"/>
                <w:szCs w:val="20"/>
                <w:color w:val="auto"/>
              </w:rPr>
            </w:pPr>
            <w:r>
              <w:rPr>
                <w:rFonts w:ascii="Arial Narrow" w:cs="Arial Narrow" w:eastAsia="Arial Narrow" w:hAnsi="Arial Narrow"/>
                <w:sz w:val="18"/>
                <w:szCs w:val="18"/>
                <w:b w:val="1"/>
                <w:bCs w:val="1"/>
                <w:color w:val="auto"/>
              </w:rPr>
              <w:t>$</w:t>
            </w:r>
          </w:p>
        </w:tc>
        <w:tc>
          <w:tcPr>
            <w:tcW w:w="920" w:type="dxa"/>
            <w:vAlign w:val="bottom"/>
          </w:tcPr>
          <w:p>
            <w:pPr>
              <w:jc w:val="right"/>
              <w:ind w:right="110"/>
              <w:spacing w:after="0"/>
              <w:rPr>
                <w:sz w:val="20"/>
                <w:szCs w:val="20"/>
                <w:color w:val="auto"/>
              </w:rPr>
            </w:pPr>
            <w:r>
              <w:rPr>
                <w:rFonts w:ascii="Arial Narrow" w:cs="Arial Narrow" w:eastAsia="Arial Narrow" w:hAnsi="Arial Narrow"/>
                <w:sz w:val="18"/>
                <w:szCs w:val="18"/>
                <w:b w:val="1"/>
                <w:bCs w:val="1"/>
                <w:color w:val="auto"/>
              </w:rPr>
              <w:t>1,188,883</w:t>
            </w:r>
          </w:p>
        </w:tc>
        <w:tc>
          <w:tcPr>
            <w:tcW w:w="240" w:type="dxa"/>
            <w:vAlign w:val="bottom"/>
            <w:gridSpan w:val="2"/>
          </w:tcPr>
          <w:p>
            <w:pPr>
              <w:ind w:left="100"/>
              <w:spacing w:after="0"/>
              <w:rPr>
                <w:sz w:val="20"/>
                <w:szCs w:val="20"/>
                <w:color w:val="auto"/>
              </w:rPr>
            </w:pPr>
            <w:r>
              <w:rPr>
                <w:rFonts w:ascii="Arial Narrow" w:cs="Arial Narrow" w:eastAsia="Arial Narrow" w:hAnsi="Arial Narrow"/>
                <w:sz w:val="18"/>
                <w:szCs w:val="18"/>
                <w:b w:val="1"/>
                <w:bCs w:val="1"/>
                <w:color w:val="auto"/>
              </w:rPr>
              <w:t>$</w:t>
            </w:r>
          </w:p>
        </w:tc>
        <w:tc>
          <w:tcPr>
            <w:tcW w:w="1160" w:type="dxa"/>
            <w:vAlign w:val="bottom"/>
          </w:tcPr>
          <w:p>
            <w:pPr>
              <w:jc w:val="right"/>
              <w:ind w:right="30"/>
              <w:spacing w:after="0"/>
              <w:rPr>
                <w:sz w:val="20"/>
                <w:szCs w:val="20"/>
                <w:color w:val="auto"/>
              </w:rPr>
            </w:pPr>
            <w:r>
              <w:rPr>
                <w:rFonts w:ascii="Arial Narrow" w:cs="Arial Narrow" w:eastAsia="Arial Narrow" w:hAnsi="Arial Narrow"/>
                <w:sz w:val="18"/>
                <w:szCs w:val="18"/>
                <w:b w:val="1"/>
                <w:bCs w:val="1"/>
                <w:color w:val="auto"/>
              </w:rPr>
              <w:t>(3,547)</w:t>
            </w:r>
          </w:p>
        </w:tc>
        <w:tc>
          <w:tcPr>
            <w:tcW w:w="260" w:type="dxa"/>
            <w:vAlign w:val="bottom"/>
            <w:gridSpan w:val="2"/>
          </w:tcPr>
          <w:p>
            <w:pPr>
              <w:jc w:val="right"/>
              <w:ind w:right="60"/>
              <w:spacing w:after="0"/>
              <w:rPr>
                <w:sz w:val="20"/>
                <w:szCs w:val="20"/>
                <w:color w:val="auto"/>
              </w:rPr>
            </w:pPr>
            <w:r>
              <w:rPr>
                <w:rFonts w:ascii="Arial Narrow" w:cs="Arial Narrow" w:eastAsia="Arial Narrow" w:hAnsi="Arial Narrow"/>
                <w:sz w:val="18"/>
                <w:szCs w:val="18"/>
                <w:b w:val="1"/>
                <w:bCs w:val="1"/>
                <w:color w:val="auto"/>
              </w:rPr>
              <w:t>$</w:t>
            </w:r>
          </w:p>
        </w:tc>
        <w:tc>
          <w:tcPr>
            <w:tcW w:w="900" w:type="dxa"/>
            <w:vAlign w:val="bottom"/>
          </w:tcPr>
          <w:p>
            <w:pPr>
              <w:jc w:val="right"/>
              <w:ind w:right="70"/>
              <w:spacing w:after="0"/>
              <w:rPr>
                <w:sz w:val="20"/>
                <w:szCs w:val="20"/>
                <w:color w:val="auto"/>
              </w:rPr>
            </w:pPr>
            <w:r>
              <w:rPr>
                <w:rFonts w:ascii="Arial Narrow" w:cs="Arial Narrow" w:eastAsia="Arial Narrow" w:hAnsi="Arial Narrow"/>
                <w:sz w:val="18"/>
                <w:szCs w:val="18"/>
                <w:b w:val="1"/>
                <w:bCs w:val="1"/>
                <w:color w:val="auto"/>
              </w:rPr>
              <w:t>1,185,694</w:t>
            </w:r>
          </w:p>
        </w:tc>
        <w:tc>
          <w:tcPr>
            <w:tcW w:w="0" w:type="dxa"/>
            <w:vAlign w:val="bottom"/>
          </w:tcPr>
          <w:p>
            <w:pPr>
              <w:spacing w:after="0"/>
              <w:rPr>
                <w:sz w:val="1"/>
                <w:szCs w:val="1"/>
                <w:color w:val="auto"/>
              </w:rPr>
            </w:pPr>
          </w:p>
        </w:tc>
      </w:tr>
      <w:tr>
        <w:trPr>
          <w:trHeight w:val="44"/>
        </w:trPr>
        <w:tc>
          <w:tcPr>
            <w:tcW w:w="346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86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9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116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92"/>
        </w:trPr>
        <w:tc>
          <w:tcPr>
            <w:tcW w:w="3460" w:type="dxa"/>
            <w:vAlign w:val="bottom"/>
          </w:tcPr>
          <w:p>
            <w:pPr>
              <w:spacing w:after="0"/>
              <w:rPr>
                <w:sz w:val="20"/>
                <w:szCs w:val="20"/>
                <w:color w:val="auto"/>
              </w:rPr>
            </w:pPr>
            <w:r>
              <w:rPr>
                <w:rFonts w:ascii="Arial Narrow" w:cs="Arial Narrow" w:eastAsia="Arial Narrow" w:hAnsi="Arial Narrow"/>
                <w:sz w:val="18"/>
                <w:szCs w:val="18"/>
                <w:b w:val="1"/>
                <w:bCs w:val="1"/>
                <w:color w:val="00085E"/>
              </w:rPr>
              <w:t>Net Earnings</w:t>
            </w:r>
          </w:p>
        </w:tc>
        <w:tc>
          <w:tcPr>
            <w:tcW w:w="100" w:type="dxa"/>
            <w:vAlign w:val="bottom"/>
          </w:tcPr>
          <w:p>
            <w:pPr>
              <w:spacing w:after="0"/>
              <w:rPr>
                <w:sz w:val="24"/>
                <w:szCs w:val="24"/>
                <w:color w:val="auto"/>
              </w:rPr>
            </w:pPr>
          </w:p>
        </w:tc>
        <w:tc>
          <w:tcPr>
            <w:tcW w:w="860" w:type="dxa"/>
            <w:vAlign w:val="bottom"/>
          </w:tcPr>
          <w:p>
            <w:pPr>
              <w:jc w:val="right"/>
              <w:ind w:right="90"/>
              <w:spacing w:after="0"/>
              <w:rPr>
                <w:sz w:val="20"/>
                <w:szCs w:val="20"/>
                <w:color w:val="auto"/>
              </w:rPr>
            </w:pPr>
            <w:r>
              <w:rPr>
                <w:rFonts w:ascii="Arial Narrow" w:cs="Arial Narrow" w:eastAsia="Arial Narrow" w:hAnsi="Arial Narrow"/>
                <w:sz w:val="18"/>
                <w:szCs w:val="18"/>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ind w:right="110"/>
              <w:spacing w:after="0"/>
              <w:rPr>
                <w:sz w:val="20"/>
                <w:szCs w:val="20"/>
                <w:color w:val="auto"/>
              </w:rPr>
            </w:pPr>
            <w:r>
              <w:rPr>
                <w:rFonts w:ascii="Arial Narrow" w:cs="Arial Narrow" w:eastAsia="Arial Narrow" w:hAnsi="Arial Narrow"/>
                <w:sz w:val="18"/>
                <w:szCs w:val="18"/>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ind w:right="110"/>
              <w:spacing w:after="0"/>
              <w:rPr>
                <w:sz w:val="20"/>
                <w:szCs w:val="20"/>
                <w:color w:val="auto"/>
              </w:rPr>
            </w:pPr>
            <w:r>
              <w:rPr>
                <w:rFonts w:ascii="Arial Narrow" w:cs="Arial Narrow" w:eastAsia="Arial Narrow" w:hAnsi="Arial Narrow"/>
                <w:sz w:val="18"/>
                <w:szCs w:val="18"/>
                <w:color w:val="auto"/>
              </w:rPr>
              <w:t>477,639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ind w:right="90"/>
              <w:spacing w:after="0"/>
              <w:rPr>
                <w:sz w:val="20"/>
                <w:szCs w:val="20"/>
                <w:color w:val="auto"/>
              </w:rPr>
            </w:pPr>
            <w:r>
              <w:rPr>
                <w:rFonts w:ascii="Arial Narrow" w:cs="Arial Narrow" w:eastAsia="Arial Narrow" w:hAnsi="Arial Narrow"/>
                <w:sz w:val="18"/>
                <w:szCs w:val="18"/>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70"/>
              <w:spacing w:after="0"/>
              <w:rPr>
                <w:sz w:val="20"/>
                <w:szCs w:val="20"/>
                <w:color w:val="auto"/>
              </w:rPr>
            </w:pPr>
            <w:r>
              <w:rPr>
                <w:rFonts w:ascii="Arial Narrow" w:cs="Arial Narrow" w:eastAsia="Arial Narrow" w:hAnsi="Arial Narrow"/>
                <w:sz w:val="18"/>
                <w:szCs w:val="18"/>
                <w:color w:val="auto"/>
              </w:rPr>
              <w:t>477,639</w:t>
            </w:r>
          </w:p>
        </w:tc>
        <w:tc>
          <w:tcPr>
            <w:tcW w:w="0" w:type="dxa"/>
            <w:vAlign w:val="bottom"/>
          </w:tcPr>
          <w:p>
            <w:pPr>
              <w:spacing w:after="0"/>
              <w:rPr>
                <w:sz w:val="1"/>
                <w:szCs w:val="1"/>
                <w:color w:val="auto"/>
              </w:rPr>
            </w:pPr>
          </w:p>
        </w:tc>
      </w:tr>
      <w:tr>
        <w:trPr>
          <w:trHeight w:val="44"/>
        </w:trPr>
        <w:tc>
          <w:tcPr>
            <w:tcW w:w="346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86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9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116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3460" w:type="dxa"/>
            <w:vAlign w:val="bottom"/>
          </w:tcPr>
          <w:p>
            <w:pPr>
              <w:spacing w:after="0"/>
              <w:rPr>
                <w:sz w:val="20"/>
                <w:szCs w:val="20"/>
                <w:color w:val="auto"/>
              </w:rPr>
            </w:pPr>
            <w:r>
              <w:rPr>
                <w:rFonts w:ascii="Arial Narrow" w:cs="Arial Narrow" w:eastAsia="Arial Narrow" w:hAnsi="Arial Narrow"/>
                <w:sz w:val="18"/>
                <w:szCs w:val="18"/>
                <w:b w:val="1"/>
                <w:bCs w:val="1"/>
                <w:color w:val="00085E"/>
              </w:rPr>
              <w:t>Stock Option Exercises and Restricted Share</w:t>
            </w:r>
          </w:p>
        </w:tc>
        <w:tc>
          <w:tcPr>
            <w:tcW w:w="100" w:type="dxa"/>
            <w:vAlign w:val="bottom"/>
          </w:tcPr>
          <w:p>
            <w:pPr>
              <w:spacing w:after="0"/>
              <w:rPr>
                <w:sz w:val="21"/>
                <w:szCs w:val="21"/>
                <w:color w:val="auto"/>
              </w:rPr>
            </w:pPr>
          </w:p>
        </w:tc>
        <w:tc>
          <w:tcPr>
            <w:tcW w:w="860" w:type="dxa"/>
            <w:vAlign w:val="bottom"/>
            <w:vMerge w:val="restart"/>
          </w:tcPr>
          <w:p>
            <w:pPr>
              <w:jc w:val="right"/>
              <w:ind w:right="90"/>
              <w:spacing w:after="0"/>
              <w:rPr>
                <w:sz w:val="20"/>
                <w:szCs w:val="20"/>
                <w:color w:val="auto"/>
              </w:rPr>
            </w:pPr>
            <w:r>
              <w:rPr>
                <w:rFonts w:ascii="Arial Narrow" w:cs="Arial Narrow" w:eastAsia="Arial Narrow" w:hAnsi="Arial Narrow"/>
                <w:sz w:val="18"/>
                <w:szCs w:val="18"/>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vMerge w:val="restart"/>
          </w:tcPr>
          <w:p>
            <w:pPr>
              <w:jc w:val="right"/>
              <w:ind w:right="110"/>
              <w:spacing w:after="0"/>
              <w:rPr>
                <w:sz w:val="20"/>
                <w:szCs w:val="20"/>
                <w:color w:val="auto"/>
              </w:rPr>
            </w:pPr>
            <w:r>
              <w:rPr>
                <w:rFonts w:ascii="Arial Narrow" w:cs="Arial Narrow" w:eastAsia="Arial Narrow" w:hAnsi="Arial Narrow"/>
                <w:sz w:val="18"/>
                <w:szCs w:val="18"/>
                <w:color w:val="auto"/>
              </w:rPr>
              <w:t>17,096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vMerge w:val="restart"/>
          </w:tcPr>
          <w:p>
            <w:pPr>
              <w:jc w:val="right"/>
              <w:ind w:right="110"/>
              <w:spacing w:after="0"/>
              <w:rPr>
                <w:sz w:val="20"/>
                <w:szCs w:val="20"/>
                <w:color w:val="auto"/>
              </w:rPr>
            </w:pPr>
            <w:r>
              <w:rPr>
                <w:rFonts w:ascii="Arial Narrow" w:cs="Arial Narrow" w:eastAsia="Arial Narrow" w:hAnsi="Arial Narrow"/>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vMerge w:val="restart"/>
          </w:tcPr>
          <w:p>
            <w:pPr>
              <w:jc w:val="right"/>
              <w:ind w:right="90"/>
              <w:spacing w:after="0"/>
              <w:rPr>
                <w:sz w:val="20"/>
                <w:szCs w:val="20"/>
                <w:color w:val="auto"/>
              </w:rPr>
            </w:pPr>
            <w:r>
              <w:rPr>
                <w:rFonts w:ascii="Arial Narrow" w:cs="Arial Narrow" w:eastAsia="Arial Narrow" w:hAnsi="Arial Narrow"/>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vMerge w:val="restart"/>
          </w:tcPr>
          <w:p>
            <w:pPr>
              <w:jc w:val="right"/>
              <w:ind w:right="70"/>
              <w:spacing w:after="0"/>
              <w:rPr>
                <w:sz w:val="20"/>
                <w:szCs w:val="20"/>
                <w:color w:val="auto"/>
              </w:rPr>
            </w:pPr>
            <w:r>
              <w:rPr>
                <w:rFonts w:ascii="Arial Narrow" w:cs="Arial Narrow" w:eastAsia="Arial Narrow" w:hAnsi="Arial Narrow"/>
                <w:sz w:val="18"/>
                <w:szCs w:val="18"/>
                <w:color w:val="auto"/>
              </w:rPr>
              <w:t>17,098</w:t>
            </w:r>
          </w:p>
        </w:tc>
        <w:tc>
          <w:tcPr>
            <w:tcW w:w="0" w:type="dxa"/>
            <w:vAlign w:val="bottom"/>
          </w:tcPr>
          <w:p>
            <w:pPr>
              <w:spacing w:after="0"/>
              <w:rPr>
                <w:sz w:val="1"/>
                <w:szCs w:val="1"/>
                <w:color w:val="auto"/>
              </w:rPr>
            </w:pPr>
          </w:p>
        </w:tc>
      </w:tr>
      <w:tr>
        <w:trPr>
          <w:trHeight w:val="150"/>
        </w:trPr>
        <w:tc>
          <w:tcPr>
            <w:tcW w:w="3460" w:type="dxa"/>
            <w:vAlign w:val="bottom"/>
            <w:vMerge w:val="restart"/>
          </w:tcPr>
          <w:p>
            <w:pPr>
              <w:spacing w:after="0"/>
              <w:rPr>
                <w:sz w:val="20"/>
                <w:szCs w:val="20"/>
                <w:color w:val="auto"/>
              </w:rPr>
            </w:pPr>
            <w:r>
              <w:rPr>
                <w:rFonts w:ascii="Arial Narrow" w:cs="Arial Narrow" w:eastAsia="Arial Narrow" w:hAnsi="Arial Narrow"/>
                <w:sz w:val="18"/>
                <w:szCs w:val="18"/>
                <w:b w:val="1"/>
                <w:bCs w:val="1"/>
                <w:color w:val="00085E"/>
              </w:rPr>
              <w:t>Vesting</w:t>
            </w:r>
          </w:p>
        </w:tc>
        <w:tc>
          <w:tcPr>
            <w:tcW w:w="10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34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4"/>
        </w:trPr>
        <w:tc>
          <w:tcPr>
            <w:tcW w:w="346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86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9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116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92"/>
        </w:trPr>
        <w:tc>
          <w:tcPr>
            <w:tcW w:w="3460" w:type="dxa"/>
            <w:vAlign w:val="bottom"/>
          </w:tcPr>
          <w:p>
            <w:pPr>
              <w:spacing w:after="0"/>
              <w:rPr>
                <w:sz w:val="20"/>
                <w:szCs w:val="20"/>
                <w:color w:val="auto"/>
              </w:rPr>
            </w:pPr>
            <w:r>
              <w:rPr>
                <w:rFonts w:ascii="Arial Narrow" w:cs="Arial Narrow" w:eastAsia="Arial Narrow" w:hAnsi="Arial Narrow"/>
                <w:sz w:val="18"/>
                <w:szCs w:val="18"/>
                <w:b w:val="1"/>
                <w:bCs w:val="1"/>
                <w:color w:val="00085E"/>
              </w:rPr>
              <w:t>Stock Compensation Expense</w:t>
            </w:r>
          </w:p>
        </w:tc>
        <w:tc>
          <w:tcPr>
            <w:tcW w:w="100" w:type="dxa"/>
            <w:vAlign w:val="bottom"/>
          </w:tcPr>
          <w:p>
            <w:pPr>
              <w:spacing w:after="0"/>
              <w:rPr>
                <w:sz w:val="24"/>
                <w:szCs w:val="24"/>
                <w:color w:val="auto"/>
              </w:rPr>
            </w:pPr>
          </w:p>
        </w:tc>
        <w:tc>
          <w:tcPr>
            <w:tcW w:w="860" w:type="dxa"/>
            <w:vAlign w:val="bottom"/>
          </w:tcPr>
          <w:p>
            <w:pPr>
              <w:jc w:val="right"/>
              <w:ind w:right="90"/>
              <w:spacing w:after="0"/>
              <w:rPr>
                <w:sz w:val="20"/>
                <w:szCs w:val="20"/>
                <w:color w:val="auto"/>
              </w:rPr>
            </w:pPr>
            <w:r>
              <w:rPr>
                <w:rFonts w:ascii="Arial Narrow" w:cs="Arial Narrow" w:eastAsia="Arial Narrow" w:hAnsi="Arial Narrow"/>
                <w:sz w:val="18"/>
                <w:szCs w:val="18"/>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ind w:right="110"/>
              <w:spacing w:after="0"/>
              <w:rPr>
                <w:sz w:val="20"/>
                <w:szCs w:val="20"/>
                <w:color w:val="auto"/>
              </w:rPr>
            </w:pPr>
            <w:r>
              <w:rPr>
                <w:rFonts w:ascii="Arial Narrow" w:cs="Arial Narrow" w:eastAsia="Arial Narrow" w:hAnsi="Arial Narrow"/>
                <w:sz w:val="18"/>
                <w:szCs w:val="18"/>
                <w:color w:val="auto"/>
              </w:rPr>
              <w:t>19,900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ind w:right="110"/>
              <w:spacing w:after="0"/>
              <w:rPr>
                <w:sz w:val="20"/>
                <w:szCs w:val="20"/>
                <w:color w:val="auto"/>
              </w:rPr>
            </w:pPr>
            <w:r>
              <w:rPr>
                <w:rFonts w:ascii="Arial Narrow" w:cs="Arial Narrow" w:eastAsia="Arial Narrow" w:hAnsi="Arial Narrow"/>
                <w:sz w:val="18"/>
                <w:szCs w:val="18"/>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ind w:right="90"/>
              <w:spacing w:after="0"/>
              <w:rPr>
                <w:sz w:val="20"/>
                <w:szCs w:val="20"/>
                <w:color w:val="auto"/>
              </w:rPr>
            </w:pPr>
            <w:r>
              <w:rPr>
                <w:rFonts w:ascii="Arial Narrow" w:cs="Arial Narrow" w:eastAsia="Arial Narrow" w:hAnsi="Arial Narrow"/>
                <w:sz w:val="18"/>
                <w:szCs w:val="18"/>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70"/>
              <w:spacing w:after="0"/>
              <w:rPr>
                <w:sz w:val="20"/>
                <w:szCs w:val="20"/>
                <w:color w:val="auto"/>
              </w:rPr>
            </w:pPr>
            <w:r>
              <w:rPr>
                <w:rFonts w:ascii="Arial Narrow" w:cs="Arial Narrow" w:eastAsia="Arial Narrow" w:hAnsi="Arial Narrow"/>
                <w:sz w:val="18"/>
                <w:szCs w:val="18"/>
                <w:color w:val="auto"/>
              </w:rPr>
              <w:t>19,900</w:t>
            </w:r>
          </w:p>
        </w:tc>
        <w:tc>
          <w:tcPr>
            <w:tcW w:w="0" w:type="dxa"/>
            <w:vAlign w:val="bottom"/>
          </w:tcPr>
          <w:p>
            <w:pPr>
              <w:spacing w:after="0"/>
              <w:rPr>
                <w:sz w:val="1"/>
                <w:szCs w:val="1"/>
                <w:color w:val="auto"/>
              </w:rPr>
            </w:pPr>
          </w:p>
        </w:tc>
      </w:tr>
      <w:tr>
        <w:trPr>
          <w:trHeight w:val="44"/>
        </w:trPr>
        <w:tc>
          <w:tcPr>
            <w:tcW w:w="346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86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9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116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92"/>
        </w:trPr>
        <w:tc>
          <w:tcPr>
            <w:tcW w:w="3460" w:type="dxa"/>
            <w:vAlign w:val="bottom"/>
          </w:tcPr>
          <w:p>
            <w:pPr>
              <w:spacing w:after="0"/>
              <w:rPr>
                <w:sz w:val="20"/>
                <w:szCs w:val="20"/>
                <w:color w:val="auto"/>
              </w:rPr>
            </w:pPr>
            <w:r>
              <w:rPr>
                <w:rFonts w:ascii="Arial Narrow" w:cs="Arial Narrow" w:eastAsia="Arial Narrow" w:hAnsi="Arial Narrow"/>
                <w:sz w:val="18"/>
                <w:szCs w:val="18"/>
                <w:b w:val="1"/>
                <w:bCs w:val="1"/>
                <w:color w:val="00085E"/>
              </w:rPr>
              <w:t>Shares Redeemed to Settle Employee Taxes</w:t>
            </w:r>
          </w:p>
        </w:tc>
        <w:tc>
          <w:tcPr>
            <w:tcW w:w="100" w:type="dxa"/>
            <w:vAlign w:val="bottom"/>
          </w:tcPr>
          <w:p>
            <w:pPr>
              <w:spacing w:after="0"/>
              <w:rPr>
                <w:sz w:val="24"/>
                <w:szCs w:val="24"/>
                <w:color w:val="auto"/>
              </w:rPr>
            </w:pPr>
          </w:p>
        </w:tc>
        <w:tc>
          <w:tcPr>
            <w:tcW w:w="860" w:type="dxa"/>
            <w:vAlign w:val="bottom"/>
          </w:tcPr>
          <w:p>
            <w:pPr>
              <w:jc w:val="right"/>
              <w:ind w:right="30"/>
              <w:spacing w:after="0"/>
              <w:rPr>
                <w:sz w:val="20"/>
                <w:szCs w:val="20"/>
                <w:color w:val="auto"/>
              </w:rPr>
            </w:pPr>
            <w:r>
              <w:rPr>
                <w:rFonts w:ascii="Arial Narrow" w:cs="Arial Narrow" w:eastAsia="Arial Narrow" w:hAnsi="Arial Narrow"/>
                <w:sz w:val="18"/>
                <w:szCs w:val="18"/>
                <w:color w:val="auto"/>
              </w:rPr>
              <w:t>(1)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ind w:right="50"/>
              <w:spacing w:after="0"/>
              <w:rPr>
                <w:sz w:val="20"/>
                <w:szCs w:val="20"/>
                <w:color w:val="auto"/>
              </w:rPr>
            </w:pPr>
            <w:r>
              <w:rPr>
                <w:rFonts w:ascii="Arial Narrow" w:cs="Arial Narrow" w:eastAsia="Arial Narrow" w:hAnsi="Arial Narrow"/>
                <w:sz w:val="18"/>
                <w:szCs w:val="18"/>
                <w:color w:val="auto"/>
              </w:rPr>
              <w:t>(10,422)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ind w:right="110"/>
              <w:spacing w:after="0"/>
              <w:rPr>
                <w:sz w:val="20"/>
                <w:szCs w:val="20"/>
                <w:color w:val="auto"/>
              </w:rPr>
            </w:pPr>
            <w:r>
              <w:rPr>
                <w:rFonts w:ascii="Arial Narrow" w:cs="Arial Narrow" w:eastAsia="Arial Narrow" w:hAnsi="Arial Narrow"/>
                <w:sz w:val="18"/>
                <w:szCs w:val="18"/>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ind w:right="90"/>
              <w:spacing w:after="0"/>
              <w:rPr>
                <w:sz w:val="20"/>
                <w:szCs w:val="20"/>
                <w:color w:val="auto"/>
              </w:rPr>
            </w:pPr>
            <w:r>
              <w:rPr>
                <w:rFonts w:ascii="Arial Narrow" w:cs="Arial Narrow" w:eastAsia="Arial Narrow" w:hAnsi="Arial Narrow"/>
                <w:sz w:val="18"/>
                <w:szCs w:val="18"/>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Narrow" w:cs="Arial Narrow" w:eastAsia="Arial Narrow" w:hAnsi="Arial Narrow"/>
                <w:sz w:val="18"/>
                <w:szCs w:val="18"/>
                <w:color w:val="auto"/>
              </w:rPr>
              <w:t>(10,423)</w:t>
            </w:r>
          </w:p>
        </w:tc>
        <w:tc>
          <w:tcPr>
            <w:tcW w:w="0" w:type="dxa"/>
            <w:vAlign w:val="bottom"/>
          </w:tcPr>
          <w:p>
            <w:pPr>
              <w:spacing w:after="0"/>
              <w:rPr>
                <w:sz w:val="1"/>
                <w:szCs w:val="1"/>
                <w:color w:val="auto"/>
              </w:rPr>
            </w:pPr>
          </w:p>
        </w:tc>
      </w:tr>
      <w:tr>
        <w:trPr>
          <w:trHeight w:val="44"/>
        </w:trPr>
        <w:tc>
          <w:tcPr>
            <w:tcW w:w="346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86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9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116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92"/>
        </w:trPr>
        <w:tc>
          <w:tcPr>
            <w:tcW w:w="3460" w:type="dxa"/>
            <w:vAlign w:val="bottom"/>
          </w:tcPr>
          <w:p>
            <w:pPr>
              <w:spacing w:after="0"/>
              <w:rPr>
                <w:sz w:val="20"/>
                <w:szCs w:val="20"/>
                <w:color w:val="auto"/>
              </w:rPr>
            </w:pPr>
            <w:r>
              <w:rPr>
                <w:rFonts w:ascii="Arial Narrow" w:cs="Arial Narrow" w:eastAsia="Arial Narrow" w:hAnsi="Arial Narrow"/>
                <w:sz w:val="18"/>
                <w:szCs w:val="18"/>
                <w:b w:val="1"/>
                <w:bCs w:val="1"/>
                <w:color w:val="00085E"/>
              </w:rPr>
              <w:t>Purchase and Retirement of Common Stock</w:t>
            </w:r>
          </w:p>
        </w:tc>
        <w:tc>
          <w:tcPr>
            <w:tcW w:w="100" w:type="dxa"/>
            <w:vAlign w:val="bottom"/>
          </w:tcPr>
          <w:p>
            <w:pPr>
              <w:spacing w:after="0"/>
              <w:rPr>
                <w:sz w:val="24"/>
                <w:szCs w:val="24"/>
                <w:color w:val="auto"/>
              </w:rPr>
            </w:pPr>
          </w:p>
        </w:tc>
        <w:tc>
          <w:tcPr>
            <w:tcW w:w="860" w:type="dxa"/>
            <w:vAlign w:val="bottom"/>
          </w:tcPr>
          <w:p>
            <w:pPr>
              <w:jc w:val="right"/>
              <w:ind w:right="30"/>
              <w:spacing w:after="0"/>
              <w:rPr>
                <w:sz w:val="20"/>
                <w:szCs w:val="20"/>
                <w:color w:val="auto"/>
              </w:rPr>
            </w:pPr>
            <w:r>
              <w:rPr>
                <w:rFonts w:ascii="Arial Narrow" w:cs="Arial Narrow" w:eastAsia="Arial Narrow" w:hAnsi="Arial Narrow"/>
                <w:sz w:val="18"/>
                <w:szCs w:val="18"/>
                <w:color w:val="auto"/>
              </w:rPr>
              <w:t>(18)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ind w:right="50"/>
              <w:spacing w:after="0"/>
              <w:rPr>
                <w:sz w:val="20"/>
                <w:szCs w:val="20"/>
                <w:color w:val="auto"/>
              </w:rPr>
            </w:pPr>
            <w:r>
              <w:rPr>
                <w:rFonts w:ascii="Arial Narrow" w:cs="Arial Narrow" w:eastAsia="Arial Narrow" w:hAnsi="Arial Narrow"/>
                <w:sz w:val="18"/>
                <w:szCs w:val="18"/>
                <w:color w:val="auto"/>
              </w:rPr>
              <w:t>(26,574)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ind w:right="50"/>
              <w:spacing w:after="0"/>
              <w:rPr>
                <w:sz w:val="20"/>
                <w:szCs w:val="20"/>
                <w:color w:val="auto"/>
              </w:rPr>
            </w:pPr>
            <w:r>
              <w:rPr>
                <w:rFonts w:ascii="Arial Narrow" w:cs="Arial Narrow" w:eastAsia="Arial Narrow" w:hAnsi="Arial Narrow"/>
                <w:sz w:val="18"/>
                <w:szCs w:val="18"/>
                <w:color w:val="auto"/>
              </w:rPr>
              <w:t>(320,114)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ind w:right="90"/>
              <w:spacing w:after="0"/>
              <w:rPr>
                <w:sz w:val="20"/>
                <w:szCs w:val="20"/>
                <w:color w:val="auto"/>
              </w:rPr>
            </w:pPr>
            <w:r>
              <w:rPr>
                <w:rFonts w:ascii="Arial Narrow" w:cs="Arial Narrow" w:eastAsia="Arial Narrow" w:hAnsi="Arial Narrow"/>
                <w:sz w:val="18"/>
                <w:szCs w:val="18"/>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Narrow" w:cs="Arial Narrow" w:eastAsia="Arial Narrow" w:hAnsi="Arial Narrow"/>
                <w:sz w:val="18"/>
                <w:szCs w:val="18"/>
                <w:color w:val="auto"/>
              </w:rPr>
              <w:t>(346,706)</w:t>
            </w:r>
          </w:p>
        </w:tc>
        <w:tc>
          <w:tcPr>
            <w:tcW w:w="0" w:type="dxa"/>
            <w:vAlign w:val="bottom"/>
          </w:tcPr>
          <w:p>
            <w:pPr>
              <w:spacing w:after="0"/>
              <w:rPr>
                <w:sz w:val="1"/>
                <w:szCs w:val="1"/>
                <w:color w:val="auto"/>
              </w:rPr>
            </w:pPr>
          </w:p>
        </w:tc>
      </w:tr>
      <w:tr>
        <w:trPr>
          <w:trHeight w:val="44"/>
        </w:trPr>
        <w:tc>
          <w:tcPr>
            <w:tcW w:w="346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86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9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116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92"/>
        </w:trPr>
        <w:tc>
          <w:tcPr>
            <w:tcW w:w="3460" w:type="dxa"/>
            <w:vAlign w:val="bottom"/>
          </w:tcPr>
          <w:p>
            <w:pPr>
              <w:spacing w:after="0"/>
              <w:rPr>
                <w:sz w:val="20"/>
                <w:szCs w:val="20"/>
                <w:color w:val="auto"/>
              </w:rPr>
            </w:pPr>
            <w:r>
              <w:rPr>
                <w:rFonts w:ascii="Arial Narrow" w:cs="Arial Narrow" w:eastAsia="Arial Narrow" w:hAnsi="Arial Narrow"/>
                <w:sz w:val="18"/>
                <w:szCs w:val="18"/>
                <w:b w:val="1"/>
                <w:bCs w:val="1"/>
                <w:color w:val="00085E"/>
              </w:rPr>
              <w:t>Dividends to Stockholders</w:t>
            </w:r>
          </w:p>
        </w:tc>
        <w:tc>
          <w:tcPr>
            <w:tcW w:w="100" w:type="dxa"/>
            <w:vAlign w:val="bottom"/>
          </w:tcPr>
          <w:p>
            <w:pPr>
              <w:spacing w:after="0"/>
              <w:rPr>
                <w:sz w:val="24"/>
                <w:szCs w:val="24"/>
                <w:color w:val="auto"/>
              </w:rPr>
            </w:pPr>
          </w:p>
        </w:tc>
        <w:tc>
          <w:tcPr>
            <w:tcW w:w="860" w:type="dxa"/>
            <w:vAlign w:val="bottom"/>
          </w:tcPr>
          <w:p>
            <w:pPr>
              <w:jc w:val="right"/>
              <w:ind w:right="90"/>
              <w:spacing w:after="0"/>
              <w:rPr>
                <w:sz w:val="20"/>
                <w:szCs w:val="20"/>
                <w:color w:val="auto"/>
              </w:rPr>
            </w:pPr>
            <w:r>
              <w:rPr>
                <w:rFonts w:ascii="Arial Narrow" w:cs="Arial Narrow" w:eastAsia="Arial Narrow" w:hAnsi="Arial Narrow"/>
                <w:sz w:val="18"/>
                <w:szCs w:val="18"/>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ind w:right="110"/>
              <w:spacing w:after="0"/>
              <w:rPr>
                <w:sz w:val="20"/>
                <w:szCs w:val="20"/>
                <w:color w:val="auto"/>
              </w:rPr>
            </w:pPr>
            <w:r>
              <w:rPr>
                <w:rFonts w:ascii="Arial Narrow" w:cs="Arial Narrow" w:eastAsia="Arial Narrow" w:hAnsi="Arial Narrow"/>
                <w:sz w:val="18"/>
                <w:szCs w:val="18"/>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ind w:right="50"/>
              <w:spacing w:after="0"/>
              <w:rPr>
                <w:sz w:val="20"/>
                <w:szCs w:val="20"/>
                <w:color w:val="auto"/>
              </w:rPr>
            </w:pPr>
            <w:r>
              <w:rPr>
                <w:rFonts w:ascii="Arial Narrow" w:cs="Arial Narrow" w:eastAsia="Arial Narrow" w:hAnsi="Arial Narrow"/>
                <w:sz w:val="18"/>
                <w:szCs w:val="18"/>
                <w:color w:val="auto"/>
              </w:rPr>
              <w:t>(34,841)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ind w:right="90"/>
              <w:spacing w:after="0"/>
              <w:rPr>
                <w:sz w:val="20"/>
                <w:szCs w:val="20"/>
                <w:color w:val="auto"/>
              </w:rPr>
            </w:pPr>
            <w:r>
              <w:rPr>
                <w:rFonts w:ascii="Arial Narrow" w:cs="Arial Narrow" w:eastAsia="Arial Narrow" w:hAnsi="Arial Narrow"/>
                <w:sz w:val="18"/>
                <w:szCs w:val="18"/>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Narrow" w:cs="Arial Narrow" w:eastAsia="Arial Narrow" w:hAnsi="Arial Narrow"/>
                <w:sz w:val="18"/>
                <w:szCs w:val="18"/>
                <w:color w:val="auto"/>
              </w:rPr>
              <w:t>(34,841)</w:t>
            </w:r>
          </w:p>
        </w:tc>
        <w:tc>
          <w:tcPr>
            <w:tcW w:w="0" w:type="dxa"/>
            <w:vAlign w:val="bottom"/>
          </w:tcPr>
          <w:p>
            <w:pPr>
              <w:spacing w:after="0"/>
              <w:rPr>
                <w:sz w:val="1"/>
                <w:szCs w:val="1"/>
                <w:color w:val="auto"/>
              </w:rPr>
            </w:pPr>
          </w:p>
        </w:tc>
      </w:tr>
      <w:tr>
        <w:trPr>
          <w:trHeight w:val="44"/>
        </w:trPr>
        <w:tc>
          <w:tcPr>
            <w:tcW w:w="346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86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9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116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92"/>
        </w:trPr>
        <w:tc>
          <w:tcPr>
            <w:tcW w:w="3460" w:type="dxa"/>
            <w:vAlign w:val="bottom"/>
          </w:tcPr>
          <w:p>
            <w:pPr>
              <w:spacing w:after="0"/>
              <w:rPr>
                <w:sz w:val="20"/>
                <w:szCs w:val="20"/>
                <w:color w:val="auto"/>
              </w:rPr>
            </w:pPr>
            <w:r>
              <w:rPr>
                <w:rFonts w:ascii="Arial Narrow" w:cs="Arial Narrow" w:eastAsia="Arial Narrow" w:hAnsi="Arial Narrow"/>
                <w:sz w:val="18"/>
                <w:szCs w:val="18"/>
                <w:b w:val="1"/>
                <w:bCs w:val="1"/>
                <w:color w:val="00085E"/>
              </w:rPr>
              <w:t>Unfunded Pension Liability, net of tax</w:t>
            </w:r>
          </w:p>
        </w:tc>
        <w:tc>
          <w:tcPr>
            <w:tcW w:w="100" w:type="dxa"/>
            <w:vAlign w:val="bottom"/>
          </w:tcPr>
          <w:p>
            <w:pPr>
              <w:spacing w:after="0"/>
              <w:rPr>
                <w:sz w:val="24"/>
                <w:szCs w:val="24"/>
                <w:color w:val="auto"/>
              </w:rPr>
            </w:pPr>
          </w:p>
        </w:tc>
        <w:tc>
          <w:tcPr>
            <w:tcW w:w="860" w:type="dxa"/>
            <w:vAlign w:val="bottom"/>
          </w:tcPr>
          <w:p>
            <w:pPr>
              <w:jc w:val="right"/>
              <w:ind w:right="90"/>
              <w:spacing w:after="0"/>
              <w:rPr>
                <w:sz w:val="20"/>
                <w:szCs w:val="20"/>
                <w:color w:val="auto"/>
              </w:rPr>
            </w:pPr>
            <w:r>
              <w:rPr>
                <w:rFonts w:ascii="Arial Narrow" w:cs="Arial Narrow" w:eastAsia="Arial Narrow" w:hAnsi="Arial Narrow"/>
                <w:sz w:val="18"/>
                <w:szCs w:val="18"/>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ind w:right="110"/>
              <w:spacing w:after="0"/>
              <w:rPr>
                <w:sz w:val="20"/>
                <w:szCs w:val="20"/>
                <w:color w:val="auto"/>
              </w:rPr>
            </w:pPr>
            <w:r>
              <w:rPr>
                <w:rFonts w:ascii="Arial Narrow" w:cs="Arial Narrow" w:eastAsia="Arial Narrow" w:hAnsi="Arial Narrow"/>
                <w:sz w:val="18"/>
                <w:szCs w:val="18"/>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ind w:right="110"/>
              <w:spacing w:after="0"/>
              <w:rPr>
                <w:sz w:val="20"/>
                <w:szCs w:val="20"/>
                <w:color w:val="auto"/>
              </w:rPr>
            </w:pPr>
            <w:r>
              <w:rPr>
                <w:rFonts w:ascii="Arial Narrow" w:cs="Arial Narrow" w:eastAsia="Arial Narrow" w:hAnsi="Arial Narrow"/>
                <w:sz w:val="18"/>
                <w:szCs w:val="18"/>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ind w:right="90"/>
              <w:spacing w:after="0"/>
              <w:rPr>
                <w:sz w:val="20"/>
                <w:szCs w:val="20"/>
                <w:color w:val="auto"/>
              </w:rPr>
            </w:pPr>
            <w:r>
              <w:rPr>
                <w:rFonts w:ascii="Arial Narrow" w:cs="Arial Narrow" w:eastAsia="Arial Narrow" w:hAnsi="Arial Narrow"/>
                <w:sz w:val="18"/>
                <w:szCs w:val="18"/>
                <w:color w:val="auto"/>
              </w:rPr>
              <w:t>174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70"/>
              <w:spacing w:after="0"/>
              <w:rPr>
                <w:sz w:val="20"/>
                <w:szCs w:val="20"/>
                <w:color w:val="auto"/>
              </w:rPr>
            </w:pPr>
            <w:r>
              <w:rPr>
                <w:rFonts w:ascii="Arial Narrow" w:cs="Arial Narrow" w:eastAsia="Arial Narrow" w:hAnsi="Arial Narrow"/>
                <w:sz w:val="18"/>
                <w:szCs w:val="18"/>
                <w:color w:val="auto"/>
              </w:rPr>
              <w:t>174</w:t>
            </w:r>
          </w:p>
        </w:tc>
        <w:tc>
          <w:tcPr>
            <w:tcW w:w="0" w:type="dxa"/>
            <w:vAlign w:val="bottom"/>
          </w:tcPr>
          <w:p>
            <w:pPr>
              <w:spacing w:after="0"/>
              <w:rPr>
                <w:sz w:val="1"/>
                <w:szCs w:val="1"/>
                <w:color w:val="auto"/>
              </w:rPr>
            </w:pPr>
          </w:p>
        </w:tc>
      </w:tr>
      <w:tr>
        <w:trPr>
          <w:trHeight w:val="69"/>
        </w:trPr>
        <w:tc>
          <w:tcPr>
            <w:tcW w:w="3460" w:type="dxa"/>
            <w:vAlign w:val="bottom"/>
            <w:tcBorders>
              <w:bottom w:val="single" w:sz="8" w:color="A6A6A6"/>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3460" w:type="dxa"/>
            <w:vAlign w:val="bottom"/>
          </w:tcPr>
          <w:p>
            <w:pPr>
              <w:spacing w:after="0"/>
              <w:rPr>
                <w:sz w:val="20"/>
                <w:szCs w:val="20"/>
                <w:color w:val="auto"/>
              </w:rPr>
            </w:pPr>
            <w:r>
              <w:rPr>
                <w:rFonts w:ascii="Arial Narrow" w:cs="Arial Narrow" w:eastAsia="Arial Narrow" w:hAnsi="Arial Narrow"/>
                <w:sz w:val="18"/>
                <w:szCs w:val="18"/>
                <w:b w:val="1"/>
                <w:bCs w:val="1"/>
                <w:color w:val="auto"/>
              </w:rPr>
              <w:t>Balance at March 31, 2024</w:t>
            </w:r>
          </w:p>
        </w:tc>
        <w:tc>
          <w:tcPr>
            <w:tcW w:w="100" w:type="dxa"/>
            <w:vAlign w:val="bottom"/>
          </w:tcPr>
          <w:p>
            <w:pPr>
              <w:jc w:val="right"/>
              <w:spacing w:after="0"/>
              <w:rPr>
                <w:sz w:val="20"/>
                <w:szCs w:val="20"/>
                <w:color w:val="auto"/>
              </w:rPr>
            </w:pPr>
            <w:r>
              <w:rPr>
                <w:rFonts w:ascii="Arial Narrow" w:cs="Arial Narrow" w:eastAsia="Arial Narrow" w:hAnsi="Arial Narrow"/>
                <w:sz w:val="18"/>
                <w:szCs w:val="18"/>
                <w:b w:val="1"/>
                <w:bCs w:val="1"/>
                <w:color w:val="auto"/>
                <w:w w:val="72"/>
              </w:rPr>
              <w:t>$</w:t>
            </w:r>
          </w:p>
        </w:tc>
        <w:tc>
          <w:tcPr>
            <w:tcW w:w="860" w:type="dxa"/>
            <w:vAlign w:val="bottom"/>
          </w:tcPr>
          <w:p>
            <w:pPr>
              <w:jc w:val="right"/>
              <w:ind w:right="90"/>
              <w:spacing w:after="0"/>
              <w:rPr>
                <w:sz w:val="20"/>
                <w:szCs w:val="20"/>
                <w:color w:val="auto"/>
              </w:rPr>
            </w:pPr>
            <w:r>
              <w:rPr>
                <w:rFonts w:ascii="Arial Narrow" w:cs="Arial Narrow" w:eastAsia="Arial Narrow" w:hAnsi="Arial Narrow"/>
                <w:sz w:val="18"/>
                <w:szCs w:val="18"/>
                <w:b w:val="1"/>
                <w:bCs w:val="1"/>
                <w:color w:val="auto"/>
              </w:rPr>
              <w:t>341</w:t>
            </w:r>
          </w:p>
        </w:tc>
        <w:tc>
          <w:tcPr>
            <w:tcW w:w="260" w:type="dxa"/>
            <w:vAlign w:val="bottom"/>
            <w:gridSpan w:val="2"/>
          </w:tcPr>
          <w:p>
            <w:pPr>
              <w:jc w:val="right"/>
              <w:ind w:right="60"/>
              <w:spacing w:after="0"/>
              <w:rPr>
                <w:sz w:val="20"/>
                <w:szCs w:val="20"/>
                <w:color w:val="auto"/>
              </w:rPr>
            </w:pPr>
            <w:r>
              <w:rPr>
                <w:rFonts w:ascii="Arial Narrow" w:cs="Arial Narrow" w:eastAsia="Arial Narrow" w:hAnsi="Arial Narrow"/>
                <w:sz w:val="18"/>
                <w:szCs w:val="18"/>
                <w:b w:val="1"/>
                <w:bCs w:val="1"/>
                <w:color w:val="auto"/>
              </w:rPr>
              <w:t>$</w:t>
            </w:r>
          </w:p>
        </w:tc>
        <w:tc>
          <w:tcPr>
            <w:tcW w:w="940" w:type="dxa"/>
            <w:vAlign w:val="bottom"/>
          </w:tcPr>
          <w:p>
            <w:pPr>
              <w:jc w:val="right"/>
              <w:ind w:right="110"/>
              <w:spacing w:after="0"/>
              <w:rPr>
                <w:sz w:val="20"/>
                <w:szCs w:val="20"/>
                <w:color w:val="auto"/>
              </w:rPr>
            </w:pPr>
            <w:r>
              <w:rPr>
                <w:rFonts w:ascii="Arial Narrow" w:cs="Arial Narrow" w:eastAsia="Arial Narrow" w:hAnsi="Arial Narrow"/>
                <w:sz w:val="18"/>
                <w:szCs w:val="18"/>
                <w:b w:val="1"/>
                <w:bCs w:val="1"/>
                <w:color w:val="auto"/>
              </w:rPr>
              <w:t>—</w:t>
            </w:r>
          </w:p>
        </w:tc>
        <w:tc>
          <w:tcPr>
            <w:tcW w:w="260" w:type="dxa"/>
            <w:vAlign w:val="bottom"/>
            <w:gridSpan w:val="2"/>
          </w:tcPr>
          <w:p>
            <w:pPr>
              <w:jc w:val="right"/>
              <w:spacing w:after="0"/>
              <w:rPr>
                <w:sz w:val="20"/>
                <w:szCs w:val="20"/>
                <w:color w:val="auto"/>
              </w:rPr>
            </w:pPr>
            <w:r>
              <w:rPr>
                <w:rFonts w:ascii="Arial Narrow" w:cs="Arial Narrow" w:eastAsia="Arial Narrow" w:hAnsi="Arial Narrow"/>
                <w:sz w:val="18"/>
                <w:szCs w:val="18"/>
                <w:b w:val="1"/>
                <w:bCs w:val="1"/>
                <w:color w:val="auto"/>
              </w:rPr>
              <w:t>$</w:t>
            </w:r>
          </w:p>
        </w:tc>
        <w:tc>
          <w:tcPr>
            <w:tcW w:w="920" w:type="dxa"/>
            <w:vAlign w:val="bottom"/>
          </w:tcPr>
          <w:p>
            <w:pPr>
              <w:jc w:val="right"/>
              <w:ind w:right="110"/>
              <w:spacing w:after="0"/>
              <w:rPr>
                <w:sz w:val="20"/>
                <w:szCs w:val="20"/>
                <w:color w:val="auto"/>
              </w:rPr>
            </w:pPr>
            <w:r>
              <w:rPr>
                <w:rFonts w:ascii="Arial Narrow" w:cs="Arial Narrow" w:eastAsia="Arial Narrow" w:hAnsi="Arial Narrow"/>
                <w:sz w:val="18"/>
                <w:szCs w:val="18"/>
                <w:b w:val="1"/>
                <w:bCs w:val="1"/>
                <w:color w:val="auto"/>
              </w:rPr>
              <w:t>1,311,567</w:t>
            </w:r>
          </w:p>
        </w:tc>
        <w:tc>
          <w:tcPr>
            <w:tcW w:w="240" w:type="dxa"/>
            <w:vAlign w:val="bottom"/>
            <w:gridSpan w:val="2"/>
          </w:tcPr>
          <w:p>
            <w:pPr>
              <w:ind w:left="100"/>
              <w:spacing w:after="0"/>
              <w:rPr>
                <w:sz w:val="20"/>
                <w:szCs w:val="20"/>
                <w:color w:val="auto"/>
              </w:rPr>
            </w:pPr>
            <w:r>
              <w:rPr>
                <w:rFonts w:ascii="Arial Narrow" w:cs="Arial Narrow" w:eastAsia="Arial Narrow" w:hAnsi="Arial Narrow"/>
                <w:sz w:val="18"/>
                <w:szCs w:val="18"/>
                <w:b w:val="1"/>
                <w:bCs w:val="1"/>
                <w:color w:val="auto"/>
              </w:rPr>
              <w:t>$</w:t>
            </w:r>
          </w:p>
        </w:tc>
        <w:tc>
          <w:tcPr>
            <w:tcW w:w="1160" w:type="dxa"/>
            <w:vAlign w:val="bottom"/>
          </w:tcPr>
          <w:p>
            <w:pPr>
              <w:jc w:val="right"/>
              <w:ind w:right="30"/>
              <w:spacing w:after="0"/>
              <w:rPr>
                <w:sz w:val="20"/>
                <w:szCs w:val="20"/>
                <w:color w:val="auto"/>
              </w:rPr>
            </w:pPr>
            <w:r>
              <w:rPr>
                <w:rFonts w:ascii="Arial Narrow" w:cs="Arial Narrow" w:eastAsia="Arial Narrow" w:hAnsi="Arial Narrow"/>
                <w:sz w:val="18"/>
                <w:szCs w:val="18"/>
                <w:b w:val="1"/>
                <w:bCs w:val="1"/>
                <w:color w:val="auto"/>
              </w:rPr>
              <w:t>(3,373)</w:t>
            </w:r>
          </w:p>
        </w:tc>
        <w:tc>
          <w:tcPr>
            <w:tcW w:w="260" w:type="dxa"/>
            <w:vAlign w:val="bottom"/>
            <w:gridSpan w:val="2"/>
          </w:tcPr>
          <w:p>
            <w:pPr>
              <w:jc w:val="right"/>
              <w:ind w:right="60"/>
              <w:spacing w:after="0"/>
              <w:rPr>
                <w:sz w:val="20"/>
                <w:szCs w:val="20"/>
                <w:color w:val="auto"/>
              </w:rPr>
            </w:pPr>
            <w:r>
              <w:rPr>
                <w:rFonts w:ascii="Arial Narrow" w:cs="Arial Narrow" w:eastAsia="Arial Narrow" w:hAnsi="Arial Narrow"/>
                <w:sz w:val="18"/>
                <w:szCs w:val="18"/>
                <w:b w:val="1"/>
                <w:bCs w:val="1"/>
                <w:color w:val="auto"/>
              </w:rPr>
              <w:t>$</w:t>
            </w:r>
          </w:p>
        </w:tc>
        <w:tc>
          <w:tcPr>
            <w:tcW w:w="900" w:type="dxa"/>
            <w:vAlign w:val="bottom"/>
          </w:tcPr>
          <w:p>
            <w:pPr>
              <w:jc w:val="right"/>
              <w:ind w:right="70"/>
              <w:spacing w:after="0"/>
              <w:rPr>
                <w:sz w:val="20"/>
                <w:szCs w:val="20"/>
                <w:color w:val="auto"/>
              </w:rPr>
            </w:pPr>
            <w:r>
              <w:rPr>
                <w:rFonts w:ascii="Arial Narrow" w:cs="Arial Narrow" w:eastAsia="Arial Narrow" w:hAnsi="Arial Narrow"/>
                <w:sz w:val="18"/>
                <w:szCs w:val="18"/>
                <w:b w:val="1"/>
                <w:bCs w:val="1"/>
                <w:color w:val="auto"/>
              </w:rPr>
              <w:t>1,308,535</w:t>
            </w:r>
          </w:p>
        </w:tc>
        <w:tc>
          <w:tcPr>
            <w:tcW w:w="0" w:type="dxa"/>
            <w:vAlign w:val="bottom"/>
          </w:tcPr>
          <w:p>
            <w:pPr>
              <w:spacing w:after="0"/>
              <w:rPr>
                <w:sz w:val="1"/>
                <w:szCs w:val="1"/>
                <w:color w:val="auto"/>
              </w:rPr>
            </w:pPr>
          </w:p>
        </w:tc>
      </w:tr>
      <w:tr>
        <w:trPr>
          <w:trHeight w:val="44"/>
        </w:trPr>
        <w:tc>
          <w:tcPr>
            <w:tcW w:w="346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86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9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116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92"/>
        </w:trPr>
        <w:tc>
          <w:tcPr>
            <w:tcW w:w="3460" w:type="dxa"/>
            <w:vAlign w:val="bottom"/>
          </w:tcPr>
          <w:p>
            <w:pPr>
              <w:spacing w:after="0"/>
              <w:rPr>
                <w:sz w:val="20"/>
                <w:szCs w:val="20"/>
                <w:color w:val="auto"/>
              </w:rPr>
            </w:pPr>
            <w:r>
              <w:rPr>
                <w:rFonts w:ascii="Arial Narrow" w:cs="Arial Narrow" w:eastAsia="Arial Narrow" w:hAnsi="Arial Narrow"/>
                <w:sz w:val="18"/>
                <w:szCs w:val="18"/>
                <w:b w:val="1"/>
                <w:bCs w:val="1"/>
                <w:color w:val="00085E"/>
              </w:rPr>
              <w:t>Net Earnings</w:t>
            </w:r>
          </w:p>
        </w:tc>
        <w:tc>
          <w:tcPr>
            <w:tcW w:w="100" w:type="dxa"/>
            <w:vAlign w:val="bottom"/>
          </w:tcPr>
          <w:p>
            <w:pPr>
              <w:spacing w:after="0"/>
              <w:rPr>
                <w:sz w:val="24"/>
                <w:szCs w:val="24"/>
                <w:color w:val="auto"/>
              </w:rPr>
            </w:pPr>
          </w:p>
        </w:tc>
        <w:tc>
          <w:tcPr>
            <w:tcW w:w="860" w:type="dxa"/>
            <w:vAlign w:val="bottom"/>
          </w:tcPr>
          <w:p>
            <w:pPr>
              <w:jc w:val="right"/>
              <w:ind w:right="90"/>
              <w:spacing w:after="0"/>
              <w:rPr>
                <w:sz w:val="20"/>
                <w:szCs w:val="20"/>
                <w:color w:val="auto"/>
              </w:rPr>
            </w:pPr>
            <w:r>
              <w:rPr>
                <w:rFonts w:ascii="Arial Narrow" w:cs="Arial Narrow" w:eastAsia="Arial Narrow" w:hAnsi="Arial Narrow"/>
                <w:sz w:val="18"/>
                <w:szCs w:val="18"/>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ind w:right="110"/>
              <w:spacing w:after="0"/>
              <w:rPr>
                <w:sz w:val="20"/>
                <w:szCs w:val="20"/>
                <w:color w:val="auto"/>
              </w:rPr>
            </w:pPr>
            <w:r>
              <w:rPr>
                <w:rFonts w:ascii="Arial Narrow" w:cs="Arial Narrow" w:eastAsia="Arial Narrow" w:hAnsi="Arial Narrow"/>
                <w:sz w:val="18"/>
                <w:szCs w:val="18"/>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ind w:right="110"/>
              <w:spacing w:after="0"/>
              <w:rPr>
                <w:sz w:val="20"/>
                <w:szCs w:val="20"/>
                <w:color w:val="auto"/>
              </w:rPr>
            </w:pPr>
            <w:r>
              <w:rPr>
                <w:rFonts w:ascii="Arial Narrow" w:cs="Arial Narrow" w:eastAsia="Arial Narrow" w:hAnsi="Arial Narrow"/>
                <w:sz w:val="18"/>
                <w:szCs w:val="18"/>
                <w:color w:val="auto"/>
              </w:rPr>
              <w:t>463,416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ind w:right="90"/>
              <w:spacing w:after="0"/>
              <w:rPr>
                <w:sz w:val="20"/>
                <w:szCs w:val="20"/>
                <w:color w:val="auto"/>
              </w:rPr>
            </w:pPr>
            <w:r>
              <w:rPr>
                <w:rFonts w:ascii="Arial Narrow" w:cs="Arial Narrow" w:eastAsia="Arial Narrow" w:hAnsi="Arial Narrow"/>
                <w:sz w:val="18"/>
                <w:szCs w:val="18"/>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70"/>
              <w:spacing w:after="0"/>
              <w:rPr>
                <w:sz w:val="20"/>
                <w:szCs w:val="20"/>
                <w:color w:val="auto"/>
              </w:rPr>
            </w:pPr>
            <w:r>
              <w:rPr>
                <w:rFonts w:ascii="Arial Narrow" w:cs="Arial Narrow" w:eastAsia="Arial Narrow" w:hAnsi="Arial Narrow"/>
                <w:sz w:val="18"/>
                <w:szCs w:val="18"/>
                <w:color w:val="auto"/>
              </w:rPr>
              <w:t>463,416</w:t>
            </w:r>
          </w:p>
        </w:tc>
        <w:tc>
          <w:tcPr>
            <w:tcW w:w="0" w:type="dxa"/>
            <w:vAlign w:val="bottom"/>
          </w:tcPr>
          <w:p>
            <w:pPr>
              <w:spacing w:after="0"/>
              <w:rPr>
                <w:sz w:val="1"/>
                <w:szCs w:val="1"/>
                <w:color w:val="auto"/>
              </w:rPr>
            </w:pPr>
          </w:p>
        </w:tc>
      </w:tr>
      <w:tr>
        <w:trPr>
          <w:trHeight w:val="44"/>
        </w:trPr>
        <w:tc>
          <w:tcPr>
            <w:tcW w:w="346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86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9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116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3460" w:type="dxa"/>
            <w:vAlign w:val="bottom"/>
          </w:tcPr>
          <w:p>
            <w:pPr>
              <w:spacing w:after="0"/>
              <w:rPr>
                <w:sz w:val="20"/>
                <w:szCs w:val="20"/>
                <w:color w:val="auto"/>
              </w:rPr>
            </w:pPr>
            <w:r>
              <w:rPr>
                <w:rFonts w:ascii="Arial Narrow" w:cs="Arial Narrow" w:eastAsia="Arial Narrow" w:hAnsi="Arial Narrow"/>
                <w:sz w:val="18"/>
                <w:szCs w:val="18"/>
                <w:b w:val="1"/>
                <w:bCs w:val="1"/>
                <w:color w:val="00085E"/>
              </w:rPr>
              <w:t>Stock Option Exercises and Restricted Share</w:t>
            </w:r>
          </w:p>
        </w:tc>
        <w:tc>
          <w:tcPr>
            <w:tcW w:w="100" w:type="dxa"/>
            <w:vAlign w:val="bottom"/>
          </w:tcPr>
          <w:p>
            <w:pPr>
              <w:spacing w:after="0"/>
              <w:rPr>
                <w:sz w:val="21"/>
                <w:szCs w:val="21"/>
                <w:color w:val="auto"/>
              </w:rPr>
            </w:pPr>
          </w:p>
        </w:tc>
        <w:tc>
          <w:tcPr>
            <w:tcW w:w="860" w:type="dxa"/>
            <w:vAlign w:val="bottom"/>
            <w:vMerge w:val="restart"/>
          </w:tcPr>
          <w:p>
            <w:pPr>
              <w:jc w:val="right"/>
              <w:ind w:right="90"/>
              <w:spacing w:after="0"/>
              <w:rPr>
                <w:sz w:val="20"/>
                <w:szCs w:val="20"/>
                <w:color w:val="auto"/>
              </w:rPr>
            </w:pPr>
            <w:r>
              <w:rPr>
                <w:rFonts w:ascii="Arial Narrow" w:cs="Arial Narrow" w:eastAsia="Arial Narrow" w:hAnsi="Arial Narrow"/>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vMerge w:val="restart"/>
          </w:tcPr>
          <w:p>
            <w:pPr>
              <w:jc w:val="right"/>
              <w:ind w:right="110"/>
              <w:spacing w:after="0"/>
              <w:rPr>
                <w:sz w:val="20"/>
                <w:szCs w:val="20"/>
                <w:color w:val="auto"/>
              </w:rPr>
            </w:pPr>
            <w:r>
              <w:rPr>
                <w:rFonts w:ascii="Arial Narrow" w:cs="Arial Narrow" w:eastAsia="Arial Narrow" w:hAnsi="Arial Narrow"/>
                <w:sz w:val="18"/>
                <w:szCs w:val="18"/>
                <w:color w:val="auto"/>
              </w:rPr>
              <w:t>6,379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vMerge w:val="restart"/>
          </w:tcPr>
          <w:p>
            <w:pPr>
              <w:jc w:val="right"/>
              <w:ind w:right="110"/>
              <w:spacing w:after="0"/>
              <w:rPr>
                <w:sz w:val="20"/>
                <w:szCs w:val="20"/>
                <w:color w:val="auto"/>
              </w:rPr>
            </w:pPr>
            <w:r>
              <w:rPr>
                <w:rFonts w:ascii="Arial Narrow" w:cs="Arial Narrow" w:eastAsia="Arial Narrow" w:hAnsi="Arial Narrow"/>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vMerge w:val="restart"/>
          </w:tcPr>
          <w:p>
            <w:pPr>
              <w:jc w:val="right"/>
              <w:ind w:right="90"/>
              <w:spacing w:after="0"/>
              <w:rPr>
                <w:sz w:val="20"/>
                <w:szCs w:val="20"/>
                <w:color w:val="auto"/>
              </w:rPr>
            </w:pPr>
            <w:r>
              <w:rPr>
                <w:rFonts w:ascii="Arial Narrow" w:cs="Arial Narrow" w:eastAsia="Arial Narrow" w:hAnsi="Arial Narrow"/>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vMerge w:val="restart"/>
          </w:tcPr>
          <w:p>
            <w:pPr>
              <w:jc w:val="right"/>
              <w:ind w:right="70"/>
              <w:spacing w:after="0"/>
              <w:rPr>
                <w:sz w:val="20"/>
                <w:szCs w:val="20"/>
                <w:color w:val="auto"/>
              </w:rPr>
            </w:pPr>
            <w:r>
              <w:rPr>
                <w:rFonts w:ascii="Arial Narrow" w:cs="Arial Narrow" w:eastAsia="Arial Narrow" w:hAnsi="Arial Narrow"/>
                <w:sz w:val="18"/>
                <w:szCs w:val="18"/>
                <w:color w:val="auto"/>
              </w:rPr>
              <w:t>6,380</w:t>
            </w:r>
          </w:p>
        </w:tc>
        <w:tc>
          <w:tcPr>
            <w:tcW w:w="0" w:type="dxa"/>
            <w:vAlign w:val="bottom"/>
          </w:tcPr>
          <w:p>
            <w:pPr>
              <w:spacing w:after="0"/>
              <w:rPr>
                <w:sz w:val="1"/>
                <w:szCs w:val="1"/>
                <w:color w:val="auto"/>
              </w:rPr>
            </w:pPr>
          </w:p>
        </w:tc>
      </w:tr>
      <w:tr>
        <w:trPr>
          <w:trHeight w:val="150"/>
        </w:trPr>
        <w:tc>
          <w:tcPr>
            <w:tcW w:w="3460" w:type="dxa"/>
            <w:vAlign w:val="bottom"/>
            <w:vMerge w:val="restart"/>
          </w:tcPr>
          <w:p>
            <w:pPr>
              <w:spacing w:after="0"/>
              <w:rPr>
                <w:sz w:val="20"/>
                <w:szCs w:val="20"/>
                <w:color w:val="auto"/>
              </w:rPr>
            </w:pPr>
            <w:r>
              <w:rPr>
                <w:rFonts w:ascii="Arial Narrow" w:cs="Arial Narrow" w:eastAsia="Arial Narrow" w:hAnsi="Arial Narrow"/>
                <w:sz w:val="18"/>
                <w:szCs w:val="18"/>
                <w:b w:val="1"/>
                <w:bCs w:val="1"/>
                <w:color w:val="00085E"/>
              </w:rPr>
              <w:t>Vesting</w:t>
            </w:r>
          </w:p>
        </w:tc>
        <w:tc>
          <w:tcPr>
            <w:tcW w:w="10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34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4"/>
        </w:trPr>
        <w:tc>
          <w:tcPr>
            <w:tcW w:w="346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86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9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116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92"/>
        </w:trPr>
        <w:tc>
          <w:tcPr>
            <w:tcW w:w="3460" w:type="dxa"/>
            <w:vAlign w:val="bottom"/>
          </w:tcPr>
          <w:p>
            <w:pPr>
              <w:spacing w:after="0"/>
              <w:rPr>
                <w:sz w:val="20"/>
                <w:szCs w:val="20"/>
                <w:color w:val="auto"/>
              </w:rPr>
            </w:pPr>
            <w:r>
              <w:rPr>
                <w:rFonts w:ascii="Arial Narrow" w:cs="Arial Narrow" w:eastAsia="Arial Narrow" w:hAnsi="Arial Narrow"/>
                <w:sz w:val="18"/>
                <w:szCs w:val="18"/>
                <w:b w:val="1"/>
                <w:bCs w:val="1"/>
                <w:color w:val="00085E"/>
              </w:rPr>
              <w:t>Stock Compensation Expense</w:t>
            </w:r>
          </w:p>
        </w:tc>
        <w:tc>
          <w:tcPr>
            <w:tcW w:w="100" w:type="dxa"/>
            <w:vAlign w:val="bottom"/>
          </w:tcPr>
          <w:p>
            <w:pPr>
              <w:spacing w:after="0"/>
              <w:rPr>
                <w:sz w:val="24"/>
                <w:szCs w:val="24"/>
                <w:color w:val="auto"/>
              </w:rPr>
            </w:pPr>
          </w:p>
        </w:tc>
        <w:tc>
          <w:tcPr>
            <w:tcW w:w="860" w:type="dxa"/>
            <w:vAlign w:val="bottom"/>
          </w:tcPr>
          <w:p>
            <w:pPr>
              <w:jc w:val="right"/>
              <w:ind w:right="90"/>
              <w:spacing w:after="0"/>
              <w:rPr>
                <w:sz w:val="20"/>
                <w:szCs w:val="20"/>
                <w:color w:val="auto"/>
              </w:rPr>
            </w:pPr>
            <w:r>
              <w:rPr>
                <w:rFonts w:ascii="Arial Narrow" w:cs="Arial Narrow" w:eastAsia="Arial Narrow" w:hAnsi="Arial Narrow"/>
                <w:sz w:val="18"/>
                <w:szCs w:val="18"/>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ind w:right="110"/>
              <w:spacing w:after="0"/>
              <w:rPr>
                <w:sz w:val="20"/>
                <w:szCs w:val="20"/>
                <w:color w:val="auto"/>
              </w:rPr>
            </w:pPr>
            <w:r>
              <w:rPr>
                <w:rFonts w:ascii="Arial Narrow" w:cs="Arial Narrow" w:eastAsia="Arial Narrow" w:hAnsi="Arial Narrow"/>
                <w:sz w:val="18"/>
                <w:szCs w:val="18"/>
                <w:color w:val="auto"/>
              </w:rPr>
              <w:t>18,743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ind w:right="110"/>
              <w:spacing w:after="0"/>
              <w:rPr>
                <w:sz w:val="20"/>
                <w:szCs w:val="20"/>
                <w:color w:val="auto"/>
              </w:rPr>
            </w:pPr>
            <w:r>
              <w:rPr>
                <w:rFonts w:ascii="Arial Narrow" w:cs="Arial Narrow" w:eastAsia="Arial Narrow" w:hAnsi="Arial Narrow"/>
                <w:sz w:val="18"/>
                <w:szCs w:val="18"/>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ind w:right="90"/>
              <w:spacing w:after="0"/>
              <w:rPr>
                <w:sz w:val="20"/>
                <w:szCs w:val="20"/>
                <w:color w:val="auto"/>
              </w:rPr>
            </w:pPr>
            <w:r>
              <w:rPr>
                <w:rFonts w:ascii="Arial Narrow" w:cs="Arial Narrow" w:eastAsia="Arial Narrow" w:hAnsi="Arial Narrow"/>
                <w:sz w:val="18"/>
                <w:szCs w:val="18"/>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70"/>
              <w:spacing w:after="0"/>
              <w:rPr>
                <w:sz w:val="20"/>
                <w:szCs w:val="20"/>
                <w:color w:val="auto"/>
              </w:rPr>
            </w:pPr>
            <w:r>
              <w:rPr>
                <w:rFonts w:ascii="Arial Narrow" w:cs="Arial Narrow" w:eastAsia="Arial Narrow" w:hAnsi="Arial Narrow"/>
                <w:sz w:val="18"/>
                <w:szCs w:val="18"/>
                <w:color w:val="auto"/>
              </w:rPr>
              <w:t>18,743</w:t>
            </w:r>
          </w:p>
        </w:tc>
        <w:tc>
          <w:tcPr>
            <w:tcW w:w="0" w:type="dxa"/>
            <w:vAlign w:val="bottom"/>
          </w:tcPr>
          <w:p>
            <w:pPr>
              <w:spacing w:after="0"/>
              <w:rPr>
                <w:sz w:val="1"/>
                <w:szCs w:val="1"/>
                <w:color w:val="auto"/>
              </w:rPr>
            </w:pPr>
          </w:p>
        </w:tc>
      </w:tr>
      <w:tr>
        <w:trPr>
          <w:trHeight w:val="44"/>
        </w:trPr>
        <w:tc>
          <w:tcPr>
            <w:tcW w:w="346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86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9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116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92"/>
        </w:trPr>
        <w:tc>
          <w:tcPr>
            <w:tcW w:w="3460" w:type="dxa"/>
            <w:vAlign w:val="bottom"/>
          </w:tcPr>
          <w:p>
            <w:pPr>
              <w:spacing w:after="0"/>
              <w:rPr>
                <w:sz w:val="20"/>
                <w:szCs w:val="20"/>
                <w:color w:val="auto"/>
              </w:rPr>
            </w:pPr>
            <w:r>
              <w:rPr>
                <w:rFonts w:ascii="Arial Narrow" w:cs="Arial Narrow" w:eastAsia="Arial Narrow" w:hAnsi="Arial Narrow"/>
                <w:sz w:val="18"/>
                <w:szCs w:val="18"/>
                <w:b w:val="1"/>
                <w:bCs w:val="1"/>
                <w:color w:val="00085E"/>
              </w:rPr>
              <w:t>Shares Redeemed to Settle Employee Taxes</w:t>
            </w:r>
          </w:p>
        </w:tc>
        <w:tc>
          <w:tcPr>
            <w:tcW w:w="100" w:type="dxa"/>
            <w:vAlign w:val="bottom"/>
          </w:tcPr>
          <w:p>
            <w:pPr>
              <w:spacing w:after="0"/>
              <w:rPr>
                <w:sz w:val="24"/>
                <w:szCs w:val="24"/>
                <w:color w:val="auto"/>
              </w:rPr>
            </w:pPr>
          </w:p>
        </w:tc>
        <w:tc>
          <w:tcPr>
            <w:tcW w:w="860" w:type="dxa"/>
            <w:vAlign w:val="bottom"/>
          </w:tcPr>
          <w:p>
            <w:pPr>
              <w:jc w:val="right"/>
              <w:ind w:right="90"/>
              <w:spacing w:after="0"/>
              <w:rPr>
                <w:sz w:val="20"/>
                <w:szCs w:val="20"/>
                <w:color w:val="auto"/>
              </w:rPr>
            </w:pPr>
            <w:r>
              <w:rPr>
                <w:rFonts w:ascii="Arial Narrow" w:cs="Arial Narrow" w:eastAsia="Arial Narrow" w:hAnsi="Arial Narrow"/>
                <w:sz w:val="18"/>
                <w:szCs w:val="18"/>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ind w:right="50"/>
              <w:spacing w:after="0"/>
              <w:rPr>
                <w:sz w:val="20"/>
                <w:szCs w:val="20"/>
                <w:color w:val="auto"/>
              </w:rPr>
            </w:pPr>
            <w:r>
              <w:rPr>
                <w:rFonts w:ascii="Arial Narrow" w:cs="Arial Narrow" w:eastAsia="Arial Narrow" w:hAnsi="Arial Narrow"/>
                <w:sz w:val="18"/>
                <w:szCs w:val="18"/>
                <w:color w:val="auto"/>
              </w:rPr>
              <w:t>(5,898)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ind w:right="110"/>
              <w:spacing w:after="0"/>
              <w:rPr>
                <w:sz w:val="20"/>
                <w:szCs w:val="20"/>
                <w:color w:val="auto"/>
              </w:rPr>
            </w:pPr>
            <w:r>
              <w:rPr>
                <w:rFonts w:ascii="Arial Narrow" w:cs="Arial Narrow" w:eastAsia="Arial Narrow" w:hAnsi="Arial Narrow"/>
                <w:sz w:val="18"/>
                <w:szCs w:val="18"/>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ind w:right="90"/>
              <w:spacing w:after="0"/>
              <w:rPr>
                <w:sz w:val="20"/>
                <w:szCs w:val="20"/>
                <w:color w:val="auto"/>
              </w:rPr>
            </w:pPr>
            <w:r>
              <w:rPr>
                <w:rFonts w:ascii="Arial Narrow" w:cs="Arial Narrow" w:eastAsia="Arial Narrow" w:hAnsi="Arial Narrow"/>
                <w:sz w:val="18"/>
                <w:szCs w:val="18"/>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Narrow" w:cs="Arial Narrow" w:eastAsia="Arial Narrow" w:hAnsi="Arial Narrow"/>
                <w:sz w:val="18"/>
                <w:szCs w:val="18"/>
                <w:color w:val="auto"/>
              </w:rPr>
              <w:t>(5,898)</w:t>
            </w:r>
          </w:p>
        </w:tc>
        <w:tc>
          <w:tcPr>
            <w:tcW w:w="0" w:type="dxa"/>
            <w:vAlign w:val="bottom"/>
          </w:tcPr>
          <w:p>
            <w:pPr>
              <w:spacing w:after="0"/>
              <w:rPr>
                <w:sz w:val="1"/>
                <w:szCs w:val="1"/>
                <w:color w:val="auto"/>
              </w:rPr>
            </w:pPr>
          </w:p>
        </w:tc>
      </w:tr>
      <w:tr>
        <w:trPr>
          <w:trHeight w:val="44"/>
        </w:trPr>
        <w:tc>
          <w:tcPr>
            <w:tcW w:w="346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86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9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116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92"/>
        </w:trPr>
        <w:tc>
          <w:tcPr>
            <w:tcW w:w="3460" w:type="dxa"/>
            <w:vAlign w:val="bottom"/>
          </w:tcPr>
          <w:p>
            <w:pPr>
              <w:spacing w:after="0"/>
              <w:rPr>
                <w:sz w:val="20"/>
                <w:szCs w:val="20"/>
                <w:color w:val="auto"/>
              </w:rPr>
            </w:pPr>
            <w:r>
              <w:rPr>
                <w:rFonts w:ascii="Arial Narrow" w:cs="Arial Narrow" w:eastAsia="Arial Narrow" w:hAnsi="Arial Narrow"/>
                <w:sz w:val="18"/>
                <w:szCs w:val="18"/>
                <w:b w:val="1"/>
                <w:bCs w:val="1"/>
                <w:color w:val="00085E"/>
              </w:rPr>
              <w:t>Purchase and Retirement of Common Stock</w:t>
            </w:r>
          </w:p>
        </w:tc>
        <w:tc>
          <w:tcPr>
            <w:tcW w:w="100" w:type="dxa"/>
            <w:vAlign w:val="bottom"/>
          </w:tcPr>
          <w:p>
            <w:pPr>
              <w:spacing w:after="0"/>
              <w:rPr>
                <w:sz w:val="24"/>
                <w:szCs w:val="24"/>
                <w:color w:val="auto"/>
              </w:rPr>
            </w:pPr>
          </w:p>
        </w:tc>
        <w:tc>
          <w:tcPr>
            <w:tcW w:w="860" w:type="dxa"/>
            <w:vAlign w:val="bottom"/>
          </w:tcPr>
          <w:p>
            <w:pPr>
              <w:jc w:val="right"/>
              <w:ind w:right="30"/>
              <w:spacing w:after="0"/>
              <w:rPr>
                <w:sz w:val="20"/>
                <w:szCs w:val="20"/>
                <w:color w:val="auto"/>
              </w:rPr>
            </w:pPr>
            <w:r>
              <w:rPr>
                <w:rFonts w:ascii="Arial Narrow" w:cs="Arial Narrow" w:eastAsia="Arial Narrow" w:hAnsi="Arial Narrow"/>
                <w:sz w:val="18"/>
                <w:szCs w:val="18"/>
                <w:color w:val="auto"/>
              </w:rPr>
              <w:t>(12)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ind w:right="50"/>
              <w:spacing w:after="0"/>
              <w:rPr>
                <w:sz w:val="20"/>
                <w:szCs w:val="20"/>
                <w:color w:val="auto"/>
              </w:rPr>
            </w:pPr>
            <w:r>
              <w:rPr>
                <w:rFonts w:ascii="Arial Narrow" w:cs="Arial Narrow" w:eastAsia="Arial Narrow" w:hAnsi="Arial Narrow"/>
                <w:sz w:val="18"/>
                <w:szCs w:val="18"/>
                <w:color w:val="auto"/>
              </w:rPr>
              <w:t>(19,224)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ind w:right="50"/>
              <w:spacing w:after="0"/>
              <w:rPr>
                <w:sz w:val="20"/>
                <w:szCs w:val="20"/>
                <w:color w:val="auto"/>
              </w:rPr>
            </w:pPr>
            <w:r>
              <w:rPr>
                <w:rFonts w:ascii="Arial Narrow" w:cs="Arial Narrow" w:eastAsia="Arial Narrow" w:hAnsi="Arial Narrow"/>
                <w:sz w:val="18"/>
                <w:szCs w:val="18"/>
                <w:color w:val="auto"/>
              </w:rPr>
              <w:t>(282,032)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ind w:right="90"/>
              <w:spacing w:after="0"/>
              <w:rPr>
                <w:sz w:val="20"/>
                <w:szCs w:val="20"/>
                <w:color w:val="auto"/>
              </w:rPr>
            </w:pPr>
            <w:r>
              <w:rPr>
                <w:rFonts w:ascii="Arial Narrow" w:cs="Arial Narrow" w:eastAsia="Arial Narrow" w:hAnsi="Arial Narrow"/>
                <w:sz w:val="18"/>
                <w:szCs w:val="18"/>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Narrow" w:cs="Arial Narrow" w:eastAsia="Arial Narrow" w:hAnsi="Arial Narrow"/>
                <w:sz w:val="18"/>
                <w:szCs w:val="18"/>
                <w:color w:val="auto"/>
              </w:rPr>
              <w:t>(301,268)</w:t>
            </w:r>
          </w:p>
        </w:tc>
        <w:tc>
          <w:tcPr>
            <w:tcW w:w="0" w:type="dxa"/>
            <w:vAlign w:val="bottom"/>
          </w:tcPr>
          <w:p>
            <w:pPr>
              <w:spacing w:after="0"/>
              <w:rPr>
                <w:sz w:val="1"/>
                <w:szCs w:val="1"/>
                <w:color w:val="auto"/>
              </w:rPr>
            </w:pPr>
          </w:p>
        </w:tc>
      </w:tr>
      <w:tr>
        <w:trPr>
          <w:trHeight w:val="44"/>
        </w:trPr>
        <w:tc>
          <w:tcPr>
            <w:tcW w:w="346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86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9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116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92"/>
        </w:trPr>
        <w:tc>
          <w:tcPr>
            <w:tcW w:w="3460" w:type="dxa"/>
            <w:vAlign w:val="bottom"/>
          </w:tcPr>
          <w:p>
            <w:pPr>
              <w:spacing w:after="0"/>
              <w:rPr>
                <w:sz w:val="20"/>
                <w:szCs w:val="20"/>
                <w:color w:val="auto"/>
              </w:rPr>
            </w:pPr>
            <w:r>
              <w:rPr>
                <w:rFonts w:ascii="Arial Narrow" w:cs="Arial Narrow" w:eastAsia="Arial Narrow" w:hAnsi="Arial Narrow"/>
                <w:sz w:val="18"/>
                <w:szCs w:val="18"/>
                <w:b w:val="1"/>
                <w:bCs w:val="1"/>
                <w:color w:val="00085E"/>
              </w:rPr>
              <w:t>Dividends to Stockholders</w:t>
            </w:r>
          </w:p>
        </w:tc>
        <w:tc>
          <w:tcPr>
            <w:tcW w:w="100" w:type="dxa"/>
            <w:vAlign w:val="bottom"/>
          </w:tcPr>
          <w:p>
            <w:pPr>
              <w:spacing w:after="0"/>
              <w:rPr>
                <w:sz w:val="24"/>
                <w:szCs w:val="24"/>
                <w:color w:val="auto"/>
              </w:rPr>
            </w:pPr>
          </w:p>
        </w:tc>
        <w:tc>
          <w:tcPr>
            <w:tcW w:w="860" w:type="dxa"/>
            <w:vAlign w:val="bottom"/>
          </w:tcPr>
          <w:p>
            <w:pPr>
              <w:jc w:val="right"/>
              <w:ind w:right="90"/>
              <w:spacing w:after="0"/>
              <w:rPr>
                <w:sz w:val="20"/>
                <w:szCs w:val="20"/>
                <w:color w:val="auto"/>
              </w:rPr>
            </w:pPr>
            <w:r>
              <w:rPr>
                <w:rFonts w:ascii="Arial Narrow" w:cs="Arial Narrow" w:eastAsia="Arial Narrow" w:hAnsi="Arial Narrow"/>
                <w:sz w:val="18"/>
                <w:szCs w:val="18"/>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ind w:right="110"/>
              <w:spacing w:after="0"/>
              <w:rPr>
                <w:sz w:val="20"/>
                <w:szCs w:val="20"/>
                <w:color w:val="auto"/>
              </w:rPr>
            </w:pPr>
            <w:r>
              <w:rPr>
                <w:rFonts w:ascii="Arial Narrow" w:cs="Arial Narrow" w:eastAsia="Arial Narrow" w:hAnsi="Arial Narrow"/>
                <w:sz w:val="18"/>
                <w:szCs w:val="18"/>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ind w:right="50"/>
              <w:spacing w:after="0"/>
              <w:rPr>
                <w:sz w:val="20"/>
                <w:szCs w:val="20"/>
                <w:color w:val="auto"/>
              </w:rPr>
            </w:pPr>
            <w:r>
              <w:rPr>
                <w:rFonts w:ascii="Arial Narrow" w:cs="Arial Narrow" w:eastAsia="Arial Narrow" w:hAnsi="Arial Narrow"/>
                <w:sz w:val="18"/>
                <w:szCs w:val="18"/>
                <w:color w:val="auto"/>
              </w:rPr>
              <w:t>(33,456)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ind w:right="90"/>
              <w:spacing w:after="0"/>
              <w:rPr>
                <w:sz w:val="20"/>
                <w:szCs w:val="20"/>
                <w:color w:val="auto"/>
              </w:rPr>
            </w:pPr>
            <w:r>
              <w:rPr>
                <w:rFonts w:ascii="Arial Narrow" w:cs="Arial Narrow" w:eastAsia="Arial Narrow" w:hAnsi="Arial Narrow"/>
                <w:sz w:val="18"/>
                <w:szCs w:val="18"/>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Narrow" w:cs="Arial Narrow" w:eastAsia="Arial Narrow" w:hAnsi="Arial Narrow"/>
                <w:sz w:val="18"/>
                <w:szCs w:val="18"/>
                <w:color w:val="auto"/>
              </w:rPr>
              <w:t>(33,456)</w:t>
            </w:r>
          </w:p>
        </w:tc>
        <w:tc>
          <w:tcPr>
            <w:tcW w:w="0" w:type="dxa"/>
            <w:vAlign w:val="bottom"/>
          </w:tcPr>
          <w:p>
            <w:pPr>
              <w:spacing w:after="0"/>
              <w:rPr>
                <w:sz w:val="1"/>
                <w:szCs w:val="1"/>
                <w:color w:val="auto"/>
              </w:rPr>
            </w:pPr>
          </w:p>
        </w:tc>
      </w:tr>
      <w:tr>
        <w:trPr>
          <w:trHeight w:val="44"/>
        </w:trPr>
        <w:tc>
          <w:tcPr>
            <w:tcW w:w="346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86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9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116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92"/>
        </w:trPr>
        <w:tc>
          <w:tcPr>
            <w:tcW w:w="3460" w:type="dxa"/>
            <w:vAlign w:val="bottom"/>
          </w:tcPr>
          <w:p>
            <w:pPr>
              <w:spacing w:after="0"/>
              <w:rPr>
                <w:sz w:val="20"/>
                <w:szCs w:val="20"/>
                <w:color w:val="auto"/>
              </w:rPr>
            </w:pPr>
            <w:r>
              <w:rPr>
                <w:rFonts w:ascii="Arial Narrow" w:cs="Arial Narrow" w:eastAsia="Arial Narrow" w:hAnsi="Arial Narrow"/>
                <w:sz w:val="18"/>
                <w:szCs w:val="18"/>
                <w:b w:val="1"/>
                <w:bCs w:val="1"/>
                <w:color w:val="00085E"/>
              </w:rPr>
              <w:t>Unfunded Pension Liability, net of tax</w:t>
            </w:r>
          </w:p>
        </w:tc>
        <w:tc>
          <w:tcPr>
            <w:tcW w:w="100" w:type="dxa"/>
            <w:vAlign w:val="bottom"/>
          </w:tcPr>
          <w:p>
            <w:pPr>
              <w:spacing w:after="0"/>
              <w:rPr>
                <w:sz w:val="24"/>
                <w:szCs w:val="24"/>
                <w:color w:val="auto"/>
              </w:rPr>
            </w:pPr>
          </w:p>
        </w:tc>
        <w:tc>
          <w:tcPr>
            <w:tcW w:w="860" w:type="dxa"/>
            <w:vAlign w:val="bottom"/>
          </w:tcPr>
          <w:p>
            <w:pPr>
              <w:jc w:val="right"/>
              <w:ind w:right="90"/>
              <w:spacing w:after="0"/>
              <w:rPr>
                <w:sz w:val="20"/>
                <w:szCs w:val="20"/>
                <w:color w:val="auto"/>
              </w:rPr>
            </w:pPr>
            <w:r>
              <w:rPr>
                <w:rFonts w:ascii="Arial Narrow" w:cs="Arial Narrow" w:eastAsia="Arial Narrow" w:hAnsi="Arial Narrow"/>
                <w:sz w:val="18"/>
                <w:szCs w:val="18"/>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ind w:right="110"/>
              <w:spacing w:after="0"/>
              <w:rPr>
                <w:sz w:val="20"/>
                <w:szCs w:val="20"/>
                <w:color w:val="auto"/>
              </w:rPr>
            </w:pPr>
            <w:r>
              <w:rPr>
                <w:rFonts w:ascii="Arial Narrow" w:cs="Arial Narrow" w:eastAsia="Arial Narrow" w:hAnsi="Arial Narrow"/>
                <w:sz w:val="18"/>
                <w:szCs w:val="18"/>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ind w:right="110"/>
              <w:spacing w:after="0"/>
              <w:rPr>
                <w:sz w:val="20"/>
                <w:szCs w:val="20"/>
                <w:color w:val="auto"/>
              </w:rPr>
            </w:pPr>
            <w:r>
              <w:rPr>
                <w:rFonts w:ascii="Arial Narrow" w:cs="Arial Narrow" w:eastAsia="Arial Narrow" w:hAnsi="Arial Narrow"/>
                <w:sz w:val="18"/>
                <w:szCs w:val="18"/>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ind w:right="90"/>
              <w:spacing w:after="0"/>
              <w:rPr>
                <w:sz w:val="20"/>
                <w:szCs w:val="20"/>
                <w:color w:val="auto"/>
              </w:rPr>
            </w:pPr>
            <w:r>
              <w:rPr>
                <w:rFonts w:ascii="Arial Narrow" w:cs="Arial Narrow" w:eastAsia="Arial Narrow" w:hAnsi="Arial Narrow"/>
                <w:sz w:val="18"/>
                <w:szCs w:val="18"/>
                <w:color w:val="auto"/>
              </w:rPr>
              <w:t>248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70"/>
              <w:spacing w:after="0"/>
              <w:rPr>
                <w:sz w:val="20"/>
                <w:szCs w:val="20"/>
                <w:color w:val="auto"/>
              </w:rPr>
            </w:pPr>
            <w:r>
              <w:rPr>
                <w:rFonts w:ascii="Arial Narrow" w:cs="Arial Narrow" w:eastAsia="Arial Narrow" w:hAnsi="Arial Narrow"/>
                <w:sz w:val="18"/>
                <w:szCs w:val="18"/>
                <w:color w:val="auto"/>
              </w:rPr>
              <w:t>248</w:t>
            </w:r>
          </w:p>
        </w:tc>
        <w:tc>
          <w:tcPr>
            <w:tcW w:w="0" w:type="dxa"/>
            <w:vAlign w:val="bottom"/>
          </w:tcPr>
          <w:p>
            <w:pPr>
              <w:spacing w:after="0"/>
              <w:rPr>
                <w:sz w:val="1"/>
                <w:szCs w:val="1"/>
                <w:color w:val="auto"/>
              </w:rPr>
            </w:pPr>
          </w:p>
        </w:tc>
      </w:tr>
      <w:tr>
        <w:trPr>
          <w:trHeight w:val="69"/>
        </w:trPr>
        <w:tc>
          <w:tcPr>
            <w:tcW w:w="3460" w:type="dxa"/>
            <w:vAlign w:val="bottom"/>
            <w:tcBorders>
              <w:bottom w:val="single" w:sz="8" w:color="A6A6A6"/>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3460" w:type="dxa"/>
            <w:vAlign w:val="bottom"/>
          </w:tcPr>
          <w:p>
            <w:pPr>
              <w:spacing w:after="0"/>
              <w:rPr>
                <w:sz w:val="20"/>
                <w:szCs w:val="20"/>
                <w:color w:val="auto"/>
              </w:rPr>
            </w:pPr>
            <w:r>
              <w:rPr>
                <w:rFonts w:ascii="Arial Narrow" w:cs="Arial Narrow" w:eastAsia="Arial Narrow" w:hAnsi="Arial Narrow"/>
                <w:sz w:val="18"/>
                <w:szCs w:val="18"/>
                <w:b w:val="1"/>
                <w:bCs w:val="1"/>
                <w:color w:val="auto"/>
              </w:rPr>
              <w:t>Balance at March 31, 2025</w:t>
            </w:r>
          </w:p>
        </w:tc>
        <w:tc>
          <w:tcPr>
            <w:tcW w:w="100" w:type="dxa"/>
            <w:vAlign w:val="bottom"/>
          </w:tcPr>
          <w:p>
            <w:pPr>
              <w:jc w:val="right"/>
              <w:spacing w:after="0"/>
              <w:rPr>
                <w:sz w:val="20"/>
                <w:szCs w:val="20"/>
                <w:color w:val="auto"/>
              </w:rPr>
            </w:pPr>
            <w:r>
              <w:rPr>
                <w:rFonts w:ascii="Arial Narrow" w:cs="Arial Narrow" w:eastAsia="Arial Narrow" w:hAnsi="Arial Narrow"/>
                <w:sz w:val="18"/>
                <w:szCs w:val="18"/>
                <w:b w:val="1"/>
                <w:bCs w:val="1"/>
                <w:color w:val="auto"/>
                <w:w w:val="72"/>
              </w:rPr>
              <w:t>$</w:t>
            </w:r>
          </w:p>
        </w:tc>
        <w:tc>
          <w:tcPr>
            <w:tcW w:w="860" w:type="dxa"/>
            <w:vAlign w:val="bottom"/>
          </w:tcPr>
          <w:p>
            <w:pPr>
              <w:jc w:val="right"/>
              <w:ind w:right="90"/>
              <w:spacing w:after="0"/>
              <w:rPr>
                <w:sz w:val="20"/>
                <w:szCs w:val="20"/>
                <w:color w:val="auto"/>
              </w:rPr>
            </w:pPr>
            <w:r>
              <w:rPr>
                <w:rFonts w:ascii="Arial Narrow" w:cs="Arial Narrow" w:eastAsia="Arial Narrow" w:hAnsi="Arial Narrow"/>
                <w:sz w:val="18"/>
                <w:szCs w:val="18"/>
                <w:b w:val="1"/>
                <w:bCs w:val="1"/>
                <w:color w:val="auto"/>
              </w:rPr>
              <w:t>330</w:t>
            </w:r>
          </w:p>
        </w:tc>
        <w:tc>
          <w:tcPr>
            <w:tcW w:w="260" w:type="dxa"/>
            <w:vAlign w:val="bottom"/>
            <w:gridSpan w:val="2"/>
          </w:tcPr>
          <w:p>
            <w:pPr>
              <w:jc w:val="right"/>
              <w:ind w:right="60"/>
              <w:spacing w:after="0"/>
              <w:rPr>
                <w:sz w:val="20"/>
                <w:szCs w:val="20"/>
                <w:color w:val="auto"/>
              </w:rPr>
            </w:pPr>
            <w:r>
              <w:rPr>
                <w:rFonts w:ascii="Arial Narrow" w:cs="Arial Narrow" w:eastAsia="Arial Narrow" w:hAnsi="Arial Narrow"/>
                <w:sz w:val="18"/>
                <w:szCs w:val="18"/>
                <w:b w:val="1"/>
                <w:bCs w:val="1"/>
                <w:color w:val="auto"/>
              </w:rPr>
              <w:t>$</w:t>
            </w:r>
          </w:p>
        </w:tc>
        <w:tc>
          <w:tcPr>
            <w:tcW w:w="940" w:type="dxa"/>
            <w:vAlign w:val="bottom"/>
          </w:tcPr>
          <w:p>
            <w:pPr>
              <w:jc w:val="right"/>
              <w:ind w:right="110"/>
              <w:spacing w:after="0"/>
              <w:rPr>
                <w:sz w:val="20"/>
                <w:szCs w:val="20"/>
                <w:color w:val="auto"/>
              </w:rPr>
            </w:pPr>
            <w:r>
              <w:rPr>
                <w:rFonts w:ascii="Arial Narrow" w:cs="Arial Narrow" w:eastAsia="Arial Narrow" w:hAnsi="Arial Narrow"/>
                <w:sz w:val="18"/>
                <w:szCs w:val="18"/>
                <w:b w:val="1"/>
                <w:bCs w:val="1"/>
                <w:color w:val="auto"/>
              </w:rPr>
              <w:t>—</w:t>
            </w:r>
          </w:p>
        </w:tc>
        <w:tc>
          <w:tcPr>
            <w:tcW w:w="260" w:type="dxa"/>
            <w:vAlign w:val="bottom"/>
            <w:gridSpan w:val="2"/>
          </w:tcPr>
          <w:p>
            <w:pPr>
              <w:jc w:val="right"/>
              <w:spacing w:after="0"/>
              <w:rPr>
                <w:sz w:val="20"/>
                <w:szCs w:val="20"/>
                <w:color w:val="auto"/>
              </w:rPr>
            </w:pPr>
            <w:r>
              <w:rPr>
                <w:rFonts w:ascii="Arial Narrow" w:cs="Arial Narrow" w:eastAsia="Arial Narrow" w:hAnsi="Arial Narrow"/>
                <w:sz w:val="18"/>
                <w:szCs w:val="18"/>
                <w:b w:val="1"/>
                <w:bCs w:val="1"/>
                <w:color w:val="auto"/>
              </w:rPr>
              <w:t>$</w:t>
            </w:r>
          </w:p>
        </w:tc>
        <w:tc>
          <w:tcPr>
            <w:tcW w:w="920" w:type="dxa"/>
            <w:vAlign w:val="bottom"/>
          </w:tcPr>
          <w:p>
            <w:pPr>
              <w:jc w:val="right"/>
              <w:ind w:right="110"/>
              <w:spacing w:after="0"/>
              <w:rPr>
                <w:sz w:val="20"/>
                <w:szCs w:val="20"/>
                <w:color w:val="auto"/>
              </w:rPr>
            </w:pPr>
            <w:r>
              <w:rPr>
                <w:rFonts w:ascii="Arial Narrow" w:cs="Arial Narrow" w:eastAsia="Arial Narrow" w:hAnsi="Arial Narrow"/>
                <w:sz w:val="18"/>
                <w:szCs w:val="18"/>
                <w:b w:val="1"/>
                <w:bCs w:val="1"/>
                <w:color w:val="auto"/>
              </w:rPr>
              <w:t>1,459,495</w:t>
            </w:r>
          </w:p>
        </w:tc>
        <w:tc>
          <w:tcPr>
            <w:tcW w:w="240" w:type="dxa"/>
            <w:vAlign w:val="bottom"/>
            <w:gridSpan w:val="2"/>
          </w:tcPr>
          <w:p>
            <w:pPr>
              <w:ind w:left="100"/>
              <w:spacing w:after="0"/>
              <w:rPr>
                <w:sz w:val="20"/>
                <w:szCs w:val="20"/>
                <w:color w:val="auto"/>
              </w:rPr>
            </w:pPr>
            <w:r>
              <w:rPr>
                <w:rFonts w:ascii="Arial Narrow" w:cs="Arial Narrow" w:eastAsia="Arial Narrow" w:hAnsi="Arial Narrow"/>
                <w:sz w:val="18"/>
                <w:szCs w:val="18"/>
                <w:b w:val="1"/>
                <w:bCs w:val="1"/>
                <w:color w:val="auto"/>
              </w:rPr>
              <w:t>$</w:t>
            </w:r>
          </w:p>
        </w:tc>
        <w:tc>
          <w:tcPr>
            <w:tcW w:w="1160" w:type="dxa"/>
            <w:vAlign w:val="bottom"/>
          </w:tcPr>
          <w:p>
            <w:pPr>
              <w:jc w:val="right"/>
              <w:ind w:right="30"/>
              <w:spacing w:after="0"/>
              <w:rPr>
                <w:sz w:val="20"/>
                <w:szCs w:val="20"/>
                <w:color w:val="auto"/>
              </w:rPr>
            </w:pPr>
            <w:r>
              <w:rPr>
                <w:rFonts w:ascii="Arial Narrow" w:cs="Arial Narrow" w:eastAsia="Arial Narrow" w:hAnsi="Arial Narrow"/>
                <w:sz w:val="18"/>
                <w:szCs w:val="18"/>
                <w:b w:val="1"/>
                <w:bCs w:val="1"/>
                <w:color w:val="auto"/>
              </w:rPr>
              <w:t>(3,125)</w:t>
            </w:r>
          </w:p>
        </w:tc>
        <w:tc>
          <w:tcPr>
            <w:tcW w:w="260" w:type="dxa"/>
            <w:vAlign w:val="bottom"/>
            <w:gridSpan w:val="2"/>
          </w:tcPr>
          <w:p>
            <w:pPr>
              <w:jc w:val="right"/>
              <w:ind w:right="60"/>
              <w:spacing w:after="0"/>
              <w:rPr>
                <w:sz w:val="20"/>
                <w:szCs w:val="20"/>
                <w:color w:val="auto"/>
              </w:rPr>
            </w:pPr>
            <w:r>
              <w:rPr>
                <w:rFonts w:ascii="Arial Narrow" w:cs="Arial Narrow" w:eastAsia="Arial Narrow" w:hAnsi="Arial Narrow"/>
                <w:sz w:val="18"/>
                <w:szCs w:val="18"/>
                <w:b w:val="1"/>
                <w:bCs w:val="1"/>
                <w:color w:val="auto"/>
              </w:rPr>
              <w:t>$</w:t>
            </w:r>
          </w:p>
        </w:tc>
        <w:tc>
          <w:tcPr>
            <w:tcW w:w="900" w:type="dxa"/>
            <w:vAlign w:val="bottom"/>
          </w:tcPr>
          <w:p>
            <w:pPr>
              <w:jc w:val="right"/>
              <w:ind w:right="70"/>
              <w:spacing w:after="0"/>
              <w:rPr>
                <w:sz w:val="20"/>
                <w:szCs w:val="20"/>
                <w:color w:val="auto"/>
              </w:rPr>
            </w:pPr>
            <w:r>
              <w:rPr>
                <w:rFonts w:ascii="Arial Narrow" w:cs="Arial Narrow" w:eastAsia="Arial Narrow" w:hAnsi="Arial Narrow"/>
                <w:sz w:val="18"/>
                <w:szCs w:val="18"/>
                <w:b w:val="1"/>
                <w:bCs w:val="1"/>
                <w:color w:val="auto"/>
              </w:rPr>
              <w:t>1,456,700</w:t>
            </w:r>
          </w:p>
        </w:tc>
        <w:tc>
          <w:tcPr>
            <w:tcW w:w="0" w:type="dxa"/>
            <w:vAlign w:val="bottom"/>
          </w:tcPr>
          <w:p>
            <w:pPr>
              <w:spacing w:after="0"/>
              <w:rPr>
                <w:sz w:val="1"/>
                <w:szCs w:val="1"/>
                <w:color w:val="auto"/>
              </w:rPr>
            </w:pPr>
          </w:p>
        </w:tc>
      </w:tr>
      <w:tr>
        <w:trPr>
          <w:trHeight w:val="44"/>
        </w:trPr>
        <w:tc>
          <w:tcPr>
            <w:tcW w:w="346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86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9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116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92"/>
        </w:trPr>
        <w:tc>
          <w:tcPr>
            <w:tcW w:w="3460" w:type="dxa"/>
            <w:vAlign w:val="bottom"/>
          </w:tcPr>
          <w:p>
            <w:pPr>
              <w:spacing w:after="0"/>
              <w:rPr>
                <w:sz w:val="20"/>
                <w:szCs w:val="20"/>
                <w:color w:val="auto"/>
              </w:rPr>
            </w:pPr>
            <w:r>
              <w:rPr>
                <w:rFonts w:ascii="Arial Narrow" w:cs="Arial Narrow" w:eastAsia="Arial Narrow" w:hAnsi="Arial Narrow"/>
                <w:sz w:val="18"/>
                <w:szCs w:val="18"/>
                <w:b w:val="1"/>
                <w:bCs w:val="1"/>
                <w:color w:val="00085E"/>
              </w:rPr>
              <w:t>Net Earnings</w:t>
            </w:r>
          </w:p>
        </w:tc>
        <w:tc>
          <w:tcPr>
            <w:tcW w:w="100" w:type="dxa"/>
            <w:vAlign w:val="bottom"/>
          </w:tcPr>
          <w:p>
            <w:pPr>
              <w:spacing w:after="0"/>
              <w:rPr>
                <w:sz w:val="24"/>
                <w:szCs w:val="24"/>
                <w:color w:val="auto"/>
              </w:rPr>
            </w:pPr>
          </w:p>
        </w:tc>
        <w:tc>
          <w:tcPr>
            <w:tcW w:w="860" w:type="dxa"/>
            <w:vAlign w:val="bottom"/>
          </w:tcPr>
          <w:p>
            <w:pPr>
              <w:jc w:val="right"/>
              <w:ind w:right="90"/>
              <w:spacing w:after="0"/>
              <w:rPr>
                <w:sz w:val="20"/>
                <w:szCs w:val="20"/>
                <w:color w:val="auto"/>
              </w:rPr>
            </w:pPr>
            <w:r>
              <w:rPr>
                <w:rFonts w:ascii="Arial Narrow" w:cs="Arial Narrow" w:eastAsia="Arial Narrow" w:hAnsi="Arial Narrow"/>
                <w:sz w:val="18"/>
                <w:szCs w:val="18"/>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ind w:right="110"/>
              <w:spacing w:after="0"/>
              <w:rPr>
                <w:sz w:val="20"/>
                <w:szCs w:val="20"/>
                <w:color w:val="auto"/>
              </w:rPr>
            </w:pPr>
            <w:r>
              <w:rPr>
                <w:rFonts w:ascii="Arial Narrow" w:cs="Arial Narrow" w:eastAsia="Arial Narrow" w:hAnsi="Arial Narrow"/>
                <w:sz w:val="18"/>
                <w:szCs w:val="18"/>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ind w:right="110"/>
              <w:spacing w:after="0"/>
              <w:rPr>
                <w:sz w:val="20"/>
                <w:szCs w:val="20"/>
                <w:color w:val="auto"/>
              </w:rPr>
            </w:pPr>
            <w:r>
              <w:rPr>
                <w:rFonts w:ascii="Arial Narrow" w:cs="Arial Narrow" w:eastAsia="Arial Narrow" w:hAnsi="Arial Narrow"/>
                <w:sz w:val="18"/>
                <w:szCs w:val="18"/>
                <w:color w:val="auto"/>
              </w:rPr>
              <w:t>423,809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ind w:right="90"/>
              <w:spacing w:after="0"/>
              <w:rPr>
                <w:sz w:val="20"/>
                <w:szCs w:val="20"/>
                <w:color w:val="auto"/>
              </w:rPr>
            </w:pPr>
            <w:r>
              <w:rPr>
                <w:rFonts w:ascii="Arial Narrow" w:cs="Arial Narrow" w:eastAsia="Arial Narrow" w:hAnsi="Arial Narrow"/>
                <w:sz w:val="18"/>
                <w:szCs w:val="18"/>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70"/>
              <w:spacing w:after="0"/>
              <w:rPr>
                <w:sz w:val="20"/>
                <w:szCs w:val="20"/>
                <w:color w:val="auto"/>
              </w:rPr>
            </w:pPr>
            <w:r>
              <w:rPr>
                <w:rFonts w:ascii="Arial Narrow" w:cs="Arial Narrow" w:eastAsia="Arial Narrow" w:hAnsi="Arial Narrow"/>
                <w:sz w:val="18"/>
                <w:szCs w:val="18"/>
                <w:color w:val="auto"/>
              </w:rPr>
              <w:t>423,809</w:t>
            </w:r>
          </w:p>
        </w:tc>
        <w:tc>
          <w:tcPr>
            <w:tcW w:w="0" w:type="dxa"/>
            <w:vAlign w:val="bottom"/>
          </w:tcPr>
          <w:p>
            <w:pPr>
              <w:spacing w:after="0"/>
              <w:rPr>
                <w:sz w:val="1"/>
                <w:szCs w:val="1"/>
                <w:color w:val="auto"/>
              </w:rPr>
            </w:pPr>
          </w:p>
        </w:tc>
      </w:tr>
      <w:tr>
        <w:trPr>
          <w:trHeight w:val="44"/>
        </w:trPr>
        <w:tc>
          <w:tcPr>
            <w:tcW w:w="346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86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9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116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3460" w:type="dxa"/>
            <w:vAlign w:val="bottom"/>
          </w:tcPr>
          <w:p>
            <w:pPr>
              <w:spacing w:after="0"/>
              <w:rPr>
                <w:sz w:val="20"/>
                <w:szCs w:val="20"/>
                <w:color w:val="auto"/>
              </w:rPr>
            </w:pPr>
            <w:r>
              <w:rPr>
                <w:rFonts w:ascii="Arial Narrow" w:cs="Arial Narrow" w:eastAsia="Arial Narrow" w:hAnsi="Arial Narrow"/>
                <w:sz w:val="18"/>
                <w:szCs w:val="18"/>
                <w:b w:val="1"/>
                <w:bCs w:val="1"/>
                <w:color w:val="00085E"/>
              </w:rPr>
              <w:t>Stock Option Exercises and Restricted Share</w:t>
            </w:r>
          </w:p>
        </w:tc>
        <w:tc>
          <w:tcPr>
            <w:tcW w:w="100" w:type="dxa"/>
            <w:vAlign w:val="bottom"/>
          </w:tcPr>
          <w:p>
            <w:pPr>
              <w:spacing w:after="0"/>
              <w:rPr>
                <w:sz w:val="21"/>
                <w:szCs w:val="21"/>
                <w:color w:val="auto"/>
              </w:rPr>
            </w:pPr>
          </w:p>
        </w:tc>
        <w:tc>
          <w:tcPr>
            <w:tcW w:w="860" w:type="dxa"/>
            <w:vAlign w:val="bottom"/>
            <w:vMerge w:val="restart"/>
          </w:tcPr>
          <w:p>
            <w:pPr>
              <w:jc w:val="right"/>
              <w:ind w:right="90"/>
              <w:spacing w:after="0"/>
              <w:rPr>
                <w:sz w:val="20"/>
                <w:szCs w:val="20"/>
                <w:color w:val="auto"/>
              </w:rPr>
            </w:pPr>
            <w:r>
              <w:rPr>
                <w:rFonts w:ascii="Arial Narrow" w:cs="Arial Narrow" w:eastAsia="Arial Narrow" w:hAnsi="Arial Narrow"/>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vMerge w:val="restart"/>
          </w:tcPr>
          <w:p>
            <w:pPr>
              <w:jc w:val="right"/>
              <w:ind w:right="110"/>
              <w:spacing w:after="0"/>
              <w:rPr>
                <w:sz w:val="20"/>
                <w:szCs w:val="20"/>
                <w:color w:val="auto"/>
              </w:rPr>
            </w:pPr>
            <w:r>
              <w:rPr>
                <w:rFonts w:ascii="Arial Narrow" w:cs="Arial Narrow" w:eastAsia="Arial Narrow" w:hAnsi="Arial Narrow"/>
                <w:sz w:val="18"/>
                <w:szCs w:val="18"/>
                <w:color w:val="auto"/>
              </w:rPr>
              <w:t>535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vMerge w:val="restart"/>
          </w:tcPr>
          <w:p>
            <w:pPr>
              <w:jc w:val="right"/>
              <w:ind w:right="110"/>
              <w:spacing w:after="0"/>
              <w:rPr>
                <w:sz w:val="20"/>
                <w:szCs w:val="20"/>
                <w:color w:val="auto"/>
              </w:rPr>
            </w:pPr>
            <w:r>
              <w:rPr>
                <w:rFonts w:ascii="Arial Narrow" w:cs="Arial Narrow" w:eastAsia="Arial Narrow" w:hAnsi="Arial Narrow"/>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vMerge w:val="restart"/>
          </w:tcPr>
          <w:p>
            <w:pPr>
              <w:jc w:val="right"/>
              <w:ind w:right="90"/>
              <w:spacing w:after="0"/>
              <w:rPr>
                <w:sz w:val="20"/>
                <w:szCs w:val="20"/>
                <w:color w:val="auto"/>
              </w:rPr>
            </w:pPr>
            <w:r>
              <w:rPr>
                <w:rFonts w:ascii="Arial Narrow" w:cs="Arial Narrow" w:eastAsia="Arial Narrow" w:hAnsi="Arial Narrow"/>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vMerge w:val="restart"/>
          </w:tcPr>
          <w:p>
            <w:pPr>
              <w:jc w:val="right"/>
              <w:ind w:right="70"/>
              <w:spacing w:after="0"/>
              <w:rPr>
                <w:sz w:val="20"/>
                <w:szCs w:val="20"/>
                <w:color w:val="auto"/>
              </w:rPr>
            </w:pPr>
            <w:r>
              <w:rPr>
                <w:rFonts w:ascii="Arial Narrow" w:cs="Arial Narrow" w:eastAsia="Arial Narrow" w:hAnsi="Arial Narrow"/>
                <w:sz w:val="18"/>
                <w:szCs w:val="18"/>
                <w:color w:val="auto"/>
              </w:rPr>
              <w:t>535</w:t>
            </w:r>
          </w:p>
        </w:tc>
        <w:tc>
          <w:tcPr>
            <w:tcW w:w="0" w:type="dxa"/>
            <w:vAlign w:val="bottom"/>
          </w:tcPr>
          <w:p>
            <w:pPr>
              <w:spacing w:after="0"/>
              <w:rPr>
                <w:sz w:val="1"/>
                <w:szCs w:val="1"/>
                <w:color w:val="auto"/>
              </w:rPr>
            </w:pPr>
          </w:p>
        </w:tc>
      </w:tr>
      <w:tr>
        <w:trPr>
          <w:trHeight w:val="150"/>
        </w:trPr>
        <w:tc>
          <w:tcPr>
            <w:tcW w:w="3460" w:type="dxa"/>
            <w:vAlign w:val="bottom"/>
            <w:vMerge w:val="restart"/>
          </w:tcPr>
          <w:p>
            <w:pPr>
              <w:spacing w:after="0"/>
              <w:rPr>
                <w:sz w:val="20"/>
                <w:szCs w:val="20"/>
                <w:color w:val="auto"/>
              </w:rPr>
            </w:pPr>
            <w:r>
              <w:rPr>
                <w:rFonts w:ascii="Arial Narrow" w:cs="Arial Narrow" w:eastAsia="Arial Narrow" w:hAnsi="Arial Narrow"/>
                <w:sz w:val="18"/>
                <w:szCs w:val="18"/>
                <w:b w:val="1"/>
                <w:bCs w:val="1"/>
                <w:color w:val="00085E"/>
              </w:rPr>
              <w:t>Vesting</w:t>
            </w:r>
          </w:p>
        </w:tc>
        <w:tc>
          <w:tcPr>
            <w:tcW w:w="10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34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4"/>
        </w:trPr>
        <w:tc>
          <w:tcPr>
            <w:tcW w:w="346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86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9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116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92"/>
        </w:trPr>
        <w:tc>
          <w:tcPr>
            <w:tcW w:w="3460" w:type="dxa"/>
            <w:vAlign w:val="bottom"/>
          </w:tcPr>
          <w:p>
            <w:pPr>
              <w:spacing w:after="0"/>
              <w:rPr>
                <w:sz w:val="20"/>
                <w:szCs w:val="20"/>
                <w:color w:val="auto"/>
              </w:rPr>
            </w:pPr>
            <w:r>
              <w:rPr>
                <w:rFonts w:ascii="Arial Narrow" w:cs="Arial Narrow" w:eastAsia="Arial Narrow" w:hAnsi="Arial Narrow"/>
                <w:sz w:val="18"/>
                <w:szCs w:val="18"/>
                <w:b w:val="1"/>
                <w:bCs w:val="1"/>
                <w:color w:val="00085E"/>
              </w:rPr>
              <w:t>Stock Compensation Expense</w:t>
            </w:r>
          </w:p>
        </w:tc>
        <w:tc>
          <w:tcPr>
            <w:tcW w:w="100" w:type="dxa"/>
            <w:vAlign w:val="bottom"/>
          </w:tcPr>
          <w:p>
            <w:pPr>
              <w:spacing w:after="0"/>
              <w:rPr>
                <w:sz w:val="24"/>
                <w:szCs w:val="24"/>
                <w:color w:val="auto"/>
              </w:rPr>
            </w:pPr>
          </w:p>
        </w:tc>
        <w:tc>
          <w:tcPr>
            <w:tcW w:w="860" w:type="dxa"/>
            <w:vAlign w:val="bottom"/>
          </w:tcPr>
          <w:p>
            <w:pPr>
              <w:jc w:val="right"/>
              <w:ind w:right="90"/>
              <w:spacing w:after="0"/>
              <w:rPr>
                <w:sz w:val="20"/>
                <w:szCs w:val="20"/>
                <w:color w:val="auto"/>
              </w:rPr>
            </w:pPr>
            <w:r>
              <w:rPr>
                <w:rFonts w:ascii="Arial Narrow" w:cs="Arial Narrow" w:eastAsia="Arial Narrow" w:hAnsi="Arial Narrow"/>
                <w:sz w:val="18"/>
                <w:szCs w:val="18"/>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ind w:right="110"/>
              <w:spacing w:after="0"/>
              <w:rPr>
                <w:sz w:val="20"/>
                <w:szCs w:val="20"/>
                <w:color w:val="auto"/>
              </w:rPr>
            </w:pPr>
            <w:r>
              <w:rPr>
                <w:rFonts w:ascii="Arial Narrow" w:cs="Arial Narrow" w:eastAsia="Arial Narrow" w:hAnsi="Arial Narrow"/>
                <w:sz w:val="18"/>
                <w:szCs w:val="18"/>
                <w:color w:val="auto"/>
              </w:rPr>
              <w:t>21,266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ind w:right="110"/>
              <w:spacing w:after="0"/>
              <w:rPr>
                <w:sz w:val="20"/>
                <w:szCs w:val="20"/>
                <w:color w:val="auto"/>
              </w:rPr>
            </w:pPr>
            <w:r>
              <w:rPr>
                <w:rFonts w:ascii="Arial Narrow" w:cs="Arial Narrow" w:eastAsia="Arial Narrow" w:hAnsi="Arial Narrow"/>
                <w:sz w:val="18"/>
                <w:szCs w:val="18"/>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ind w:right="90"/>
              <w:spacing w:after="0"/>
              <w:rPr>
                <w:sz w:val="20"/>
                <w:szCs w:val="20"/>
                <w:color w:val="auto"/>
              </w:rPr>
            </w:pPr>
            <w:r>
              <w:rPr>
                <w:rFonts w:ascii="Arial Narrow" w:cs="Arial Narrow" w:eastAsia="Arial Narrow" w:hAnsi="Arial Narrow"/>
                <w:sz w:val="18"/>
                <w:szCs w:val="18"/>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70"/>
              <w:spacing w:after="0"/>
              <w:rPr>
                <w:sz w:val="20"/>
                <w:szCs w:val="20"/>
                <w:color w:val="auto"/>
              </w:rPr>
            </w:pPr>
            <w:r>
              <w:rPr>
                <w:rFonts w:ascii="Arial Narrow" w:cs="Arial Narrow" w:eastAsia="Arial Narrow" w:hAnsi="Arial Narrow"/>
                <w:sz w:val="18"/>
                <w:szCs w:val="18"/>
                <w:color w:val="auto"/>
              </w:rPr>
              <w:t>21,266</w:t>
            </w:r>
          </w:p>
        </w:tc>
        <w:tc>
          <w:tcPr>
            <w:tcW w:w="0" w:type="dxa"/>
            <w:vAlign w:val="bottom"/>
          </w:tcPr>
          <w:p>
            <w:pPr>
              <w:spacing w:after="0"/>
              <w:rPr>
                <w:sz w:val="1"/>
                <w:szCs w:val="1"/>
                <w:color w:val="auto"/>
              </w:rPr>
            </w:pPr>
          </w:p>
        </w:tc>
      </w:tr>
      <w:tr>
        <w:trPr>
          <w:trHeight w:val="44"/>
        </w:trPr>
        <w:tc>
          <w:tcPr>
            <w:tcW w:w="346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86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9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116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92"/>
        </w:trPr>
        <w:tc>
          <w:tcPr>
            <w:tcW w:w="3460" w:type="dxa"/>
            <w:vAlign w:val="bottom"/>
          </w:tcPr>
          <w:p>
            <w:pPr>
              <w:spacing w:after="0"/>
              <w:rPr>
                <w:sz w:val="20"/>
                <w:szCs w:val="20"/>
                <w:color w:val="auto"/>
              </w:rPr>
            </w:pPr>
            <w:r>
              <w:rPr>
                <w:rFonts w:ascii="Arial Narrow" w:cs="Arial Narrow" w:eastAsia="Arial Narrow" w:hAnsi="Arial Narrow"/>
                <w:sz w:val="18"/>
                <w:szCs w:val="18"/>
                <w:b w:val="1"/>
                <w:bCs w:val="1"/>
                <w:color w:val="00085E"/>
              </w:rPr>
              <w:t>Shares Redeemed to Settle Employee Taxes</w:t>
            </w:r>
          </w:p>
        </w:tc>
        <w:tc>
          <w:tcPr>
            <w:tcW w:w="100" w:type="dxa"/>
            <w:vAlign w:val="bottom"/>
          </w:tcPr>
          <w:p>
            <w:pPr>
              <w:spacing w:after="0"/>
              <w:rPr>
                <w:sz w:val="24"/>
                <w:szCs w:val="24"/>
                <w:color w:val="auto"/>
              </w:rPr>
            </w:pPr>
          </w:p>
        </w:tc>
        <w:tc>
          <w:tcPr>
            <w:tcW w:w="860" w:type="dxa"/>
            <w:vAlign w:val="bottom"/>
          </w:tcPr>
          <w:p>
            <w:pPr>
              <w:jc w:val="right"/>
              <w:ind w:right="30"/>
              <w:spacing w:after="0"/>
              <w:rPr>
                <w:sz w:val="20"/>
                <w:szCs w:val="20"/>
                <w:color w:val="auto"/>
              </w:rPr>
            </w:pPr>
            <w:r>
              <w:rPr>
                <w:rFonts w:ascii="Arial Narrow" w:cs="Arial Narrow" w:eastAsia="Arial Narrow" w:hAnsi="Arial Narrow"/>
                <w:sz w:val="18"/>
                <w:szCs w:val="18"/>
                <w:color w:val="auto"/>
              </w:rPr>
              <w:t>(1)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ind w:right="50"/>
              <w:spacing w:after="0"/>
              <w:rPr>
                <w:sz w:val="20"/>
                <w:szCs w:val="20"/>
                <w:color w:val="auto"/>
              </w:rPr>
            </w:pPr>
            <w:r>
              <w:rPr>
                <w:rFonts w:ascii="Arial Narrow" w:cs="Arial Narrow" w:eastAsia="Arial Narrow" w:hAnsi="Arial Narrow"/>
                <w:sz w:val="18"/>
                <w:szCs w:val="18"/>
                <w:color w:val="auto"/>
              </w:rPr>
              <w:t>(10,769)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ind w:right="110"/>
              <w:spacing w:after="0"/>
              <w:rPr>
                <w:sz w:val="20"/>
                <w:szCs w:val="20"/>
                <w:color w:val="auto"/>
              </w:rPr>
            </w:pPr>
            <w:r>
              <w:rPr>
                <w:rFonts w:ascii="Arial Narrow" w:cs="Arial Narrow" w:eastAsia="Arial Narrow" w:hAnsi="Arial Narrow"/>
                <w:sz w:val="18"/>
                <w:szCs w:val="18"/>
                <w:color w:val="auto"/>
              </w:rPr>
              <w:t>2,187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ind w:right="90"/>
              <w:spacing w:after="0"/>
              <w:rPr>
                <w:sz w:val="20"/>
                <w:szCs w:val="20"/>
                <w:color w:val="auto"/>
              </w:rPr>
            </w:pPr>
            <w:r>
              <w:rPr>
                <w:rFonts w:ascii="Arial Narrow" w:cs="Arial Narrow" w:eastAsia="Arial Narrow" w:hAnsi="Arial Narrow"/>
                <w:sz w:val="18"/>
                <w:szCs w:val="18"/>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Narrow" w:cs="Arial Narrow" w:eastAsia="Arial Narrow" w:hAnsi="Arial Narrow"/>
                <w:sz w:val="18"/>
                <w:szCs w:val="18"/>
                <w:color w:val="auto"/>
              </w:rPr>
              <w:t>(8,583)</w:t>
            </w:r>
          </w:p>
        </w:tc>
        <w:tc>
          <w:tcPr>
            <w:tcW w:w="0" w:type="dxa"/>
            <w:vAlign w:val="bottom"/>
          </w:tcPr>
          <w:p>
            <w:pPr>
              <w:spacing w:after="0"/>
              <w:rPr>
                <w:sz w:val="1"/>
                <w:szCs w:val="1"/>
                <w:color w:val="auto"/>
              </w:rPr>
            </w:pPr>
          </w:p>
        </w:tc>
      </w:tr>
      <w:tr>
        <w:trPr>
          <w:trHeight w:val="44"/>
        </w:trPr>
        <w:tc>
          <w:tcPr>
            <w:tcW w:w="346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86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9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116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92"/>
        </w:trPr>
        <w:tc>
          <w:tcPr>
            <w:tcW w:w="3460" w:type="dxa"/>
            <w:vAlign w:val="bottom"/>
          </w:tcPr>
          <w:p>
            <w:pPr>
              <w:spacing w:after="0"/>
              <w:rPr>
                <w:sz w:val="20"/>
                <w:szCs w:val="20"/>
                <w:color w:val="auto"/>
              </w:rPr>
            </w:pPr>
            <w:r>
              <w:rPr>
                <w:rFonts w:ascii="Arial Narrow" w:cs="Arial Narrow" w:eastAsia="Arial Narrow" w:hAnsi="Arial Narrow"/>
                <w:sz w:val="18"/>
                <w:szCs w:val="18"/>
                <w:b w:val="1"/>
                <w:bCs w:val="1"/>
                <w:color w:val="00085E"/>
              </w:rPr>
              <w:t>Purchase and Retirement of Common Stock</w:t>
            </w:r>
          </w:p>
        </w:tc>
        <w:tc>
          <w:tcPr>
            <w:tcW w:w="100" w:type="dxa"/>
            <w:vAlign w:val="bottom"/>
          </w:tcPr>
          <w:p>
            <w:pPr>
              <w:spacing w:after="0"/>
              <w:rPr>
                <w:sz w:val="24"/>
                <w:szCs w:val="24"/>
                <w:color w:val="auto"/>
              </w:rPr>
            </w:pPr>
          </w:p>
        </w:tc>
        <w:tc>
          <w:tcPr>
            <w:tcW w:w="860" w:type="dxa"/>
            <w:vAlign w:val="bottom"/>
          </w:tcPr>
          <w:p>
            <w:pPr>
              <w:jc w:val="right"/>
              <w:ind w:right="30"/>
              <w:spacing w:after="0"/>
              <w:rPr>
                <w:sz w:val="20"/>
                <w:szCs w:val="20"/>
                <w:color w:val="auto"/>
              </w:rPr>
            </w:pPr>
            <w:r>
              <w:rPr>
                <w:rFonts w:ascii="Arial Narrow" w:cs="Arial Narrow" w:eastAsia="Arial Narrow" w:hAnsi="Arial Narrow"/>
                <w:sz w:val="18"/>
                <w:szCs w:val="18"/>
                <w:color w:val="auto"/>
              </w:rPr>
              <w:t>(17)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ind w:right="50"/>
              <w:spacing w:after="0"/>
              <w:rPr>
                <w:sz w:val="20"/>
                <w:szCs w:val="20"/>
                <w:color w:val="auto"/>
              </w:rPr>
            </w:pPr>
            <w:r>
              <w:rPr>
                <w:rFonts w:ascii="Arial Narrow" w:cs="Arial Narrow" w:eastAsia="Arial Narrow" w:hAnsi="Arial Narrow"/>
                <w:sz w:val="18"/>
                <w:szCs w:val="18"/>
                <w:color w:val="auto"/>
              </w:rPr>
              <w:t>(11,032)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ind w:right="50"/>
              <w:spacing w:after="0"/>
              <w:rPr>
                <w:sz w:val="20"/>
                <w:szCs w:val="20"/>
                <w:color w:val="auto"/>
              </w:rPr>
            </w:pPr>
            <w:r>
              <w:rPr>
                <w:rFonts w:ascii="Arial Narrow" w:cs="Arial Narrow" w:eastAsia="Arial Narrow" w:hAnsi="Arial Narrow"/>
                <w:sz w:val="18"/>
                <w:szCs w:val="18"/>
                <w:color w:val="auto"/>
              </w:rPr>
              <w:t>(374,587)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ind w:right="90"/>
              <w:spacing w:after="0"/>
              <w:rPr>
                <w:sz w:val="20"/>
                <w:szCs w:val="20"/>
                <w:color w:val="auto"/>
              </w:rPr>
            </w:pPr>
            <w:r>
              <w:rPr>
                <w:rFonts w:ascii="Arial Narrow" w:cs="Arial Narrow" w:eastAsia="Arial Narrow" w:hAnsi="Arial Narrow"/>
                <w:sz w:val="18"/>
                <w:szCs w:val="18"/>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Narrow" w:cs="Arial Narrow" w:eastAsia="Arial Narrow" w:hAnsi="Arial Narrow"/>
                <w:sz w:val="18"/>
                <w:szCs w:val="18"/>
                <w:color w:val="auto"/>
              </w:rPr>
              <w:t>(385,636)</w:t>
            </w:r>
          </w:p>
        </w:tc>
        <w:tc>
          <w:tcPr>
            <w:tcW w:w="0" w:type="dxa"/>
            <w:vAlign w:val="bottom"/>
          </w:tcPr>
          <w:p>
            <w:pPr>
              <w:spacing w:after="0"/>
              <w:rPr>
                <w:sz w:val="1"/>
                <w:szCs w:val="1"/>
                <w:color w:val="auto"/>
              </w:rPr>
            </w:pPr>
          </w:p>
        </w:tc>
      </w:tr>
      <w:tr>
        <w:trPr>
          <w:trHeight w:val="44"/>
        </w:trPr>
        <w:tc>
          <w:tcPr>
            <w:tcW w:w="346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86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9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116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92"/>
        </w:trPr>
        <w:tc>
          <w:tcPr>
            <w:tcW w:w="3460" w:type="dxa"/>
            <w:vAlign w:val="bottom"/>
          </w:tcPr>
          <w:p>
            <w:pPr>
              <w:spacing w:after="0"/>
              <w:rPr>
                <w:sz w:val="20"/>
                <w:szCs w:val="20"/>
                <w:color w:val="auto"/>
              </w:rPr>
            </w:pPr>
            <w:r>
              <w:rPr>
                <w:rFonts w:ascii="Arial Narrow" w:cs="Arial Narrow" w:eastAsia="Arial Narrow" w:hAnsi="Arial Narrow"/>
                <w:sz w:val="18"/>
                <w:szCs w:val="18"/>
                <w:b w:val="1"/>
                <w:bCs w:val="1"/>
                <w:color w:val="00085E"/>
              </w:rPr>
              <w:t>Dividends to Stockholders</w:t>
            </w:r>
          </w:p>
        </w:tc>
        <w:tc>
          <w:tcPr>
            <w:tcW w:w="100" w:type="dxa"/>
            <w:vAlign w:val="bottom"/>
          </w:tcPr>
          <w:p>
            <w:pPr>
              <w:spacing w:after="0"/>
              <w:rPr>
                <w:sz w:val="24"/>
                <w:szCs w:val="24"/>
                <w:color w:val="auto"/>
              </w:rPr>
            </w:pPr>
          </w:p>
        </w:tc>
        <w:tc>
          <w:tcPr>
            <w:tcW w:w="860" w:type="dxa"/>
            <w:vAlign w:val="bottom"/>
          </w:tcPr>
          <w:p>
            <w:pPr>
              <w:jc w:val="right"/>
              <w:ind w:right="90"/>
              <w:spacing w:after="0"/>
              <w:rPr>
                <w:sz w:val="20"/>
                <w:szCs w:val="20"/>
                <w:color w:val="auto"/>
              </w:rPr>
            </w:pPr>
            <w:r>
              <w:rPr>
                <w:rFonts w:ascii="Arial Narrow" w:cs="Arial Narrow" w:eastAsia="Arial Narrow" w:hAnsi="Arial Narrow"/>
                <w:sz w:val="18"/>
                <w:szCs w:val="18"/>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ind w:right="110"/>
              <w:spacing w:after="0"/>
              <w:rPr>
                <w:sz w:val="20"/>
                <w:szCs w:val="20"/>
                <w:color w:val="auto"/>
              </w:rPr>
            </w:pPr>
            <w:r>
              <w:rPr>
                <w:rFonts w:ascii="Arial Narrow" w:cs="Arial Narrow" w:eastAsia="Arial Narrow" w:hAnsi="Arial Narrow"/>
                <w:sz w:val="18"/>
                <w:szCs w:val="18"/>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ind w:right="50"/>
              <w:spacing w:after="0"/>
              <w:rPr>
                <w:sz w:val="20"/>
                <w:szCs w:val="20"/>
                <w:color w:val="auto"/>
              </w:rPr>
            </w:pPr>
            <w:r>
              <w:rPr>
                <w:rFonts w:ascii="Arial Narrow" w:cs="Arial Narrow" w:eastAsia="Arial Narrow" w:hAnsi="Arial Narrow"/>
                <w:sz w:val="18"/>
                <w:szCs w:val="18"/>
                <w:color w:val="auto"/>
              </w:rPr>
              <w:t>(31,984)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ind w:right="90"/>
              <w:spacing w:after="0"/>
              <w:rPr>
                <w:sz w:val="20"/>
                <w:szCs w:val="20"/>
                <w:color w:val="auto"/>
              </w:rPr>
            </w:pPr>
            <w:r>
              <w:rPr>
                <w:rFonts w:ascii="Arial Narrow" w:cs="Arial Narrow" w:eastAsia="Arial Narrow" w:hAnsi="Arial Narrow"/>
                <w:sz w:val="18"/>
                <w:szCs w:val="18"/>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Narrow" w:cs="Arial Narrow" w:eastAsia="Arial Narrow" w:hAnsi="Arial Narrow"/>
                <w:sz w:val="18"/>
                <w:szCs w:val="18"/>
                <w:color w:val="auto"/>
              </w:rPr>
              <w:t>(31,984)</w:t>
            </w:r>
          </w:p>
        </w:tc>
        <w:tc>
          <w:tcPr>
            <w:tcW w:w="0" w:type="dxa"/>
            <w:vAlign w:val="bottom"/>
          </w:tcPr>
          <w:p>
            <w:pPr>
              <w:spacing w:after="0"/>
              <w:rPr>
                <w:sz w:val="1"/>
                <w:szCs w:val="1"/>
                <w:color w:val="auto"/>
              </w:rPr>
            </w:pPr>
          </w:p>
        </w:tc>
      </w:tr>
      <w:tr>
        <w:trPr>
          <w:trHeight w:val="44"/>
        </w:trPr>
        <w:tc>
          <w:tcPr>
            <w:tcW w:w="346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86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60" w:type="dxa"/>
            <w:vAlign w:val="bottom"/>
            <w:tcBorders>
              <w:bottom w:val="single" w:sz="8" w:color="A6A6A6"/>
            </w:tcBorders>
          </w:tcPr>
          <w:p>
            <w:pPr>
              <w:spacing w:after="0"/>
              <w:rPr>
                <w:sz w:val="3"/>
                <w:szCs w:val="3"/>
                <w:color w:val="auto"/>
              </w:rPr>
            </w:pPr>
          </w:p>
        </w:tc>
        <w:tc>
          <w:tcPr>
            <w:tcW w:w="92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116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92"/>
        </w:trPr>
        <w:tc>
          <w:tcPr>
            <w:tcW w:w="3460" w:type="dxa"/>
            <w:vAlign w:val="bottom"/>
          </w:tcPr>
          <w:p>
            <w:pPr>
              <w:spacing w:after="0"/>
              <w:rPr>
                <w:sz w:val="20"/>
                <w:szCs w:val="20"/>
                <w:color w:val="auto"/>
              </w:rPr>
            </w:pPr>
            <w:r>
              <w:rPr>
                <w:rFonts w:ascii="Arial Narrow" w:cs="Arial Narrow" w:eastAsia="Arial Narrow" w:hAnsi="Arial Narrow"/>
                <w:sz w:val="18"/>
                <w:szCs w:val="18"/>
                <w:b w:val="1"/>
                <w:bCs w:val="1"/>
                <w:color w:val="00085E"/>
              </w:rPr>
              <w:t>Unfunded Pension Liability, net of tax</w:t>
            </w:r>
          </w:p>
        </w:tc>
        <w:tc>
          <w:tcPr>
            <w:tcW w:w="100" w:type="dxa"/>
            <w:vAlign w:val="bottom"/>
          </w:tcPr>
          <w:p>
            <w:pPr>
              <w:spacing w:after="0"/>
              <w:rPr>
                <w:sz w:val="24"/>
                <w:szCs w:val="24"/>
                <w:color w:val="auto"/>
              </w:rPr>
            </w:pPr>
          </w:p>
        </w:tc>
        <w:tc>
          <w:tcPr>
            <w:tcW w:w="860" w:type="dxa"/>
            <w:vAlign w:val="bottom"/>
          </w:tcPr>
          <w:p>
            <w:pPr>
              <w:jc w:val="right"/>
              <w:ind w:right="90"/>
              <w:spacing w:after="0"/>
              <w:rPr>
                <w:sz w:val="20"/>
                <w:szCs w:val="20"/>
                <w:color w:val="auto"/>
              </w:rPr>
            </w:pPr>
            <w:r>
              <w:rPr>
                <w:rFonts w:ascii="Arial Narrow" w:cs="Arial Narrow" w:eastAsia="Arial Narrow" w:hAnsi="Arial Narrow"/>
                <w:sz w:val="18"/>
                <w:szCs w:val="18"/>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ind w:right="110"/>
              <w:spacing w:after="0"/>
              <w:rPr>
                <w:sz w:val="20"/>
                <w:szCs w:val="20"/>
                <w:color w:val="auto"/>
              </w:rPr>
            </w:pPr>
            <w:r>
              <w:rPr>
                <w:rFonts w:ascii="Arial Narrow" w:cs="Arial Narrow" w:eastAsia="Arial Narrow" w:hAnsi="Arial Narrow"/>
                <w:sz w:val="18"/>
                <w:szCs w:val="18"/>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ind w:right="110"/>
              <w:spacing w:after="0"/>
              <w:rPr>
                <w:sz w:val="20"/>
                <w:szCs w:val="20"/>
                <w:color w:val="auto"/>
              </w:rPr>
            </w:pPr>
            <w:r>
              <w:rPr>
                <w:rFonts w:ascii="Arial Narrow" w:cs="Arial Narrow" w:eastAsia="Arial Narrow" w:hAnsi="Arial Narrow"/>
                <w:sz w:val="18"/>
                <w:szCs w:val="18"/>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ind w:right="30"/>
              <w:spacing w:after="0"/>
              <w:rPr>
                <w:sz w:val="20"/>
                <w:szCs w:val="20"/>
                <w:color w:val="auto"/>
              </w:rPr>
            </w:pPr>
            <w:r>
              <w:rPr>
                <w:rFonts w:ascii="Arial Narrow" w:cs="Arial Narrow" w:eastAsia="Arial Narrow" w:hAnsi="Arial Narrow"/>
                <w:sz w:val="18"/>
                <w:szCs w:val="18"/>
                <w:color w:val="auto"/>
              </w:rPr>
              <w:t>(1,279)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Narrow" w:cs="Arial Narrow" w:eastAsia="Arial Narrow" w:hAnsi="Arial Narrow"/>
                <w:sz w:val="18"/>
                <w:szCs w:val="18"/>
                <w:color w:val="auto"/>
              </w:rPr>
              <w:t>(1,279)</w:t>
            </w:r>
          </w:p>
        </w:tc>
        <w:tc>
          <w:tcPr>
            <w:tcW w:w="0" w:type="dxa"/>
            <w:vAlign w:val="bottom"/>
          </w:tcPr>
          <w:p>
            <w:pPr>
              <w:spacing w:after="0"/>
              <w:rPr>
                <w:sz w:val="1"/>
                <w:szCs w:val="1"/>
                <w:color w:val="auto"/>
              </w:rPr>
            </w:pPr>
          </w:p>
        </w:tc>
      </w:tr>
      <w:tr>
        <w:trPr>
          <w:trHeight w:val="69"/>
        </w:trPr>
        <w:tc>
          <w:tcPr>
            <w:tcW w:w="3460" w:type="dxa"/>
            <w:vAlign w:val="bottom"/>
            <w:tcBorders>
              <w:bottom w:val="single" w:sz="8" w:color="A6A6A6"/>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3460" w:type="dxa"/>
            <w:vAlign w:val="bottom"/>
          </w:tcPr>
          <w:p>
            <w:pPr>
              <w:spacing w:after="0"/>
              <w:rPr>
                <w:sz w:val="20"/>
                <w:szCs w:val="20"/>
                <w:color w:val="auto"/>
              </w:rPr>
            </w:pPr>
            <w:r>
              <w:rPr>
                <w:rFonts w:ascii="Arial Narrow" w:cs="Arial Narrow" w:eastAsia="Arial Narrow" w:hAnsi="Arial Narrow"/>
                <w:sz w:val="18"/>
                <w:szCs w:val="18"/>
                <w:b w:val="1"/>
                <w:bCs w:val="1"/>
                <w:color w:val="auto"/>
              </w:rPr>
              <w:t>Balance at March 31, 2026</w:t>
            </w:r>
          </w:p>
        </w:tc>
        <w:tc>
          <w:tcPr>
            <w:tcW w:w="100" w:type="dxa"/>
            <w:vAlign w:val="bottom"/>
          </w:tcPr>
          <w:p>
            <w:pPr>
              <w:jc w:val="right"/>
              <w:spacing w:after="0"/>
              <w:rPr>
                <w:sz w:val="20"/>
                <w:szCs w:val="20"/>
                <w:color w:val="auto"/>
              </w:rPr>
            </w:pPr>
            <w:r>
              <w:rPr>
                <w:rFonts w:ascii="Arial Narrow" w:cs="Arial Narrow" w:eastAsia="Arial Narrow" w:hAnsi="Arial Narrow"/>
                <w:sz w:val="18"/>
                <w:szCs w:val="18"/>
                <w:b w:val="1"/>
                <w:bCs w:val="1"/>
                <w:color w:val="auto"/>
                <w:w w:val="72"/>
              </w:rPr>
              <w:t>$</w:t>
            </w:r>
          </w:p>
        </w:tc>
        <w:tc>
          <w:tcPr>
            <w:tcW w:w="860" w:type="dxa"/>
            <w:vAlign w:val="bottom"/>
          </w:tcPr>
          <w:p>
            <w:pPr>
              <w:jc w:val="right"/>
              <w:ind w:right="90"/>
              <w:spacing w:after="0"/>
              <w:rPr>
                <w:sz w:val="20"/>
                <w:szCs w:val="20"/>
                <w:color w:val="auto"/>
              </w:rPr>
            </w:pPr>
            <w:r>
              <w:rPr>
                <w:rFonts w:ascii="Arial Narrow" w:cs="Arial Narrow" w:eastAsia="Arial Narrow" w:hAnsi="Arial Narrow"/>
                <w:sz w:val="18"/>
                <w:szCs w:val="18"/>
                <w:b w:val="1"/>
                <w:bCs w:val="1"/>
                <w:color w:val="auto"/>
              </w:rPr>
              <w:t>312</w:t>
            </w:r>
          </w:p>
        </w:tc>
        <w:tc>
          <w:tcPr>
            <w:tcW w:w="260" w:type="dxa"/>
            <w:vAlign w:val="bottom"/>
            <w:gridSpan w:val="2"/>
          </w:tcPr>
          <w:p>
            <w:pPr>
              <w:jc w:val="right"/>
              <w:ind w:right="60"/>
              <w:spacing w:after="0"/>
              <w:rPr>
                <w:sz w:val="20"/>
                <w:szCs w:val="20"/>
                <w:color w:val="auto"/>
              </w:rPr>
            </w:pPr>
            <w:r>
              <w:rPr>
                <w:rFonts w:ascii="Arial Narrow" w:cs="Arial Narrow" w:eastAsia="Arial Narrow" w:hAnsi="Arial Narrow"/>
                <w:sz w:val="18"/>
                <w:szCs w:val="18"/>
                <w:b w:val="1"/>
                <w:bCs w:val="1"/>
                <w:color w:val="auto"/>
              </w:rPr>
              <w:t>$</w:t>
            </w:r>
          </w:p>
        </w:tc>
        <w:tc>
          <w:tcPr>
            <w:tcW w:w="940" w:type="dxa"/>
            <w:vAlign w:val="bottom"/>
          </w:tcPr>
          <w:p>
            <w:pPr>
              <w:jc w:val="right"/>
              <w:ind w:right="110"/>
              <w:spacing w:after="0"/>
              <w:rPr>
                <w:sz w:val="20"/>
                <w:szCs w:val="20"/>
                <w:color w:val="auto"/>
              </w:rPr>
            </w:pPr>
            <w:r>
              <w:rPr>
                <w:rFonts w:ascii="Arial Narrow" w:cs="Arial Narrow" w:eastAsia="Arial Narrow" w:hAnsi="Arial Narrow"/>
                <w:sz w:val="18"/>
                <w:szCs w:val="18"/>
                <w:b w:val="1"/>
                <w:bCs w:val="1"/>
                <w:color w:val="auto"/>
              </w:rPr>
              <w:t>—</w:t>
            </w:r>
          </w:p>
        </w:tc>
        <w:tc>
          <w:tcPr>
            <w:tcW w:w="260" w:type="dxa"/>
            <w:vAlign w:val="bottom"/>
            <w:gridSpan w:val="2"/>
          </w:tcPr>
          <w:p>
            <w:pPr>
              <w:jc w:val="right"/>
              <w:spacing w:after="0"/>
              <w:rPr>
                <w:sz w:val="20"/>
                <w:szCs w:val="20"/>
                <w:color w:val="auto"/>
              </w:rPr>
            </w:pPr>
            <w:r>
              <w:rPr>
                <w:rFonts w:ascii="Arial Narrow" w:cs="Arial Narrow" w:eastAsia="Arial Narrow" w:hAnsi="Arial Narrow"/>
                <w:sz w:val="18"/>
                <w:szCs w:val="18"/>
                <w:b w:val="1"/>
                <w:bCs w:val="1"/>
                <w:color w:val="auto"/>
              </w:rPr>
              <w:t>$</w:t>
            </w:r>
          </w:p>
        </w:tc>
        <w:tc>
          <w:tcPr>
            <w:tcW w:w="920" w:type="dxa"/>
            <w:vAlign w:val="bottom"/>
          </w:tcPr>
          <w:p>
            <w:pPr>
              <w:jc w:val="right"/>
              <w:ind w:right="110"/>
              <w:spacing w:after="0"/>
              <w:rPr>
                <w:sz w:val="20"/>
                <w:szCs w:val="20"/>
                <w:color w:val="auto"/>
              </w:rPr>
            </w:pPr>
            <w:r>
              <w:rPr>
                <w:rFonts w:ascii="Arial Narrow" w:cs="Arial Narrow" w:eastAsia="Arial Narrow" w:hAnsi="Arial Narrow"/>
                <w:sz w:val="18"/>
                <w:szCs w:val="18"/>
                <w:b w:val="1"/>
                <w:bCs w:val="1"/>
                <w:color w:val="auto"/>
              </w:rPr>
              <w:t>1,478,920</w:t>
            </w:r>
          </w:p>
        </w:tc>
        <w:tc>
          <w:tcPr>
            <w:tcW w:w="240" w:type="dxa"/>
            <w:vAlign w:val="bottom"/>
            <w:gridSpan w:val="2"/>
          </w:tcPr>
          <w:p>
            <w:pPr>
              <w:ind w:left="100"/>
              <w:spacing w:after="0"/>
              <w:rPr>
                <w:sz w:val="20"/>
                <w:szCs w:val="20"/>
                <w:color w:val="auto"/>
              </w:rPr>
            </w:pPr>
            <w:r>
              <w:rPr>
                <w:rFonts w:ascii="Arial Narrow" w:cs="Arial Narrow" w:eastAsia="Arial Narrow" w:hAnsi="Arial Narrow"/>
                <w:sz w:val="18"/>
                <w:szCs w:val="18"/>
                <w:b w:val="1"/>
                <w:bCs w:val="1"/>
                <w:color w:val="auto"/>
              </w:rPr>
              <w:t>$</w:t>
            </w:r>
          </w:p>
        </w:tc>
        <w:tc>
          <w:tcPr>
            <w:tcW w:w="1160" w:type="dxa"/>
            <w:vAlign w:val="bottom"/>
          </w:tcPr>
          <w:p>
            <w:pPr>
              <w:jc w:val="right"/>
              <w:ind w:right="30"/>
              <w:spacing w:after="0"/>
              <w:rPr>
                <w:sz w:val="20"/>
                <w:szCs w:val="20"/>
                <w:color w:val="auto"/>
              </w:rPr>
            </w:pPr>
            <w:r>
              <w:rPr>
                <w:rFonts w:ascii="Arial Narrow" w:cs="Arial Narrow" w:eastAsia="Arial Narrow" w:hAnsi="Arial Narrow"/>
                <w:sz w:val="18"/>
                <w:szCs w:val="18"/>
                <w:b w:val="1"/>
                <w:bCs w:val="1"/>
                <w:color w:val="auto"/>
              </w:rPr>
              <w:t>(4,404)</w:t>
            </w:r>
          </w:p>
        </w:tc>
        <w:tc>
          <w:tcPr>
            <w:tcW w:w="260" w:type="dxa"/>
            <w:vAlign w:val="bottom"/>
            <w:gridSpan w:val="2"/>
          </w:tcPr>
          <w:p>
            <w:pPr>
              <w:jc w:val="right"/>
              <w:ind w:right="60"/>
              <w:spacing w:after="0"/>
              <w:rPr>
                <w:sz w:val="20"/>
                <w:szCs w:val="20"/>
                <w:color w:val="auto"/>
              </w:rPr>
            </w:pPr>
            <w:r>
              <w:rPr>
                <w:rFonts w:ascii="Arial Narrow" w:cs="Arial Narrow" w:eastAsia="Arial Narrow" w:hAnsi="Arial Narrow"/>
                <w:sz w:val="18"/>
                <w:szCs w:val="18"/>
                <w:b w:val="1"/>
                <w:bCs w:val="1"/>
                <w:color w:val="auto"/>
              </w:rPr>
              <w:t>$</w:t>
            </w:r>
          </w:p>
        </w:tc>
        <w:tc>
          <w:tcPr>
            <w:tcW w:w="900" w:type="dxa"/>
            <w:vAlign w:val="bottom"/>
          </w:tcPr>
          <w:p>
            <w:pPr>
              <w:jc w:val="right"/>
              <w:ind w:right="70"/>
              <w:spacing w:after="0"/>
              <w:rPr>
                <w:sz w:val="20"/>
                <w:szCs w:val="20"/>
                <w:color w:val="auto"/>
              </w:rPr>
            </w:pPr>
            <w:r>
              <w:rPr>
                <w:rFonts w:ascii="Arial Narrow" w:cs="Arial Narrow" w:eastAsia="Arial Narrow" w:hAnsi="Arial Narrow"/>
                <w:sz w:val="18"/>
                <w:szCs w:val="18"/>
                <w:b w:val="1"/>
                <w:bCs w:val="1"/>
                <w:color w:val="auto"/>
              </w:rPr>
              <w:t>1,474,828</w:t>
            </w:r>
          </w:p>
        </w:tc>
        <w:tc>
          <w:tcPr>
            <w:tcW w:w="0" w:type="dxa"/>
            <w:vAlign w:val="bottom"/>
          </w:tcPr>
          <w:p>
            <w:pPr>
              <w:spacing w:after="0"/>
              <w:rPr>
                <w:sz w:val="1"/>
                <w:szCs w:val="1"/>
                <w:color w:val="auto"/>
              </w:rPr>
            </w:pPr>
          </w:p>
        </w:tc>
      </w:tr>
      <w:tr>
        <w:trPr>
          <w:trHeight w:val="44"/>
        </w:trPr>
        <w:tc>
          <w:tcPr>
            <w:tcW w:w="346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Notes to Consolidated Financial Statements.</w:t>
      </w:r>
    </w:p>
    <w:p>
      <w:pPr>
        <w:sectPr>
          <w:pgSz w:w="11880" w:h="15480" w:orient="portrait"/>
          <w:cols w:equalWidth="0" w:num="1">
            <w:col w:w="9360"/>
          </w:cols>
          <w:pgMar w:left="1260" w:top="1264"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75</w:t>
      </w:r>
    </w:p>
    <w:p>
      <w:pPr>
        <w:sectPr>
          <w:pgSz w:w="11880" w:h="15480" w:orient="portrait"/>
          <w:cols w:equalWidth="0" w:num="1">
            <w:col w:w="9360"/>
          </w:cols>
          <w:pgMar w:left="1260" w:top="1264" w:right="1260" w:bottom="0" w:gutter="0" w:footer="0" w:header="0"/>
          <w:type w:val="continuous"/>
        </w:sectPr>
      </w:pPr>
    </w:p>
    <w:bookmarkStart w:id="83" w:name="page84"/>
    <w:bookmarkEnd w:id="83"/>
    <w:p>
      <w:pPr>
        <w:ind w:right="3900"/>
        <w:spacing w:after="0" w:line="274" w:lineRule="auto"/>
        <w:rPr>
          <w:sz w:val="20"/>
          <w:szCs w:val="20"/>
          <w:color w:val="auto"/>
        </w:rPr>
      </w:pPr>
      <w:r>
        <w:rPr>
          <w:rFonts w:ascii="Arial" w:cs="Arial" w:eastAsia="Arial" w:hAnsi="Arial"/>
          <w:sz w:val="26"/>
          <w:szCs w:val="26"/>
          <w:b w:val="1"/>
          <w:bCs w:val="1"/>
          <w:color w:val="auto"/>
        </w:rPr>
        <w:t>Eagle Materials Inc. and Subsidiaries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-40005</wp:posOffset>
            </wp:positionV>
            <wp:extent cx="5943600" cy="127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4">
                      <a:extLst>
                        <a:ext uri="{28A0092B-C50C-407E-A947-70E740481C1C}"/>
                      </a:extLst>
                    </a:blip>
                    <a:srcRect/>
                    <a:stretch>
                      <a:fillRect/>
                    </a:stretch>
                  </pic:blipFill>
                  <pic:spPr bwMode="auto">
                    <a:xfrm>
                      <a:off x="0" y="0"/>
                      <a:ext cx="5943600" cy="12700"/>
                    </a:xfrm>
                    <a:prstGeom prst="rect">
                      <a:avLst/>
                    </a:prstGeom>
                    <a:noFill/>
                  </pic:spPr>
                </pic:pic>
              </a:graphicData>
            </a:graphic>
          </wp:anchor>
        </w:drawing>
      </w:r>
    </w:p>
    <w:p>
      <w:pPr>
        <w:spacing w:after="0" w:line="160" w:lineRule="exact"/>
        <w:rPr>
          <w:sz w:val="20"/>
          <w:szCs w:val="20"/>
          <w:color w:val="auto"/>
        </w:rPr>
      </w:pPr>
    </w:p>
    <w:p>
      <w:pPr>
        <w:ind w:right="4920"/>
        <w:spacing w:after="0" w:line="381" w:lineRule="auto"/>
        <w:tabs>
          <w:tab w:leader="none" w:pos="366" w:val="left"/>
        </w:tabs>
        <w:numPr>
          <w:ilvl w:val="0"/>
          <w:numId w:val="32"/>
        </w:numPr>
        <w:rPr>
          <w:rFonts w:ascii="Arial" w:cs="Arial" w:eastAsia="Arial" w:hAnsi="Arial"/>
          <w:sz w:val="22"/>
          <w:szCs w:val="22"/>
          <w:b w:val="1"/>
          <w:bCs w:val="1"/>
          <w:color w:val="00085E"/>
        </w:rPr>
      </w:pPr>
      <w:r>
        <w:rPr>
          <w:rFonts w:ascii="Arial" w:cs="Arial" w:eastAsia="Arial" w:hAnsi="Arial"/>
          <w:sz w:val="22"/>
          <w:szCs w:val="22"/>
          <w:b w:val="1"/>
          <w:bCs w:val="1"/>
          <w:color w:val="00085E"/>
        </w:rPr>
        <w:t xml:space="preserve">SIGNIFICANT ACCOUNTING POLICIES </w:t>
      </w:r>
      <w:r>
        <w:rPr>
          <w:rFonts w:ascii="Arial" w:cs="Arial" w:eastAsia="Arial" w:hAnsi="Arial"/>
          <w:sz w:val="22"/>
          <w:szCs w:val="22"/>
          <w:b w:val="1"/>
          <w:bCs w:val="1"/>
          <w:u w:val="single" w:color="auto"/>
          <w:color w:val="00085E"/>
        </w:rPr>
        <w:t>Basis of Presentation</w:t>
      </w:r>
    </w:p>
    <w:p>
      <w:pPr>
        <w:spacing w:after="0" w:line="1" w:lineRule="exact"/>
        <w:rPr>
          <w:sz w:val="20"/>
          <w:szCs w:val="20"/>
          <w:color w:val="auto"/>
        </w:rPr>
      </w:pPr>
    </w:p>
    <w:p>
      <w:pPr>
        <w:ind w:right="20"/>
        <w:spacing w:after="0" w:line="287" w:lineRule="auto"/>
        <w:rPr>
          <w:sz w:val="20"/>
          <w:szCs w:val="20"/>
          <w:color w:val="auto"/>
        </w:rPr>
      </w:pPr>
      <w:r>
        <w:rPr>
          <w:rFonts w:ascii="Arial" w:cs="Arial" w:eastAsia="Arial" w:hAnsi="Arial"/>
          <w:sz w:val="20"/>
          <w:szCs w:val="20"/>
          <w:color w:val="auto"/>
        </w:rPr>
        <w:t>The consolidated financial statements include the accounts of Eagle Materials Inc. and its majority-owned subsidiaries (the Company), which may be referred to as we, our, or us. All intercompany balances and transactions have been eliminated. The Company is a holding company whose assets consist of its investments in its subsidiaries, a joint venture, intercompany balances, and holdings of cash and cash equivalents. The businesses of the consolidated group are conducted through the Company’s subsidiaries. The Company conducts one of its cement plant operations through a joint venture, Texas Lehigh Cement Company L.P., which is located in Buda, Texas (the Joint Venture). Our investment in the Joint Venture is accounted for using the equity method of accounting, and those results have been included for the same period as our March 31 fiscal year end.</w:t>
      </w:r>
    </w:p>
    <w:p>
      <w:pPr>
        <w:spacing w:after="0" w:line="75" w:lineRule="exact"/>
        <w:rPr>
          <w:sz w:val="20"/>
          <w:szCs w:val="20"/>
          <w:color w:val="auto"/>
        </w:rPr>
      </w:pPr>
    </w:p>
    <w:p>
      <w:pPr>
        <w:ind w:right="80"/>
        <w:spacing w:after="0" w:line="292" w:lineRule="auto"/>
        <w:rPr>
          <w:sz w:val="20"/>
          <w:szCs w:val="20"/>
          <w:color w:val="auto"/>
        </w:rPr>
      </w:pPr>
      <w:r>
        <w:rPr>
          <w:rFonts w:ascii="Arial" w:cs="Arial" w:eastAsia="Arial" w:hAnsi="Arial"/>
          <w:sz w:val="20"/>
          <w:szCs w:val="20"/>
          <w:color w:val="auto"/>
        </w:rPr>
        <w:t>The preparation of financial statements in conformity with accounting principles generally accepted in the U.S. requires management to make estimates and assumptions that affect the reported amounts of assets and liabilities, disclosures of contingent assets and liabilities at the date of the financial statements, and the reported amounts of revenue and expenses during the reporting period. Actual results could differ from those estimates.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085E"/>
        </w:rPr>
        <w:t>Cash and Cash Equivalents</w:t>
      </w:r>
    </w:p>
    <w:p>
      <w:pPr>
        <w:spacing w:after="0" w:line="161" w:lineRule="exact"/>
        <w:rPr>
          <w:sz w:val="20"/>
          <w:szCs w:val="20"/>
          <w:color w:val="auto"/>
        </w:rPr>
      </w:pPr>
    </w:p>
    <w:p>
      <w:pPr>
        <w:ind w:right="140"/>
        <w:spacing w:after="0" w:line="325" w:lineRule="auto"/>
        <w:rPr>
          <w:sz w:val="20"/>
          <w:szCs w:val="20"/>
          <w:color w:val="auto"/>
        </w:rPr>
      </w:pPr>
      <w:r>
        <w:rPr>
          <w:rFonts w:ascii="Arial" w:cs="Arial" w:eastAsia="Arial" w:hAnsi="Arial"/>
          <w:sz w:val="20"/>
          <w:szCs w:val="20"/>
          <w:color w:val="auto"/>
        </w:rPr>
        <w:t>Cash Equivalents include short-term, highly liquid investments with original maturities of three months or less and are recorded at cost, which approximates market value.</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085E"/>
        </w:rPr>
        <w:t>Accounts Receivable</w:t>
      </w:r>
    </w:p>
    <w:p>
      <w:pPr>
        <w:spacing w:after="0" w:line="161" w:lineRule="exact"/>
        <w:rPr>
          <w:sz w:val="20"/>
          <w:szCs w:val="20"/>
          <w:color w:val="auto"/>
        </w:rPr>
      </w:pPr>
    </w:p>
    <w:p>
      <w:pPr>
        <w:spacing w:after="0" w:line="286" w:lineRule="auto"/>
        <w:rPr>
          <w:sz w:val="20"/>
          <w:szCs w:val="20"/>
          <w:color w:val="auto"/>
        </w:rPr>
      </w:pPr>
      <w:r>
        <w:rPr>
          <w:rFonts w:ascii="Arial" w:cs="Arial" w:eastAsia="Arial" w:hAnsi="Arial"/>
          <w:sz w:val="20"/>
          <w:szCs w:val="20"/>
          <w:color w:val="auto"/>
        </w:rPr>
        <w:t>Accounts Receivable have been shown net of the allowance for doubtful accounts of $6.3 million and $6.4 million at March 31, 2026, and 2025, respectively. We perform ongoing credit evaluations of our customers’ financial condition and generally require no collateral from our customers. The allowance for non-collection of receivables is based on our assessment of the collectability of outstanding Accounts Receivable, and includes a provision for probable losses based on historical write-offs, adjusted for current economic trends in the construction industry, and a specific reserve for accounts deemed at risk. We have no significant credit risk concentration among our diversified customer bases. Bad debt expense was approximately $0.8 million, $0.2 million, and $0.3 million for the fiscal years ended March 31, 2026, 2025, and 2024, respectively. Write-offs of Accounts Receivable were approximately $0.9 million, $0.6 million, and $0.6 million for the fiscal years ended March 31, 2026, 2025, and 2024, respectively.</w:t>
      </w:r>
    </w:p>
    <w:p>
      <w:pPr>
        <w:sectPr>
          <w:pgSz w:w="11880" w:h="15480" w:orient="portrait"/>
          <w:cols w:equalWidth="0" w:num="1">
            <w:col w:w="9340"/>
          </w:cols>
          <w:pgMar w:left="1260" w:top="1201"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76</w:t>
      </w:r>
    </w:p>
    <w:p>
      <w:pPr>
        <w:sectPr>
          <w:pgSz w:w="11880" w:h="15480" w:orient="portrait"/>
          <w:cols w:equalWidth="0" w:num="1">
            <w:col w:w="9340"/>
          </w:cols>
          <w:pgMar w:left="1260" w:top="1201" w:right="1280" w:bottom="0" w:gutter="0" w:footer="0" w:header="0"/>
          <w:type w:val="continuous"/>
        </w:sectPr>
      </w:pPr>
    </w:p>
    <w:bookmarkStart w:id="84" w:name="page85"/>
    <w:bookmarkEnd w:id="84"/>
    <w:p>
      <w:pPr>
        <w:spacing w:after="0"/>
        <w:rPr>
          <w:sz w:val="20"/>
          <w:szCs w:val="20"/>
          <w:color w:val="auto"/>
        </w:rPr>
      </w:pPr>
      <w:r>
        <w:rPr>
          <w:rFonts w:ascii="Arial" w:cs="Arial" w:eastAsia="Arial" w:hAnsi="Arial"/>
          <w:sz w:val="22"/>
          <w:szCs w:val="22"/>
          <w:b w:val="1"/>
          <w:bCs w:val="1"/>
          <w:u w:val="single" w:color="auto"/>
          <w:color w:val="00085E"/>
        </w:rPr>
        <w:t>Inventories</w:t>
      </w:r>
    </w:p>
    <w:p>
      <w:pPr>
        <w:spacing w:after="0" w:line="161" w:lineRule="exact"/>
        <w:rPr>
          <w:sz w:val="20"/>
          <w:szCs w:val="20"/>
          <w:color w:val="auto"/>
        </w:rPr>
      </w:pPr>
    </w:p>
    <w:p>
      <w:pPr>
        <w:ind w:right="80"/>
        <w:spacing w:after="0" w:line="290" w:lineRule="auto"/>
        <w:rPr>
          <w:sz w:val="20"/>
          <w:szCs w:val="20"/>
          <w:color w:val="auto"/>
        </w:rPr>
      </w:pPr>
      <w:r>
        <w:rPr>
          <w:rFonts w:ascii="Arial" w:cs="Arial" w:eastAsia="Arial" w:hAnsi="Arial"/>
          <w:sz w:val="20"/>
          <w:szCs w:val="20"/>
          <w:color w:val="auto"/>
        </w:rPr>
        <w:t>Inventories are stated at the lower of average cost (including applicable material, labor, depreciation, and plant overhead) or net realizable value. Raw Materials and Materials-in-Progress include clinker, which is an intermediary product before it is ground into cement powder. Quantities of Raw Materials and Materials-in-Progress, Aggregates and Coal inventories, are based on measured volumes, subject to estimation based on the size and location of the inventory piles and then converted to tonnage using standard inventory density factors. Inventories consist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6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760" w:type="dxa"/>
            <w:vAlign w:val="bottom"/>
            <w:gridSpan w:val="3"/>
          </w:tcPr>
          <w:p>
            <w:pPr>
              <w:jc w:val="right"/>
              <w:ind w:right="380"/>
              <w:spacing w:after="0"/>
              <w:rPr>
                <w:sz w:val="20"/>
                <w:szCs w:val="20"/>
                <w:color w:val="auto"/>
              </w:rPr>
            </w:pPr>
            <w:r>
              <w:rPr>
                <w:rFonts w:ascii="Arial Narrow" w:cs="Arial Narrow" w:eastAsia="Arial Narrow" w:hAnsi="Arial Narrow"/>
                <w:sz w:val="18"/>
                <w:szCs w:val="18"/>
                <w:b w:val="1"/>
                <w:bCs w:val="1"/>
                <w:color w:val="auto"/>
              </w:rPr>
              <w:t>March 31,</w:t>
            </w:r>
          </w:p>
        </w:tc>
        <w:tc>
          <w:tcPr>
            <w:tcW w:w="800" w:type="dxa"/>
            <w:vAlign w:val="bottom"/>
          </w:tcPr>
          <w:p>
            <w:pPr>
              <w:spacing w:after="0"/>
              <w:rPr>
                <w:sz w:val="22"/>
                <w:szCs w:val="22"/>
                <w:color w:val="auto"/>
              </w:rPr>
            </w:pPr>
          </w:p>
        </w:tc>
      </w:tr>
      <w:tr>
        <w:trPr>
          <w:trHeight w:val="21"/>
        </w:trPr>
        <w:tc>
          <w:tcPr>
            <w:tcW w:w="64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69"/>
        </w:trPr>
        <w:tc>
          <w:tcPr>
            <w:tcW w:w="6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jc w:val="right"/>
              <w:ind w:right="24"/>
              <w:spacing w:after="0"/>
              <w:rPr>
                <w:sz w:val="20"/>
                <w:szCs w:val="20"/>
                <w:color w:val="auto"/>
              </w:rPr>
            </w:pPr>
            <w:r>
              <w:rPr>
                <w:rFonts w:ascii="Arial Narrow" w:cs="Arial Narrow" w:eastAsia="Arial Narrow" w:hAnsi="Arial Narrow"/>
                <w:sz w:val="18"/>
                <w:szCs w:val="18"/>
                <w:b w:val="1"/>
                <w:bCs w:val="1"/>
                <w:color w:val="auto"/>
              </w:rPr>
              <w:t>2026</w:t>
            </w: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0" w:type="dxa"/>
            <w:vAlign w:val="bottom"/>
          </w:tcPr>
          <w:p>
            <w:pPr>
              <w:jc w:val="right"/>
              <w:ind w:right="1"/>
              <w:spacing w:after="0"/>
              <w:rPr>
                <w:sz w:val="20"/>
                <w:szCs w:val="20"/>
                <w:color w:val="auto"/>
              </w:rPr>
            </w:pPr>
            <w:r>
              <w:rPr>
                <w:rFonts w:ascii="Arial Narrow" w:cs="Arial Narrow" w:eastAsia="Arial Narrow" w:hAnsi="Arial Narrow"/>
                <w:sz w:val="18"/>
                <w:szCs w:val="18"/>
                <w:b w:val="1"/>
                <w:bCs w:val="1"/>
                <w:color w:val="auto"/>
              </w:rPr>
              <w:t>2025</w:t>
            </w:r>
          </w:p>
        </w:tc>
      </w:tr>
      <w:tr>
        <w:trPr>
          <w:trHeight w:val="21"/>
        </w:trPr>
        <w:tc>
          <w:tcPr>
            <w:tcW w:w="64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44"/>
        </w:trPr>
        <w:tc>
          <w:tcPr>
            <w:tcW w:w="6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60" w:type="dxa"/>
            <w:vAlign w:val="bottom"/>
            <w:gridSpan w:val="3"/>
          </w:tcPr>
          <w:p>
            <w:pPr>
              <w:jc w:val="right"/>
              <w:ind w:right="100"/>
              <w:spacing w:after="0"/>
              <w:rPr>
                <w:sz w:val="20"/>
                <w:szCs w:val="20"/>
                <w:color w:val="auto"/>
              </w:rPr>
            </w:pPr>
            <w:r>
              <w:rPr>
                <w:rFonts w:ascii="Arial Narrow" w:cs="Arial Narrow" w:eastAsia="Arial Narrow" w:hAnsi="Arial Narrow"/>
                <w:sz w:val="16"/>
                <w:szCs w:val="16"/>
                <w:color w:val="auto"/>
              </w:rPr>
              <w:t>(dollars in thousands)</w:t>
            </w:r>
          </w:p>
        </w:tc>
        <w:tc>
          <w:tcPr>
            <w:tcW w:w="800" w:type="dxa"/>
            <w:vAlign w:val="bottom"/>
          </w:tcPr>
          <w:p>
            <w:pPr>
              <w:spacing w:after="0"/>
              <w:rPr>
                <w:sz w:val="21"/>
                <w:szCs w:val="21"/>
                <w:color w:val="auto"/>
              </w:rPr>
            </w:pPr>
          </w:p>
        </w:tc>
      </w:tr>
      <w:tr>
        <w:trPr>
          <w:trHeight w:val="48"/>
        </w:trPr>
        <w:tc>
          <w:tcPr>
            <w:tcW w:w="64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gridSpan w:val="2"/>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r>
      <w:tr>
        <w:trPr>
          <w:trHeight w:val="344"/>
        </w:trPr>
        <w:tc>
          <w:tcPr>
            <w:tcW w:w="6420" w:type="dxa"/>
            <w:vAlign w:val="bottom"/>
          </w:tcPr>
          <w:p>
            <w:pPr>
              <w:spacing w:after="0"/>
              <w:rPr>
                <w:sz w:val="20"/>
                <w:szCs w:val="20"/>
                <w:color w:val="auto"/>
              </w:rPr>
            </w:pPr>
            <w:r>
              <w:rPr>
                <w:rFonts w:ascii="Arial Narrow" w:cs="Arial Narrow" w:eastAsia="Arial Narrow" w:hAnsi="Arial Narrow"/>
                <w:sz w:val="20"/>
                <w:szCs w:val="20"/>
                <w:b w:val="1"/>
                <w:bCs w:val="1"/>
                <w:color w:val="00085E"/>
              </w:rPr>
              <w:t>Raw Materials and Materials-in-Progress</w:t>
            </w:r>
          </w:p>
        </w:tc>
        <w:tc>
          <w:tcPr>
            <w:tcW w:w="380" w:type="dxa"/>
            <w:vAlign w:val="bottom"/>
          </w:tcPr>
          <w:p>
            <w:pPr>
              <w:jc w:val="right"/>
              <w:ind w:right="210"/>
              <w:spacing w:after="0"/>
              <w:rPr>
                <w:sz w:val="20"/>
                <w:szCs w:val="20"/>
                <w:color w:val="auto"/>
              </w:rPr>
            </w:pPr>
            <w:r>
              <w:rPr>
                <w:rFonts w:ascii="Arial Narrow" w:cs="Arial Narrow" w:eastAsia="Arial Narrow" w:hAnsi="Arial Narrow"/>
                <w:sz w:val="18"/>
                <w:szCs w:val="18"/>
                <w:color w:val="auto"/>
                <w:w w:val="72"/>
              </w:rPr>
              <w:t>$</w:t>
            </w:r>
          </w:p>
        </w:tc>
        <w:tc>
          <w:tcPr>
            <w:tcW w:w="1020" w:type="dxa"/>
            <w:vAlign w:val="bottom"/>
          </w:tcPr>
          <w:p>
            <w:pPr>
              <w:jc w:val="right"/>
              <w:ind w:right="24"/>
              <w:spacing w:after="0"/>
              <w:rPr>
                <w:sz w:val="20"/>
                <w:szCs w:val="20"/>
                <w:color w:val="auto"/>
              </w:rPr>
            </w:pPr>
            <w:r>
              <w:rPr>
                <w:rFonts w:ascii="Arial Narrow" w:cs="Arial Narrow" w:eastAsia="Arial Narrow" w:hAnsi="Arial Narrow"/>
                <w:sz w:val="20"/>
                <w:szCs w:val="20"/>
                <w:color w:val="auto"/>
              </w:rPr>
              <w:t>158,829</w:t>
            </w:r>
          </w:p>
        </w:tc>
        <w:tc>
          <w:tcPr>
            <w:tcW w:w="740" w:type="dxa"/>
            <w:vAlign w:val="bottom"/>
            <w:gridSpan w:val="2"/>
          </w:tcPr>
          <w:p>
            <w:pPr>
              <w:jc w:val="right"/>
              <w:ind w:right="500"/>
              <w:spacing w:after="0"/>
              <w:rPr>
                <w:sz w:val="20"/>
                <w:szCs w:val="20"/>
                <w:color w:val="auto"/>
              </w:rPr>
            </w:pPr>
            <w:r>
              <w:rPr>
                <w:rFonts w:ascii="Arial Narrow" w:cs="Arial Narrow" w:eastAsia="Arial Narrow" w:hAnsi="Arial Narrow"/>
                <w:sz w:val="20"/>
                <w:szCs w:val="20"/>
                <w:color w:val="auto"/>
              </w:rPr>
              <w:t>$</w:t>
            </w:r>
          </w:p>
        </w:tc>
        <w:tc>
          <w:tcPr>
            <w:tcW w:w="800" w:type="dxa"/>
            <w:vAlign w:val="bottom"/>
          </w:tcPr>
          <w:p>
            <w:pPr>
              <w:jc w:val="right"/>
              <w:ind w:right="1"/>
              <w:spacing w:after="0"/>
              <w:rPr>
                <w:sz w:val="20"/>
                <w:szCs w:val="20"/>
                <w:color w:val="auto"/>
              </w:rPr>
            </w:pPr>
            <w:r>
              <w:rPr>
                <w:rFonts w:ascii="Arial Narrow" w:cs="Arial Narrow" w:eastAsia="Arial Narrow" w:hAnsi="Arial Narrow"/>
                <w:sz w:val="20"/>
                <w:szCs w:val="20"/>
                <w:color w:val="auto"/>
              </w:rPr>
              <w:t>164,683</w:t>
            </w:r>
          </w:p>
        </w:tc>
      </w:tr>
      <w:tr>
        <w:trPr>
          <w:trHeight w:val="65"/>
        </w:trPr>
        <w:tc>
          <w:tcPr>
            <w:tcW w:w="6420" w:type="dxa"/>
            <w:vAlign w:val="bottom"/>
            <w:tcBorders>
              <w:bottom w:val="single" w:sz="8" w:color="A6A6A6"/>
            </w:tcBorders>
          </w:tcPr>
          <w:p>
            <w:pPr>
              <w:spacing w:after="0"/>
              <w:rPr>
                <w:sz w:val="5"/>
                <w:szCs w:val="5"/>
                <w:color w:val="auto"/>
              </w:rPr>
            </w:pPr>
          </w:p>
        </w:tc>
        <w:tc>
          <w:tcPr>
            <w:tcW w:w="380" w:type="dxa"/>
            <w:vAlign w:val="bottom"/>
            <w:tcBorders>
              <w:bottom w:val="single" w:sz="8" w:color="A6A6A6"/>
            </w:tcBorders>
          </w:tcPr>
          <w:p>
            <w:pPr>
              <w:spacing w:after="0"/>
              <w:rPr>
                <w:sz w:val="5"/>
                <w:szCs w:val="5"/>
                <w:color w:val="auto"/>
              </w:rPr>
            </w:pPr>
          </w:p>
        </w:tc>
        <w:tc>
          <w:tcPr>
            <w:tcW w:w="102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580" w:type="dxa"/>
            <w:vAlign w:val="bottom"/>
            <w:tcBorders>
              <w:bottom w:val="single" w:sz="8" w:color="A6A6A6"/>
            </w:tcBorders>
          </w:tcPr>
          <w:p>
            <w:pPr>
              <w:spacing w:after="0"/>
              <w:rPr>
                <w:sz w:val="5"/>
                <w:szCs w:val="5"/>
                <w:color w:val="auto"/>
              </w:rPr>
            </w:pPr>
          </w:p>
        </w:tc>
        <w:tc>
          <w:tcPr>
            <w:tcW w:w="800" w:type="dxa"/>
            <w:vAlign w:val="bottom"/>
            <w:tcBorders>
              <w:bottom w:val="single" w:sz="8" w:color="A6A6A6"/>
            </w:tcBorders>
          </w:tcPr>
          <w:p>
            <w:pPr>
              <w:spacing w:after="0"/>
              <w:rPr>
                <w:sz w:val="5"/>
                <w:szCs w:val="5"/>
                <w:color w:val="auto"/>
              </w:rPr>
            </w:pPr>
          </w:p>
        </w:tc>
      </w:tr>
      <w:tr>
        <w:trPr>
          <w:trHeight w:val="339"/>
        </w:trPr>
        <w:tc>
          <w:tcPr>
            <w:tcW w:w="6420" w:type="dxa"/>
            <w:vAlign w:val="bottom"/>
          </w:tcPr>
          <w:p>
            <w:pPr>
              <w:spacing w:after="0"/>
              <w:rPr>
                <w:sz w:val="20"/>
                <w:szCs w:val="20"/>
                <w:color w:val="auto"/>
              </w:rPr>
            </w:pPr>
            <w:r>
              <w:rPr>
                <w:rFonts w:ascii="Arial Narrow" w:cs="Arial Narrow" w:eastAsia="Arial Narrow" w:hAnsi="Arial Narrow"/>
                <w:sz w:val="20"/>
                <w:szCs w:val="20"/>
                <w:b w:val="1"/>
                <w:bCs w:val="1"/>
                <w:color w:val="042F70"/>
              </w:rPr>
              <w:t>Finished Cement</w:t>
            </w:r>
          </w:p>
        </w:tc>
        <w:tc>
          <w:tcPr>
            <w:tcW w:w="380" w:type="dxa"/>
            <w:vAlign w:val="bottom"/>
          </w:tcPr>
          <w:p>
            <w:pPr>
              <w:spacing w:after="0"/>
              <w:rPr>
                <w:sz w:val="24"/>
                <w:szCs w:val="24"/>
                <w:color w:val="auto"/>
              </w:rPr>
            </w:pPr>
          </w:p>
        </w:tc>
        <w:tc>
          <w:tcPr>
            <w:tcW w:w="1020" w:type="dxa"/>
            <w:vAlign w:val="bottom"/>
          </w:tcPr>
          <w:p>
            <w:pPr>
              <w:jc w:val="right"/>
              <w:ind w:right="24"/>
              <w:spacing w:after="0"/>
              <w:rPr>
                <w:sz w:val="20"/>
                <w:szCs w:val="20"/>
                <w:color w:val="auto"/>
              </w:rPr>
            </w:pPr>
            <w:r>
              <w:rPr>
                <w:rFonts w:ascii="Arial Narrow" w:cs="Arial Narrow" w:eastAsia="Arial Narrow" w:hAnsi="Arial Narrow"/>
                <w:sz w:val="20"/>
                <w:szCs w:val="20"/>
                <w:color w:val="auto"/>
              </w:rPr>
              <w:t>63,293</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jc w:val="right"/>
              <w:ind w:right="1"/>
              <w:spacing w:after="0"/>
              <w:rPr>
                <w:sz w:val="20"/>
                <w:szCs w:val="20"/>
                <w:color w:val="auto"/>
              </w:rPr>
            </w:pPr>
            <w:r>
              <w:rPr>
                <w:rFonts w:ascii="Arial Narrow" w:cs="Arial Narrow" w:eastAsia="Arial Narrow" w:hAnsi="Arial Narrow"/>
                <w:sz w:val="20"/>
                <w:szCs w:val="20"/>
                <w:color w:val="auto"/>
              </w:rPr>
              <w:t>67,711</w:t>
            </w:r>
          </w:p>
        </w:tc>
      </w:tr>
      <w:tr>
        <w:trPr>
          <w:trHeight w:val="65"/>
        </w:trPr>
        <w:tc>
          <w:tcPr>
            <w:tcW w:w="6420" w:type="dxa"/>
            <w:vAlign w:val="bottom"/>
            <w:tcBorders>
              <w:bottom w:val="single" w:sz="8" w:color="A6A6A6"/>
            </w:tcBorders>
          </w:tcPr>
          <w:p>
            <w:pPr>
              <w:spacing w:after="0"/>
              <w:rPr>
                <w:sz w:val="5"/>
                <w:szCs w:val="5"/>
                <w:color w:val="auto"/>
              </w:rPr>
            </w:pPr>
          </w:p>
        </w:tc>
        <w:tc>
          <w:tcPr>
            <w:tcW w:w="380" w:type="dxa"/>
            <w:vAlign w:val="bottom"/>
            <w:tcBorders>
              <w:bottom w:val="single" w:sz="8" w:color="A6A6A6"/>
            </w:tcBorders>
          </w:tcPr>
          <w:p>
            <w:pPr>
              <w:spacing w:after="0"/>
              <w:rPr>
                <w:sz w:val="5"/>
                <w:szCs w:val="5"/>
                <w:color w:val="auto"/>
              </w:rPr>
            </w:pPr>
          </w:p>
        </w:tc>
        <w:tc>
          <w:tcPr>
            <w:tcW w:w="102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580" w:type="dxa"/>
            <w:vAlign w:val="bottom"/>
            <w:tcBorders>
              <w:bottom w:val="single" w:sz="8" w:color="A6A6A6"/>
            </w:tcBorders>
          </w:tcPr>
          <w:p>
            <w:pPr>
              <w:spacing w:after="0"/>
              <w:rPr>
                <w:sz w:val="5"/>
                <w:szCs w:val="5"/>
                <w:color w:val="auto"/>
              </w:rPr>
            </w:pPr>
          </w:p>
        </w:tc>
        <w:tc>
          <w:tcPr>
            <w:tcW w:w="800" w:type="dxa"/>
            <w:vAlign w:val="bottom"/>
            <w:tcBorders>
              <w:bottom w:val="single" w:sz="8" w:color="A6A6A6"/>
            </w:tcBorders>
          </w:tcPr>
          <w:p>
            <w:pPr>
              <w:spacing w:after="0"/>
              <w:rPr>
                <w:sz w:val="5"/>
                <w:szCs w:val="5"/>
                <w:color w:val="auto"/>
              </w:rPr>
            </w:pPr>
          </w:p>
        </w:tc>
      </w:tr>
      <w:tr>
        <w:trPr>
          <w:trHeight w:val="339"/>
        </w:trPr>
        <w:tc>
          <w:tcPr>
            <w:tcW w:w="6420" w:type="dxa"/>
            <w:vAlign w:val="bottom"/>
          </w:tcPr>
          <w:p>
            <w:pPr>
              <w:spacing w:after="0"/>
              <w:rPr>
                <w:sz w:val="20"/>
                <w:szCs w:val="20"/>
                <w:color w:val="auto"/>
              </w:rPr>
            </w:pPr>
            <w:r>
              <w:rPr>
                <w:rFonts w:ascii="Arial Narrow" w:cs="Arial Narrow" w:eastAsia="Arial Narrow" w:hAnsi="Arial Narrow"/>
                <w:sz w:val="20"/>
                <w:szCs w:val="20"/>
                <w:b w:val="1"/>
                <w:bCs w:val="1"/>
                <w:color w:val="43A8B4"/>
              </w:rPr>
              <w:t>Aggregates</w:t>
            </w:r>
          </w:p>
        </w:tc>
        <w:tc>
          <w:tcPr>
            <w:tcW w:w="380" w:type="dxa"/>
            <w:vAlign w:val="bottom"/>
          </w:tcPr>
          <w:p>
            <w:pPr>
              <w:spacing w:after="0"/>
              <w:rPr>
                <w:sz w:val="24"/>
                <w:szCs w:val="24"/>
                <w:color w:val="auto"/>
              </w:rPr>
            </w:pPr>
          </w:p>
        </w:tc>
        <w:tc>
          <w:tcPr>
            <w:tcW w:w="1020" w:type="dxa"/>
            <w:vAlign w:val="bottom"/>
          </w:tcPr>
          <w:p>
            <w:pPr>
              <w:jc w:val="right"/>
              <w:ind w:right="24"/>
              <w:spacing w:after="0"/>
              <w:rPr>
                <w:sz w:val="20"/>
                <w:szCs w:val="20"/>
                <w:color w:val="auto"/>
              </w:rPr>
            </w:pPr>
            <w:r>
              <w:rPr>
                <w:rFonts w:ascii="Arial Narrow" w:cs="Arial Narrow" w:eastAsia="Arial Narrow" w:hAnsi="Arial Narrow"/>
                <w:sz w:val="20"/>
                <w:szCs w:val="20"/>
                <w:color w:val="auto"/>
              </w:rPr>
              <w:t>16,073</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jc w:val="right"/>
              <w:ind w:right="1"/>
              <w:spacing w:after="0"/>
              <w:rPr>
                <w:sz w:val="20"/>
                <w:szCs w:val="20"/>
                <w:color w:val="auto"/>
              </w:rPr>
            </w:pPr>
            <w:r>
              <w:rPr>
                <w:rFonts w:ascii="Arial Narrow" w:cs="Arial Narrow" w:eastAsia="Arial Narrow" w:hAnsi="Arial Narrow"/>
                <w:sz w:val="20"/>
                <w:szCs w:val="20"/>
                <w:color w:val="auto"/>
              </w:rPr>
              <w:t>17,681</w:t>
            </w:r>
          </w:p>
        </w:tc>
      </w:tr>
      <w:tr>
        <w:trPr>
          <w:trHeight w:val="65"/>
        </w:trPr>
        <w:tc>
          <w:tcPr>
            <w:tcW w:w="6420" w:type="dxa"/>
            <w:vAlign w:val="bottom"/>
            <w:tcBorders>
              <w:bottom w:val="single" w:sz="8" w:color="A6A6A6"/>
            </w:tcBorders>
          </w:tcPr>
          <w:p>
            <w:pPr>
              <w:spacing w:after="0"/>
              <w:rPr>
                <w:sz w:val="5"/>
                <w:szCs w:val="5"/>
                <w:color w:val="auto"/>
              </w:rPr>
            </w:pPr>
          </w:p>
        </w:tc>
        <w:tc>
          <w:tcPr>
            <w:tcW w:w="380" w:type="dxa"/>
            <w:vAlign w:val="bottom"/>
            <w:tcBorders>
              <w:bottom w:val="single" w:sz="8" w:color="A6A6A6"/>
            </w:tcBorders>
          </w:tcPr>
          <w:p>
            <w:pPr>
              <w:spacing w:after="0"/>
              <w:rPr>
                <w:sz w:val="5"/>
                <w:szCs w:val="5"/>
                <w:color w:val="auto"/>
              </w:rPr>
            </w:pPr>
          </w:p>
        </w:tc>
        <w:tc>
          <w:tcPr>
            <w:tcW w:w="102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580" w:type="dxa"/>
            <w:vAlign w:val="bottom"/>
            <w:tcBorders>
              <w:bottom w:val="single" w:sz="8" w:color="A6A6A6"/>
            </w:tcBorders>
          </w:tcPr>
          <w:p>
            <w:pPr>
              <w:spacing w:after="0"/>
              <w:rPr>
                <w:sz w:val="5"/>
                <w:szCs w:val="5"/>
                <w:color w:val="auto"/>
              </w:rPr>
            </w:pPr>
          </w:p>
        </w:tc>
        <w:tc>
          <w:tcPr>
            <w:tcW w:w="800" w:type="dxa"/>
            <w:vAlign w:val="bottom"/>
            <w:tcBorders>
              <w:bottom w:val="single" w:sz="8" w:color="A6A6A6"/>
            </w:tcBorders>
          </w:tcPr>
          <w:p>
            <w:pPr>
              <w:spacing w:after="0"/>
              <w:rPr>
                <w:sz w:val="5"/>
                <w:szCs w:val="5"/>
                <w:color w:val="auto"/>
              </w:rPr>
            </w:pPr>
          </w:p>
        </w:tc>
      </w:tr>
      <w:tr>
        <w:trPr>
          <w:trHeight w:val="339"/>
        </w:trPr>
        <w:tc>
          <w:tcPr>
            <w:tcW w:w="6420" w:type="dxa"/>
            <w:vAlign w:val="bottom"/>
          </w:tcPr>
          <w:p>
            <w:pPr>
              <w:spacing w:after="0"/>
              <w:rPr>
                <w:sz w:val="20"/>
                <w:szCs w:val="20"/>
                <w:color w:val="auto"/>
              </w:rPr>
            </w:pPr>
            <w:r>
              <w:rPr>
                <w:rFonts w:ascii="Arial Narrow" w:cs="Arial Narrow" w:eastAsia="Arial Narrow" w:hAnsi="Arial Narrow"/>
                <w:sz w:val="20"/>
                <w:szCs w:val="20"/>
                <w:b w:val="1"/>
                <w:bCs w:val="1"/>
                <w:color w:val="5F7D1D"/>
              </w:rPr>
              <w:t>Gypsum Wallboard</w:t>
            </w:r>
          </w:p>
        </w:tc>
        <w:tc>
          <w:tcPr>
            <w:tcW w:w="380" w:type="dxa"/>
            <w:vAlign w:val="bottom"/>
          </w:tcPr>
          <w:p>
            <w:pPr>
              <w:spacing w:after="0"/>
              <w:rPr>
                <w:sz w:val="24"/>
                <w:szCs w:val="24"/>
                <w:color w:val="auto"/>
              </w:rPr>
            </w:pPr>
          </w:p>
        </w:tc>
        <w:tc>
          <w:tcPr>
            <w:tcW w:w="1020" w:type="dxa"/>
            <w:vAlign w:val="bottom"/>
          </w:tcPr>
          <w:p>
            <w:pPr>
              <w:jc w:val="right"/>
              <w:ind w:right="24"/>
              <w:spacing w:after="0"/>
              <w:rPr>
                <w:sz w:val="20"/>
                <w:szCs w:val="20"/>
                <w:color w:val="auto"/>
              </w:rPr>
            </w:pPr>
            <w:r>
              <w:rPr>
                <w:rFonts w:ascii="Arial Narrow" w:cs="Arial Narrow" w:eastAsia="Arial Narrow" w:hAnsi="Arial Narrow"/>
                <w:sz w:val="20"/>
                <w:szCs w:val="20"/>
                <w:color w:val="auto"/>
              </w:rPr>
              <w:t>4,809</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jc w:val="right"/>
              <w:ind w:right="1"/>
              <w:spacing w:after="0"/>
              <w:rPr>
                <w:sz w:val="20"/>
                <w:szCs w:val="20"/>
                <w:color w:val="auto"/>
              </w:rPr>
            </w:pPr>
            <w:r>
              <w:rPr>
                <w:rFonts w:ascii="Arial Narrow" w:cs="Arial Narrow" w:eastAsia="Arial Narrow" w:hAnsi="Arial Narrow"/>
                <w:sz w:val="20"/>
                <w:szCs w:val="20"/>
                <w:color w:val="auto"/>
              </w:rPr>
              <w:t>5,708</w:t>
            </w:r>
          </w:p>
        </w:tc>
      </w:tr>
      <w:tr>
        <w:trPr>
          <w:trHeight w:val="65"/>
        </w:trPr>
        <w:tc>
          <w:tcPr>
            <w:tcW w:w="6420" w:type="dxa"/>
            <w:vAlign w:val="bottom"/>
            <w:tcBorders>
              <w:bottom w:val="single" w:sz="8" w:color="A6A6A6"/>
            </w:tcBorders>
          </w:tcPr>
          <w:p>
            <w:pPr>
              <w:spacing w:after="0"/>
              <w:rPr>
                <w:sz w:val="5"/>
                <w:szCs w:val="5"/>
                <w:color w:val="auto"/>
              </w:rPr>
            </w:pPr>
          </w:p>
        </w:tc>
        <w:tc>
          <w:tcPr>
            <w:tcW w:w="380" w:type="dxa"/>
            <w:vAlign w:val="bottom"/>
            <w:tcBorders>
              <w:bottom w:val="single" w:sz="8" w:color="A6A6A6"/>
            </w:tcBorders>
          </w:tcPr>
          <w:p>
            <w:pPr>
              <w:spacing w:after="0"/>
              <w:rPr>
                <w:sz w:val="5"/>
                <w:szCs w:val="5"/>
                <w:color w:val="auto"/>
              </w:rPr>
            </w:pPr>
          </w:p>
        </w:tc>
        <w:tc>
          <w:tcPr>
            <w:tcW w:w="102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580" w:type="dxa"/>
            <w:vAlign w:val="bottom"/>
            <w:tcBorders>
              <w:bottom w:val="single" w:sz="8" w:color="A6A6A6"/>
            </w:tcBorders>
          </w:tcPr>
          <w:p>
            <w:pPr>
              <w:spacing w:after="0"/>
              <w:rPr>
                <w:sz w:val="5"/>
                <w:szCs w:val="5"/>
                <w:color w:val="auto"/>
              </w:rPr>
            </w:pPr>
          </w:p>
        </w:tc>
        <w:tc>
          <w:tcPr>
            <w:tcW w:w="800" w:type="dxa"/>
            <w:vAlign w:val="bottom"/>
            <w:tcBorders>
              <w:bottom w:val="single" w:sz="8" w:color="A6A6A6"/>
            </w:tcBorders>
          </w:tcPr>
          <w:p>
            <w:pPr>
              <w:spacing w:after="0"/>
              <w:rPr>
                <w:sz w:val="5"/>
                <w:szCs w:val="5"/>
                <w:color w:val="auto"/>
              </w:rPr>
            </w:pPr>
          </w:p>
        </w:tc>
      </w:tr>
      <w:tr>
        <w:trPr>
          <w:trHeight w:val="339"/>
        </w:trPr>
        <w:tc>
          <w:tcPr>
            <w:tcW w:w="6420" w:type="dxa"/>
            <w:vAlign w:val="bottom"/>
          </w:tcPr>
          <w:p>
            <w:pPr>
              <w:spacing w:after="0"/>
              <w:rPr>
                <w:sz w:val="20"/>
                <w:szCs w:val="20"/>
                <w:color w:val="auto"/>
              </w:rPr>
            </w:pPr>
            <w:r>
              <w:rPr>
                <w:rFonts w:ascii="Arial Narrow" w:cs="Arial Narrow" w:eastAsia="Arial Narrow" w:hAnsi="Arial Narrow"/>
                <w:sz w:val="20"/>
                <w:szCs w:val="20"/>
                <w:b w:val="1"/>
                <w:bCs w:val="1"/>
                <w:color w:val="7AB05A"/>
              </w:rPr>
              <w:t>Recycled Paperboard</w:t>
            </w:r>
          </w:p>
        </w:tc>
        <w:tc>
          <w:tcPr>
            <w:tcW w:w="380" w:type="dxa"/>
            <w:vAlign w:val="bottom"/>
          </w:tcPr>
          <w:p>
            <w:pPr>
              <w:spacing w:after="0"/>
              <w:rPr>
                <w:sz w:val="24"/>
                <w:szCs w:val="24"/>
                <w:color w:val="auto"/>
              </w:rPr>
            </w:pPr>
          </w:p>
        </w:tc>
        <w:tc>
          <w:tcPr>
            <w:tcW w:w="1020" w:type="dxa"/>
            <w:vAlign w:val="bottom"/>
          </w:tcPr>
          <w:p>
            <w:pPr>
              <w:jc w:val="right"/>
              <w:ind w:right="24"/>
              <w:spacing w:after="0"/>
              <w:rPr>
                <w:sz w:val="20"/>
                <w:szCs w:val="20"/>
                <w:color w:val="auto"/>
              </w:rPr>
            </w:pPr>
            <w:r>
              <w:rPr>
                <w:rFonts w:ascii="Arial Narrow" w:cs="Arial Narrow" w:eastAsia="Arial Narrow" w:hAnsi="Arial Narrow"/>
                <w:sz w:val="20"/>
                <w:szCs w:val="20"/>
                <w:color w:val="auto"/>
              </w:rPr>
              <w:t>10,675</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jc w:val="right"/>
              <w:ind w:right="1"/>
              <w:spacing w:after="0"/>
              <w:rPr>
                <w:sz w:val="20"/>
                <w:szCs w:val="20"/>
                <w:color w:val="auto"/>
              </w:rPr>
            </w:pPr>
            <w:r>
              <w:rPr>
                <w:rFonts w:ascii="Arial Narrow" w:cs="Arial Narrow" w:eastAsia="Arial Narrow" w:hAnsi="Arial Narrow"/>
                <w:sz w:val="20"/>
                <w:szCs w:val="20"/>
                <w:color w:val="auto"/>
              </w:rPr>
              <w:t>7,814</w:t>
            </w:r>
          </w:p>
        </w:tc>
      </w:tr>
      <w:tr>
        <w:trPr>
          <w:trHeight w:val="65"/>
        </w:trPr>
        <w:tc>
          <w:tcPr>
            <w:tcW w:w="6420" w:type="dxa"/>
            <w:vAlign w:val="bottom"/>
            <w:tcBorders>
              <w:bottom w:val="single" w:sz="8" w:color="A6A6A6"/>
            </w:tcBorders>
          </w:tcPr>
          <w:p>
            <w:pPr>
              <w:spacing w:after="0"/>
              <w:rPr>
                <w:sz w:val="5"/>
                <w:szCs w:val="5"/>
                <w:color w:val="auto"/>
              </w:rPr>
            </w:pPr>
          </w:p>
        </w:tc>
        <w:tc>
          <w:tcPr>
            <w:tcW w:w="380" w:type="dxa"/>
            <w:vAlign w:val="bottom"/>
            <w:tcBorders>
              <w:bottom w:val="single" w:sz="8" w:color="A6A6A6"/>
            </w:tcBorders>
          </w:tcPr>
          <w:p>
            <w:pPr>
              <w:spacing w:after="0"/>
              <w:rPr>
                <w:sz w:val="5"/>
                <w:szCs w:val="5"/>
                <w:color w:val="auto"/>
              </w:rPr>
            </w:pPr>
          </w:p>
        </w:tc>
        <w:tc>
          <w:tcPr>
            <w:tcW w:w="102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580" w:type="dxa"/>
            <w:vAlign w:val="bottom"/>
            <w:tcBorders>
              <w:bottom w:val="single" w:sz="8" w:color="A6A6A6"/>
            </w:tcBorders>
          </w:tcPr>
          <w:p>
            <w:pPr>
              <w:spacing w:after="0"/>
              <w:rPr>
                <w:sz w:val="5"/>
                <w:szCs w:val="5"/>
                <w:color w:val="auto"/>
              </w:rPr>
            </w:pPr>
          </w:p>
        </w:tc>
        <w:tc>
          <w:tcPr>
            <w:tcW w:w="800" w:type="dxa"/>
            <w:vAlign w:val="bottom"/>
            <w:tcBorders>
              <w:bottom w:val="single" w:sz="8" w:color="A6A6A6"/>
            </w:tcBorders>
          </w:tcPr>
          <w:p>
            <w:pPr>
              <w:spacing w:after="0"/>
              <w:rPr>
                <w:sz w:val="5"/>
                <w:szCs w:val="5"/>
                <w:color w:val="auto"/>
              </w:rPr>
            </w:pPr>
          </w:p>
        </w:tc>
      </w:tr>
      <w:tr>
        <w:trPr>
          <w:trHeight w:val="339"/>
        </w:trPr>
        <w:tc>
          <w:tcPr>
            <w:tcW w:w="6420" w:type="dxa"/>
            <w:vAlign w:val="bottom"/>
          </w:tcPr>
          <w:p>
            <w:pPr>
              <w:spacing w:after="0"/>
              <w:rPr>
                <w:sz w:val="20"/>
                <w:szCs w:val="20"/>
                <w:color w:val="auto"/>
              </w:rPr>
            </w:pPr>
            <w:r>
              <w:rPr>
                <w:rFonts w:ascii="Arial Narrow" w:cs="Arial Narrow" w:eastAsia="Arial Narrow" w:hAnsi="Arial Narrow"/>
                <w:sz w:val="20"/>
                <w:szCs w:val="20"/>
                <w:b w:val="1"/>
                <w:bCs w:val="1"/>
                <w:color w:val="00085E"/>
              </w:rPr>
              <w:t>Repair Parts and Supplies</w:t>
            </w:r>
          </w:p>
        </w:tc>
        <w:tc>
          <w:tcPr>
            <w:tcW w:w="380" w:type="dxa"/>
            <w:vAlign w:val="bottom"/>
          </w:tcPr>
          <w:p>
            <w:pPr>
              <w:spacing w:after="0"/>
              <w:rPr>
                <w:sz w:val="24"/>
                <w:szCs w:val="24"/>
                <w:color w:val="auto"/>
              </w:rPr>
            </w:pPr>
          </w:p>
        </w:tc>
        <w:tc>
          <w:tcPr>
            <w:tcW w:w="1020" w:type="dxa"/>
            <w:vAlign w:val="bottom"/>
          </w:tcPr>
          <w:p>
            <w:pPr>
              <w:jc w:val="right"/>
              <w:ind w:right="24"/>
              <w:spacing w:after="0"/>
              <w:rPr>
                <w:sz w:val="20"/>
                <w:szCs w:val="20"/>
                <w:color w:val="auto"/>
              </w:rPr>
            </w:pPr>
            <w:r>
              <w:rPr>
                <w:rFonts w:ascii="Arial Narrow" w:cs="Arial Narrow" w:eastAsia="Arial Narrow" w:hAnsi="Arial Narrow"/>
                <w:sz w:val="20"/>
                <w:szCs w:val="20"/>
                <w:color w:val="auto"/>
              </w:rPr>
              <w:t>135,110</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jc w:val="right"/>
              <w:ind w:right="1"/>
              <w:spacing w:after="0"/>
              <w:rPr>
                <w:sz w:val="20"/>
                <w:szCs w:val="20"/>
                <w:color w:val="auto"/>
              </w:rPr>
            </w:pPr>
            <w:r>
              <w:rPr>
                <w:rFonts w:ascii="Arial Narrow" w:cs="Arial Narrow" w:eastAsia="Arial Narrow" w:hAnsi="Arial Narrow"/>
                <w:sz w:val="20"/>
                <w:szCs w:val="20"/>
                <w:color w:val="auto"/>
              </w:rPr>
              <w:t>126,983</w:t>
            </w:r>
          </w:p>
        </w:tc>
      </w:tr>
      <w:tr>
        <w:trPr>
          <w:trHeight w:val="65"/>
        </w:trPr>
        <w:tc>
          <w:tcPr>
            <w:tcW w:w="6420" w:type="dxa"/>
            <w:vAlign w:val="bottom"/>
            <w:tcBorders>
              <w:bottom w:val="single" w:sz="8" w:color="A6A6A6"/>
            </w:tcBorders>
          </w:tcPr>
          <w:p>
            <w:pPr>
              <w:spacing w:after="0"/>
              <w:rPr>
                <w:sz w:val="5"/>
                <w:szCs w:val="5"/>
                <w:color w:val="auto"/>
              </w:rPr>
            </w:pPr>
          </w:p>
        </w:tc>
        <w:tc>
          <w:tcPr>
            <w:tcW w:w="380" w:type="dxa"/>
            <w:vAlign w:val="bottom"/>
            <w:tcBorders>
              <w:bottom w:val="single" w:sz="8" w:color="A6A6A6"/>
            </w:tcBorders>
          </w:tcPr>
          <w:p>
            <w:pPr>
              <w:spacing w:after="0"/>
              <w:rPr>
                <w:sz w:val="5"/>
                <w:szCs w:val="5"/>
                <w:color w:val="auto"/>
              </w:rPr>
            </w:pPr>
          </w:p>
        </w:tc>
        <w:tc>
          <w:tcPr>
            <w:tcW w:w="102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580" w:type="dxa"/>
            <w:vAlign w:val="bottom"/>
            <w:tcBorders>
              <w:bottom w:val="single" w:sz="8" w:color="A6A6A6"/>
            </w:tcBorders>
          </w:tcPr>
          <w:p>
            <w:pPr>
              <w:spacing w:after="0"/>
              <w:rPr>
                <w:sz w:val="5"/>
                <w:szCs w:val="5"/>
                <w:color w:val="auto"/>
              </w:rPr>
            </w:pPr>
          </w:p>
        </w:tc>
        <w:tc>
          <w:tcPr>
            <w:tcW w:w="800" w:type="dxa"/>
            <w:vAlign w:val="bottom"/>
            <w:tcBorders>
              <w:bottom w:val="single" w:sz="8" w:color="A6A6A6"/>
            </w:tcBorders>
          </w:tcPr>
          <w:p>
            <w:pPr>
              <w:spacing w:after="0"/>
              <w:rPr>
                <w:sz w:val="5"/>
                <w:szCs w:val="5"/>
                <w:color w:val="auto"/>
              </w:rPr>
            </w:pPr>
          </w:p>
        </w:tc>
      </w:tr>
      <w:tr>
        <w:trPr>
          <w:trHeight w:val="339"/>
        </w:trPr>
        <w:tc>
          <w:tcPr>
            <w:tcW w:w="6420" w:type="dxa"/>
            <w:vAlign w:val="bottom"/>
          </w:tcPr>
          <w:p>
            <w:pPr>
              <w:spacing w:after="0"/>
              <w:rPr>
                <w:sz w:val="20"/>
                <w:szCs w:val="20"/>
                <w:color w:val="auto"/>
              </w:rPr>
            </w:pPr>
            <w:r>
              <w:rPr>
                <w:rFonts w:ascii="Arial Narrow" w:cs="Arial Narrow" w:eastAsia="Arial Narrow" w:hAnsi="Arial Narrow"/>
                <w:sz w:val="20"/>
                <w:szCs w:val="20"/>
                <w:b w:val="1"/>
                <w:bCs w:val="1"/>
                <w:color w:val="00085E"/>
              </w:rPr>
              <w:t>Fuel and Coal</w:t>
            </w:r>
          </w:p>
        </w:tc>
        <w:tc>
          <w:tcPr>
            <w:tcW w:w="380" w:type="dxa"/>
            <w:vAlign w:val="bottom"/>
          </w:tcPr>
          <w:p>
            <w:pPr>
              <w:spacing w:after="0"/>
              <w:rPr>
                <w:sz w:val="24"/>
                <w:szCs w:val="24"/>
                <w:color w:val="auto"/>
              </w:rPr>
            </w:pPr>
          </w:p>
        </w:tc>
        <w:tc>
          <w:tcPr>
            <w:tcW w:w="1020" w:type="dxa"/>
            <w:vAlign w:val="bottom"/>
          </w:tcPr>
          <w:p>
            <w:pPr>
              <w:jc w:val="right"/>
              <w:ind w:right="24"/>
              <w:spacing w:after="0"/>
              <w:rPr>
                <w:sz w:val="20"/>
                <w:szCs w:val="20"/>
                <w:color w:val="auto"/>
              </w:rPr>
            </w:pPr>
            <w:r>
              <w:rPr>
                <w:rFonts w:ascii="Arial Narrow" w:cs="Arial Narrow" w:eastAsia="Arial Narrow" w:hAnsi="Arial Narrow"/>
                <w:sz w:val="20"/>
                <w:szCs w:val="20"/>
                <w:color w:val="auto"/>
              </w:rPr>
              <w:t>19,602</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jc w:val="right"/>
              <w:ind w:right="1"/>
              <w:spacing w:after="0"/>
              <w:rPr>
                <w:sz w:val="20"/>
                <w:szCs w:val="20"/>
                <w:color w:val="auto"/>
              </w:rPr>
            </w:pPr>
            <w:r>
              <w:rPr>
                <w:rFonts w:ascii="Arial Narrow" w:cs="Arial Narrow" w:eastAsia="Arial Narrow" w:hAnsi="Arial Narrow"/>
                <w:sz w:val="20"/>
                <w:szCs w:val="20"/>
                <w:color w:val="auto"/>
              </w:rPr>
              <w:t>24,595</w:t>
            </w:r>
          </w:p>
        </w:tc>
      </w:tr>
      <w:tr>
        <w:trPr>
          <w:trHeight w:val="90"/>
        </w:trPr>
        <w:tc>
          <w:tcPr>
            <w:tcW w:w="6420" w:type="dxa"/>
            <w:vAlign w:val="bottom"/>
            <w:tcBorders>
              <w:bottom w:val="single" w:sz="8" w:color="A6A6A6"/>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r>
      <w:tr>
        <w:trPr>
          <w:trHeight w:val="344"/>
        </w:trPr>
        <w:tc>
          <w:tcPr>
            <w:tcW w:w="6420" w:type="dxa"/>
            <w:vAlign w:val="bottom"/>
          </w:tcPr>
          <w:p>
            <w:pPr>
              <w:spacing w:after="0"/>
              <w:rPr>
                <w:sz w:val="24"/>
                <w:szCs w:val="24"/>
                <w:color w:val="auto"/>
              </w:rPr>
            </w:pPr>
          </w:p>
        </w:tc>
        <w:tc>
          <w:tcPr>
            <w:tcW w:w="380" w:type="dxa"/>
            <w:vAlign w:val="bottom"/>
          </w:tcPr>
          <w:p>
            <w:pPr>
              <w:jc w:val="right"/>
              <w:ind w:right="210"/>
              <w:spacing w:after="0"/>
              <w:rPr>
                <w:sz w:val="20"/>
                <w:szCs w:val="20"/>
                <w:color w:val="auto"/>
              </w:rPr>
            </w:pPr>
            <w:r>
              <w:rPr>
                <w:rFonts w:ascii="Arial Narrow" w:cs="Arial Narrow" w:eastAsia="Arial Narrow" w:hAnsi="Arial Narrow"/>
                <w:sz w:val="18"/>
                <w:szCs w:val="18"/>
                <w:b w:val="1"/>
                <w:bCs w:val="1"/>
                <w:color w:val="auto"/>
                <w:w w:val="72"/>
              </w:rPr>
              <w:t>$</w:t>
            </w:r>
          </w:p>
        </w:tc>
        <w:tc>
          <w:tcPr>
            <w:tcW w:w="1020" w:type="dxa"/>
            <w:vAlign w:val="bottom"/>
          </w:tcPr>
          <w:p>
            <w:pPr>
              <w:jc w:val="right"/>
              <w:ind w:right="24"/>
              <w:spacing w:after="0"/>
              <w:rPr>
                <w:sz w:val="20"/>
                <w:szCs w:val="20"/>
                <w:color w:val="auto"/>
              </w:rPr>
            </w:pPr>
            <w:r>
              <w:rPr>
                <w:rFonts w:ascii="Arial Narrow" w:cs="Arial Narrow" w:eastAsia="Arial Narrow" w:hAnsi="Arial Narrow"/>
                <w:sz w:val="20"/>
                <w:szCs w:val="20"/>
                <w:b w:val="1"/>
                <w:bCs w:val="1"/>
                <w:color w:val="auto"/>
              </w:rPr>
              <w:t>408,391</w:t>
            </w:r>
          </w:p>
        </w:tc>
        <w:tc>
          <w:tcPr>
            <w:tcW w:w="740" w:type="dxa"/>
            <w:vAlign w:val="bottom"/>
            <w:gridSpan w:val="2"/>
          </w:tcPr>
          <w:p>
            <w:pPr>
              <w:jc w:val="right"/>
              <w:ind w:right="500"/>
              <w:spacing w:after="0"/>
              <w:rPr>
                <w:sz w:val="20"/>
                <w:szCs w:val="20"/>
                <w:color w:val="auto"/>
              </w:rPr>
            </w:pPr>
            <w:r>
              <w:rPr>
                <w:rFonts w:ascii="Arial Narrow" w:cs="Arial Narrow" w:eastAsia="Arial Narrow" w:hAnsi="Arial Narrow"/>
                <w:sz w:val="20"/>
                <w:szCs w:val="20"/>
                <w:b w:val="1"/>
                <w:bCs w:val="1"/>
                <w:color w:val="auto"/>
              </w:rPr>
              <w:t>$</w:t>
            </w:r>
          </w:p>
        </w:tc>
        <w:tc>
          <w:tcPr>
            <w:tcW w:w="800" w:type="dxa"/>
            <w:vAlign w:val="bottom"/>
          </w:tcPr>
          <w:p>
            <w:pPr>
              <w:jc w:val="right"/>
              <w:ind w:right="1"/>
              <w:spacing w:after="0"/>
              <w:rPr>
                <w:sz w:val="20"/>
                <w:szCs w:val="20"/>
                <w:color w:val="auto"/>
              </w:rPr>
            </w:pPr>
            <w:r>
              <w:rPr>
                <w:rFonts w:ascii="Arial Narrow" w:cs="Arial Narrow" w:eastAsia="Arial Narrow" w:hAnsi="Arial Narrow"/>
                <w:sz w:val="20"/>
                <w:szCs w:val="20"/>
                <w:b w:val="1"/>
                <w:bCs w:val="1"/>
                <w:color w:val="auto"/>
              </w:rPr>
              <w:t>415,175</w:t>
            </w:r>
          </w:p>
        </w:tc>
      </w:tr>
      <w:tr>
        <w:trPr>
          <w:trHeight w:val="65"/>
        </w:trPr>
        <w:tc>
          <w:tcPr>
            <w:tcW w:w="642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r>
      <w:tr>
        <w:trPr>
          <w:trHeight w:val="20"/>
        </w:trPr>
        <w:tc>
          <w:tcPr>
            <w:tcW w:w="64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085E"/>
        </w:rPr>
        <w:t>Property, Plant, and Equipment</w:t>
      </w:r>
    </w:p>
    <w:p>
      <w:pPr>
        <w:spacing w:after="0" w:line="161" w:lineRule="exact"/>
        <w:rPr>
          <w:sz w:val="20"/>
          <w:szCs w:val="20"/>
          <w:color w:val="auto"/>
        </w:rPr>
      </w:pPr>
    </w:p>
    <w:p>
      <w:pPr>
        <w:ind w:right="40"/>
        <w:spacing w:after="0" w:line="288" w:lineRule="auto"/>
        <w:rPr>
          <w:sz w:val="20"/>
          <w:szCs w:val="20"/>
          <w:color w:val="auto"/>
        </w:rPr>
      </w:pPr>
      <w:r>
        <w:rPr>
          <w:rFonts w:ascii="Arial" w:cs="Arial" w:eastAsia="Arial" w:hAnsi="Arial"/>
          <w:sz w:val="20"/>
          <w:szCs w:val="20"/>
          <w:color w:val="auto"/>
        </w:rPr>
        <w:t>Property, Plant, and Equipment are stated at cost. Major renewals and improvements are capitalized and depreciated. Annual maintenance is expensed as incurred. Depreciation is provided on a straight-line basis over the estimated useful lives of depreciable assets and totaled $149.5 million, $147.6 million, and $139.5 million, for the fiscal years ended March 31, 2026, 2025, and 2024, respectively. Raw material deposits are depleted as such deposits are extracted for production utilizing the units-of-production method. Costs and accumulated depreciation applicable to assets retired or sold are eliminated from the accounts, and any resulting gains or losses are recognized at such time. The estimated useful lives of the related assets are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343"/>
        </w:trPr>
        <w:tc>
          <w:tcPr>
            <w:tcW w:w="5180" w:type="dxa"/>
            <w:vAlign w:val="bottom"/>
            <w:tcBorders>
              <w:top w:val="single" w:sz="8" w:color="auto"/>
            </w:tcBorders>
          </w:tcPr>
          <w:p>
            <w:pPr>
              <w:spacing w:after="0"/>
              <w:rPr>
                <w:sz w:val="20"/>
                <w:szCs w:val="20"/>
                <w:color w:val="auto"/>
              </w:rPr>
            </w:pPr>
            <w:r>
              <w:rPr>
                <w:rFonts w:ascii="Arial Narrow" w:cs="Arial Narrow" w:eastAsia="Arial Narrow" w:hAnsi="Arial Narrow"/>
                <w:sz w:val="20"/>
                <w:szCs w:val="20"/>
                <w:b w:val="1"/>
                <w:bCs w:val="1"/>
                <w:color w:val="00085E"/>
              </w:rPr>
              <w:t>Plants</w:t>
            </w:r>
          </w:p>
        </w:tc>
        <w:tc>
          <w:tcPr>
            <w:tcW w:w="4180" w:type="dxa"/>
            <w:vAlign w:val="bottom"/>
            <w:tcBorders>
              <w:top w:val="single" w:sz="8" w:color="auto"/>
            </w:tcBorders>
          </w:tcPr>
          <w:p>
            <w:pPr>
              <w:jc w:val="right"/>
              <w:spacing w:after="0"/>
              <w:rPr>
                <w:sz w:val="20"/>
                <w:szCs w:val="20"/>
                <w:color w:val="auto"/>
              </w:rPr>
            </w:pPr>
            <w:r>
              <w:rPr>
                <w:rFonts w:ascii="Arial Narrow" w:cs="Arial Narrow" w:eastAsia="Arial Narrow" w:hAnsi="Arial Narrow"/>
                <w:sz w:val="20"/>
                <w:szCs w:val="20"/>
                <w:color w:val="auto"/>
              </w:rPr>
              <w:t>20 to 30 years</w:t>
            </w:r>
          </w:p>
        </w:tc>
      </w:tr>
      <w:tr>
        <w:trPr>
          <w:trHeight w:val="65"/>
        </w:trPr>
        <w:tc>
          <w:tcPr>
            <w:tcW w:w="5180" w:type="dxa"/>
            <w:vAlign w:val="bottom"/>
            <w:tcBorders>
              <w:bottom w:val="single" w:sz="8" w:color="A6A6A6"/>
            </w:tcBorders>
          </w:tcPr>
          <w:p>
            <w:pPr>
              <w:spacing w:after="0"/>
              <w:rPr>
                <w:sz w:val="5"/>
                <w:szCs w:val="5"/>
                <w:color w:val="auto"/>
              </w:rPr>
            </w:pPr>
          </w:p>
        </w:tc>
        <w:tc>
          <w:tcPr>
            <w:tcW w:w="4180" w:type="dxa"/>
            <w:vAlign w:val="bottom"/>
            <w:tcBorders>
              <w:bottom w:val="single" w:sz="8" w:color="A6A6A6"/>
            </w:tcBorders>
          </w:tcPr>
          <w:p>
            <w:pPr>
              <w:spacing w:after="0"/>
              <w:rPr>
                <w:sz w:val="5"/>
                <w:szCs w:val="5"/>
                <w:color w:val="auto"/>
              </w:rPr>
            </w:pPr>
          </w:p>
        </w:tc>
      </w:tr>
      <w:tr>
        <w:trPr>
          <w:trHeight w:val="339"/>
        </w:trPr>
        <w:tc>
          <w:tcPr>
            <w:tcW w:w="5180" w:type="dxa"/>
            <w:vAlign w:val="bottom"/>
          </w:tcPr>
          <w:p>
            <w:pPr>
              <w:spacing w:after="0"/>
              <w:rPr>
                <w:sz w:val="20"/>
                <w:szCs w:val="20"/>
                <w:color w:val="auto"/>
              </w:rPr>
            </w:pPr>
            <w:r>
              <w:rPr>
                <w:rFonts w:ascii="Arial Narrow" w:cs="Arial Narrow" w:eastAsia="Arial Narrow" w:hAnsi="Arial Narrow"/>
                <w:sz w:val="20"/>
                <w:szCs w:val="20"/>
                <w:b w:val="1"/>
                <w:bCs w:val="1"/>
                <w:color w:val="00085E"/>
              </w:rPr>
              <w:t>Buildings</w:t>
            </w:r>
          </w:p>
        </w:tc>
        <w:tc>
          <w:tcPr>
            <w:tcW w:w="4180" w:type="dxa"/>
            <w:vAlign w:val="bottom"/>
          </w:tcPr>
          <w:p>
            <w:pPr>
              <w:jc w:val="right"/>
              <w:spacing w:after="0"/>
              <w:rPr>
                <w:sz w:val="20"/>
                <w:szCs w:val="20"/>
                <w:color w:val="auto"/>
              </w:rPr>
            </w:pPr>
            <w:r>
              <w:rPr>
                <w:rFonts w:ascii="Arial Narrow" w:cs="Arial Narrow" w:eastAsia="Arial Narrow" w:hAnsi="Arial Narrow"/>
                <w:sz w:val="20"/>
                <w:szCs w:val="20"/>
                <w:color w:val="auto"/>
              </w:rPr>
              <w:t>20 to 40 years</w:t>
            </w:r>
          </w:p>
        </w:tc>
      </w:tr>
      <w:tr>
        <w:trPr>
          <w:trHeight w:val="65"/>
        </w:trPr>
        <w:tc>
          <w:tcPr>
            <w:tcW w:w="5180" w:type="dxa"/>
            <w:vAlign w:val="bottom"/>
            <w:tcBorders>
              <w:bottom w:val="single" w:sz="8" w:color="A6A6A6"/>
            </w:tcBorders>
          </w:tcPr>
          <w:p>
            <w:pPr>
              <w:spacing w:after="0"/>
              <w:rPr>
                <w:sz w:val="5"/>
                <w:szCs w:val="5"/>
                <w:color w:val="auto"/>
              </w:rPr>
            </w:pPr>
          </w:p>
        </w:tc>
        <w:tc>
          <w:tcPr>
            <w:tcW w:w="4180" w:type="dxa"/>
            <w:vAlign w:val="bottom"/>
            <w:tcBorders>
              <w:bottom w:val="single" w:sz="8" w:color="A6A6A6"/>
            </w:tcBorders>
          </w:tcPr>
          <w:p>
            <w:pPr>
              <w:spacing w:after="0"/>
              <w:rPr>
                <w:sz w:val="5"/>
                <w:szCs w:val="5"/>
                <w:color w:val="auto"/>
              </w:rPr>
            </w:pPr>
          </w:p>
        </w:tc>
      </w:tr>
      <w:tr>
        <w:trPr>
          <w:trHeight w:val="339"/>
        </w:trPr>
        <w:tc>
          <w:tcPr>
            <w:tcW w:w="5180" w:type="dxa"/>
            <w:vAlign w:val="bottom"/>
          </w:tcPr>
          <w:p>
            <w:pPr>
              <w:spacing w:after="0"/>
              <w:rPr>
                <w:sz w:val="20"/>
                <w:szCs w:val="20"/>
                <w:color w:val="auto"/>
              </w:rPr>
            </w:pPr>
            <w:r>
              <w:rPr>
                <w:rFonts w:ascii="Arial Narrow" w:cs="Arial Narrow" w:eastAsia="Arial Narrow" w:hAnsi="Arial Narrow"/>
                <w:sz w:val="20"/>
                <w:szCs w:val="20"/>
                <w:b w:val="1"/>
                <w:bCs w:val="1"/>
                <w:color w:val="00085E"/>
              </w:rPr>
              <w:t>Machinery and Equipment</w:t>
            </w:r>
          </w:p>
        </w:tc>
        <w:tc>
          <w:tcPr>
            <w:tcW w:w="4180" w:type="dxa"/>
            <w:vAlign w:val="bottom"/>
          </w:tcPr>
          <w:p>
            <w:pPr>
              <w:jc w:val="right"/>
              <w:spacing w:after="0"/>
              <w:rPr>
                <w:sz w:val="20"/>
                <w:szCs w:val="20"/>
                <w:color w:val="auto"/>
              </w:rPr>
            </w:pPr>
            <w:r>
              <w:rPr>
                <w:rFonts w:ascii="Arial Narrow" w:cs="Arial Narrow" w:eastAsia="Arial Narrow" w:hAnsi="Arial Narrow"/>
                <w:sz w:val="20"/>
                <w:szCs w:val="20"/>
                <w:color w:val="auto"/>
              </w:rPr>
              <w:t>3 to 25 years</w:t>
            </w:r>
          </w:p>
        </w:tc>
      </w:tr>
      <w:tr>
        <w:trPr>
          <w:trHeight w:val="65"/>
        </w:trPr>
        <w:tc>
          <w:tcPr>
            <w:tcW w:w="5180" w:type="dxa"/>
            <w:vAlign w:val="bottom"/>
            <w:tcBorders>
              <w:bottom w:val="single" w:sz="8" w:color="A6A6A6"/>
            </w:tcBorders>
          </w:tcPr>
          <w:p>
            <w:pPr>
              <w:spacing w:after="0"/>
              <w:rPr>
                <w:sz w:val="5"/>
                <w:szCs w:val="5"/>
                <w:color w:val="auto"/>
              </w:rPr>
            </w:pPr>
          </w:p>
        </w:tc>
        <w:tc>
          <w:tcPr>
            <w:tcW w:w="4180" w:type="dxa"/>
            <w:vAlign w:val="bottom"/>
            <w:tcBorders>
              <w:bottom w:val="single" w:sz="8" w:color="A6A6A6"/>
            </w:tcBorders>
          </w:tcPr>
          <w:p>
            <w:pPr>
              <w:spacing w:after="0"/>
              <w:rPr>
                <w:sz w:val="5"/>
                <w:szCs w:val="5"/>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20"/>
          <w:szCs w:val="20"/>
          <w:color w:val="auto"/>
        </w:rPr>
        <w:t>Maintenance and repair expenses are included in each segment’s costs and expenses. We incurred</w:t>
      </w:r>
    </w:p>
    <w:p>
      <w:pPr>
        <w:spacing w:after="0" w:line="40" w:lineRule="exact"/>
        <w:rPr>
          <w:sz w:val="20"/>
          <w:szCs w:val="20"/>
          <w:color w:val="auto"/>
        </w:rPr>
      </w:pPr>
    </w:p>
    <w:p>
      <w:pPr>
        <w:ind w:right="160"/>
        <w:spacing w:after="0" w:line="303" w:lineRule="auto"/>
        <w:rPr>
          <w:sz w:val="20"/>
          <w:szCs w:val="20"/>
          <w:color w:val="auto"/>
        </w:rPr>
      </w:pPr>
      <w:r>
        <w:rPr>
          <w:rFonts w:ascii="Arial" w:cs="Arial" w:eastAsia="Arial" w:hAnsi="Arial"/>
          <w:sz w:val="20"/>
          <w:szCs w:val="20"/>
          <w:color w:val="auto"/>
        </w:rPr>
        <w:t>$244.2 million, $248.4 million, and $220.1 million of maintenance and repair expenses in the fiscal years ended March 31, 2026, 2025, and 2024, respectively, which is included in Cost of Goods Sold on the Consolidated Statement of Earnings.</w:t>
      </w:r>
    </w:p>
    <w:p>
      <w:pPr>
        <w:sectPr>
          <w:pgSz w:w="11880" w:h="15480" w:orient="portrait"/>
          <w:cols w:equalWidth="0" w:num="1">
            <w:col w:w="9360"/>
          </w:cols>
          <w:pgMar w:left="1260" w:top="1243"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77</w:t>
      </w:r>
    </w:p>
    <w:p>
      <w:pPr>
        <w:sectPr>
          <w:pgSz w:w="11880" w:h="15480" w:orient="portrait"/>
          <w:cols w:equalWidth="0" w:num="1">
            <w:col w:w="9360"/>
          </w:cols>
          <w:pgMar w:left="1260" w:top="1243" w:right="1260" w:bottom="0" w:gutter="0" w:footer="0" w:header="0"/>
          <w:type w:val="continuous"/>
        </w:sectPr>
      </w:pPr>
    </w:p>
    <w:bookmarkStart w:id="85" w:name="page86"/>
    <w:bookmarkEnd w:id="85"/>
    <w:p>
      <w:pPr>
        <w:spacing w:after="0"/>
        <w:rPr>
          <w:sz w:val="20"/>
          <w:szCs w:val="20"/>
          <w:color w:val="auto"/>
        </w:rPr>
      </w:pPr>
      <w:r>
        <w:rPr>
          <w:rFonts w:ascii="Arial" w:cs="Arial" w:eastAsia="Arial" w:hAnsi="Arial"/>
          <w:sz w:val="22"/>
          <w:szCs w:val="22"/>
          <w:b w:val="1"/>
          <w:bCs w:val="1"/>
          <w:u w:val="single" w:color="auto"/>
          <w:color w:val="00085E"/>
        </w:rPr>
        <w:t>Goodwill and Intangible Assets</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00085E"/>
        </w:rPr>
        <w:t>GOODWILL</w:t>
      </w:r>
    </w:p>
    <w:p>
      <w:pPr>
        <w:spacing w:after="0" w:line="163" w:lineRule="exact"/>
        <w:rPr>
          <w:sz w:val="20"/>
          <w:szCs w:val="20"/>
          <w:color w:val="auto"/>
        </w:rPr>
      </w:pPr>
    </w:p>
    <w:p>
      <w:pPr>
        <w:jc w:val="both"/>
        <w:ind w:right="20"/>
        <w:spacing w:after="0" w:line="303" w:lineRule="auto"/>
        <w:rPr>
          <w:sz w:val="20"/>
          <w:szCs w:val="20"/>
          <w:color w:val="auto"/>
        </w:rPr>
      </w:pPr>
      <w:r>
        <w:rPr>
          <w:rFonts w:ascii="Arial" w:cs="Arial" w:eastAsia="Arial" w:hAnsi="Arial"/>
          <w:sz w:val="20"/>
          <w:szCs w:val="20"/>
          <w:color w:val="auto"/>
        </w:rPr>
        <w:t>We annually assess Goodwill in the fourth quarter of our fiscal year, or more frequently when indicators of impairment exist. Impairment testing for Goodwill is done at the reporting unit, which is consistent with the reportable segment.</w:t>
      </w:r>
    </w:p>
    <w:p>
      <w:pPr>
        <w:spacing w:after="0" w:line="59" w:lineRule="exact"/>
        <w:rPr>
          <w:sz w:val="20"/>
          <w:szCs w:val="20"/>
          <w:color w:val="auto"/>
        </w:rPr>
      </w:pPr>
    </w:p>
    <w:p>
      <w:pPr>
        <w:spacing w:after="0" w:line="286" w:lineRule="auto"/>
        <w:rPr>
          <w:sz w:val="20"/>
          <w:szCs w:val="20"/>
          <w:color w:val="auto"/>
        </w:rPr>
      </w:pPr>
      <w:r>
        <w:rPr>
          <w:rFonts w:ascii="Arial" w:cs="Arial" w:eastAsia="Arial" w:hAnsi="Arial"/>
          <w:sz w:val="20"/>
          <w:szCs w:val="20"/>
          <w:color w:val="auto"/>
        </w:rPr>
        <w:t>Goodwill is considered impaired if the carrying value of the reporting unit exceeds its fair value. Prior to performing the Step 1 quantitative test, we may, at our discretion, perform an optional qualitative analysis, or we may choose to proceed directly to the Step 1 quantitative test. The qualitative analysis considers the impact of the following events and circumstances on the reporting unit being tested: macroeconomic conditions, industry and market considerations, cost factors, overall financial performance, and other relevant entity-specific events. If, as a result of this qualitative analysis, we conclude that it is more likely than not (a likelihood of greater than 50%) that the fair value of the reporting unit exceeds its carrying value, then an impairment does not exist, and the Step 1 quantitative test is not required. If we are unable to conclude that it is more likely than not that the fair value of the reporting unit exceeds its carrying value, then we proceed to the Step 1 quantitative test.</w:t>
      </w:r>
    </w:p>
    <w:p>
      <w:pPr>
        <w:spacing w:after="0" w:line="79" w:lineRule="exact"/>
        <w:rPr>
          <w:sz w:val="20"/>
          <w:szCs w:val="20"/>
          <w:color w:val="auto"/>
        </w:rPr>
      </w:pPr>
    </w:p>
    <w:p>
      <w:pPr>
        <w:ind w:right="120"/>
        <w:spacing w:after="0" w:line="290" w:lineRule="auto"/>
        <w:rPr>
          <w:sz w:val="20"/>
          <w:szCs w:val="20"/>
          <w:color w:val="auto"/>
        </w:rPr>
      </w:pPr>
      <w:r>
        <w:rPr>
          <w:rFonts w:ascii="Arial" w:cs="Arial" w:eastAsia="Arial" w:hAnsi="Arial"/>
          <w:sz w:val="20"/>
          <w:szCs w:val="20"/>
          <w:color w:val="auto"/>
        </w:rPr>
        <w:t>Step 1 of the quantitative test for impairment compares the fair value of the reporting unit to its carrying value. If the carrying value exceeds the fair value, then an impairment is indicated. If facts and circumstances related to our business change in subsequent years, we may choose to perform a quantitative analysis in those future years. If we perform a Step 1 quantitative test and the carrying value of the reporting unit exceeds its fair value, then an impairment charge equal to the difference, not to exceed the total amount of Goodwill, is recorded.</w:t>
      </w:r>
    </w:p>
    <w:p>
      <w:pPr>
        <w:spacing w:after="0" w:line="73" w:lineRule="exact"/>
        <w:rPr>
          <w:sz w:val="20"/>
          <w:szCs w:val="20"/>
          <w:color w:val="auto"/>
        </w:rPr>
      </w:pPr>
    </w:p>
    <w:p>
      <w:pPr>
        <w:spacing w:after="0" w:line="292" w:lineRule="auto"/>
        <w:rPr>
          <w:sz w:val="20"/>
          <w:szCs w:val="20"/>
          <w:color w:val="auto"/>
        </w:rPr>
      </w:pPr>
      <w:r>
        <w:rPr>
          <w:rFonts w:ascii="Arial" w:cs="Arial" w:eastAsia="Arial" w:hAnsi="Arial"/>
          <w:sz w:val="20"/>
          <w:szCs w:val="20"/>
          <w:color w:val="auto"/>
        </w:rPr>
        <w:t>The fair values of the reporting units are estimated by using both the market and income approaches. The market approach considers market factors and certain multiples in comparison to similar companies, while the income approach uses discounted cash flows to determine the estimated fair values of the reporting units. We also perform an overall comparison of all reporting units to our market capitalization to test the reasonableness of our fair value calculations.</w:t>
      </w:r>
    </w:p>
    <w:p>
      <w:pPr>
        <w:spacing w:after="0" w:line="71" w:lineRule="exact"/>
        <w:rPr>
          <w:sz w:val="20"/>
          <w:szCs w:val="20"/>
          <w:color w:val="auto"/>
        </w:rPr>
      </w:pPr>
    </w:p>
    <w:p>
      <w:pPr>
        <w:ind w:right="60"/>
        <w:spacing w:after="0" w:line="287" w:lineRule="auto"/>
        <w:rPr>
          <w:sz w:val="20"/>
          <w:szCs w:val="20"/>
          <w:color w:val="auto"/>
        </w:rPr>
      </w:pPr>
      <w:r>
        <w:rPr>
          <w:rFonts w:ascii="Arial" w:cs="Arial" w:eastAsia="Arial" w:hAnsi="Arial"/>
          <w:sz w:val="20"/>
          <w:szCs w:val="20"/>
          <w:color w:val="auto"/>
        </w:rPr>
        <w:t>We performed qualitative assessments on all our reporting units in the fourth quarter of fiscal 2026. As a result of these qualitative assessments, we determined it was not more likely than not that an impairment existed; therefore, we did not perform a Step 1 quantitative test in fiscal 2026. We performed a step 1 quantitative test on all our reporting units with Goodwill during the fourth quarter of fiscal 2024. We estimated the fair value of the reporting units using a discounted cash flow model as well as a market analysis. Key assumptions in the model included estimated average net sales prices, sales volumes, and the estimated weighted-average cost of capital specific to each industry. Based on the results of the Step 1 quantitative analysis, we concluded that the fair values of the reporting units substantially exceeded their carrying values, and therefore no impairment was recognized.</w:t>
      </w:r>
    </w:p>
    <w:p>
      <w:pPr>
        <w:sectPr>
          <w:pgSz w:w="11880" w:h="15480" w:orient="portrait"/>
          <w:cols w:equalWidth="0" w:num="1">
            <w:col w:w="9340"/>
          </w:cols>
          <w:pgMar w:left="1260" w:top="1243"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78</w:t>
      </w:r>
    </w:p>
    <w:p>
      <w:pPr>
        <w:sectPr>
          <w:pgSz w:w="11880" w:h="15480" w:orient="portrait"/>
          <w:cols w:equalWidth="0" w:num="1">
            <w:col w:w="9340"/>
          </w:cols>
          <w:pgMar w:left="1260" w:top="1243" w:right="1280" w:bottom="0" w:gutter="0" w:footer="0" w:header="0"/>
          <w:type w:val="continuous"/>
        </w:sectPr>
      </w:pPr>
    </w:p>
    <w:bookmarkStart w:id="86" w:name="page87"/>
    <w:bookmarkEnd w:id="86"/>
    <w:p>
      <w:pPr>
        <w:spacing w:after="0"/>
        <w:rPr>
          <w:sz w:val="20"/>
          <w:szCs w:val="20"/>
          <w:color w:val="auto"/>
        </w:rPr>
      </w:pPr>
      <w:r>
        <w:rPr>
          <w:rFonts w:ascii="Arial" w:cs="Arial" w:eastAsia="Arial" w:hAnsi="Arial"/>
          <w:sz w:val="20"/>
          <w:szCs w:val="20"/>
          <w:b w:val="1"/>
          <w:bCs w:val="1"/>
          <w:color w:val="00085E"/>
        </w:rPr>
        <w:t>GOODWILL AND INTANGIBLE ASSETS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color w:val="auto"/>
        </w:rPr>
        <w:t>Goodwill and Intangible Assets at March 31, 2026, and 2025, consist of the following.</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3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60" w:type="dxa"/>
            <w:vAlign w:val="bottom"/>
            <w:gridSpan w:val="4"/>
          </w:tcPr>
          <w:p>
            <w:pPr>
              <w:jc w:val="center"/>
              <w:spacing w:after="0"/>
              <w:rPr>
                <w:sz w:val="20"/>
                <w:szCs w:val="20"/>
                <w:color w:val="auto"/>
              </w:rPr>
            </w:pPr>
            <w:r>
              <w:rPr>
                <w:rFonts w:ascii="Arial Narrow" w:cs="Arial Narrow" w:eastAsia="Arial Narrow" w:hAnsi="Arial Narrow"/>
                <w:sz w:val="18"/>
                <w:szCs w:val="18"/>
                <w:b w:val="1"/>
                <w:bCs w:val="1"/>
                <w:color w:val="auto"/>
              </w:rPr>
              <w:t>March 31, 2026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1"/>
        </w:trPr>
        <w:tc>
          <w:tcPr>
            <w:tcW w:w="3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2"/>
        </w:trPr>
        <w:tc>
          <w:tcPr>
            <w:tcW w:w="3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gridSpan w:val="2"/>
          </w:tcPr>
          <w:p>
            <w:pPr>
              <w:spacing w:after="0"/>
              <w:rPr>
                <w:sz w:val="20"/>
                <w:szCs w:val="20"/>
                <w:color w:val="auto"/>
              </w:rPr>
            </w:pPr>
            <w:r>
              <w:rPr>
                <w:rFonts w:ascii="Arial Narrow" w:cs="Arial Narrow" w:eastAsia="Arial Narrow" w:hAnsi="Arial Narrow"/>
                <w:sz w:val="18"/>
                <w:szCs w:val="18"/>
                <w:b w:val="1"/>
                <w:bCs w:val="1"/>
                <w:color w:val="auto"/>
                <w:w w:val="99"/>
              </w:rPr>
              <w:t>Amortization</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center"/>
              <w:ind w:right="83"/>
              <w:spacing w:after="0"/>
              <w:rPr>
                <w:sz w:val="20"/>
                <w:szCs w:val="20"/>
                <w:color w:val="auto"/>
              </w:rPr>
            </w:pPr>
            <w:r>
              <w:rPr>
                <w:rFonts w:ascii="Arial Narrow" w:cs="Arial Narrow" w:eastAsia="Arial Narrow" w:hAnsi="Arial Narrow"/>
                <w:sz w:val="18"/>
                <w:szCs w:val="18"/>
                <w:b w:val="1"/>
                <w:bCs w:val="1"/>
                <w:color w:val="auto"/>
                <w:w w:val="99"/>
              </w:rPr>
              <w:t>Accumulated</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69"/>
        </w:trPr>
        <w:tc>
          <w:tcPr>
            <w:tcW w:w="3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20" w:type="dxa"/>
            <w:vAlign w:val="bottom"/>
            <w:tcBorders>
              <w:bottom w:val="single" w:sz="8" w:color="auto"/>
            </w:tcBorders>
            <w:gridSpan w:val="2"/>
          </w:tcPr>
          <w:p>
            <w:pPr>
              <w:spacing w:after="0"/>
              <w:rPr>
                <w:sz w:val="20"/>
                <w:szCs w:val="20"/>
                <w:color w:val="auto"/>
              </w:rPr>
            </w:pPr>
            <w:r>
              <w:rPr>
                <w:rFonts w:ascii="Arial Narrow" w:cs="Arial Narrow" w:eastAsia="Arial Narrow" w:hAnsi="Arial Narrow"/>
                <w:sz w:val="18"/>
                <w:szCs w:val="18"/>
                <w:b w:val="1"/>
                <w:bCs w:val="1"/>
                <w:color w:val="auto"/>
              </w:rPr>
              <w:t>Period</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82"/>
              <w:spacing w:after="0"/>
              <w:rPr>
                <w:sz w:val="20"/>
                <w:szCs w:val="20"/>
                <w:color w:val="auto"/>
              </w:rPr>
            </w:pPr>
            <w:r>
              <w:rPr>
                <w:rFonts w:ascii="Arial Narrow" w:cs="Arial Narrow" w:eastAsia="Arial Narrow" w:hAnsi="Arial Narrow"/>
                <w:sz w:val="18"/>
                <w:szCs w:val="18"/>
                <w:b w:val="1"/>
                <w:bCs w:val="1"/>
                <w:color w:val="auto"/>
              </w:rPr>
              <w:t>Cost</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80" w:type="dxa"/>
            <w:vAlign w:val="bottom"/>
            <w:tcBorders>
              <w:bottom w:val="single" w:sz="8" w:color="auto"/>
            </w:tcBorders>
            <w:gridSpan w:val="3"/>
          </w:tcPr>
          <w:p>
            <w:pPr>
              <w:ind w:left="60"/>
              <w:spacing w:after="0"/>
              <w:rPr>
                <w:sz w:val="20"/>
                <w:szCs w:val="20"/>
                <w:color w:val="auto"/>
              </w:rPr>
            </w:pPr>
            <w:r>
              <w:rPr>
                <w:rFonts w:ascii="Arial Narrow" w:cs="Arial Narrow" w:eastAsia="Arial Narrow" w:hAnsi="Arial Narrow"/>
                <w:sz w:val="18"/>
                <w:szCs w:val="18"/>
                <w:b w:val="1"/>
                <w:bCs w:val="1"/>
                <w:color w:val="auto"/>
              </w:rPr>
              <w:t>Adjustments</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center"/>
              <w:ind w:right="63"/>
              <w:spacing w:after="0"/>
              <w:rPr>
                <w:sz w:val="20"/>
                <w:szCs w:val="20"/>
                <w:color w:val="auto"/>
              </w:rPr>
            </w:pPr>
            <w:r>
              <w:rPr>
                <w:rFonts w:ascii="Arial Narrow" w:cs="Arial Narrow" w:eastAsia="Arial Narrow" w:hAnsi="Arial Narrow"/>
                <w:sz w:val="18"/>
                <w:szCs w:val="18"/>
                <w:b w:val="1"/>
                <w:bCs w:val="1"/>
                <w:color w:val="auto"/>
                <w:w w:val="99"/>
              </w:rPr>
              <w:t>Amortization</w:t>
            </w:r>
          </w:p>
        </w:tc>
        <w:tc>
          <w:tcPr>
            <w:tcW w:w="10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62"/>
              <w:spacing w:after="0"/>
              <w:rPr>
                <w:sz w:val="20"/>
                <w:szCs w:val="20"/>
                <w:color w:val="auto"/>
              </w:rPr>
            </w:pPr>
            <w:r>
              <w:rPr>
                <w:rFonts w:ascii="Arial Narrow" w:cs="Arial Narrow" w:eastAsia="Arial Narrow" w:hAnsi="Arial Narrow"/>
                <w:sz w:val="18"/>
                <w:szCs w:val="18"/>
                <w:b w:val="1"/>
                <w:bCs w:val="1"/>
                <w:color w:val="auto"/>
              </w:rPr>
              <w:t>Net</w:t>
            </w:r>
          </w:p>
        </w:tc>
      </w:tr>
      <w:tr>
        <w:trPr>
          <w:trHeight w:val="249"/>
        </w:trPr>
        <w:tc>
          <w:tcPr>
            <w:tcW w:w="3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80" w:type="dxa"/>
            <w:vAlign w:val="bottom"/>
            <w:gridSpan w:val="8"/>
          </w:tcPr>
          <w:p>
            <w:pPr>
              <w:jc w:val="center"/>
              <w:spacing w:after="0"/>
              <w:rPr>
                <w:sz w:val="20"/>
                <w:szCs w:val="20"/>
                <w:color w:val="auto"/>
              </w:rPr>
            </w:pPr>
            <w:r>
              <w:rPr>
                <w:rFonts w:ascii="Arial Narrow" w:cs="Arial Narrow" w:eastAsia="Arial Narrow" w:hAnsi="Arial Narrow"/>
                <w:sz w:val="16"/>
                <w:szCs w:val="16"/>
                <w:color w:val="auto"/>
              </w:rPr>
              <w:t>(dollars in thousands)</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48"/>
        </w:trPr>
        <w:tc>
          <w:tcPr>
            <w:tcW w:w="33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344"/>
        </w:trPr>
        <w:tc>
          <w:tcPr>
            <w:tcW w:w="3340" w:type="dxa"/>
            <w:vAlign w:val="bottom"/>
          </w:tcPr>
          <w:p>
            <w:pPr>
              <w:spacing w:after="0"/>
              <w:rPr>
                <w:sz w:val="20"/>
                <w:szCs w:val="20"/>
                <w:color w:val="auto"/>
              </w:rPr>
            </w:pPr>
            <w:r>
              <w:rPr>
                <w:rFonts w:ascii="Arial Narrow" w:cs="Arial Narrow" w:eastAsia="Arial Narrow" w:hAnsi="Arial Narrow"/>
                <w:sz w:val="20"/>
                <w:szCs w:val="20"/>
                <w:b w:val="1"/>
                <w:bCs w:val="1"/>
                <w:color w:val="00085E"/>
              </w:rPr>
              <w:t>Goodwill and Intangible Assets:</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65"/>
        </w:trPr>
        <w:tc>
          <w:tcPr>
            <w:tcW w:w="3340" w:type="dxa"/>
            <w:vAlign w:val="bottom"/>
            <w:tcBorders>
              <w:bottom w:val="single" w:sz="8" w:color="A6A6A6"/>
            </w:tcBorders>
          </w:tcPr>
          <w:p>
            <w:pPr>
              <w:spacing w:after="0"/>
              <w:rPr>
                <w:sz w:val="5"/>
                <w:szCs w:val="5"/>
                <w:color w:val="auto"/>
              </w:rPr>
            </w:pPr>
          </w:p>
        </w:tc>
        <w:tc>
          <w:tcPr>
            <w:tcW w:w="260" w:type="dxa"/>
            <w:vAlign w:val="bottom"/>
            <w:tcBorders>
              <w:bottom w:val="single" w:sz="8" w:color="A6A6A6"/>
            </w:tcBorders>
          </w:tcPr>
          <w:p>
            <w:pPr>
              <w:spacing w:after="0"/>
              <w:rPr>
                <w:sz w:val="5"/>
                <w:szCs w:val="5"/>
                <w:color w:val="auto"/>
              </w:rPr>
            </w:pPr>
          </w:p>
        </w:tc>
        <w:tc>
          <w:tcPr>
            <w:tcW w:w="20" w:type="dxa"/>
            <w:vAlign w:val="bottom"/>
            <w:tcBorders>
              <w:bottom w:val="single" w:sz="8" w:color="A6A6A6"/>
            </w:tcBorders>
          </w:tcPr>
          <w:p>
            <w:pPr>
              <w:spacing w:after="0"/>
              <w:rPr>
                <w:sz w:val="5"/>
                <w:szCs w:val="5"/>
                <w:color w:val="auto"/>
              </w:rPr>
            </w:pPr>
          </w:p>
        </w:tc>
        <w:tc>
          <w:tcPr>
            <w:tcW w:w="920" w:type="dxa"/>
            <w:vAlign w:val="bottom"/>
            <w:tcBorders>
              <w:bottom w:val="single" w:sz="8" w:color="A6A6A6"/>
            </w:tcBorders>
            <w:gridSpan w:val="2"/>
          </w:tcPr>
          <w:p>
            <w:pPr>
              <w:spacing w:after="0"/>
              <w:rPr>
                <w:sz w:val="5"/>
                <w:szCs w:val="5"/>
                <w:color w:val="auto"/>
              </w:rPr>
            </w:pPr>
          </w:p>
        </w:tc>
        <w:tc>
          <w:tcPr>
            <w:tcW w:w="280" w:type="dxa"/>
            <w:vAlign w:val="bottom"/>
            <w:tcBorders>
              <w:bottom w:val="single" w:sz="8" w:color="A6A6A6"/>
            </w:tcBorders>
            <w:gridSpan w:val="3"/>
          </w:tcPr>
          <w:p>
            <w:pPr>
              <w:spacing w:after="0"/>
              <w:rPr>
                <w:sz w:val="5"/>
                <w:szCs w:val="5"/>
                <w:color w:val="auto"/>
              </w:rPr>
            </w:pPr>
          </w:p>
        </w:tc>
        <w:tc>
          <w:tcPr>
            <w:tcW w:w="8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gridSpan w:val="2"/>
          </w:tcPr>
          <w:p>
            <w:pPr>
              <w:spacing w:after="0"/>
              <w:rPr>
                <w:sz w:val="5"/>
                <w:szCs w:val="5"/>
                <w:color w:val="auto"/>
              </w:rPr>
            </w:pPr>
          </w:p>
        </w:tc>
        <w:tc>
          <w:tcPr>
            <w:tcW w:w="980" w:type="dxa"/>
            <w:vAlign w:val="bottom"/>
            <w:tcBorders>
              <w:bottom w:val="single" w:sz="8" w:color="A6A6A6"/>
            </w:tcBorders>
          </w:tcPr>
          <w:p>
            <w:pPr>
              <w:spacing w:after="0"/>
              <w:rPr>
                <w:sz w:val="5"/>
                <w:szCs w:val="5"/>
                <w:color w:val="auto"/>
              </w:rPr>
            </w:pPr>
          </w:p>
        </w:tc>
        <w:tc>
          <w:tcPr>
            <w:tcW w:w="2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gridSpan w:val="2"/>
          </w:tcPr>
          <w:p>
            <w:pPr>
              <w:spacing w:after="0"/>
              <w:rPr>
                <w:sz w:val="5"/>
                <w:szCs w:val="5"/>
                <w:color w:val="auto"/>
              </w:rPr>
            </w:pPr>
          </w:p>
        </w:tc>
        <w:tc>
          <w:tcPr>
            <w:tcW w:w="114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940" w:type="dxa"/>
            <w:vAlign w:val="bottom"/>
            <w:tcBorders>
              <w:bottom w:val="single" w:sz="8" w:color="A6A6A6"/>
            </w:tcBorders>
          </w:tcPr>
          <w:p>
            <w:pPr>
              <w:spacing w:after="0"/>
              <w:rPr>
                <w:sz w:val="5"/>
                <w:szCs w:val="5"/>
                <w:color w:val="auto"/>
              </w:rPr>
            </w:pPr>
          </w:p>
        </w:tc>
      </w:tr>
      <w:tr>
        <w:trPr>
          <w:trHeight w:val="339"/>
        </w:trPr>
        <w:tc>
          <w:tcPr>
            <w:tcW w:w="3340" w:type="dxa"/>
            <w:vAlign w:val="bottom"/>
          </w:tcPr>
          <w:p>
            <w:pPr>
              <w:spacing w:after="0"/>
              <w:rPr>
                <w:sz w:val="20"/>
                <w:szCs w:val="20"/>
                <w:color w:val="auto"/>
              </w:rPr>
            </w:pPr>
            <w:r>
              <w:rPr>
                <w:rFonts w:ascii="Arial Narrow" w:cs="Arial Narrow" w:eastAsia="Arial Narrow" w:hAnsi="Arial Narrow"/>
                <w:sz w:val="20"/>
                <w:szCs w:val="20"/>
                <w:b w:val="1"/>
                <w:bCs w:val="1"/>
                <w:color w:val="00085E"/>
              </w:rPr>
              <w:t>Customer Contracts and Relationships</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gridSpan w:val="2"/>
          </w:tcPr>
          <w:p>
            <w:pPr>
              <w:spacing w:after="0"/>
              <w:rPr>
                <w:sz w:val="20"/>
                <w:szCs w:val="20"/>
                <w:color w:val="auto"/>
              </w:rPr>
            </w:pPr>
            <w:r>
              <w:rPr>
                <w:rFonts w:ascii="Arial Narrow" w:cs="Arial Narrow" w:eastAsia="Arial Narrow" w:hAnsi="Arial Narrow"/>
                <w:sz w:val="20"/>
                <w:szCs w:val="20"/>
                <w:color w:val="auto"/>
              </w:rPr>
              <w:t>15 years</w:t>
            </w:r>
          </w:p>
        </w:tc>
        <w:tc>
          <w:tcPr>
            <w:tcW w:w="280" w:type="dxa"/>
            <w:vAlign w:val="bottom"/>
            <w:gridSpan w:val="3"/>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880" w:type="dxa"/>
            <w:vAlign w:val="bottom"/>
          </w:tcPr>
          <w:p>
            <w:pPr>
              <w:jc w:val="right"/>
              <w:ind w:right="82"/>
              <w:spacing w:after="0"/>
              <w:rPr>
                <w:sz w:val="20"/>
                <w:szCs w:val="20"/>
                <w:color w:val="auto"/>
              </w:rPr>
            </w:pPr>
            <w:r>
              <w:rPr>
                <w:rFonts w:ascii="Arial Narrow" w:cs="Arial Narrow" w:eastAsia="Arial Narrow" w:hAnsi="Arial Narrow"/>
                <w:sz w:val="20"/>
                <w:szCs w:val="20"/>
                <w:color w:val="auto"/>
              </w:rPr>
              <w:t>197,503</w:t>
            </w:r>
          </w:p>
        </w:tc>
        <w:tc>
          <w:tcPr>
            <w:tcW w:w="200" w:type="dxa"/>
            <w:vAlign w:val="bottom"/>
            <w:gridSpan w:val="3"/>
          </w:tcPr>
          <w:p>
            <w:pPr>
              <w:jc w:val="right"/>
              <w:spacing w:after="0"/>
              <w:rPr>
                <w:sz w:val="20"/>
                <w:szCs w:val="20"/>
                <w:color w:val="auto"/>
              </w:rPr>
            </w:pPr>
            <w:r>
              <w:rPr>
                <w:rFonts w:ascii="Arial Narrow" w:cs="Arial Narrow" w:eastAsia="Arial Narrow" w:hAnsi="Arial Narrow"/>
                <w:sz w:val="20"/>
                <w:szCs w:val="20"/>
                <w:color w:val="auto"/>
              </w:rPr>
              <w:t>$</w:t>
            </w:r>
          </w:p>
        </w:tc>
        <w:tc>
          <w:tcPr>
            <w:tcW w:w="980" w:type="dxa"/>
            <w:vAlign w:val="bottom"/>
          </w:tcPr>
          <w:p>
            <w:pPr>
              <w:jc w:val="right"/>
              <w:ind w:right="21"/>
              <w:spacing w:after="0"/>
              <w:rPr>
                <w:sz w:val="20"/>
                <w:szCs w:val="20"/>
                <w:color w:val="auto"/>
              </w:rPr>
            </w:pPr>
            <w:r>
              <w:rPr>
                <w:rFonts w:ascii="Arial Narrow" w:cs="Arial Narrow" w:eastAsia="Arial Narrow" w:hAnsi="Arial Narrow"/>
                <w:sz w:val="20"/>
                <w:szCs w:val="20"/>
                <w:color w:val="auto"/>
              </w:rPr>
              <w:t>(810)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Arial Narrow" w:cs="Arial Narrow" w:eastAsia="Arial Narrow" w:hAnsi="Arial Narrow"/>
                <w:sz w:val="20"/>
                <w:szCs w:val="20"/>
                <w:color w:val="auto"/>
                <w:w w:val="87"/>
              </w:rPr>
              <w:t>$</w:t>
            </w:r>
          </w:p>
        </w:tc>
        <w:tc>
          <w:tcPr>
            <w:tcW w:w="1140" w:type="dxa"/>
            <w:vAlign w:val="bottom"/>
          </w:tcPr>
          <w:p>
            <w:pPr>
              <w:jc w:val="right"/>
              <w:ind w:right="23"/>
              <w:spacing w:after="0"/>
              <w:rPr>
                <w:sz w:val="20"/>
                <w:szCs w:val="20"/>
                <w:color w:val="auto"/>
              </w:rPr>
            </w:pPr>
            <w:r>
              <w:rPr>
                <w:rFonts w:ascii="Arial Narrow" w:cs="Arial Narrow" w:eastAsia="Arial Narrow" w:hAnsi="Arial Narrow"/>
                <w:sz w:val="20"/>
                <w:szCs w:val="20"/>
                <w:color w:val="auto"/>
              </w:rPr>
              <w:t>(98,712)</w:t>
            </w:r>
          </w:p>
        </w:tc>
        <w:tc>
          <w:tcPr>
            <w:tcW w:w="200" w:type="dxa"/>
            <w:vAlign w:val="bottom"/>
            <w:gridSpan w:val="2"/>
          </w:tcPr>
          <w:p>
            <w:pPr>
              <w:jc w:val="right"/>
              <w:spacing w:after="0"/>
              <w:rPr>
                <w:sz w:val="20"/>
                <w:szCs w:val="20"/>
                <w:color w:val="auto"/>
              </w:rPr>
            </w:pPr>
            <w:r>
              <w:rPr>
                <w:rFonts w:ascii="Arial Narrow" w:cs="Arial Narrow" w:eastAsia="Arial Narrow" w:hAnsi="Arial Narrow"/>
                <w:sz w:val="20"/>
                <w:szCs w:val="20"/>
                <w:color w:val="auto"/>
              </w:rPr>
              <w:t>$</w:t>
            </w:r>
          </w:p>
        </w:tc>
        <w:tc>
          <w:tcPr>
            <w:tcW w:w="940" w:type="dxa"/>
            <w:vAlign w:val="bottom"/>
          </w:tcPr>
          <w:p>
            <w:pPr>
              <w:jc w:val="right"/>
              <w:ind w:right="62"/>
              <w:spacing w:after="0"/>
              <w:rPr>
                <w:sz w:val="20"/>
                <w:szCs w:val="20"/>
                <w:color w:val="auto"/>
              </w:rPr>
            </w:pPr>
            <w:r>
              <w:rPr>
                <w:rFonts w:ascii="Arial Narrow" w:cs="Arial Narrow" w:eastAsia="Arial Narrow" w:hAnsi="Arial Narrow"/>
                <w:sz w:val="20"/>
                <w:szCs w:val="20"/>
                <w:color w:val="auto"/>
              </w:rPr>
              <w:t>97,981</w:t>
            </w:r>
          </w:p>
        </w:tc>
      </w:tr>
      <w:tr>
        <w:trPr>
          <w:trHeight w:val="65"/>
        </w:trPr>
        <w:tc>
          <w:tcPr>
            <w:tcW w:w="3340" w:type="dxa"/>
            <w:vAlign w:val="bottom"/>
            <w:tcBorders>
              <w:bottom w:val="single" w:sz="8" w:color="A6A6A6"/>
            </w:tcBorders>
          </w:tcPr>
          <w:p>
            <w:pPr>
              <w:spacing w:after="0"/>
              <w:rPr>
                <w:sz w:val="5"/>
                <w:szCs w:val="5"/>
                <w:color w:val="auto"/>
              </w:rPr>
            </w:pPr>
          </w:p>
        </w:tc>
        <w:tc>
          <w:tcPr>
            <w:tcW w:w="260" w:type="dxa"/>
            <w:vAlign w:val="bottom"/>
            <w:tcBorders>
              <w:bottom w:val="single" w:sz="8" w:color="A6A6A6"/>
            </w:tcBorders>
          </w:tcPr>
          <w:p>
            <w:pPr>
              <w:spacing w:after="0"/>
              <w:rPr>
                <w:sz w:val="5"/>
                <w:szCs w:val="5"/>
                <w:color w:val="auto"/>
              </w:rPr>
            </w:pPr>
          </w:p>
        </w:tc>
        <w:tc>
          <w:tcPr>
            <w:tcW w:w="20" w:type="dxa"/>
            <w:vAlign w:val="bottom"/>
            <w:tcBorders>
              <w:bottom w:val="single" w:sz="8" w:color="A6A6A6"/>
            </w:tcBorders>
          </w:tcPr>
          <w:p>
            <w:pPr>
              <w:spacing w:after="0"/>
              <w:rPr>
                <w:sz w:val="5"/>
                <w:szCs w:val="5"/>
                <w:color w:val="auto"/>
              </w:rPr>
            </w:pPr>
          </w:p>
        </w:tc>
        <w:tc>
          <w:tcPr>
            <w:tcW w:w="920" w:type="dxa"/>
            <w:vAlign w:val="bottom"/>
            <w:tcBorders>
              <w:bottom w:val="single" w:sz="8" w:color="A6A6A6"/>
            </w:tcBorders>
            <w:gridSpan w:val="2"/>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2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8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2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80" w:type="dxa"/>
            <w:vAlign w:val="bottom"/>
            <w:tcBorders>
              <w:bottom w:val="single" w:sz="8" w:color="A6A6A6"/>
            </w:tcBorders>
            <w:gridSpan w:val="3"/>
          </w:tcPr>
          <w:p>
            <w:pPr>
              <w:spacing w:after="0"/>
              <w:rPr>
                <w:sz w:val="5"/>
                <w:szCs w:val="5"/>
                <w:color w:val="auto"/>
              </w:rPr>
            </w:pPr>
          </w:p>
        </w:tc>
        <w:tc>
          <w:tcPr>
            <w:tcW w:w="2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14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940" w:type="dxa"/>
            <w:vAlign w:val="bottom"/>
            <w:tcBorders>
              <w:bottom w:val="single" w:sz="8" w:color="A6A6A6"/>
            </w:tcBorders>
          </w:tcPr>
          <w:p>
            <w:pPr>
              <w:spacing w:after="0"/>
              <w:rPr>
                <w:sz w:val="5"/>
                <w:szCs w:val="5"/>
                <w:color w:val="auto"/>
              </w:rPr>
            </w:pPr>
          </w:p>
        </w:tc>
      </w:tr>
      <w:tr>
        <w:trPr>
          <w:trHeight w:val="339"/>
        </w:trPr>
        <w:tc>
          <w:tcPr>
            <w:tcW w:w="3340" w:type="dxa"/>
            <w:vAlign w:val="bottom"/>
          </w:tcPr>
          <w:p>
            <w:pPr>
              <w:spacing w:after="0"/>
              <w:rPr>
                <w:sz w:val="20"/>
                <w:szCs w:val="20"/>
                <w:color w:val="auto"/>
              </w:rPr>
            </w:pPr>
            <w:r>
              <w:rPr>
                <w:rFonts w:ascii="Arial Narrow" w:cs="Arial Narrow" w:eastAsia="Arial Narrow" w:hAnsi="Arial Narrow"/>
                <w:sz w:val="20"/>
                <w:szCs w:val="20"/>
                <w:b w:val="1"/>
                <w:bCs w:val="1"/>
                <w:color w:val="00085E"/>
              </w:rPr>
              <w:t>Permits</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gridSpan w:val="2"/>
          </w:tcPr>
          <w:p>
            <w:pPr>
              <w:spacing w:after="0"/>
              <w:rPr>
                <w:sz w:val="20"/>
                <w:szCs w:val="20"/>
                <w:color w:val="auto"/>
              </w:rPr>
            </w:pPr>
            <w:r>
              <w:rPr>
                <w:rFonts w:ascii="Arial Narrow" w:cs="Arial Narrow" w:eastAsia="Arial Narrow" w:hAnsi="Arial Narrow"/>
                <w:sz w:val="20"/>
                <w:szCs w:val="20"/>
                <w:color w:val="auto"/>
              </w:rPr>
              <w:t>25-40 years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ind w:right="82"/>
              <w:spacing w:after="0"/>
              <w:rPr>
                <w:sz w:val="20"/>
                <w:szCs w:val="20"/>
                <w:color w:val="auto"/>
              </w:rPr>
            </w:pPr>
            <w:r>
              <w:rPr>
                <w:rFonts w:ascii="Arial Narrow" w:cs="Arial Narrow" w:eastAsia="Arial Narrow" w:hAnsi="Arial Narrow"/>
                <w:sz w:val="20"/>
                <w:szCs w:val="20"/>
                <w:color w:val="auto"/>
              </w:rPr>
              <w:t>30,760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3"/>
          </w:tcPr>
          <w:p>
            <w:pPr>
              <w:jc w:val="right"/>
              <w:ind w:right="300"/>
              <w:spacing w:after="0"/>
              <w:rPr>
                <w:sz w:val="20"/>
                <w:szCs w:val="20"/>
                <w:color w:val="auto"/>
              </w:rPr>
            </w:pPr>
            <w:r>
              <w:rPr>
                <w:rFonts w:ascii="Arial Narrow" w:cs="Arial Narrow" w:eastAsia="Arial Narrow" w:hAnsi="Arial Narrow"/>
                <w:sz w:val="20"/>
                <w:szCs w:val="20"/>
                <w:color w:val="auto"/>
              </w:rPr>
              <w: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jc w:val="right"/>
              <w:ind w:right="23"/>
              <w:spacing w:after="0"/>
              <w:rPr>
                <w:sz w:val="20"/>
                <w:szCs w:val="20"/>
                <w:color w:val="auto"/>
              </w:rPr>
            </w:pPr>
            <w:r>
              <w:rPr>
                <w:rFonts w:ascii="Arial Narrow" w:cs="Arial Narrow" w:eastAsia="Arial Narrow" w:hAnsi="Arial Narrow"/>
                <w:sz w:val="20"/>
                <w:szCs w:val="20"/>
                <w:color w:val="auto"/>
              </w:rPr>
              <w:t>(15,215)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ind w:right="62"/>
              <w:spacing w:after="0"/>
              <w:rPr>
                <w:sz w:val="20"/>
                <w:szCs w:val="20"/>
                <w:color w:val="auto"/>
              </w:rPr>
            </w:pPr>
            <w:r>
              <w:rPr>
                <w:rFonts w:ascii="Arial Narrow" w:cs="Arial Narrow" w:eastAsia="Arial Narrow" w:hAnsi="Arial Narrow"/>
                <w:sz w:val="20"/>
                <w:szCs w:val="20"/>
                <w:color w:val="auto"/>
              </w:rPr>
              <w:t>15,545</w:t>
            </w:r>
          </w:p>
        </w:tc>
      </w:tr>
      <w:tr>
        <w:trPr>
          <w:trHeight w:val="65"/>
        </w:trPr>
        <w:tc>
          <w:tcPr>
            <w:tcW w:w="3340" w:type="dxa"/>
            <w:vAlign w:val="bottom"/>
            <w:tcBorders>
              <w:bottom w:val="single" w:sz="8" w:color="A6A6A6"/>
            </w:tcBorders>
          </w:tcPr>
          <w:p>
            <w:pPr>
              <w:spacing w:after="0"/>
              <w:rPr>
                <w:sz w:val="5"/>
                <w:szCs w:val="5"/>
                <w:color w:val="auto"/>
              </w:rPr>
            </w:pPr>
          </w:p>
        </w:tc>
        <w:tc>
          <w:tcPr>
            <w:tcW w:w="260" w:type="dxa"/>
            <w:vAlign w:val="bottom"/>
            <w:tcBorders>
              <w:bottom w:val="single" w:sz="8" w:color="A6A6A6"/>
            </w:tcBorders>
          </w:tcPr>
          <w:p>
            <w:pPr>
              <w:spacing w:after="0"/>
              <w:rPr>
                <w:sz w:val="5"/>
                <w:szCs w:val="5"/>
                <w:color w:val="auto"/>
              </w:rPr>
            </w:pPr>
          </w:p>
        </w:tc>
        <w:tc>
          <w:tcPr>
            <w:tcW w:w="940" w:type="dxa"/>
            <w:vAlign w:val="bottom"/>
            <w:tcBorders>
              <w:bottom w:val="single" w:sz="8" w:color="A6A6A6"/>
            </w:tcBorders>
            <w:gridSpan w:val="3"/>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2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8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2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80" w:type="dxa"/>
            <w:vAlign w:val="bottom"/>
            <w:tcBorders>
              <w:bottom w:val="single" w:sz="8" w:color="A6A6A6"/>
            </w:tcBorders>
            <w:gridSpan w:val="3"/>
          </w:tcPr>
          <w:p>
            <w:pPr>
              <w:spacing w:after="0"/>
              <w:rPr>
                <w:sz w:val="5"/>
                <w:szCs w:val="5"/>
                <w:color w:val="auto"/>
              </w:rPr>
            </w:pPr>
          </w:p>
        </w:tc>
        <w:tc>
          <w:tcPr>
            <w:tcW w:w="2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14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940" w:type="dxa"/>
            <w:vAlign w:val="bottom"/>
            <w:tcBorders>
              <w:bottom w:val="single" w:sz="8" w:color="A6A6A6"/>
            </w:tcBorders>
          </w:tcPr>
          <w:p>
            <w:pPr>
              <w:spacing w:after="0"/>
              <w:rPr>
                <w:sz w:val="5"/>
                <w:szCs w:val="5"/>
                <w:color w:val="auto"/>
              </w:rPr>
            </w:pPr>
          </w:p>
        </w:tc>
      </w:tr>
      <w:tr>
        <w:trPr>
          <w:trHeight w:val="339"/>
        </w:trPr>
        <w:tc>
          <w:tcPr>
            <w:tcW w:w="3340" w:type="dxa"/>
            <w:vAlign w:val="bottom"/>
          </w:tcPr>
          <w:p>
            <w:pPr>
              <w:spacing w:after="0"/>
              <w:rPr>
                <w:sz w:val="20"/>
                <w:szCs w:val="20"/>
                <w:color w:val="auto"/>
              </w:rPr>
            </w:pPr>
            <w:r>
              <w:rPr>
                <w:rFonts w:ascii="Arial Narrow" w:cs="Arial Narrow" w:eastAsia="Arial Narrow" w:hAnsi="Arial Narrow"/>
                <w:sz w:val="20"/>
                <w:szCs w:val="20"/>
                <w:b w:val="1"/>
                <w:bCs w:val="1"/>
                <w:color w:val="00085E"/>
              </w:rPr>
              <w:t>Trade Name</w:t>
            </w:r>
          </w:p>
        </w:tc>
        <w:tc>
          <w:tcPr>
            <w:tcW w:w="260" w:type="dxa"/>
            <w:vAlign w:val="bottom"/>
          </w:tcPr>
          <w:p>
            <w:pPr>
              <w:spacing w:after="0"/>
              <w:rPr>
                <w:sz w:val="24"/>
                <w:szCs w:val="24"/>
                <w:color w:val="auto"/>
              </w:rPr>
            </w:pPr>
          </w:p>
        </w:tc>
        <w:tc>
          <w:tcPr>
            <w:tcW w:w="940" w:type="dxa"/>
            <w:vAlign w:val="bottom"/>
            <w:gridSpan w:val="3"/>
          </w:tcPr>
          <w:p>
            <w:pPr>
              <w:ind w:left="20"/>
              <w:spacing w:after="0"/>
              <w:rPr>
                <w:sz w:val="20"/>
                <w:szCs w:val="20"/>
                <w:color w:val="auto"/>
              </w:rPr>
            </w:pPr>
            <w:r>
              <w:rPr>
                <w:rFonts w:ascii="Arial Narrow" w:cs="Arial Narrow" w:eastAsia="Arial Narrow" w:hAnsi="Arial Narrow"/>
                <w:sz w:val="20"/>
                <w:szCs w:val="20"/>
                <w:color w:val="auto"/>
              </w:rPr>
              <w:t>15 years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ind w:right="82"/>
              <w:spacing w:after="0"/>
              <w:rPr>
                <w:sz w:val="20"/>
                <w:szCs w:val="20"/>
                <w:color w:val="auto"/>
              </w:rPr>
            </w:pPr>
            <w:r>
              <w:rPr>
                <w:rFonts w:ascii="Arial Narrow" w:cs="Arial Narrow" w:eastAsia="Arial Narrow" w:hAnsi="Arial Narrow"/>
                <w:sz w:val="20"/>
                <w:szCs w:val="20"/>
                <w:color w:val="auto"/>
              </w:rPr>
              <w:t>2,400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3"/>
          </w:tcPr>
          <w:p>
            <w:pPr>
              <w:jc w:val="right"/>
              <w:ind w:right="300"/>
              <w:spacing w:after="0"/>
              <w:rPr>
                <w:sz w:val="20"/>
                <w:szCs w:val="20"/>
                <w:color w:val="auto"/>
              </w:rPr>
            </w:pPr>
            <w:r>
              <w:rPr>
                <w:rFonts w:ascii="Arial Narrow" w:cs="Arial Narrow" w:eastAsia="Arial Narrow" w:hAnsi="Arial Narrow"/>
                <w:sz w:val="20"/>
                <w:szCs w:val="20"/>
                <w:color w:val="auto"/>
              </w:rPr>
              <w: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jc w:val="right"/>
              <w:ind w:right="23"/>
              <w:spacing w:after="0"/>
              <w:rPr>
                <w:sz w:val="20"/>
                <w:szCs w:val="20"/>
                <w:color w:val="auto"/>
              </w:rPr>
            </w:pPr>
            <w:r>
              <w:rPr>
                <w:rFonts w:ascii="Arial Narrow" w:cs="Arial Narrow" w:eastAsia="Arial Narrow" w:hAnsi="Arial Narrow"/>
                <w:sz w:val="20"/>
                <w:szCs w:val="20"/>
                <w:color w:val="auto"/>
              </w:rPr>
              <w:t>(1,156)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ind w:right="62"/>
              <w:spacing w:after="0"/>
              <w:rPr>
                <w:sz w:val="20"/>
                <w:szCs w:val="20"/>
                <w:color w:val="auto"/>
              </w:rPr>
            </w:pPr>
            <w:r>
              <w:rPr>
                <w:rFonts w:ascii="Arial Narrow" w:cs="Arial Narrow" w:eastAsia="Arial Narrow" w:hAnsi="Arial Narrow"/>
                <w:sz w:val="20"/>
                <w:szCs w:val="20"/>
                <w:color w:val="auto"/>
              </w:rPr>
              <w:t>1,244</w:t>
            </w:r>
          </w:p>
        </w:tc>
      </w:tr>
      <w:tr>
        <w:trPr>
          <w:trHeight w:val="65"/>
        </w:trPr>
        <w:tc>
          <w:tcPr>
            <w:tcW w:w="3340" w:type="dxa"/>
            <w:vAlign w:val="bottom"/>
            <w:tcBorders>
              <w:bottom w:val="single" w:sz="8" w:color="A6A6A6"/>
            </w:tcBorders>
          </w:tcPr>
          <w:p>
            <w:pPr>
              <w:spacing w:after="0"/>
              <w:rPr>
                <w:sz w:val="5"/>
                <w:szCs w:val="5"/>
                <w:color w:val="auto"/>
              </w:rPr>
            </w:pPr>
          </w:p>
        </w:tc>
        <w:tc>
          <w:tcPr>
            <w:tcW w:w="260" w:type="dxa"/>
            <w:vAlign w:val="bottom"/>
            <w:tcBorders>
              <w:bottom w:val="single" w:sz="8" w:color="A6A6A6"/>
            </w:tcBorders>
          </w:tcPr>
          <w:p>
            <w:pPr>
              <w:spacing w:after="0"/>
              <w:rPr>
                <w:sz w:val="5"/>
                <w:szCs w:val="5"/>
                <w:color w:val="auto"/>
              </w:rPr>
            </w:pPr>
          </w:p>
        </w:tc>
        <w:tc>
          <w:tcPr>
            <w:tcW w:w="20" w:type="dxa"/>
            <w:vAlign w:val="bottom"/>
            <w:tcBorders>
              <w:bottom w:val="single" w:sz="8" w:color="A6A6A6"/>
            </w:tcBorders>
          </w:tcPr>
          <w:p>
            <w:pPr>
              <w:spacing w:after="0"/>
              <w:rPr>
                <w:sz w:val="5"/>
                <w:szCs w:val="5"/>
                <w:color w:val="auto"/>
              </w:rPr>
            </w:pPr>
          </w:p>
        </w:tc>
        <w:tc>
          <w:tcPr>
            <w:tcW w:w="900" w:type="dxa"/>
            <w:vAlign w:val="bottom"/>
            <w:tcBorders>
              <w:bottom w:val="single" w:sz="8" w:color="A6A6A6"/>
            </w:tcBorders>
          </w:tcPr>
          <w:p>
            <w:pPr>
              <w:spacing w:after="0"/>
              <w:rPr>
                <w:sz w:val="5"/>
                <w:szCs w:val="5"/>
                <w:color w:val="auto"/>
              </w:rPr>
            </w:pPr>
          </w:p>
        </w:tc>
        <w:tc>
          <w:tcPr>
            <w:tcW w:w="2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2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8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2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980" w:type="dxa"/>
            <w:vAlign w:val="bottom"/>
            <w:tcBorders>
              <w:bottom w:val="single" w:sz="8" w:color="A6A6A6"/>
            </w:tcBorders>
          </w:tcPr>
          <w:p>
            <w:pPr>
              <w:spacing w:after="0"/>
              <w:rPr>
                <w:sz w:val="5"/>
                <w:szCs w:val="5"/>
                <w:color w:val="auto"/>
              </w:rPr>
            </w:pPr>
          </w:p>
        </w:tc>
        <w:tc>
          <w:tcPr>
            <w:tcW w:w="2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2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14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940" w:type="dxa"/>
            <w:vAlign w:val="bottom"/>
            <w:tcBorders>
              <w:bottom w:val="single" w:sz="8" w:color="A6A6A6"/>
            </w:tcBorders>
          </w:tcPr>
          <w:p>
            <w:pPr>
              <w:spacing w:after="0"/>
              <w:rPr>
                <w:sz w:val="5"/>
                <w:szCs w:val="5"/>
                <w:color w:val="auto"/>
              </w:rPr>
            </w:pPr>
          </w:p>
        </w:tc>
      </w:tr>
      <w:tr>
        <w:trPr>
          <w:trHeight w:val="339"/>
        </w:trPr>
        <w:tc>
          <w:tcPr>
            <w:tcW w:w="3340" w:type="dxa"/>
            <w:vAlign w:val="bottom"/>
          </w:tcPr>
          <w:p>
            <w:pPr>
              <w:spacing w:after="0"/>
              <w:rPr>
                <w:sz w:val="20"/>
                <w:szCs w:val="20"/>
                <w:color w:val="auto"/>
              </w:rPr>
            </w:pPr>
            <w:r>
              <w:rPr>
                <w:rFonts w:ascii="Arial Narrow" w:cs="Arial Narrow" w:eastAsia="Arial Narrow" w:hAnsi="Arial Narrow"/>
                <w:sz w:val="20"/>
                <w:szCs w:val="20"/>
                <w:b w:val="1"/>
                <w:bCs w:val="1"/>
                <w:color w:val="00085E"/>
              </w:rPr>
              <w:t>Goodwill</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ind w:right="82"/>
              <w:spacing w:after="0"/>
              <w:rPr>
                <w:sz w:val="20"/>
                <w:szCs w:val="20"/>
                <w:color w:val="auto"/>
              </w:rPr>
            </w:pPr>
            <w:r>
              <w:rPr>
                <w:rFonts w:ascii="Arial Narrow" w:cs="Arial Narrow" w:eastAsia="Arial Narrow" w:hAnsi="Arial Narrow"/>
                <w:sz w:val="20"/>
                <w:szCs w:val="20"/>
                <w:color w:val="auto"/>
              </w:rPr>
              <w:t>469,894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jc w:val="right"/>
              <w:ind w:right="101"/>
              <w:spacing w:after="0"/>
              <w:rPr>
                <w:sz w:val="20"/>
                <w:szCs w:val="20"/>
                <w:color w:val="auto"/>
              </w:rPr>
            </w:pPr>
            <w:r>
              <w:rPr>
                <w:rFonts w:ascii="Arial Narrow" w:cs="Arial Narrow" w:eastAsia="Arial Narrow" w:hAnsi="Arial Narrow"/>
                <w:sz w:val="20"/>
                <w:szCs w:val="20"/>
                <w:color w:val="auto"/>
              </w:rPr>
              <w:t>779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jc w:val="right"/>
              <w:ind w:right="103"/>
              <w:spacing w:after="0"/>
              <w:rPr>
                <w:sz w:val="20"/>
                <w:szCs w:val="20"/>
                <w:color w:val="auto"/>
              </w:rPr>
            </w:pPr>
            <w:r>
              <w:rPr>
                <w:rFonts w:ascii="Arial Narrow" w:cs="Arial Narrow" w:eastAsia="Arial Narrow" w:hAnsi="Arial Narrow"/>
                <w:sz w:val="20"/>
                <w:szCs w:val="20"/>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ind w:right="62"/>
              <w:spacing w:after="0"/>
              <w:rPr>
                <w:sz w:val="20"/>
                <w:szCs w:val="20"/>
                <w:color w:val="auto"/>
              </w:rPr>
            </w:pPr>
            <w:r>
              <w:rPr>
                <w:rFonts w:ascii="Arial Narrow" w:cs="Arial Narrow" w:eastAsia="Arial Narrow" w:hAnsi="Arial Narrow"/>
                <w:sz w:val="20"/>
                <w:szCs w:val="20"/>
                <w:color w:val="auto"/>
              </w:rPr>
              <w:t>470,673</w:t>
            </w:r>
          </w:p>
        </w:tc>
      </w:tr>
      <w:tr>
        <w:trPr>
          <w:trHeight w:val="90"/>
        </w:trPr>
        <w:tc>
          <w:tcPr>
            <w:tcW w:w="3340" w:type="dxa"/>
            <w:vAlign w:val="bottom"/>
            <w:tcBorders>
              <w:bottom w:val="single" w:sz="8" w:color="A6A6A6"/>
            </w:tcBorders>
          </w:tcPr>
          <w:p>
            <w:pPr>
              <w:spacing w:after="0"/>
              <w:rPr>
                <w:sz w:val="7"/>
                <w:szCs w:val="7"/>
                <w:color w:val="auto"/>
              </w:rPr>
            </w:pPr>
          </w:p>
        </w:tc>
        <w:tc>
          <w:tcPr>
            <w:tcW w:w="260" w:type="dxa"/>
            <w:vAlign w:val="bottom"/>
            <w:tcBorders>
              <w:bottom w:val="single" w:sz="8" w:color="A6A6A6"/>
            </w:tcBorders>
          </w:tcPr>
          <w:p>
            <w:pPr>
              <w:spacing w:after="0"/>
              <w:rPr>
                <w:sz w:val="7"/>
                <w:szCs w:val="7"/>
                <w:color w:val="auto"/>
              </w:rPr>
            </w:pPr>
          </w:p>
        </w:tc>
        <w:tc>
          <w:tcPr>
            <w:tcW w:w="20" w:type="dxa"/>
            <w:vAlign w:val="bottom"/>
            <w:tcBorders>
              <w:bottom w:val="single" w:sz="8" w:color="A6A6A6"/>
            </w:tcBorders>
          </w:tcPr>
          <w:p>
            <w:pPr>
              <w:spacing w:after="0"/>
              <w:rPr>
                <w:sz w:val="7"/>
                <w:szCs w:val="7"/>
                <w:color w:val="auto"/>
              </w:rPr>
            </w:pPr>
          </w:p>
        </w:tc>
        <w:tc>
          <w:tcPr>
            <w:tcW w:w="900" w:type="dxa"/>
            <w:vAlign w:val="bottom"/>
            <w:tcBorders>
              <w:bottom w:val="single" w:sz="8" w:color="A6A6A6"/>
            </w:tcBorders>
          </w:tcPr>
          <w:p>
            <w:pPr>
              <w:spacing w:after="0"/>
              <w:rPr>
                <w:sz w:val="7"/>
                <w:szCs w:val="7"/>
                <w:color w:val="auto"/>
              </w:rPr>
            </w:pPr>
          </w:p>
        </w:tc>
        <w:tc>
          <w:tcPr>
            <w:tcW w:w="20" w:type="dxa"/>
            <w:vAlign w:val="bottom"/>
            <w:tcBorders>
              <w:bottom w:val="single" w:sz="8" w:color="A6A6A6"/>
            </w:tcBorders>
          </w:tcPr>
          <w:p>
            <w:pPr>
              <w:spacing w:after="0"/>
              <w:rPr>
                <w:sz w:val="7"/>
                <w:szCs w:val="7"/>
                <w:color w:val="auto"/>
              </w:rPr>
            </w:pPr>
          </w:p>
        </w:tc>
        <w:tc>
          <w:tcPr>
            <w:tcW w:w="80" w:type="dxa"/>
            <w:vAlign w:val="bottom"/>
            <w:tcBorders>
              <w:bottom w:val="single" w:sz="8" w:color="A6A6A6"/>
            </w:tcBorders>
          </w:tcPr>
          <w:p>
            <w:pPr>
              <w:spacing w:after="0"/>
              <w:rPr>
                <w:sz w:val="7"/>
                <w:szCs w:val="7"/>
                <w:color w:val="auto"/>
              </w:rPr>
            </w:pPr>
          </w:p>
        </w:tc>
        <w:tc>
          <w:tcPr>
            <w:tcW w:w="20" w:type="dxa"/>
            <w:vAlign w:val="bottom"/>
            <w:tcBorders>
              <w:bottom w:val="single" w:sz="8" w:color="A6A6A6"/>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r>
      <w:tr>
        <w:trPr>
          <w:trHeight w:val="344"/>
        </w:trPr>
        <w:tc>
          <w:tcPr>
            <w:tcW w:w="3340" w:type="dxa"/>
            <w:vAlign w:val="bottom"/>
          </w:tcPr>
          <w:p>
            <w:pPr>
              <w:ind w:left="200"/>
              <w:spacing w:after="0"/>
              <w:rPr>
                <w:sz w:val="20"/>
                <w:szCs w:val="20"/>
                <w:color w:val="auto"/>
              </w:rPr>
            </w:pPr>
            <w:r>
              <w:rPr>
                <w:rFonts w:ascii="Arial Narrow" w:cs="Arial Narrow" w:eastAsia="Arial Narrow" w:hAnsi="Arial Narrow"/>
                <w:sz w:val="20"/>
                <w:szCs w:val="20"/>
                <w:b w:val="1"/>
                <w:bCs w:val="1"/>
                <w:color w:val="auto"/>
              </w:rPr>
              <w:t>Total Goodwill and Intangible Assets</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gridSpan w:val="3"/>
          </w:tcPr>
          <w:p>
            <w:pPr>
              <w:jc w:val="right"/>
              <w:ind w:right="80"/>
              <w:spacing w:after="0"/>
              <w:rPr>
                <w:sz w:val="20"/>
                <w:szCs w:val="20"/>
                <w:color w:val="auto"/>
              </w:rPr>
            </w:pPr>
            <w:r>
              <w:rPr>
                <w:rFonts w:ascii="Arial Narrow" w:cs="Arial Narrow" w:eastAsia="Arial Narrow" w:hAnsi="Arial Narrow"/>
                <w:sz w:val="20"/>
                <w:szCs w:val="20"/>
                <w:b w:val="1"/>
                <w:bCs w:val="1"/>
                <w:color w:val="auto"/>
              </w:rPr>
              <w:t>$</w:t>
            </w:r>
          </w:p>
        </w:tc>
        <w:tc>
          <w:tcPr>
            <w:tcW w:w="880" w:type="dxa"/>
            <w:vAlign w:val="bottom"/>
          </w:tcPr>
          <w:p>
            <w:pPr>
              <w:jc w:val="right"/>
              <w:ind w:right="82"/>
              <w:spacing w:after="0"/>
              <w:rPr>
                <w:sz w:val="20"/>
                <w:szCs w:val="20"/>
                <w:color w:val="auto"/>
              </w:rPr>
            </w:pPr>
            <w:r>
              <w:rPr>
                <w:rFonts w:ascii="Arial Narrow" w:cs="Arial Narrow" w:eastAsia="Arial Narrow" w:hAnsi="Arial Narrow"/>
                <w:sz w:val="20"/>
                <w:szCs w:val="20"/>
                <w:b w:val="1"/>
                <w:bCs w:val="1"/>
                <w:color w:val="auto"/>
              </w:rPr>
              <w:t>700,557</w:t>
            </w:r>
          </w:p>
        </w:tc>
        <w:tc>
          <w:tcPr>
            <w:tcW w:w="200" w:type="dxa"/>
            <w:vAlign w:val="bottom"/>
            <w:gridSpan w:val="3"/>
          </w:tcPr>
          <w:p>
            <w:pPr>
              <w:jc w:val="right"/>
              <w:spacing w:after="0"/>
              <w:rPr>
                <w:sz w:val="20"/>
                <w:szCs w:val="20"/>
                <w:color w:val="auto"/>
              </w:rPr>
            </w:pPr>
            <w:r>
              <w:rPr>
                <w:rFonts w:ascii="Arial Narrow" w:cs="Arial Narrow" w:eastAsia="Arial Narrow" w:hAnsi="Arial Narrow"/>
                <w:sz w:val="20"/>
                <w:szCs w:val="20"/>
                <w:b w:val="1"/>
                <w:bCs w:val="1"/>
                <w:color w:val="auto"/>
              </w:rPr>
              <w:t>$</w:t>
            </w:r>
          </w:p>
        </w:tc>
        <w:tc>
          <w:tcPr>
            <w:tcW w:w="980" w:type="dxa"/>
            <w:vAlign w:val="bottom"/>
          </w:tcPr>
          <w:p>
            <w:pPr>
              <w:jc w:val="right"/>
              <w:ind w:right="21"/>
              <w:spacing w:after="0"/>
              <w:rPr>
                <w:sz w:val="20"/>
                <w:szCs w:val="20"/>
                <w:color w:val="auto"/>
              </w:rPr>
            </w:pPr>
            <w:r>
              <w:rPr>
                <w:rFonts w:ascii="Arial Narrow" w:cs="Arial Narrow" w:eastAsia="Arial Narrow" w:hAnsi="Arial Narrow"/>
                <w:sz w:val="20"/>
                <w:szCs w:val="20"/>
                <w:b w:val="1"/>
                <w:bCs w:val="1"/>
                <w:color w:val="auto"/>
              </w:rPr>
              <w:t>(31)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Arial Narrow" w:cs="Arial Narrow" w:eastAsia="Arial Narrow" w:hAnsi="Arial Narrow"/>
                <w:sz w:val="20"/>
                <w:szCs w:val="20"/>
                <w:b w:val="1"/>
                <w:bCs w:val="1"/>
                <w:color w:val="auto"/>
                <w:w w:val="87"/>
              </w:rPr>
              <w:t>$</w:t>
            </w:r>
          </w:p>
        </w:tc>
        <w:tc>
          <w:tcPr>
            <w:tcW w:w="1140" w:type="dxa"/>
            <w:vAlign w:val="bottom"/>
          </w:tcPr>
          <w:p>
            <w:pPr>
              <w:jc w:val="right"/>
              <w:ind w:right="23"/>
              <w:spacing w:after="0"/>
              <w:rPr>
                <w:sz w:val="20"/>
                <w:szCs w:val="20"/>
                <w:color w:val="auto"/>
              </w:rPr>
            </w:pPr>
            <w:r>
              <w:rPr>
                <w:rFonts w:ascii="Arial Narrow" w:cs="Arial Narrow" w:eastAsia="Arial Narrow" w:hAnsi="Arial Narrow"/>
                <w:sz w:val="20"/>
                <w:szCs w:val="20"/>
                <w:b w:val="1"/>
                <w:bCs w:val="1"/>
                <w:color w:val="auto"/>
              </w:rPr>
              <w:t>(115,083)</w:t>
            </w:r>
          </w:p>
        </w:tc>
        <w:tc>
          <w:tcPr>
            <w:tcW w:w="200" w:type="dxa"/>
            <w:vAlign w:val="bottom"/>
            <w:gridSpan w:val="2"/>
          </w:tcPr>
          <w:p>
            <w:pPr>
              <w:jc w:val="right"/>
              <w:spacing w:after="0"/>
              <w:rPr>
                <w:sz w:val="20"/>
                <w:szCs w:val="20"/>
                <w:color w:val="auto"/>
              </w:rPr>
            </w:pPr>
            <w:r>
              <w:rPr>
                <w:rFonts w:ascii="Arial Narrow" w:cs="Arial Narrow" w:eastAsia="Arial Narrow" w:hAnsi="Arial Narrow"/>
                <w:sz w:val="20"/>
                <w:szCs w:val="20"/>
                <w:b w:val="1"/>
                <w:bCs w:val="1"/>
                <w:color w:val="auto"/>
              </w:rPr>
              <w:t>$</w:t>
            </w:r>
          </w:p>
        </w:tc>
        <w:tc>
          <w:tcPr>
            <w:tcW w:w="940" w:type="dxa"/>
            <w:vAlign w:val="bottom"/>
          </w:tcPr>
          <w:p>
            <w:pPr>
              <w:jc w:val="right"/>
              <w:ind w:right="62"/>
              <w:spacing w:after="0"/>
              <w:rPr>
                <w:sz w:val="20"/>
                <w:szCs w:val="20"/>
                <w:color w:val="auto"/>
              </w:rPr>
            </w:pPr>
            <w:r>
              <w:rPr>
                <w:rFonts w:ascii="Arial Narrow" w:cs="Arial Narrow" w:eastAsia="Arial Narrow" w:hAnsi="Arial Narrow"/>
                <w:sz w:val="20"/>
                <w:szCs w:val="20"/>
                <w:b w:val="1"/>
                <w:bCs w:val="1"/>
                <w:color w:val="auto"/>
              </w:rPr>
              <w:t>585,443</w:t>
            </w:r>
          </w:p>
        </w:tc>
      </w:tr>
      <w:tr>
        <w:trPr>
          <w:trHeight w:val="65"/>
        </w:trPr>
        <w:tc>
          <w:tcPr>
            <w:tcW w:w="3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gridSpan w:val="4"/>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r>
      <w:tr>
        <w:trPr>
          <w:trHeight w:val="20"/>
        </w:trPr>
        <w:tc>
          <w:tcPr>
            <w:tcW w:w="3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529"/>
        </w:trPr>
        <w:tc>
          <w:tcPr>
            <w:tcW w:w="3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gridSpan w:val="4"/>
          </w:tcPr>
          <w:p>
            <w:pPr>
              <w:jc w:val="center"/>
              <w:spacing w:after="0"/>
              <w:rPr>
                <w:sz w:val="20"/>
                <w:szCs w:val="20"/>
                <w:color w:val="auto"/>
              </w:rPr>
            </w:pPr>
            <w:r>
              <w:rPr>
                <w:rFonts w:ascii="Arial Narrow" w:cs="Arial Narrow" w:eastAsia="Arial Narrow" w:hAnsi="Arial Narrow"/>
                <w:sz w:val="18"/>
                <w:szCs w:val="18"/>
                <w:b w:val="1"/>
                <w:bCs w:val="1"/>
                <w:color w:val="auto"/>
                <w:w w:val="98"/>
              </w:rPr>
              <w:t>March 31, 2025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
        </w:trPr>
        <w:tc>
          <w:tcPr>
            <w:tcW w:w="3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2"/>
        </w:trPr>
        <w:tc>
          <w:tcPr>
            <w:tcW w:w="3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3"/>
          </w:tcPr>
          <w:p>
            <w:pPr>
              <w:spacing w:after="0"/>
              <w:rPr>
                <w:sz w:val="20"/>
                <w:szCs w:val="20"/>
                <w:color w:val="auto"/>
              </w:rPr>
            </w:pPr>
            <w:r>
              <w:rPr>
                <w:rFonts w:ascii="Arial Narrow" w:cs="Arial Narrow" w:eastAsia="Arial Narrow" w:hAnsi="Arial Narrow"/>
                <w:sz w:val="18"/>
                <w:szCs w:val="18"/>
                <w:b w:val="1"/>
                <w:bCs w:val="1"/>
                <w:color w:val="auto"/>
              </w:rPr>
              <w:t>Amortization</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center"/>
              <w:ind w:right="103"/>
              <w:spacing w:after="0"/>
              <w:rPr>
                <w:sz w:val="20"/>
                <w:szCs w:val="20"/>
                <w:color w:val="auto"/>
              </w:rPr>
            </w:pPr>
            <w:r>
              <w:rPr>
                <w:rFonts w:ascii="Arial Narrow" w:cs="Arial Narrow" w:eastAsia="Arial Narrow" w:hAnsi="Arial Narrow"/>
                <w:sz w:val="18"/>
                <w:szCs w:val="18"/>
                <w:b w:val="1"/>
                <w:bCs w:val="1"/>
                <w:color w:val="auto"/>
              </w:rPr>
              <w:t>Accumulated</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54"/>
        </w:trPr>
        <w:tc>
          <w:tcPr>
            <w:tcW w:w="3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gridSpan w:val="3"/>
          </w:tcPr>
          <w:p>
            <w:pPr>
              <w:spacing w:after="0"/>
              <w:rPr>
                <w:sz w:val="20"/>
                <w:szCs w:val="20"/>
                <w:color w:val="auto"/>
              </w:rPr>
            </w:pPr>
            <w:r>
              <w:rPr>
                <w:rFonts w:ascii="Arial Narrow" w:cs="Arial Narrow" w:eastAsia="Arial Narrow" w:hAnsi="Arial Narrow"/>
                <w:sz w:val="18"/>
                <w:szCs w:val="18"/>
                <w:b w:val="1"/>
                <w:bCs w:val="1"/>
                <w:color w:val="auto"/>
              </w:rPr>
              <w:t>Period</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ind w:right="102"/>
              <w:spacing w:after="0"/>
              <w:rPr>
                <w:sz w:val="20"/>
                <w:szCs w:val="20"/>
                <w:color w:val="auto"/>
              </w:rPr>
            </w:pPr>
            <w:r>
              <w:rPr>
                <w:rFonts w:ascii="Arial Narrow" w:cs="Arial Narrow" w:eastAsia="Arial Narrow" w:hAnsi="Arial Narrow"/>
                <w:sz w:val="18"/>
                <w:szCs w:val="18"/>
                <w:b w:val="1"/>
                <w:bCs w:val="1"/>
                <w:color w:val="auto"/>
              </w:rPr>
              <w:t>Cost</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gridSpan w:val="3"/>
          </w:tcPr>
          <w:p>
            <w:pPr>
              <w:ind w:left="100"/>
              <w:spacing w:after="0"/>
              <w:rPr>
                <w:sz w:val="20"/>
                <w:szCs w:val="20"/>
                <w:color w:val="auto"/>
              </w:rPr>
            </w:pPr>
            <w:r>
              <w:rPr>
                <w:rFonts w:ascii="Arial Narrow" w:cs="Arial Narrow" w:eastAsia="Arial Narrow" w:hAnsi="Arial Narrow"/>
                <w:sz w:val="18"/>
                <w:szCs w:val="18"/>
                <w:b w:val="1"/>
                <w:bCs w:val="1"/>
                <w:color w:val="auto"/>
              </w:rPr>
              <w:t>Additions</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40" w:type="dxa"/>
            <w:vAlign w:val="bottom"/>
          </w:tcPr>
          <w:p>
            <w:pPr>
              <w:jc w:val="center"/>
              <w:ind w:right="63"/>
              <w:spacing w:after="0"/>
              <w:rPr>
                <w:sz w:val="20"/>
                <w:szCs w:val="20"/>
                <w:color w:val="auto"/>
              </w:rPr>
            </w:pPr>
            <w:r>
              <w:rPr>
                <w:rFonts w:ascii="Arial Narrow" w:cs="Arial Narrow" w:eastAsia="Arial Narrow" w:hAnsi="Arial Narrow"/>
                <w:sz w:val="18"/>
                <w:szCs w:val="18"/>
                <w:b w:val="1"/>
                <w:bCs w:val="1"/>
                <w:color w:val="auto"/>
                <w:w w:val="99"/>
              </w:rPr>
              <w:t>Amortization</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right"/>
              <w:ind w:right="62"/>
              <w:spacing w:after="0"/>
              <w:rPr>
                <w:sz w:val="20"/>
                <w:szCs w:val="20"/>
                <w:color w:val="auto"/>
              </w:rPr>
            </w:pPr>
            <w:r>
              <w:rPr>
                <w:rFonts w:ascii="Arial Narrow" w:cs="Arial Narrow" w:eastAsia="Arial Narrow" w:hAnsi="Arial Narrow"/>
                <w:sz w:val="18"/>
                <w:szCs w:val="18"/>
                <w:b w:val="1"/>
                <w:bCs w:val="1"/>
                <w:color w:val="auto"/>
              </w:rPr>
              <w:t>Net</w:t>
            </w:r>
          </w:p>
        </w:tc>
      </w:tr>
      <w:tr>
        <w:trPr>
          <w:trHeight w:val="21"/>
        </w:trPr>
        <w:tc>
          <w:tcPr>
            <w:tcW w:w="3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44"/>
        </w:trPr>
        <w:tc>
          <w:tcPr>
            <w:tcW w:w="3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80" w:type="dxa"/>
            <w:vAlign w:val="bottom"/>
            <w:gridSpan w:val="8"/>
          </w:tcPr>
          <w:p>
            <w:pPr>
              <w:jc w:val="center"/>
              <w:spacing w:after="0"/>
              <w:rPr>
                <w:sz w:val="20"/>
                <w:szCs w:val="20"/>
                <w:color w:val="auto"/>
              </w:rPr>
            </w:pPr>
            <w:r>
              <w:rPr>
                <w:rFonts w:ascii="Arial Narrow" w:cs="Arial Narrow" w:eastAsia="Arial Narrow" w:hAnsi="Arial Narrow"/>
                <w:sz w:val="16"/>
                <w:szCs w:val="16"/>
                <w:color w:val="auto"/>
              </w:rPr>
              <w:t>(dollars in thousands)</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48"/>
        </w:trPr>
        <w:tc>
          <w:tcPr>
            <w:tcW w:w="33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344"/>
        </w:trPr>
        <w:tc>
          <w:tcPr>
            <w:tcW w:w="3340" w:type="dxa"/>
            <w:vAlign w:val="bottom"/>
          </w:tcPr>
          <w:p>
            <w:pPr>
              <w:spacing w:after="0"/>
              <w:rPr>
                <w:sz w:val="20"/>
                <w:szCs w:val="20"/>
                <w:color w:val="auto"/>
              </w:rPr>
            </w:pPr>
            <w:r>
              <w:rPr>
                <w:rFonts w:ascii="Arial Narrow" w:cs="Arial Narrow" w:eastAsia="Arial Narrow" w:hAnsi="Arial Narrow"/>
                <w:sz w:val="20"/>
                <w:szCs w:val="20"/>
                <w:b w:val="1"/>
                <w:bCs w:val="1"/>
                <w:color w:val="00085E"/>
              </w:rPr>
              <w:t>Goodwill and Intangible Assets:</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65"/>
        </w:trPr>
        <w:tc>
          <w:tcPr>
            <w:tcW w:w="3340" w:type="dxa"/>
            <w:vAlign w:val="bottom"/>
            <w:tcBorders>
              <w:bottom w:val="single" w:sz="8" w:color="A6A6A6"/>
            </w:tcBorders>
          </w:tcPr>
          <w:p>
            <w:pPr>
              <w:spacing w:after="0"/>
              <w:rPr>
                <w:sz w:val="5"/>
                <w:szCs w:val="5"/>
                <w:color w:val="auto"/>
              </w:rPr>
            </w:pPr>
          </w:p>
        </w:tc>
        <w:tc>
          <w:tcPr>
            <w:tcW w:w="1200" w:type="dxa"/>
            <w:vAlign w:val="bottom"/>
            <w:tcBorders>
              <w:bottom w:val="single" w:sz="8" w:color="A6A6A6"/>
            </w:tcBorders>
            <w:gridSpan w:val="4"/>
          </w:tcPr>
          <w:p>
            <w:pPr>
              <w:spacing w:after="0"/>
              <w:rPr>
                <w:sz w:val="5"/>
                <w:szCs w:val="5"/>
                <w:color w:val="auto"/>
              </w:rPr>
            </w:pPr>
          </w:p>
        </w:tc>
        <w:tc>
          <w:tcPr>
            <w:tcW w:w="280" w:type="dxa"/>
            <w:vAlign w:val="bottom"/>
            <w:tcBorders>
              <w:bottom w:val="single" w:sz="8" w:color="A6A6A6"/>
            </w:tcBorders>
            <w:gridSpan w:val="3"/>
          </w:tcPr>
          <w:p>
            <w:pPr>
              <w:spacing w:after="0"/>
              <w:rPr>
                <w:sz w:val="5"/>
                <w:szCs w:val="5"/>
                <w:color w:val="auto"/>
              </w:rPr>
            </w:pPr>
          </w:p>
        </w:tc>
        <w:tc>
          <w:tcPr>
            <w:tcW w:w="8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gridSpan w:val="2"/>
          </w:tcPr>
          <w:p>
            <w:pPr>
              <w:spacing w:after="0"/>
              <w:rPr>
                <w:sz w:val="5"/>
                <w:szCs w:val="5"/>
                <w:color w:val="auto"/>
              </w:rPr>
            </w:pPr>
          </w:p>
        </w:tc>
        <w:tc>
          <w:tcPr>
            <w:tcW w:w="980" w:type="dxa"/>
            <w:vAlign w:val="bottom"/>
            <w:tcBorders>
              <w:bottom w:val="single" w:sz="8" w:color="A6A6A6"/>
            </w:tcBorders>
          </w:tcPr>
          <w:p>
            <w:pPr>
              <w:spacing w:after="0"/>
              <w:rPr>
                <w:sz w:val="5"/>
                <w:szCs w:val="5"/>
                <w:color w:val="auto"/>
              </w:rPr>
            </w:pPr>
          </w:p>
        </w:tc>
        <w:tc>
          <w:tcPr>
            <w:tcW w:w="2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gridSpan w:val="2"/>
          </w:tcPr>
          <w:p>
            <w:pPr>
              <w:spacing w:after="0"/>
              <w:rPr>
                <w:sz w:val="5"/>
                <w:szCs w:val="5"/>
                <w:color w:val="auto"/>
              </w:rPr>
            </w:pPr>
          </w:p>
        </w:tc>
        <w:tc>
          <w:tcPr>
            <w:tcW w:w="114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940" w:type="dxa"/>
            <w:vAlign w:val="bottom"/>
            <w:tcBorders>
              <w:bottom w:val="single" w:sz="8" w:color="A6A6A6"/>
            </w:tcBorders>
          </w:tcPr>
          <w:p>
            <w:pPr>
              <w:spacing w:after="0"/>
              <w:rPr>
                <w:sz w:val="5"/>
                <w:szCs w:val="5"/>
                <w:color w:val="auto"/>
              </w:rPr>
            </w:pPr>
          </w:p>
        </w:tc>
      </w:tr>
      <w:tr>
        <w:trPr>
          <w:trHeight w:val="339"/>
        </w:trPr>
        <w:tc>
          <w:tcPr>
            <w:tcW w:w="3340" w:type="dxa"/>
            <w:vAlign w:val="bottom"/>
          </w:tcPr>
          <w:p>
            <w:pPr>
              <w:spacing w:after="0"/>
              <w:rPr>
                <w:sz w:val="20"/>
                <w:szCs w:val="20"/>
                <w:color w:val="auto"/>
              </w:rPr>
            </w:pPr>
            <w:r>
              <w:rPr>
                <w:rFonts w:ascii="Arial Narrow" w:cs="Arial Narrow" w:eastAsia="Arial Narrow" w:hAnsi="Arial Narrow"/>
                <w:sz w:val="20"/>
                <w:szCs w:val="20"/>
                <w:b w:val="1"/>
                <w:bCs w:val="1"/>
                <w:color w:val="00085E"/>
              </w:rPr>
              <w:t>Customer Contracts and Relationships</w:t>
            </w:r>
          </w:p>
        </w:tc>
        <w:tc>
          <w:tcPr>
            <w:tcW w:w="1200" w:type="dxa"/>
            <w:vAlign w:val="bottom"/>
            <w:gridSpan w:val="4"/>
          </w:tcPr>
          <w:p>
            <w:pPr>
              <w:ind w:left="260"/>
              <w:spacing w:after="0"/>
              <w:rPr>
                <w:sz w:val="20"/>
                <w:szCs w:val="20"/>
                <w:color w:val="auto"/>
              </w:rPr>
            </w:pPr>
            <w:r>
              <w:rPr>
                <w:rFonts w:ascii="Arial Narrow" w:cs="Arial Narrow" w:eastAsia="Arial Narrow" w:hAnsi="Arial Narrow"/>
                <w:sz w:val="20"/>
                <w:szCs w:val="20"/>
                <w:color w:val="auto"/>
              </w:rPr>
              <w:t>15 years</w:t>
            </w:r>
          </w:p>
        </w:tc>
        <w:tc>
          <w:tcPr>
            <w:tcW w:w="280" w:type="dxa"/>
            <w:vAlign w:val="bottom"/>
            <w:gridSpan w:val="3"/>
          </w:tcPr>
          <w:p>
            <w:pPr>
              <w:jc w:val="right"/>
              <w:ind w:right="100"/>
              <w:spacing w:after="0"/>
              <w:rPr>
                <w:sz w:val="20"/>
                <w:szCs w:val="20"/>
                <w:color w:val="auto"/>
              </w:rPr>
            </w:pPr>
            <w:r>
              <w:rPr>
                <w:rFonts w:ascii="Arial Narrow" w:cs="Arial Narrow" w:eastAsia="Arial Narrow" w:hAnsi="Arial Narrow"/>
                <w:sz w:val="20"/>
                <w:szCs w:val="20"/>
                <w:color w:val="auto"/>
              </w:rPr>
              <w:t>$</w:t>
            </w:r>
          </w:p>
        </w:tc>
        <w:tc>
          <w:tcPr>
            <w:tcW w:w="880" w:type="dxa"/>
            <w:vAlign w:val="bottom"/>
          </w:tcPr>
          <w:p>
            <w:pPr>
              <w:jc w:val="right"/>
              <w:ind w:right="102"/>
              <w:spacing w:after="0"/>
              <w:rPr>
                <w:sz w:val="20"/>
                <w:szCs w:val="20"/>
                <w:color w:val="auto"/>
              </w:rPr>
            </w:pPr>
            <w:r>
              <w:rPr>
                <w:rFonts w:ascii="Arial Narrow" w:cs="Arial Narrow" w:eastAsia="Arial Narrow" w:hAnsi="Arial Narrow"/>
                <w:sz w:val="20"/>
                <w:szCs w:val="20"/>
                <w:color w:val="auto"/>
              </w:rPr>
              <w:t>157,294</w:t>
            </w:r>
          </w:p>
        </w:tc>
        <w:tc>
          <w:tcPr>
            <w:tcW w:w="200" w:type="dxa"/>
            <w:vAlign w:val="bottom"/>
            <w:gridSpan w:val="3"/>
          </w:tcPr>
          <w:p>
            <w:pPr>
              <w:jc w:val="right"/>
              <w:spacing w:after="0"/>
              <w:rPr>
                <w:sz w:val="20"/>
                <w:szCs w:val="20"/>
                <w:color w:val="auto"/>
              </w:rPr>
            </w:pPr>
            <w:r>
              <w:rPr>
                <w:rFonts w:ascii="Arial Narrow" w:cs="Arial Narrow" w:eastAsia="Arial Narrow" w:hAnsi="Arial Narrow"/>
                <w:sz w:val="20"/>
                <w:szCs w:val="20"/>
                <w:color w:val="auto"/>
              </w:rPr>
              <w:t>$</w:t>
            </w:r>
          </w:p>
        </w:tc>
        <w:tc>
          <w:tcPr>
            <w:tcW w:w="980" w:type="dxa"/>
            <w:vAlign w:val="bottom"/>
          </w:tcPr>
          <w:p>
            <w:pPr>
              <w:jc w:val="right"/>
              <w:ind w:right="101"/>
              <w:spacing w:after="0"/>
              <w:rPr>
                <w:sz w:val="20"/>
                <w:szCs w:val="20"/>
                <w:color w:val="auto"/>
              </w:rPr>
            </w:pPr>
            <w:r>
              <w:rPr>
                <w:rFonts w:ascii="Arial Narrow" w:cs="Arial Narrow" w:eastAsia="Arial Narrow" w:hAnsi="Arial Narrow"/>
                <w:sz w:val="20"/>
                <w:szCs w:val="20"/>
                <w:color w:val="auto"/>
              </w:rPr>
              <w:t>40,209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Arial Narrow" w:cs="Arial Narrow" w:eastAsia="Arial Narrow" w:hAnsi="Arial Narrow"/>
                <w:sz w:val="20"/>
                <w:szCs w:val="20"/>
                <w:color w:val="auto"/>
                <w:w w:val="87"/>
              </w:rPr>
              <w:t>$</w:t>
            </w:r>
          </w:p>
        </w:tc>
        <w:tc>
          <w:tcPr>
            <w:tcW w:w="1140" w:type="dxa"/>
            <w:vAlign w:val="bottom"/>
          </w:tcPr>
          <w:p>
            <w:pPr>
              <w:jc w:val="right"/>
              <w:ind w:right="43"/>
              <w:spacing w:after="0"/>
              <w:rPr>
                <w:sz w:val="20"/>
                <w:szCs w:val="20"/>
                <w:color w:val="auto"/>
              </w:rPr>
            </w:pPr>
            <w:r>
              <w:rPr>
                <w:rFonts w:ascii="Arial Narrow" w:cs="Arial Narrow" w:eastAsia="Arial Narrow" w:hAnsi="Arial Narrow"/>
                <w:sz w:val="20"/>
                <w:szCs w:val="20"/>
                <w:color w:val="auto"/>
              </w:rPr>
              <w:t>(89,444)</w:t>
            </w:r>
          </w:p>
        </w:tc>
        <w:tc>
          <w:tcPr>
            <w:tcW w:w="200" w:type="dxa"/>
            <w:vAlign w:val="bottom"/>
            <w:gridSpan w:val="2"/>
          </w:tcPr>
          <w:p>
            <w:pPr>
              <w:jc w:val="right"/>
              <w:spacing w:after="0"/>
              <w:rPr>
                <w:sz w:val="20"/>
                <w:szCs w:val="20"/>
                <w:color w:val="auto"/>
              </w:rPr>
            </w:pPr>
            <w:r>
              <w:rPr>
                <w:rFonts w:ascii="Arial Narrow" w:cs="Arial Narrow" w:eastAsia="Arial Narrow" w:hAnsi="Arial Narrow"/>
                <w:sz w:val="20"/>
                <w:szCs w:val="20"/>
                <w:color w:val="auto"/>
              </w:rPr>
              <w:t>$</w:t>
            </w:r>
          </w:p>
        </w:tc>
        <w:tc>
          <w:tcPr>
            <w:tcW w:w="940" w:type="dxa"/>
            <w:vAlign w:val="bottom"/>
          </w:tcPr>
          <w:p>
            <w:pPr>
              <w:jc w:val="right"/>
              <w:ind w:right="62"/>
              <w:spacing w:after="0"/>
              <w:rPr>
                <w:sz w:val="20"/>
                <w:szCs w:val="20"/>
                <w:color w:val="auto"/>
              </w:rPr>
            </w:pPr>
            <w:r>
              <w:rPr>
                <w:rFonts w:ascii="Arial Narrow" w:cs="Arial Narrow" w:eastAsia="Arial Narrow" w:hAnsi="Arial Narrow"/>
                <w:sz w:val="20"/>
                <w:szCs w:val="20"/>
                <w:color w:val="auto"/>
              </w:rPr>
              <w:t>108,059</w:t>
            </w:r>
          </w:p>
        </w:tc>
      </w:tr>
      <w:tr>
        <w:trPr>
          <w:trHeight w:val="65"/>
        </w:trPr>
        <w:tc>
          <w:tcPr>
            <w:tcW w:w="3340" w:type="dxa"/>
            <w:vAlign w:val="bottom"/>
            <w:tcBorders>
              <w:bottom w:val="single" w:sz="8" w:color="A6A6A6"/>
            </w:tcBorders>
          </w:tcPr>
          <w:p>
            <w:pPr>
              <w:spacing w:after="0"/>
              <w:rPr>
                <w:sz w:val="5"/>
                <w:szCs w:val="5"/>
                <w:color w:val="auto"/>
              </w:rPr>
            </w:pPr>
          </w:p>
        </w:tc>
        <w:tc>
          <w:tcPr>
            <w:tcW w:w="1200" w:type="dxa"/>
            <w:vAlign w:val="bottom"/>
            <w:tcBorders>
              <w:bottom w:val="single" w:sz="8" w:color="A6A6A6"/>
            </w:tcBorders>
            <w:gridSpan w:val="4"/>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2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8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2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80" w:type="dxa"/>
            <w:vAlign w:val="bottom"/>
            <w:tcBorders>
              <w:bottom w:val="single" w:sz="8" w:color="A6A6A6"/>
            </w:tcBorders>
            <w:gridSpan w:val="3"/>
          </w:tcPr>
          <w:p>
            <w:pPr>
              <w:spacing w:after="0"/>
              <w:rPr>
                <w:sz w:val="5"/>
                <w:szCs w:val="5"/>
                <w:color w:val="auto"/>
              </w:rPr>
            </w:pPr>
          </w:p>
        </w:tc>
        <w:tc>
          <w:tcPr>
            <w:tcW w:w="2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14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940" w:type="dxa"/>
            <w:vAlign w:val="bottom"/>
            <w:tcBorders>
              <w:bottom w:val="single" w:sz="8" w:color="A6A6A6"/>
            </w:tcBorders>
          </w:tcPr>
          <w:p>
            <w:pPr>
              <w:spacing w:after="0"/>
              <w:rPr>
                <w:sz w:val="5"/>
                <w:szCs w:val="5"/>
                <w:color w:val="auto"/>
              </w:rPr>
            </w:pPr>
          </w:p>
        </w:tc>
      </w:tr>
      <w:tr>
        <w:trPr>
          <w:trHeight w:val="339"/>
        </w:trPr>
        <w:tc>
          <w:tcPr>
            <w:tcW w:w="3340" w:type="dxa"/>
            <w:vAlign w:val="bottom"/>
          </w:tcPr>
          <w:p>
            <w:pPr>
              <w:spacing w:after="0"/>
              <w:rPr>
                <w:sz w:val="20"/>
                <w:szCs w:val="20"/>
                <w:color w:val="auto"/>
              </w:rPr>
            </w:pPr>
            <w:r>
              <w:rPr>
                <w:rFonts w:ascii="Arial Narrow" w:cs="Arial Narrow" w:eastAsia="Arial Narrow" w:hAnsi="Arial Narrow"/>
                <w:sz w:val="20"/>
                <w:szCs w:val="20"/>
                <w:b w:val="1"/>
                <w:bCs w:val="1"/>
                <w:color w:val="00085E"/>
              </w:rPr>
              <w:t>Permits</w:t>
            </w:r>
          </w:p>
        </w:tc>
        <w:tc>
          <w:tcPr>
            <w:tcW w:w="1200" w:type="dxa"/>
            <w:vAlign w:val="bottom"/>
            <w:gridSpan w:val="4"/>
          </w:tcPr>
          <w:p>
            <w:pPr>
              <w:ind w:left="260"/>
              <w:spacing w:after="0"/>
              <w:rPr>
                <w:sz w:val="20"/>
                <w:szCs w:val="20"/>
                <w:color w:val="auto"/>
              </w:rPr>
            </w:pPr>
            <w:r>
              <w:rPr>
                <w:rFonts w:ascii="Arial Narrow" w:cs="Arial Narrow" w:eastAsia="Arial Narrow" w:hAnsi="Arial Narrow"/>
                <w:sz w:val="20"/>
                <w:szCs w:val="20"/>
                <w:color w:val="auto"/>
              </w:rPr>
              <w:t>25-40 years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ind w:right="102"/>
              <w:spacing w:after="0"/>
              <w:rPr>
                <w:sz w:val="20"/>
                <w:szCs w:val="20"/>
                <w:color w:val="auto"/>
              </w:rPr>
            </w:pPr>
            <w:r>
              <w:rPr>
                <w:rFonts w:ascii="Arial Narrow" w:cs="Arial Narrow" w:eastAsia="Arial Narrow" w:hAnsi="Arial Narrow"/>
                <w:sz w:val="20"/>
                <w:szCs w:val="20"/>
                <w:color w:val="auto"/>
              </w:rPr>
              <w:t>30,760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3"/>
          </w:tcPr>
          <w:p>
            <w:pPr>
              <w:jc w:val="right"/>
              <w:ind w:right="300"/>
              <w:spacing w:after="0"/>
              <w:rPr>
                <w:sz w:val="20"/>
                <w:szCs w:val="20"/>
                <w:color w:val="auto"/>
              </w:rPr>
            </w:pPr>
            <w:r>
              <w:rPr>
                <w:rFonts w:ascii="Arial Narrow" w:cs="Arial Narrow" w:eastAsia="Arial Narrow" w:hAnsi="Arial Narrow"/>
                <w:sz w:val="20"/>
                <w:szCs w:val="20"/>
                <w:color w:val="auto"/>
              </w:rPr>
              <w: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jc w:val="right"/>
              <w:ind w:right="43"/>
              <w:spacing w:after="0"/>
              <w:rPr>
                <w:sz w:val="20"/>
                <w:szCs w:val="20"/>
                <w:color w:val="auto"/>
              </w:rPr>
            </w:pPr>
            <w:r>
              <w:rPr>
                <w:rFonts w:ascii="Arial Narrow" w:cs="Arial Narrow" w:eastAsia="Arial Narrow" w:hAnsi="Arial Narrow"/>
                <w:sz w:val="20"/>
                <w:szCs w:val="20"/>
                <w:color w:val="auto"/>
              </w:rPr>
              <w:t>(14,358)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ind w:right="62"/>
              <w:spacing w:after="0"/>
              <w:rPr>
                <w:sz w:val="20"/>
                <w:szCs w:val="20"/>
                <w:color w:val="auto"/>
              </w:rPr>
            </w:pPr>
            <w:r>
              <w:rPr>
                <w:rFonts w:ascii="Arial Narrow" w:cs="Arial Narrow" w:eastAsia="Arial Narrow" w:hAnsi="Arial Narrow"/>
                <w:sz w:val="20"/>
                <w:szCs w:val="20"/>
                <w:color w:val="auto"/>
              </w:rPr>
              <w:t>16,402</w:t>
            </w:r>
          </w:p>
        </w:tc>
      </w:tr>
      <w:tr>
        <w:trPr>
          <w:trHeight w:val="65"/>
        </w:trPr>
        <w:tc>
          <w:tcPr>
            <w:tcW w:w="3340" w:type="dxa"/>
            <w:vAlign w:val="bottom"/>
            <w:tcBorders>
              <w:bottom w:val="single" w:sz="8" w:color="A6A6A6"/>
            </w:tcBorders>
          </w:tcPr>
          <w:p>
            <w:pPr>
              <w:spacing w:after="0"/>
              <w:rPr>
                <w:sz w:val="5"/>
                <w:szCs w:val="5"/>
                <w:color w:val="auto"/>
              </w:rPr>
            </w:pPr>
          </w:p>
        </w:tc>
        <w:tc>
          <w:tcPr>
            <w:tcW w:w="1200" w:type="dxa"/>
            <w:vAlign w:val="bottom"/>
            <w:tcBorders>
              <w:bottom w:val="single" w:sz="8" w:color="A6A6A6"/>
            </w:tcBorders>
            <w:gridSpan w:val="4"/>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2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8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2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980" w:type="dxa"/>
            <w:vAlign w:val="bottom"/>
            <w:tcBorders>
              <w:bottom w:val="single" w:sz="8" w:color="A6A6A6"/>
            </w:tcBorders>
          </w:tcPr>
          <w:p>
            <w:pPr>
              <w:spacing w:after="0"/>
              <w:rPr>
                <w:sz w:val="5"/>
                <w:szCs w:val="5"/>
                <w:color w:val="auto"/>
              </w:rPr>
            </w:pPr>
          </w:p>
        </w:tc>
        <w:tc>
          <w:tcPr>
            <w:tcW w:w="2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2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14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940" w:type="dxa"/>
            <w:vAlign w:val="bottom"/>
            <w:tcBorders>
              <w:bottom w:val="single" w:sz="8" w:color="A6A6A6"/>
            </w:tcBorders>
          </w:tcPr>
          <w:p>
            <w:pPr>
              <w:spacing w:after="0"/>
              <w:rPr>
                <w:sz w:val="5"/>
                <w:szCs w:val="5"/>
                <w:color w:val="auto"/>
              </w:rPr>
            </w:pPr>
          </w:p>
        </w:tc>
      </w:tr>
      <w:tr>
        <w:trPr>
          <w:trHeight w:val="339"/>
        </w:trPr>
        <w:tc>
          <w:tcPr>
            <w:tcW w:w="3340" w:type="dxa"/>
            <w:vAlign w:val="bottom"/>
          </w:tcPr>
          <w:p>
            <w:pPr>
              <w:spacing w:after="0"/>
              <w:rPr>
                <w:sz w:val="20"/>
                <w:szCs w:val="20"/>
                <w:color w:val="auto"/>
              </w:rPr>
            </w:pPr>
            <w:r>
              <w:rPr>
                <w:rFonts w:ascii="Arial Narrow" w:cs="Arial Narrow" w:eastAsia="Arial Narrow" w:hAnsi="Arial Narrow"/>
                <w:sz w:val="20"/>
                <w:szCs w:val="20"/>
                <w:b w:val="1"/>
                <w:bCs w:val="1"/>
                <w:color w:val="00085E"/>
              </w:rPr>
              <w:t>Trade Name</w:t>
            </w:r>
          </w:p>
        </w:tc>
        <w:tc>
          <w:tcPr>
            <w:tcW w:w="1200" w:type="dxa"/>
            <w:vAlign w:val="bottom"/>
            <w:gridSpan w:val="4"/>
          </w:tcPr>
          <w:p>
            <w:pPr>
              <w:ind w:left="260"/>
              <w:spacing w:after="0"/>
              <w:rPr>
                <w:sz w:val="20"/>
                <w:szCs w:val="20"/>
                <w:color w:val="auto"/>
              </w:rPr>
            </w:pPr>
            <w:r>
              <w:rPr>
                <w:rFonts w:ascii="Arial Narrow" w:cs="Arial Narrow" w:eastAsia="Arial Narrow" w:hAnsi="Arial Narrow"/>
                <w:sz w:val="20"/>
                <w:szCs w:val="20"/>
                <w:color w:val="auto"/>
              </w:rPr>
              <w:t>15 years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ind w:right="102"/>
              <w:spacing w:after="0"/>
              <w:rPr>
                <w:sz w:val="20"/>
                <w:szCs w:val="20"/>
                <w:color w:val="auto"/>
              </w:rPr>
            </w:pPr>
            <w:r>
              <w:rPr>
                <w:rFonts w:ascii="Arial Narrow" w:cs="Arial Narrow" w:eastAsia="Arial Narrow" w:hAnsi="Arial Narrow"/>
                <w:sz w:val="20"/>
                <w:szCs w:val="20"/>
                <w:color w:val="auto"/>
              </w:rPr>
              <w:t>1,900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jc w:val="right"/>
              <w:ind w:right="101"/>
              <w:spacing w:after="0"/>
              <w:rPr>
                <w:sz w:val="20"/>
                <w:szCs w:val="20"/>
                <w:color w:val="auto"/>
              </w:rPr>
            </w:pPr>
            <w:r>
              <w:rPr>
                <w:rFonts w:ascii="Arial Narrow" w:cs="Arial Narrow" w:eastAsia="Arial Narrow" w:hAnsi="Arial Narrow"/>
                <w:sz w:val="20"/>
                <w:szCs w:val="20"/>
                <w:color w:val="auto"/>
              </w:rPr>
              <w:t>500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jc w:val="right"/>
              <w:ind w:right="43"/>
              <w:spacing w:after="0"/>
              <w:rPr>
                <w:sz w:val="20"/>
                <w:szCs w:val="20"/>
                <w:color w:val="auto"/>
              </w:rPr>
            </w:pPr>
            <w:r>
              <w:rPr>
                <w:rFonts w:ascii="Arial Narrow" w:cs="Arial Narrow" w:eastAsia="Arial Narrow" w:hAnsi="Arial Narrow"/>
                <w:sz w:val="20"/>
                <w:szCs w:val="20"/>
                <w:color w:val="auto"/>
              </w:rPr>
              <w:t>(1,003)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ind w:right="62"/>
              <w:spacing w:after="0"/>
              <w:rPr>
                <w:sz w:val="20"/>
                <w:szCs w:val="20"/>
                <w:color w:val="auto"/>
              </w:rPr>
            </w:pPr>
            <w:r>
              <w:rPr>
                <w:rFonts w:ascii="Arial Narrow" w:cs="Arial Narrow" w:eastAsia="Arial Narrow" w:hAnsi="Arial Narrow"/>
                <w:sz w:val="20"/>
                <w:szCs w:val="20"/>
                <w:color w:val="auto"/>
              </w:rPr>
              <w:t>1,397</w:t>
            </w:r>
          </w:p>
        </w:tc>
      </w:tr>
      <w:tr>
        <w:trPr>
          <w:trHeight w:val="65"/>
        </w:trPr>
        <w:tc>
          <w:tcPr>
            <w:tcW w:w="3340" w:type="dxa"/>
            <w:vAlign w:val="bottom"/>
            <w:tcBorders>
              <w:bottom w:val="single" w:sz="8" w:color="A6A6A6"/>
            </w:tcBorders>
          </w:tcPr>
          <w:p>
            <w:pPr>
              <w:spacing w:after="0"/>
              <w:rPr>
                <w:sz w:val="5"/>
                <w:szCs w:val="5"/>
                <w:color w:val="auto"/>
              </w:rPr>
            </w:pPr>
          </w:p>
        </w:tc>
        <w:tc>
          <w:tcPr>
            <w:tcW w:w="260" w:type="dxa"/>
            <w:vAlign w:val="bottom"/>
            <w:tcBorders>
              <w:bottom w:val="single" w:sz="8" w:color="A6A6A6"/>
            </w:tcBorders>
          </w:tcPr>
          <w:p>
            <w:pPr>
              <w:spacing w:after="0"/>
              <w:rPr>
                <w:sz w:val="5"/>
                <w:szCs w:val="5"/>
                <w:color w:val="auto"/>
              </w:rPr>
            </w:pPr>
          </w:p>
        </w:tc>
        <w:tc>
          <w:tcPr>
            <w:tcW w:w="20" w:type="dxa"/>
            <w:vAlign w:val="bottom"/>
            <w:tcBorders>
              <w:bottom w:val="single" w:sz="8" w:color="A6A6A6"/>
            </w:tcBorders>
          </w:tcPr>
          <w:p>
            <w:pPr>
              <w:spacing w:after="0"/>
              <w:rPr>
                <w:sz w:val="5"/>
                <w:szCs w:val="5"/>
                <w:color w:val="auto"/>
              </w:rPr>
            </w:pPr>
          </w:p>
        </w:tc>
        <w:tc>
          <w:tcPr>
            <w:tcW w:w="900" w:type="dxa"/>
            <w:vAlign w:val="bottom"/>
            <w:tcBorders>
              <w:bottom w:val="single" w:sz="8" w:color="A6A6A6"/>
            </w:tcBorders>
          </w:tcPr>
          <w:p>
            <w:pPr>
              <w:spacing w:after="0"/>
              <w:rPr>
                <w:sz w:val="5"/>
                <w:szCs w:val="5"/>
                <w:color w:val="auto"/>
              </w:rPr>
            </w:pPr>
          </w:p>
        </w:tc>
        <w:tc>
          <w:tcPr>
            <w:tcW w:w="2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2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8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2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980" w:type="dxa"/>
            <w:vAlign w:val="bottom"/>
            <w:tcBorders>
              <w:bottom w:val="single" w:sz="8" w:color="A6A6A6"/>
            </w:tcBorders>
          </w:tcPr>
          <w:p>
            <w:pPr>
              <w:spacing w:after="0"/>
              <w:rPr>
                <w:sz w:val="5"/>
                <w:szCs w:val="5"/>
                <w:color w:val="auto"/>
              </w:rPr>
            </w:pPr>
          </w:p>
        </w:tc>
        <w:tc>
          <w:tcPr>
            <w:tcW w:w="2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2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14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940" w:type="dxa"/>
            <w:vAlign w:val="bottom"/>
            <w:tcBorders>
              <w:bottom w:val="single" w:sz="8" w:color="A6A6A6"/>
            </w:tcBorders>
          </w:tcPr>
          <w:p>
            <w:pPr>
              <w:spacing w:after="0"/>
              <w:rPr>
                <w:sz w:val="5"/>
                <w:szCs w:val="5"/>
                <w:color w:val="auto"/>
              </w:rPr>
            </w:pPr>
          </w:p>
        </w:tc>
      </w:tr>
      <w:tr>
        <w:trPr>
          <w:trHeight w:val="339"/>
        </w:trPr>
        <w:tc>
          <w:tcPr>
            <w:tcW w:w="3340" w:type="dxa"/>
            <w:vAlign w:val="bottom"/>
          </w:tcPr>
          <w:p>
            <w:pPr>
              <w:spacing w:after="0"/>
              <w:rPr>
                <w:sz w:val="20"/>
                <w:szCs w:val="20"/>
                <w:color w:val="auto"/>
              </w:rPr>
            </w:pPr>
            <w:r>
              <w:rPr>
                <w:rFonts w:ascii="Arial Narrow" w:cs="Arial Narrow" w:eastAsia="Arial Narrow" w:hAnsi="Arial Narrow"/>
                <w:sz w:val="20"/>
                <w:szCs w:val="20"/>
                <w:b w:val="1"/>
                <w:bCs w:val="1"/>
                <w:color w:val="00085E"/>
              </w:rPr>
              <w:t>Goodwill</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ind w:right="102"/>
              <w:spacing w:after="0"/>
              <w:rPr>
                <w:sz w:val="20"/>
                <w:szCs w:val="20"/>
                <w:color w:val="auto"/>
              </w:rPr>
            </w:pPr>
            <w:r>
              <w:rPr>
                <w:rFonts w:ascii="Arial Narrow" w:cs="Arial Narrow" w:eastAsia="Arial Narrow" w:hAnsi="Arial Narrow"/>
                <w:sz w:val="20"/>
                <w:szCs w:val="20"/>
                <w:color w:val="auto"/>
              </w:rPr>
              <w:t>392,569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jc w:val="right"/>
              <w:ind w:right="101"/>
              <w:spacing w:after="0"/>
              <w:rPr>
                <w:sz w:val="20"/>
                <w:szCs w:val="20"/>
                <w:color w:val="auto"/>
              </w:rPr>
            </w:pPr>
            <w:r>
              <w:rPr>
                <w:rFonts w:ascii="Arial Narrow" w:cs="Arial Narrow" w:eastAsia="Arial Narrow" w:hAnsi="Arial Narrow"/>
                <w:sz w:val="20"/>
                <w:szCs w:val="20"/>
                <w:color w:val="auto"/>
              </w:rPr>
              <w:t>77,325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jc w:val="right"/>
              <w:ind w:right="103"/>
              <w:spacing w:after="0"/>
              <w:rPr>
                <w:sz w:val="20"/>
                <w:szCs w:val="20"/>
                <w:color w:val="auto"/>
              </w:rPr>
            </w:pPr>
            <w:r>
              <w:rPr>
                <w:rFonts w:ascii="Arial Narrow" w:cs="Arial Narrow" w:eastAsia="Arial Narrow" w:hAnsi="Arial Narrow"/>
                <w:sz w:val="20"/>
                <w:szCs w:val="20"/>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ind w:right="62"/>
              <w:spacing w:after="0"/>
              <w:rPr>
                <w:sz w:val="20"/>
                <w:szCs w:val="20"/>
                <w:color w:val="auto"/>
              </w:rPr>
            </w:pPr>
            <w:r>
              <w:rPr>
                <w:rFonts w:ascii="Arial Narrow" w:cs="Arial Narrow" w:eastAsia="Arial Narrow" w:hAnsi="Arial Narrow"/>
                <w:sz w:val="20"/>
                <w:szCs w:val="20"/>
                <w:color w:val="auto"/>
              </w:rPr>
              <w:t>469,894</w:t>
            </w:r>
          </w:p>
        </w:tc>
      </w:tr>
      <w:tr>
        <w:trPr>
          <w:trHeight w:val="90"/>
        </w:trPr>
        <w:tc>
          <w:tcPr>
            <w:tcW w:w="3340" w:type="dxa"/>
            <w:vAlign w:val="bottom"/>
            <w:tcBorders>
              <w:bottom w:val="single" w:sz="8" w:color="A6A6A6"/>
            </w:tcBorders>
          </w:tcPr>
          <w:p>
            <w:pPr>
              <w:spacing w:after="0"/>
              <w:rPr>
                <w:sz w:val="7"/>
                <w:szCs w:val="7"/>
                <w:color w:val="auto"/>
              </w:rPr>
            </w:pPr>
          </w:p>
        </w:tc>
        <w:tc>
          <w:tcPr>
            <w:tcW w:w="260" w:type="dxa"/>
            <w:vAlign w:val="bottom"/>
            <w:tcBorders>
              <w:bottom w:val="single" w:sz="8" w:color="A6A6A6"/>
            </w:tcBorders>
          </w:tcPr>
          <w:p>
            <w:pPr>
              <w:spacing w:after="0"/>
              <w:rPr>
                <w:sz w:val="7"/>
                <w:szCs w:val="7"/>
                <w:color w:val="auto"/>
              </w:rPr>
            </w:pPr>
          </w:p>
        </w:tc>
        <w:tc>
          <w:tcPr>
            <w:tcW w:w="20" w:type="dxa"/>
            <w:vAlign w:val="bottom"/>
            <w:tcBorders>
              <w:bottom w:val="single" w:sz="8" w:color="A6A6A6"/>
            </w:tcBorders>
          </w:tcPr>
          <w:p>
            <w:pPr>
              <w:spacing w:after="0"/>
              <w:rPr>
                <w:sz w:val="7"/>
                <w:szCs w:val="7"/>
                <w:color w:val="auto"/>
              </w:rPr>
            </w:pPr>
          </w:p>
        </w:tc>
        <w:tc>
          <w:tcPr>
            <w:tcW w:w="900" w:type="dxa"/>
            <w:vAlign w:val="bottom"/>
            <w:tcBorders>
              <w:bottom w:val="single" w:sz="8" w:color="A6A6A6"/>
            </w:tcBorders>
          </w:tcPr>
          <w:p>
            <w:pPr>
              <w:spacing w:after="0"/>
              <w:rPr>
                <w:sz w:val="7"/>
                <w:szCs w:val="7"/>
                <w:color w:val="auto"/>
              </w:rPr>
            </w:pPr>
          </w:p>
        </w:tc>
        <w:tc>
          <w:tcPr>
            <w:tcW w:w="20" w:type="dxa"/>
            <w:vAlign w:val="bottom"/>
            <w:tcBorders>
              <w:bottom w:val="single" w:sz="8" w:color="A6A6A6"/>
            </w:tcBorders>
          </w:tcPr>
          <w:p>
            <w:pPr>
              <w:spacing w:after="0"/>
              <w:rPr>
                <w:sz w:val="7"/>
                <w:szCs w:val="7"/>
                <w:color w:val="auto"/>
              </w:rPr>
            </w:pPr>
          </w:p>
        </w:tc>
        <w:tc>
          <w:tcPr>
            <w:tcW w:w="80" w:type="dxa"/>
            <w:vAlign w:val="bottom"/>
            <w:tcBorders>
              <w:bottom w:val="single" w:sz="8" w:color="A6A6A6"/>
            </w:tcBorders>
          </w:tcPr>
          <w:p>
            <w:pPr>
              <w:spacing w:after="0"/>
              <w:rPr>
                <w:sz w:val="7"/>
                <w:szCs w:val="7"/>
                <w:color w:val="auto"/>
              </w:rPr>
            </w:pPr>
          </w:p>
        </w:tc>
        <w:tc>
          <w:tcPr>
            <w:tcW w:w="200" w:type="dxa"/>
            <w:vAlign w:val="bottom"/>
            <w:tcBorders>
              <w:bottom w:val="single" w:sz="8" w:color="auto"/>
            </w:tcBorders>
            <w:gridSpan w:val="2"/>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bottom w:val="single" w:sz="8" w:color="auto"/>
            </w:tcBorders>
            <w:gridSpan w:val="2"/>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Borders>
              <w:bottom w:val="single" w:sz="8" w:color="auto"/>
            </w:tcBorders>
            <w:gridSpan w:val="2"/>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r>
      <w:tr>
        <w:trPr>
          <w:trHeight w:val="344"/>
        </w:trPr>
        <w:tc>
          <w:tcPr>
            <w:tcW w:w="3340" w:type="dxa"/>
            <w:vAlign w:val="bottom"/>
          </w:tcPr>
          <w:p>
            <w:pPr>
              <w:ind w:left="200"/>
              <w:spacing w:after="0"/>
              <w:rPr>
                <w:sz w:val="20"/>
                <w:szCs w:val="20"/>
                <w:color w:val="auto"/>
              </w:rPr>
            </w:pPr>
            <w:r>
              <w:rPr>
                <w:rFonts w:ascii="Arial Narrow" w:cs="Arial Narrow" w:eastAsia="Arial Narrow" w:hAnsi="Arial Narrow"/>
                <w:sz w:val="20"/>
                <w:szCs w:val="20"/>
                <w:b w:val="1"/>
                <w:bCs w:val="1"/>
                <w:color w:val="auto"/>
              </w:rPr>
              <w:t>Total Goodwill and Intangible Assets</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gridSpan w:val="3"/>
          </w:tcPr>
          <w:p>
            <w:pPr>
              <w:jc w:val="right"/>
              <w:ind w:right="100"/>
              <w:spacing w:after="0"/>
              <w:rPr>
                <w:sz w:val="20"/>
                <w:szCs w:val="20"/>
                <w:color w:val="auto"/>
              </w:rPr>
            </w:pPr>
            <w:r>
              <w:rPr>
                <w:rFonts w:ascii="Arial Narrow" w:cs="Arial Narrow" w:eastAsia="Arial Narrow" w:hAnsi="Arial Narrow"/>
                <w:sz w:val="20"/>
                <w:szCs w:val="20"/>
                <w:b w:val="1"/>
                <w:bCs w:val="1"/>
                <w:color w:val="auto"/>
              </w:rPr>
              <w:t>$</w:t>
            </w:r>
          </w:p>
        </w:tc>
        <w:tc>
          <w:tcPr>
            <w:tcW w:w="880" w:type="dxa"/>
            <w:vAlign w:val="bottom"/>
          </w:tcPr>
          <w:p>
            <w:pPr>
              <w:jc w:val="right"/>
              <w:ind w:right="102"/>
              <w:spacing w:after="0"/>
              <w:rPr>
                <w:sz w:val="20"/>
                <w:szCs w:val="20"/>
                <w:color w:val="auto"/>
              </w:rPr>
            </w:pPr>
            <w:r>
              <w:rPr>
                <w:rFonts w:ascii="Arial Narrow" w:cs="Arial Narrow" w:eastAsia="Arial Narrow" w:hAnsi="Arial Narrow"/>
                <w:sz w:val="20"/>
                <w:szCs w:val="20"/>
                <w:b w:val="1"/>
                <w:bCs w:val="1"/>
                <w:color w:val="auto"/>
              </w:rPr>
              <w:t>582,523</w:t>
            </w:r>
          </w:p>
        </w:tc>
        <w:tc>
          <w:tcPr>
            <w:tcW w:w="200" w:type="dxa"/>
            <w:vAlign w:val="bottom"/>
            <w:gridSpan w:val="3"/>
          </w:tcPr>
          <w:p>
            <w:pPr>
              <w:jc w:val="right"/>
              <w:spacing w:after="0"/>
              <w:rPr>
                <w:sz w:val="20"/>
                <w:szCs w:val="20"/>
                <w:color w:val="auto"/>
              </w:rPr>
            </w:pPr>
            <w:r>
              <w:rPr>
                <w:rFonts w:ascii="Arial Narrow" w:cs="Arial Narrow" w:eastAsia="Arial Narrow" w:hAnsi="Arial Narrow"/>
                <w:sz w:val="20"/>
                <w:szCs w:val="20"/>
                <w:b w:val="1"/>
                <w:bCs w:val="1"/>
                <w:color w:val="auto"/>
              </w:rPr>
              <w:t>$</w:t>
            </w:r>
          </w:p>
        </w:tc>
        <w:tc>
          <w:tcPr>
            <w:tcW w:w="980" w:type="dxa"/>
            <w:vAlign w:val="bottom"/>
          </w:tcPr>
          <w:p>
            <w:pPr>
              <w:jc w:val="right"/>
              <w:ind w:right="101"/>
              <w:spacing w:after="0"/>
              <w:rPr>
                <w:sz w:val="20"/>
                <w:szCs w:val="20"/>
                <w:color w:val="auto"/>
              </w:rPr>
            </w:pPr>
            <w:r>
              <w:rPr>
                <w:rFonts w:ascii="Arial Narrow" w:cs="Arial Narrow" w:eastAsia="Arial Narrow" w:hAnsi="Arial Narrow"/>
                <w:sz w:val="20"/>
                <w:szCs w:val="20"/>
                <w:b w:val="1"/>
                <w:bCs w:val="1"/>
                <w:color w:val="auto"/>
              </w:rPr>
              <w:t>118,034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Arial Narrow" w:cs="Arial Narrow" w:eastAsia="Arial Narrow" w:hAnsi="Arial Narrow"/>
                <w:sz w:val="20"/>
                <w:szCs w:val="20"/>
                <w:b w:val="1"/>
                <w:bCs w:val="1"/>
                <w:color w:val="auto"/>
                <w:w w:val="87"/>
              </w:rPr>
              <w:t>$</w:t>
            </w:r>
          </w:p>
        </w:tc>
        <w:tc>
          <w:tcPr>
            <w:tcW w:w="1140" w:type="dxa"/>
            <w:vAlign w:val="bottom"/>
          </w:tcPr>
          <w:p>
            <w:pPr>
              <w:jc w:val="right"/>
              <w:ind w:right="43"/>
              <w:spacing w:after="0"/>
              <w:rPr>
                <w:sz w:val="20"/>
                <w:szCs w:val="20"/>
                <w:color w:val="auto"/>
              </w:rPr>
            </w:pPr>
            <w:r>
              <w:rPr>
                <w:rFonts w:ascii="Arial Narrow" w:cs="Arial Narrow" w:eastAsia="Arial Narrow" w:hAnsi="Arial Narrow"/>
                <w:sz w:val="20"/>
                <w:szCs w:val="20"/>
                <w:b w:val="1"/>
                <w:bCs w:val="1"/>
                <w:color w:val="auto"/>
              </w:rPr>
              <w:t>(104,805)</w:t>
            </w:r>
          </w:p>
        </w:tc>
        <w:tc>
          <w:tcPr>
            <w:tcW w:w="200" w:type="dxa"/>
            <w:vAlign w:val="bottom"/>
            <w:gridSpan w:val="2"/>
          </w:tcPr>
          <w:p>
            <w:pPr>
              <w:jc w:val="right"/>
              <w:spacing w:after="0"/>
              <w:rPr>
                <w:sz w:val="20"/>
                <w:szCs w:val="20"/>
                <w:color w:val="auto"/>
              </w:rPr>
            </w:pPr>
            <w:r>
              <w:rPr>
                <w:rFonts w:ascii="Arial Narrow" w:cs="Arial Narrow" w:eastAsia="Arial Narrow" w:hAnsi="Arial Narrow"/>
                <w:sz w:val="20"/>
                <w:szCs w:val="20"/>
                <w:b w:val="1"/>
                <w:bCs w:val="1"/>
                <w:color w:val="auto"/>
              </w:rPr>
              <w:t>$</w:t>
            </w:r>
          </w:p>
        </w:tc>
        <w:tc>
          <w:tcPr>
            <w:tcW w:w="940" w:type="dxa"/>
            <w:vAlign w:val="bottom"/>
          </w:tcPr>
          <w:p>
            <w:pPr>
              <w:jc w:val="right"/>
              <w:ind w:right="62"/>
              <w:spacing w:after="0"/>
              <w:rPr>
                <w:sz w:val="20"/>
                <w:szCs w:val="20"/>
                <w:color w:val="auto"/>
              </w:rPr>
            </w:pPr>
            <w:r>
              <w:rPr>
                <w:rFonts w:ascii="Arial Narrow" w:cs="Arial Narrow" w:eastAsia="Arial Narrow" w:hAnsi="Arial Narrow"/>
                <w:sz w:val="20"/>
                <w:szCs w:val="20"/>
                <w:b w:val="1"/>
                <w:bCs w:val="1"/>
                <w:color w:val="auto"/>
              </w:rPr>
              <w:t>595,752</w:t>
            </w:r>
          </w:p>
        </w:tc>
      </w:tr>
      <w:tr>
        <w:trPr>
          <w:trHeight w:val="65"/>
        </w:trPr>
        <w:tc>
          <w:tcPr>
            <w:tcW w:w="3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r>
      <w:tr>
        <w:trPr>
          <w:trHeight w:val="20"/>
        </w:trPr>
        <w:tc>
          <w:tcPr>
            <w:tcW w:w="3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98" w:lineRule="exact"/>
        <w:rPr>
          <w:sz w:val="20"/>
          <w:szCs w:val="20"/>
          <w:color w:val="auto"/>
        </w:rPr>
      </w:pPr>
    </w:p>
    <w:p>
      <w:pPr>
        <w:ind w:right="300"/>
        <w:spacing w:after="0" w:line="296" w:lineRule="auto"/>
        <w:rPr>
          <w:sz w:val="20"/>
          <w:szCs w:val="20"/>
          <w:color w:val="auto"/>
        </w:rPr>
      </w:pPr>
      <w:r>
        <w:rPr>
          <w:rFonts w:ascii="Arial" w:cs="Arial" w:eastAsia="Arial" w:hAnsi="Arial"/>
          <w:sz w:val="20"/>
          <w:szCs w:val="20"/>
          <w:color w:val="auto"/>
        </w:rPr>
        <w:t>Amortization expense of intangibles was $10.3 million, $8.4 million, and $7.9 million for the fiscal years ended March 31, 2026, 2025, and 2024, respectively. Amortization expense is expected to be approximately $10.2 million in fiscal 2027, $10.0 million in fiscal 2028, and $9.8 million in fiscal 2029, fiscal 2030 and fiscal 2031.</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085E"/>
        </w:rPr>
        <w:t>Impairment or Disposal of Long-Lived and Intangible Assets</w:t>
      </w:r>
    </w:p>
    <w:p>
      <w:pPr>
        <w:spacing w:after="0" w:line="161" w:lineRule="exact"/>
        <w:rPr>
          <w:sz w:val="20"/>
          <w:szCs w:val="20"/>
          <w:color w:val="auto"/>
        </w:rPr>
      </w:pPr>
    </w:p>
    <w:p>
      <w:pPr>
        <w:ind w:right="20"/>
        <w:spacing w:after="0" w:line="304" w:lineRule="auto"/>
        <w:rPr>
          <w:sz w:val="20"/>
          <w:szCs w:val="20"/>
          <w:color w:val="auto"/>
        </w:rPr>
      </w:pPr>
      <w:r>
        <w:rPr>
          <w:rFonts w:ascii="Arial" w:cs="Arial" w:eastAsia="Arial" w:hAnsi="Arial"/>
          <w:sz w:val="19"/>
          <w:szCs w:val="19"/>
          <w:color w:val="auto"/>
        </w:rPr>
        <w:t>We assess our long-lived assets, including mining and related assets, for impairment whenever events or changes in circumstances indicate that the carrying amount of an asset, or group of assets, may not be recoverable. Long-lived assets, or group of assets, are evaluated for impairment at the lowest level for which cash flows are largely independent of the cash flows of other assets. We assess recoverability of assets, or group of assets, by comparing the carrying amount of an asset, or group of assets, to the future undiscounted net cash flows that we expect the asset, or group of assets, to generate. These impairment evaluations are significantly affected by estimates of future revenue, costs and expenses, and other factors. If the carrying value of the assets, or group of assets, exceeds the undiscounted cash flows, then</w:t>
      </w:r>
    </w:p>
    <w:p>
      <w:pPr>
        <w:sectPr>
          <w:pgSz w:w="11880" w:h="15480" w:orient="portrait"/>
          <w:cols w:equalWidth="0" w:num="1">
            <w:col w:w="9360"/>
          </w:cols>
          <w:pgMar w:left="1260" w:top="1264" w:right="1260" w:bottom="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79</w:t>
      </w:r>
    </w:p>
    <w:p>
      <w:pPr>
        <w:sectPr>
          <w:pgSz w:w="11880" w:h="15480" w:orient="portrait"/>
          <w:cols w:equalWidth="0" w:num="1">
            <w:col w:w="9360"/>
          </w:cols>
          <w:pgMar w:left="1260" w:top="1264" w:right="1260" w:bottom="0" w:gutter="0" w:footer="0" w:header="0"/>
          <w:type w:val="continuous"/>
        </w:sectPr>
      </w:pPr>
    </w:p>
    <w:bookmarkStart w:id="87" w:name="page88"/>
    <w:bookmarkEnd w:id="87"/>
    <w:p>
      <w:pPr>
        <w:ind w:right="60"/>
        <w:spacing w:after="0" w:line="292" w:lineRule="auto"/>
        <w:rPr>
          <w:sz w:val="20"/>
          <w:szCs w:val="20"/>
          <w:color w:val="auto"/>
        </w:rPr>
      </w:pPr>
      <w:r>
        <w:rPr>
          <w:rFonts w:ascii="Arial" w:cs="Arial" w:eastAsia="Arial" w:hAnsi="Arial"/>
          <w:sz w:val="20"/>
          <w:szCs w:val="20"/>
          <w:color w:val="auto"/>
        </w:rPr>
        <w:t>an impairment is indicated. If such assets, or group of assets, are considered to be impaired, the impairment is recognized as the amount by which the carrying amount of the asset, or group of assets, exceeds the fair value of the asset, or group of assets. Any assets held for sale are reflected at the lower of their carrying amount or fair value less cost to sell. There were no indicators of impairment related to our long-lived assets during fiscal 2026.</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085E"/>
        </w:rPr>
        <w:t>Other Assets</w:t>
      </w:r>
    </w:p>
    <w:p>
      <w:pPr>
        <w:spacing w:after="0" w:line="161" w:lineRule="exact"/>
        <w:rPr>
          <w:sz w:val="20"/>
          <w:szCs w:val="20"/>
          <w:color w:val="auto"/>
        </w:rPr>
      </w:pPr>
    </w:p>
    <w:p>
      <w:pPr>
        <w:ind w:right="120"/>
        <w:spacing w:after="0" w:line="325" w:lineRule="auto"/>
        <w:rPr>
          <w:sz w:val="20"/>
          <w:szCs w:val="20"/>
          <w:color w:val="auto"/>
        </w:rPr>
      </w:pPr>
      <w:r>
        <w:rPr>
          <w:rFonts w:ascii="Arial" w:cs="Arial" w:eastAsia="Arial" w:hAnsi="Arial"/>
          <w:sz w:val="20"/>
          <w:szCs w:val="20"/>
          <w:color w:val="auto"/>
        </w:rPr>
        <w:t>Other Assets are primarily composed of financing costs related to our Revolving Credit Facility, deferred expenses, and deposits.</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085E"/>
        </w:rPr>
        <w:t>Income Taxes</w:t>
      </w:r>
    </w:p>
    <w:p>
      <w:pPr>
        <w:spacing w:after="0" w:line="161" w:lineRule="exact"/>
        <w:rPr>
          <w:sz w:val="20"/>
          <w:szCs w:val="20"/>
          <w:color w:val="auto"/>
        </w:rPr>
      </w:pPr>
    </w:p>
    <w:p>
      <w:pPr>
        <w:spacing w:after="0" w:line="290" w:lineRule="auto"/>
        <w:rPr>
          <w:sz w:val="20"/>
          <w:szCs w:val="20"/>
          <w:color w:val="auto"/>
        </w:rPr>
      </w:pPr>
      <w:r>
        <w:rPr>
          <w:rFonts w:ascii="Arial" w:cs="Arial" w:eastAsia="Arial" w:hAnsi="Arial"/>
          <w:sz w:val="20"/>
          <w:szCs w:val="20"/>
          <w:color w:val="auto"/>
        </w:rPr>
        <w:t>We account for Income Taxes using the asset and liability method. The effect on deferred taxes of a change in tax rates is recognized in earnings in the period that includes the enactment date. We recognize deferred taxes for the differences between financial statement carrying amounts and the tax bases of existing assets and liabilities by applying enacted statutory tax rates for future years. In addition, we recognize future tax benefits to the extent that such benefits are more likely than not to be realized. See Footnote (I) for more information.</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085E"/>
        </w:rPr>
        <w:t>Stock Repurchases</w:t>
      </w:r>
    </w:p>
    <w:p>
      <w:pPr>
        <w:spacing w:after="0" w:line="161" w:lineRule="exact"/>
        <w:rPr>
          <w:sz w:val="20"/>
          <w:szCs w:val="20"/>
          <w:color w:val="auto"/>
        </w:rPr>
      </w:pPr>
    </w:p>
    <w:p>
      <w:pPr>
        <w:jc w:val="both"/>
        <w:ind w:right="400"/>
        <w:spacing w:after="0" w:line="303" w:lineRule="auto"/>
        <w:rPr>
          <w:sz w:val="20"/>
          <w:szCs w:val="20"/>
          <w:color w:val="auto"/>
        </w:rPr>
      </w:pPr>
      <w:r>
        <w:rPr>
          <w:rFonts w:ascii="Arial" w:cs="Arial" w:eastAsia="Arial" w:hAnsi="Arial"/>
          <w:sz w:val="20"/>
          <w:szCs w:val="20"/>
          <w:color w:val="auto"/>
        </w:rPr>
        <w:t>Shares repurchased by the Company are considered retired and available for future issuance. When shares are repurchased, the Company first reduces Capital in Excess of Par Value, and if there is no balance in this account, the purchases are recorded as a reduction of Retained Earnings.</w:t>
      </w:r>
    </w:p>
    <w:p>
      <w:pPr>
        <w:spacing w:after="0" w:line="59" w:lineRule="exact"/>
        <w:rPr>
          <w:sz w:val="20"/>
          <w:szCs w:val="20"/>
          <w:color w:val="auto"/>
        </w:rPr>
      </w:pPr>
    </w:p>
    <w:p>
      <w:pPr>
        <w:ind w:right="80"/>
        <w:spacing w:after="0" w:line="296" w:lineRule="auto"/>
        <w:rPr>
          <w:sz w:val="20"/>
          <w:szCs w:val="20"/>
          <w:color w:val="auto"/>
        </w:rPr>
      </w:pPr>
      <w:r>
        <w:rPr>
          <w:rFonts w:ascii="Arial" w:cs="Arial" w:eastAsia="Arial" w:hAnsi="Arial"/>
          <w:sz w:val="20"/>
          <w:szCs w:val="20"/>
          <w:color w:val="auto"/>
        </w:rPr>
        <w:t>On May 17, 2022, the Board authorized the Company to repurchase an additional 7,500,000 shares. During fiscal years 2026, 2025, and 2024, we repurchased 1,739,625, 1,214,173, and 1,863,534 shares, respectively, at average prices of $219.48, $245.67, and $184.21, respectively. At March 31, 2026, the remaining authorized shares for repurchase totaled 2,929,872 shares.</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085E"/>
        </w:rPr>
        <w:t>Revenue Recognition</w:t>
      </w:r>
    </w:p>
    <w:p>
      <w:pPr>
        <w:spacing w:after="0" w:line="161" w:lineRule="exact"/>
        <w:rPr>
          <w:sz w:val="20"/>
          <w:szCs w:val="20"/>
          <w:color w:val="auto"/>
        </w:rPr>
      </w:pPr>
    </w:p>
    <w:p>
      <w:pPr>
        <w:ind w:right="60"/>
        <w:spacing w:after="0" w:line="286" w:lineRule="auto"/>
        <w:rPr>
          <w:sz w:val="20"/>
          <w:szCs w:val="20"/>
          <w:color w:val="auto"/>
        </w:rPr>
      </w:pPr>
      <w:r>
        <w:rPr>
          <w:rFonts w:ascii="Arial" w:cs="Arial" w:eastAsia="Arial" w:hAnsi="Arial"/>
          <w:sz w:val="20"/>
          <w:szCs w:val="20"/>
          <w:color w:val="auto"/>
        </w:rPr>
        <w:t>We earn Revenue primarily from the sale of products, which include cement, concrete, aggregates, gypsum wallboard, and recycled paperboard. The majority of Revenue from the sale of concrete, aggregates, and gypsum wallboard is originated by purchase orders from our customers, who are mainly third-party contractors and suppliers. Revenue from the sale of cement is sold point-of-sale to customers under sales orders. Revenue from our Recycled Paperboard segment is generated mostly through long-term supply agreements. These agreements do not have a stated maturity date, but may be terminated by either party with a two- to three-year notice period. We invoice customers upon shipment, and our collection terms range from 30 to 75 days. Revenue from the sale of cement, concrete, aggregates, and gypsum wallboard, which is not under long-term supply agreements, is recognized upon shipment of the related products to customers, which is when title and ownership are transferred, and the customer is obligated to pay.</w:t>
      </w:r>
    </w:p>
    <w:p>
      <w:pPr>
        <w:sectPr>
          <w:pgSz w:w="11880" w:h="15480" w:orient="portrait"/>
          <w:cols w:equalWidth="0" w:num="1">
            <w:col w:w="9300"/>
          </w:cols>
          <w:pgMar w:left="1260" w:top="1267" w:right="1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80</w:t>
      </w:r>
    </w:p>
    <w:p>
      <w:pPr>
        <w:sectPr>
          <w:pgSz w:w="11880" w:h="15480" w:orient="portrait"/>
          <w:cols w:equalWidth="0" w:num="1">
            <w:col w:w="9300"/>
          </w:cols>
          <w:pgMar w:left="1260" w:top="1267" w:right="1320" w:bottom="0" w:gutter="0" w:footer="0" w:header="0"/>
          <w:type w:val="continuous"/>
        </w:sectPr>
      </w:pPr>
    </w:p>
    <w:bookmarkStart w:id="88" w:name="page89"/>
    <w:bookmarkEnd w:id="88"/>
    <w:p>
      <w:pPr>
        <w:spacing w:after="0" w:line="289" w:lineRule="auto"/>
        <w:rPr>
          <w:sz w:val="20"/>
          <w:szCs w:val="20"/>
          <w:color w:val="auto"/>
        </w:rPr>
      </w:pPr>
      <w:r>
        <w:rPr>
          <w:rFonts w:ascii="Arial" w:cs="Arial" w:eastAsia="Arial" w:hAnsi="Arial"/>
          <w:sz w:val="20"/>
          <w:szCs w:val="20"/>
          <w:color w:val="auto"/>
        </w:rPr>
        <w:t>Revenue from sales under our long-term supply agreements is also recognized upon transfer of control to the customer, which occurs at the time the product is shipped from the production facility. Our long-term supply agreements with customers define, among other commitments, the volume of product we must provide and the volume the customer must purchase by the end of the defined periods. Pricing structures under our agreements are generally market-based, but are subject to certain contractual adjustments. Shortfall amounts, if applicable under these arrangements, are constrained and not recognized as Revenue until agreement is reached with the customer and there is no risk of reversal.</w:t>
      </w:r>
    </w:p>
    <w:p>
      <w:pPr>
        <w:spacing w:after="0" w:line="71" w:lineRule="exact"/>
        <w:rPr>
          <w:sz w:val="20"/>
          <w:szCs w:val="20"/>
          <w:color w:val="auto"/>
        </w:rPr>
      </w:pPr>
    </w:p>
    <w:p>
      <w:pPr>
        <w:spacing w:after="0" w:line="292" w:lineRule="auto"/>
        <w:rPr>
          <w:sz w:val="20"/>
          <w:szCs w:val="20"/>
          <w:color w:val="auto"/>
        </w:rPr>
      </w:pPr>
      <w:r>
        <w:rPr>
          <w:rFonts w:ascii="Arial" w:cs="Arial" w:eastAsia="Arial" w:hAnsi="Arial"/>
          <w:sz w:val="20"/>
          <w:szCs w:val="20"/>
          <w:color w:val="auto"/>
        </w:rPr>
        <w:t>The Company offers certain of its customers, including those with long-term supply agreements, rebates and incentives, which we treat as variable consideration. We adjust the amount of revenue recognized for the variable consideration using the most likely amount method based on past history and projected volumes in the rebate and incentive period. Any amounts billed to customers for taxes are excluded from Revenue.</w:t>
      </w:r>
    </w:p>
    <w:p>
      <w:pPr>
        <w:spacing w:after="0" w:line="71" w:lineRule="exact"/>
        <w:rPr>
          <w:sz w:val="20"/>
          <w:szCs w:val="20"/>
          <w:color w:val="auto"/>
        </w:rPr>
      </w:pPr>
    </w:p>
    <w:p>
      <w:pPr>
        <w:ind w:right="140"/>
        <w:spacing w:after="0" w:line="292" w:lineRule="auto"/>
        <w:rPr>
          <w:sz w:val="20"/>
          <w:szCs w:val="20"/>
          <w:color w:val="auto"/>
        </w:rPr>
      </w:pPr>
      <w:r>
        <w:rPr>
          <w:rFonts w:ascii="Arial" w:cs="Arial" w:eastAsia="Arial" w:hAnsi="Arial"/>
          <w:sz w:val="20"/>
          <w:szCs w:val="20"/>
          <w:color w:val="auto"/>
        </w:rPr>
        <w:t>The Company has elected to treat freight and delivery charges we pay for the delivery of goods to our customers as a fulfillment activity rather than a separate performance obligation. When we arrange for a third party to deliver products to customers, fees for shipping and handling billed to the customer are recorded as Revenue, while costs incurred for shipping and handling are recorded as expenses and included in Cost of Goods Sold.</w:t>
      </w:r>
    </w:p>
    <w:p>
      <w:pPr>
        <w:spacing w:after="0" w:line="71" w:lineRule="exact"/>
        <w:rPr>
          <w:sz w:val="20"/>
          <w:szCs w:val="20"/>
          <w:color w:val="auto"/>
        </w:rPr>
      </w:pPr>
    </w:p>
    <w:p>
      <w:pPr>
        <w:ind w:right="20"/>
        <w:spacing w:after="0" w:line="303" w:lineRule="auto"/>
        <w:rPr>
          <w:sz w:val="20"/>
          <w:szCs w:val="20"/>
          <w:color w:val="auto"/>
        </w:rPr>
      </w:pPr>
      <w:r>
        <w:rPr>
          <w:rFonts w:ascii="Arial" w:cs="Arial" w:eastAsia="Arial" w:hAnsi="Arial"/>
          <w:sz w:val="20"/>
          <w:szCs w:val="20"/>
          <w:color w:val="auto"/>
        </w:rPr>
        <w:t>Approximately $215.1 million, $211.2 million, and $215.3 million of freight for the fiscal years ended March 31, 2026, 2025, and 2024, respectively, were included in both Revenue and Cost of Goods Sold in our Consolidated Statement of Earnings.</w:t>
      </w:r>
    </w:p>
    <w:p>
      <w:pPr>
        <w:spacing w:after="0" w:line="59" w:lineRule="exact"/>
        <w:rPr>
          <w:sz w:val="20"/>
          <w:szCs w:val="20"/>
          <w:color w:val="auto"/>
        </w:rPr>
      </w:pPr>
    </w:p>
    <w:p>
      <w:pPr>
        <w:ind w:right="140"/>
        <w:spacing w:after="0" w:line="303" w:lineRule="auto"/>
        <w:rPr>
          <w:sz w:val="20"/>
          <w:szCs w:val="20"/>
          <w:color w:val="auto"/>
        </w:rPr>
      </w:pPr>
      <w:r>
        <w:rPr>
          <w:rFonts w:ascii="Arial" w:cs="Arial" w:eastAsia="Arial" w:hAnsi="Arial"/>
          <w:sz w:val="20"/>
          <w:szCs w:val="20"/>
          <w:color w:val="auto"/>
        </w:rPr>
        <w:t>Other Nonoperating Income includes lease and rental income, asset sale income, non-inventoried aggregates sales income, and trucking income, as well as other miscellaneous revenue items and costs that have not been allocated to a business segment.</w:t>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color w:val="auto"/>
        </w:rPr>
        <w:t>See Footnote (H) for disaggregation of Revenue by segment.</w:t>
      </w: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085E"/>
        </w:rPr>
        <w:t>Comprehensive Income/Losses</w:t>
      </w:r>
    </w:p>
    <w:p>
      <w:pPr>
        <w:spacing w:after="0" w:line="161" w:lineRule="exact"/>
        <w:rPr>
          <w:sz w:val="20"/>
          <w:szCs w:val="20"/>
          <w:color w:val="auto"/>
        </w:rPr>
      </w:pPr>
    </w:p>
    <w:p>
      <w:pPr>
        <w:ind w:right="20"/>
        <w:spacing w:after="0" w:line="303" w:lineRule="auto"/>
        <w:rPr>
          <w:sz w:val="20"/>
          <w:szCs w:val="20"/>
          <w:color w:val="auto"/>
        </w:rPr>
      </w:pPr>
      <w:r>
        <w:rPr>
          <w:rFonts w:ascii="Arial" w:cs="Arial" w:eastAsia="Arial" w:hAnsi="Arial"/>
          <w:sz w:val="20"/>
          <w:szCs w:val="20"/>
          <w:color w:val="auto"/>
        </w:rPr>
        <w:t>As of March 31, 2026, we have an Accumulated Other Comprehensive Loss of $4.4 million, which is net of income taxes of $1.4 million, in connection with recognizing the difference between the fair value of the pension assets and the projected benefit obligation.</w:t>
      </w:r>
    </w:p>
    <w:p>
      <w:pPr>
        <w:sectPr>
          <w:pgSz w:w="11880" w:h="15480" w:orient="portrait"/>
          <w:cols w:equalWidth="0" w:num="1">
            <w:col w:w="9320"/>
          </w:cols>
          <w:pgMar w:left="1260" w:top="1267"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81</w:t>
      </w:r>
    </w:p>
    <w:p>
      <w:pPr>
        <w:sectPr>
          <w:pgSz w:w="11880" w:h="15480" w:orient="portrait"/>
          <w:cols w:equalWidth="0" w:num="1">
            <w:col w:w="9320"/>
          </w:cols>
          <w:pgMar w:left="1260" w:top="1267" w:right="1300" w:bottom="0" w:gutter="0" w:footer="0" w:header="0"/>
          <w:type w:val="continuous"/>
        </w:sectPr>
      </w:pPr>
    </w:p>
    <w:bookmarkStart w:id="89" w:name="page90"/>
    <w:bookmarkEnd w:id="89"/>
    <w:p>
      <w:pPr>
        <w:spacing w:after="0"/>
        <w:rPr>
          <w:sz w:val="20"/>
          <w:szCs w:val="20"/>
          <w:color w:val="auto"/>
        </w:rPr>
      </w:pPr>
      <w:r>
        <w:rPr>
          <w:rFonts w:ascii="Arial" w:cs="Arial" w:eastAsia="Arial" w:hAnsi="Arial"/>
          <w:sz w:val="22"/>
          <w:szCs w:val="22"/>
          <w:b w:val="1"/>
          <w:bCs w:val="1"/>
          <w:u w:val="single" w:color="auto"/>
          <w:color w:val="00085E"/>
        </w:rPr>
        <w:t>Consolidated Cash Flows – Supplemental Disclosures</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color w:val="auto"/>
        </w:rPr>
        <w:t>Supplemental cash flow information is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5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920" w:type="dxa"/>
            <w:vAlign w:val="bottom"/>
            <w:gridSpan w:val="6"/>
          </w:tcPr>
          <w:p>
            <w:pPr>
              <w:jc w:val="right"/>
              <w:ind w:right="180"/>
              <w:spacing w:after="0"/>
              <w:rPr>
                <w:sz w:val="20"/>
                <w:szCs w:val="20"/>
                <w:color w:val="auto"/>
              </w:rPr>
            </w:pPr>
            <w:r>
              <w:rPr>
                <w:rFonts w:ascii="Arial Narrow" w:cs="Arial Narrow" w:eastAsia="Arial Narrow" w:hAnsi="Arial Narrow"/>
                <w:sz w:val="18"/>
                <w:szCs w:val="18"/>
                <w:b w:val="1"/>
                <w:bCs w:val="1"/>
                <w:color w:val="auto"/>
              </w:rPr>
              <w:t>For the Years Ended March 31,</w:t>
            </w: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9"/>
        </w:trPr>
        <w:tc>
          <w:tcPr>
            <w:tcW w:w="5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ind w:right="3"/>
              <w:spacing w:after="0"/>
              <w:rPr>
                <w:sz w:val="20"/>
                <w:szCs w:val="20"/>
                <w:color w:val="auto"/>
              </w:rPr>
            </w:pPr>
            <w:r>
              <w:rPr>
                <w:rFonts w:ascii="Arial Narrow" w:cs="Arial Narrow" w:eastAsia="Arial Narrow" w:hAnsi="Arial Narrow"/>
                <w:sz w:val="18"/>
                <w:szCs w:val="18"/>
                <w:b w:val="1"/>
                <w:bCs w:val="1"/>
                <w:color w:val="auto"/>
              </w:rPr>
              <w:t>2026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ind w:right="2"/>
              <w:spacing w:after="0"/>
              <w:rPr>
                <w:sz w:val="20"/>
                <w:szCs w:val="20"/>
                <w:color w:val="auto"/>
              </w:rPr>
            </w:pPr>
            <w:r>
              <w:rPr>
                <w:rFonts w:ascii="Arial Narrow" w:cs="Arial Narrow" w:eastAsia="Arial Narrow" w:hAnsi="Arial Narrow"/>
                <w:sz w:val="18"/>
                <w:szCs w:val="18"/>
                <w:b w:val="1"/>
                <w:bCs w:val="1"/>
                <w:color w:val="auto"/>
              </w:rPr>
              <w:t>2025</w:t>
            </w: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80" w:type="dxa"/>
            <w:vAlign w:val="bottom"/>
          </w:tcPr>
          <w:p>
            <w:pPr>
              <w:jc w:val="right"/>
              <w:ind w:right="2"/>
              <w:spacing w:after="0"/>
              <w:rPr>
                <w:sz w:val="20"/>
                <w:szCs w:val="20"/>
                <w:color w:val="auto"/>
              </w:rPr>
            </w:pPr>
            <w:r>
              <w:rPr>
                <w:rFonts w:ascii="Arial Narrow" w:cs="Arial Narrow" w:eastAsia="Arial Narrow" w:hAnsi="Arial Narrow"/>
                <w:sz w:val="18"/>
                <w:szCs w:val="18"/>
                <w:b w:val="1"/>
                <w:bCs w:val="1"/>
                <w:color w:val="auto"/>
              </w:rPr>
              <w:t>2024</w:t>
            </w: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Arial Narrow" w:cs="Arial Narrow" w:eastAsia="Arial Narrow" w:hAnsi="Arial Narrow"/>
                <w:sz w:val="16"/>
                <w:szCs w:val="16"/>
                <w:color w:val="auto"/>
              </w:rPr>
              <w:t>(dollars in thousands)</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51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4"/>
        </w:trPr>
        <w:tc>
          <w:tcPr>
            <w:tcW w:w="5160" w:type="dxa"/>
            <w:vAlign w:val="bottom"/>
          </w:tcPr>
          <w:p>
            <w:pPr>
              <w:spacing w:after="0"/>
              <w:rPr>
                <w:sz w:val="20"/>
                <w:szCs w:val="20"/>
                <w:color w:val="auto"/>
              </w:rPr>
            </w:pPr>
            <w:r>
              <w:rPr>
                <w:rFonts w:ascii="Arial Narrow" w:cs="Arial Narrow" w:eastAsia="Arial Narrow" w:hAnsi="Arial Narrow"/>
                <w:sz w:val="20"/>
                <w:szCs w:val="20"/>
                <w:b w:val="1"/>
                <w:bCs w:val="1"/>
                <w:color w:val="auto"/>
              </w:rPr>
              <w:t>Cash Payments:</w:t>
            </w: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5160" w:type="dxa"/>
            <w:vAlign w:val="bottom"/>
            <w:tcBorders>
              <w:bottom w:val="single" w:sz="8" w:color="A6A6A6"/>
            </w:tcBorders>
          </w:tcPr>
          <w:p>
            <w:pPr>
              <w:spacing w:after="0"/>
              <w:rPr>
                <w:sz w:val="5"/>
                <w:szCs w:val="5"/>
                <w:color w:val="auto"/>
              </w:rPr>
            </w:pPr>
          </w:p>
        </w:tc>
        <w:tc>
          <w:tcPr>
            <w:tcW w:w="400" w:type="dxa"/>
            <w:vAlign w:val="bottom"/>
            <w:tcBorders>
              <w:bottom w:val="single" w:sz="8" w:color="A6A6A6"/>
            </w:tcBorders>
          </w:tcPr>
          <w:p>
            <w:pPr>
              <w:spacing w:after="0"/>
              <w:rPr>
                <w:sz w:val="5"/>
                <w:szCs w:val="5"/>
                <w:color w:val="auto"/>
              </w:rPr>
            </w:pPr>
          </w:p>
        </w:tc>
        <w:tc>
          <w:tcPr>
            <w:tcW w:w="920" w:type="dxa"/>
            <w:vAlign w:val="bottom"/>
            <w:tcBorders>
              <w:bottom w:val="single" w:sz="8" w:color="A6A6A6"/>
            </w:tcBorders>
          </w:tcPr>
          <w:p>
            <w:pPr>
              <w:spacing w:after="0"/>
              <w:rPr>
                <w:sz w:val="5"/>
                <w:szCs w:val="5"/>
                <w:color w:val="auto"/>
              </w:rPr>
            </w:pPr>
          </w:p>
        </w:tc>
        <w:tc>
          <w:tcPr>
            <w:tcW w:w="480" w:type="dxa"/>
            <w:vAlign w:val="bottom"/>
            <w:tcBorders>
              <w:bottom w:val="single" w:sz="8" w:color="A6A6A6"/>
            </w:tcBorders>
            <w:gridSpan w:val="2"/>
          </w:tcPr>
          <w:p>
            <w:pPr>
              <w:spacing w:after="0"/>
              <w:rPr>
                <w:sz w:val="5"/>
                <w:szCs w:val="5"/>
                <w:color w:val="auto"/>
              </w:rPr>
            </w:pPr>
          </w:p>
        </w:tc>
        <w:tc>
          <w:tcPr>
            <w:tcW w:w="960" w:type="dxa"/>
            <w:vAlign w:val="bottom"/>
            <w:tcBorders>
              <w:bottom w:val="single" w:sz="8" w:color="A6A6A6"/>
            </w:tcBorders>
          </w:tcPr>
          <w:p>
            <w:pPr>
              <w:spacing w:after="0"/>
              <w:rPr>
                <w:sz w:val="5"/>
                <w:szCs w:val="5"/>
                <w:color w:val="auto"/>
              </w:rPr>
            </w:pPr>
          </w:p>
        </w:tc>
        <w:tc>
          <w:tcPr>
            <w:tcW w:w="560" w:type="dxa"/>
            <w:vAlign w:val="bottom"/>
            <w:tcBorders>
              <w:bottom w:val="single" w:sz="8" w:color="A6A6A6"/>
            </w:tcBorders>
            <w:gridSpan w:val="2"/>
          </w:tcPr>
          <w:p>
            <w:pPr>
              <w:spacing w:after="0"/>
              <w:rPr>
                <w:sz w:val="5"/>
                <w:szCs w:val="5"/>
                <w:color w:val="auto"/>
              </w:rPr>
            </w:pPr>
          </w:p>
        </w:tc>
        <w:tc>
          <w:tcPr>
            <w:tcW w:w="88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5160" w:type="dxa"/>
            <w:vAlign w:val="bottom"/>
          </w:tcPr>
          <w:p>
            <w:pPr>
              <w:ind w:left="100"/>
              <w:spacing w:after="0"/>
              <w:rPr>
                <w:sz w:val="20"/>
                <w:szCs w:val="20"/>
                <w:color w:val="auto"/>
              </w:rPr>
            </w:pPr>
            <w:r>
              <w:rPr>
                <w:rFonts w:ascii="Arial Narrow" w:cs="Arial Narrow" w:eastAsia="Arial Narrow" w:hAnsi="Arial Narrow"/>
                <w:sz w:val="20"/>
                <w:szCs w:val="20"/>
                <w:b w:val="1"/>
                <w:bCs w:val="1"/>
                <w:color w:val="00085E"/>
              </w:rPr>
              <w:t>Interest</w:t>
            </w:r>
          </w:p>
        </w:tc>
        <w:tc>
          <w:tcPr>
            <w:tcW w:w="400" w:type="dxa"/>
            <w:vAlign w:val="bottom"/>
          </w:tcPr>
          <w:p>
            <w:pPr>
              <w:jc w:val="right"/>
              <w:ind w:right="200"/>
              <w:spacing w:after="0"/>
              <w:rPr>
                <w:sz w:val="20"/>
                <w:szCs w:val="20"/>
                <w:color w:val="auto"/>
              </w:rPr>
            </w:pPr>
            <w:r>
              <w:rPr>
                <w:rFonts w:ascii="Arial Narrow" w:cs="Arial Narrow" w:eastAsia="Arial Narrow" w:hAnsi="Arial Narrow"/>
                <w:sz w:val="20"/>
                <w:szCs w:val="20"/>
                <w:color w:val="auto"/>
                <w:w w:val="87"/>
              </w:rPr>
              <w:t>$</w:t>
            </w:r>
          </w:p>
        </w:tc>
        <w:tc>
          <w:tcPr>
            <w:tcW w:w="920" w:type="dxa"/>
            <w:vAlign w:val="bottom"/>
          </w:tcPr>
          <w:p>
            <w:pPr>
              <w:jc w:val="right"/>
              <w:ind w:right="3"/>
              <w:spacing w:after="0"/>
              <w:rPr>
                <w:sz w:val="20"/>
                <w:szCs w:val="20"/>
                <w:color w:val="auto"/>
              </w:rPr>
            </w:pPr>
            <w:r>
              <w:rPr>
                <w:rFonts w:ascii="Arial Narrow" w:cs="Arial Narrow" w:eastAsia="Arial Narrow" w:hAnsi="Arial Narrow"/>
                <w:sz w:val="20"/>
                <w:szCs w:val="20"/>
                <w:color w:val="auto"/>
              </w:rPr>
              <w:t>58,810</w:t>
            </w:r>
          </w:p>
        </w:tc>
        <w:tc>
          <w:tcPr>
            <w:tcW w:w="480" w:type="dxa"/>
            <w:vAlign w:val="bottom"/>
            <w:gridSpan w:val="2"/>
          </w:tcPr>
          <w:p>
            <w:pPr>
              <w:jc w:val="right"/>
              <w:ind w:right="180"/>
              <w:spacing w:after="0"/>
              <w:rPr>
                <w:sz w:val="20"/>
                <w:szCs w:val="20"/>
                <w:color w:val="auto"/>
              </w:rPr>
            </w:pPr>
            <w:r>
              <w:rPr>
                <w:rFonts w:ascii="Arial Narrow" w:cs="Arial Narrow" w:eastAsia="Arial Narrow" w:hAnsi="Arial Narrow"/>
                <w:sz w:val="20"/>
                <w:szCs w:val="20"/>
                <w:color w:val="auto"/>
              </w:rPr>
              <w:t>$</w:t>
            </w:r>
          </w:p>
        </w:tc>
        <w:tc>
          <w:tcPr>
            <w:tcW w:w="960" w:type="dxa"/>
            <w:vAlign w:val="bottom"/>
          </w:tcPr>
          <w:p>
            <w:pPr>
              <w:jc w:val="right"/>
              <w:ind w:right="2"/>
              <w:spacing w:after="0"/>
              <w:rPr>
                <w:sz w:val="20"/>
                <w:szCs w:val="20"/>
                <w:color w:val="auto"/>
              </w:rPr>
            </w:pPr>
            <w:r>
              <w:rPr>
                <w:rFonts w:ascii="Arial Narrow" w:cs="Arial Narrow" w:eastAsia="Arial Narrow" w:hAnsi="Arial Narrow"/>
                <w:sz w:val="20"/>
                <w:szCs w:val="20"/>
                <w:color w:val="auto"/>
              </w:rPr>
              <w:t>42,368</w:t>
            </w:r>
          </w:p>
        </w:tc>
        <w:tc>
          <w:tcPr>
            <w:tcW w:w="560" w:type="dxa"/>
            <w:vAlign w:val="bottom"/>
            <w:gridSpan w:val="2"/>
          </w:tcPr>
          <w:p>
            <w:pPr>
              <w:jc w:val="right"/>
              <w:ind w:right="340"/>
              <w:spacing w:after="0"/>
              <w:rPr>
                <w:sz w:val="20"/>
                <w:szCs w:val="20"/>
                <w:color w:val="auto"/>
              </w:rPr>
            </w:pPr>
            <w:r>
              <w:rPr>
                <w:rFonts w:ascii="Arial Narrow" w:cs="Arial Narrow" w:eastAsia="Arial Narrow" w:hAnsi="Arial Narrow"/>
                <w:sz w:val="20"/>
                <w:szCs w:val="20"/>
                <w:color w:val="auto"/>
              </w:rPr>
              <w:t>$</w:t>
            </w:r>
          </w:p>
        </w:tc>
        <w:tc>
          <w:tcPr>
            <w:tcW w:w="880" w:type="dxa"/>
            <w:vAlign w:val="bottom"/>
          </w:tcPr>
          <w:p>
            <w:pPr>
              <w:jc w:val="right"/>
              <w:ind w:right="2"/>
              <w:spacing w:after="0"/>
              <w:rPr>
                <w:sz w:val="20"/>
                <w:szCs w:val="20"/>
                <w:color w:val="auto"/>
              </w:rPr>
            </w:pPr>
            <w:r>
              <w:rPr>
                <w:rFonts w:ascii="Arial Narrow" w:cs="Arial Narrow" w:eastAsia="Arial Narrow" w:hAnsi="Arial Narrow"/>
                <w:sz w:val="20"/>
                <w:szCs w:val="20"/>
                <w:color w:val="auto"/>
              </w:rPr>
              <w:t>43,663</w:t>
            </w:r>
          </w:p>
        </w:tc>
        <w:tc>
          <w:tcPr>
            <w:tcW w:w="0" w:type="dxa"/>
            <w:vAlign w:val="bottom"/>
          </w:tcPr>
          <w:p>
            <w:pPr>
              <w:spacing w:after="0"/>
              <w:rPr>
                <w:sz w:val="1"/>
                <w:szCs w:val="1"/>
                <w:color w:val="auto"/>
              </w:rPr>
            </w:pPr>
          </w:p>
        </w:tc>
      </w:tr>
      <w:tr>
        <w:trPr>
          <w:trHeight w:val="65"/>
        </w:trPr>
        <w:tc>
          <w:tcPr>
            <w:tcW w:w="5160" w:type="dxa"/>
            <w:vAlign w:val="bottom"/>
            <w:tcBorders>
              <w:bottom w:val="single" w:sz="8" w:color="A6A6A6"/>
            </w:tcBorders>
          </w:tcPr>
          <w:p>
            <w:pPr>
              <w:spacing w:after="0"/>
              <w:rPr>
                <w:sz w:val="5"/>
                <w:szCs w:val="5"/>
                <w:color w:val="auto"/>
              </w:rPr>
            </w:pPr>
          </w:p>
        </w:tc>
        <w:tc>
          <w:tcPr>
            <w:tcW w:w="400" w:type="dxa"/>
            <w:vAlign w:val="bottom"/>
            <w:tcBorders>
              <w:bottom w:val="single" w:sz="8" w:color="A6A6A6"/>
            </w:tcBorders>
          </w:tcPr>
          <w:p>
            <w:pPr>
              <w:spacing w:after="0"/>
              <w:rPr>
                <w:sz w:val="5"/>
                <w:szCs w:val="5"/>
                <w:color w:val="auto"/>
              </w:rPr>
            </w:pPr>
          </w:p>
        </w:tc>
        <w:tc>
          <w:tcPr>
            <w:tcW w:w="92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360" w:type="dxa"/>
            <w:vAlign w:val="bottom"/>
            <w:tcBorders>
              <w:bottom w:val="single" w:sz="8" w:color="A6A6A6"/>
            </w:tcBorders>
          </w:tcPr>
          <w:p>
            <w:pPr>
              <w:spacing w:after="0"/>
              <w:rPr>
                <w:sz w:val="5"/>
                <w:szCs w:val="5"/>
                <w:color w:val="auto"/>
              </w:rPr>
            </w:pPr>
          </w:p>
        </w:tc>
        <w:tc>
          <w:tcPr>
            <w:tcW w:w="96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420" w:type="dxa"/>
            <w:vAlign w:val="bottom"/>
            <w:tcBorders>
              <w:bottom w:val="single" w:sz="8" w:color="A6A6A6"/>
            </w:tcBorders>
          </w:tcPr>
          <w:p>
            <w:pPr>
              <w:spacing w:after="0"/>
              <w:rPr>
                <w:sz w:val="5"/>
                <w:szCs w:val="5"/>
                <w:color w:val="auto"/>
              </w:rPr>
            </w:pPr>
          </w:p>
        </w:tc>
        <w:tc>
          <w:tcPr>
            <w:tcW w:w="88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5160" w:type="dxa"/>
            <w:vAlign w:val="bottom"/>
          </w:tcPr>
          <w:p>
            <w:pPr>
              <w:ind w:left="100"/>
              <w:spacing w:after="0"/>
              <w:rPr>
                <w:sz w:val="20"/>
                <w:szCs w:val="20"/>
                <w:color w:val="auto"/>
              </w:rPr>
            </w:pPr>
            <w:r>
              <w:rPr>
                <w:rFonts w:ascii="Arial Narrow" w:cs="Arial Narrow" w:eastAsia="Arial Narrow" w:hAnsi="Arial Narrow"/>
                <w:sz w:val="20"/>
                <w:szCs w:val="20"/>
                <w:b w:val="1"/>
                <w:bCs w:val="1"/>
                <w:color w:val="00085E"/>
              </w:rPr>
              <w:t>Income Taxes</w:t>
            </w:r>
          </w:p>
        </w:tc>
        <w:tc>
          <w:tcPr>
            <w:tcW w:w="400" w:type="dxa"/>
            <w:vAlign w:val="bottom"/>
          </w:tcPr>
          <w:p>
            <w:pPr>
              <w:spacing w:after="0"/>
              <w:rPr>
                <w:sz w:val="24"/>
                <w:szCs w:val="24"/>
                <w:color w:val="auto"/>
              </w:rPr>
            </w:pPr>
          </w:p>
        </w:tc>
        <w:tc>
          <w:tcPr>
            <w:tcW w:w="920" w:type="dxa"/>
            <w:vAlign w:val="bottom"/>
          </w:tcPr>
          <w:p>
            <w:pPr>
              <w:jc w:val="right"/>
              <w:ind w:right="3"/>
              <w:spacing w:after="0"/>
              <w:rPr>
                <w:sz w:val="20"/>
                <w:szCs w:val="20"/>
                <w:color w:val="auto"/>
              </w:rPr>
            </w:pPr>
            <w:r>
              <w:rPr>
                <w:rFonts w:ascii="Arial Narrow" w:cs="Arial Narrow" w:eastAsia="Arial Narrow" w:hAnsi="Arial Narrow"/>
                <w:sz w:val="20"/>
                <w:szCs w:val="20"/>
                <w:color w:val="auto"/>
              </w:rPr>
              <w:t>91,771</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ind w:right="2"/>
              <w:spacing w:after="0"/>
              <w:rPr>
                <w:sz w:val="20"/>
                <w:szCs w:val="20"/>
                <w:color w:val="auto"/>
              </w:rPr>
            </w:pPr>
            <w:r>
              <w:rPr>
                <w:rFonts w:ascii="Arial Narrow" w:cs="Arial Narrow" w:eastAsia="Arial Narrow" w:hAnsi="Arial Narrow"/>
                <w:sz w:val="20"/>
                <w:szCs w:val="20"/>
                <w:color w:val="auto"/>
              </w:rPr>
              <w:t>140,786</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ind w:right="2"/>
              <w:spacing w:after="0"/>
              <w:rPr>
                <w:sz w:val="20"/>
                <w:szCs w:val="20"/>
                <w:color w:val="auto"/>
              </w:rPr>
            </w:pPr>
            <w:r>
              <w:rPr>
                <w:rFonts w:ascii="Arial Narrow" w:cs="Arial Narrow" w:eastAsia="Arial Narrow" w:hAnsi="Arial Narrow"/>
                <w:sz w:val="20"/>
                <w:szCs w:val="20"/>
                <w:color w:val="auto"/>
              </w:rPr>
              <w:t>124,482</w:t>
            </w:r>
          </w:p>
        </w:tc>
        <w:tc>
          <w:tcPr>
            <w:tcW w:w="0" w:type="dxa"/>
            <w:vAlign w:val="bottom"/>
          </w:tcPr>
          <w:p>
            <w:pPr>
              <w:spacing w:after="0"/>
              <w:rPr>
                <w:sz w:val="1"/>
                <w:szCs w:val="1"/>
                <w:color w:val="auto"/>
              </w:rPr>
            </w:pPr>
          </w:p>
        </w:tc>
      </w:tr>
      <w:tr>
        <w:trPr>
          <w:trHeight w:val="65"/>
        </w:trPr>
        <w:tc>
          <w:tcPr>
            <w:tcW w:w="5160" w:type="dxa"/>
            <w:vAlign w:val="bottom"/>
            <w:tcBorders>
              <w:bottom w:val="single" w:sz="8" w:color="A6A6A6"/>
            </w:tcBorders>
          </w:tcPr>
          <w:p>
            <w:pPr>
              <w:spacing w:after="0"/>
              <w:rPr>
                <w:sz w:val="5"/>
                <w:szCs w:val="5"/>
                <w:color w:val="auto"/>
              </w:rPr>
            </w:pPr>
          </w:p>
        </w:tc>
        <w:tc>
          <w:tcPr>
            <w:tcW w:w="400" w:type="dxa"/>
            <w:vAlign w:val="bottom"/>
            <w:tcBorders>
              <w:bottom w:val="single" w:sz="8" w:color="A6A6A6"/>
            </w:tcBorders>
          </w:tcPr>
          <w:p>
            <w:pPr>
              <w:spacing w:after="0"/>
              <w:rPr>
                <w:sz w:val="5"/>
                <w:szCs w:val="5"/>
                <w:color w:val="auto"/>
              </w:rPr>
            </w:pPr>
          </w:p>
        </w:tc>
        <w:tc>
          <w:tcPr>
            <w:tcW w:w="92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360" w:type="dxa"/>
            <w:vAlign w:val="bottom"/>
            <w:tcBorders>
              <w:bottom w:val="single" w:sz="8" w:color="A6A6A6"/>
            </w:tcBorders>
          </w:tcPr>
          <w:p>
            <w:pPr>
              <w:spacing w:after="0"/>
              <w:rPr>
                <w:sz w:val="5"/>
                <w:szCs w:val="5"/>
                <w:color w:val="auto"/>
              </w:rPr>
            </w:pPr>
          </w:p>
        </w:tc>
        <w:tc>
          <w:tcPr>
            <w:tcW w:w="96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420" w:type="dxa"/>
            <w:vAlign w:val="bottom"/>
            <w:tcBorders>
              <w:bottom w:val="single" w:sz="8" w:color="A6A6A6"/>
            </w:tcBorders>
          </w:tcPr>
          <w:p>
            <w:pPr>
              <w:spacing w:after="0"/>
              <w:rPr>
                <w:sz w:val="5"/>
                <w:szCs w:val="5"/>
                <w:color w:val="auto"/>
              </w:rPr>
            </w:pPr>
          </w:p>
        </w:tc>
        <w:tc>
          <w:tcPr>
            <w:tcW w:w="88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5160" w:type="dxa"/>
            <w:vAlign w:val="bottom"/>
          </w:tcPr>
          <w:p>
            <w:pPr>
              <w:ind w:left="100"/>
              <w:spacing w:after="0"/>
              <w:rPr>
                <w:sz w:val="20"/>
                <w:szCs w:val="20"/>
                <w:color w:val="auto"/>
              </w:rPr>
            </w:pPr>
            <w:r>
              <w:rPr>
                <w:rFonts w:ascii="Arial Narrow" w:cs="Arial Narrow" w:eastAsia="Arial Narrow" w:hAnsi="Arial Narrow"/>
                <w:sz w:val="20"/>
                <w:szCs w:val="20"/>
                <w:b w:val="1"/>
                <w:bCs w:val="1"/>
                <w:color w:val="00085E"/>
              </w:rPr>
              <w:t>Operating Cash Flows Used for Operating Leases</w:t>
            </w:r>
          </w:p>
        </w:tc>
        <w:tc>
          <w:tcPr>
            <w:tcW w:w="400" w:type="dxa"/>
            <w:vAlign w:val="bottom"/>
          </w:tcPr>
          <w:p>
            <w:pPr>
              <w:spacing w:after="0"/>
              <w:rPr>
                <w:sz w:val="24"/>
                <w:szCs w:val="24"/>
                <w:color w:val="auto"/>
              </w:rPr>
            </w:pPr>
          </w:p>
        </w:tc>
        <w:tc>
          <w:tcPr>
            <w:tcW w:w="920" w:type="dxa"/>
            <w:vAlign w:val="bottom"/>
          </w:tcPr>
          <w:p>
            <w:pPr>
              <w:jc w:val="right"/>
              <w:ind w:right="3"/>
              <w:spacing w:after="0"/>
              <w:rPr>
                <w:sz w:val="20"/>
                <w:szCs w:val="20"/>
                <w:color w:val="auto"/>
              </w:rPr>
            </w:pPr>
            <w:r>
              <w:rPr>
                <w:rFonts w:ascii="Arial Narrow" w:cs="Arial Narrow" w:eastAsia="Arial Narrow" w:hAnsi="Arial Narrow"/>
                <w:sz w:val="20"/>
                <w:szCs w:val="20"/>
                <w:color w:val="auto"/>
              </w:rPr>
              <w:t>5,858</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ind w:right="2"/>
              <w:spacing w:after="0"/>
              <w:rPr>
                <w:sz w:val="20"/>
                <w:szCs w:val="20"/>
                <w:color w:val="auto"/>
              </w:rPr>
            </w:pPr>
            <w:r>
              <w:rPr>
                <w:rFonts w:ascii="Arial Narrow" w:cs="Arial Narrow" w:eastAsia="Arial Narrow" w:hAnsi="Arial Narrow"/>
                <w:sz w:val="20"/>
                <w:szCs w:val="20"/>
                <w:color w:val="auto"/>
              </w:rPr>
              <w:t>8,708</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ind w:right="2"/>
              <w:spacing w:after="0"/>
              <w:rPr>
                <w:sz w:val="20"/>
                <w:szCs w:val="20"/>
                <w:color w:val="auto"/>
              </w:rPr>
            </w:pPr>
            <w:r>
              <w:rPr>
                <w:rFonts w:ascii="Arial Narrow" w:cs="Arial Narrow" w:eastAsia="Arial Narrow" w:hAnsi="Arial Narrow"/>
                <w:sz w:val="20"/>
                <w:szCs w:val="20"/>
                <w:color w:val="auto"/>
              </w:rPr>
              <w:t>9,286</w:t>
            </w:r>
          </w:p>
        </w:tc>
        <w:tc>
          <w:tcPr>
            <w:tcW w:w="0" w:type="dxa"/>
            <w:vAlign w:val="bottom"/>
          </w:tcPr>
          <w:p>
            <w:pPr>
              <w:spacing w:after="0"/>
              <w:rPr>
                <w:sz w:val="1"/>
                <w:szCs w:val="1"/>
                <w:color w:val="auto"/>
              </w:rPr>
            </w:pPr>
          </w:p>
        </w:tc>
      </w:tr>
      <w:tr>
        <w:trPr>
          <w:trHeight w:val="65"/>
        </w:trPr>
        <w:tc>
          <w:tcPr>
            <w:tcW w:w="5160" w:type="dxa"/>
            <w:vAlign w:val="bottom"/>
            <w:tcBorders>
              <w:bottom w:val="single" w:sz="8" w:color="A6A6A6"/>
            </w:tcBorders>
          </w:tcPr>
          <w:p>
            <w:pPr>
              <w:spacing w:after="0"/>
              <w:rPr>
                <w:sz w:val="5"/>
                <w:szCs w:val="5"/>
                <w:color w:val="auto"/>
              </w:rPr>
            </w:pPr>
          </w:p>
        </w:tc>
        <w:tc>
          <w:tcPr>
            <w:tcW w:w="400" w:type="dxa"/>
            <w:vAlign w:val="bottom"/>
            <w:tcBorders>
              <w:bottom w:val="single" w:sz="8" w:color="A6A6A6"/>
            </w:tcBorders>
          </w:tcPr>
          <w:p>
            <w:pPr>
              <w:spacing w:after="0"/>
              <w:rPr>
                <w:sz w:val="5"/>
                <w:szCs w:val="5"/>
                <w:color w:val="auto"/>
              </w:rPr>
            </w:pPr>
          </w:p>
        </w:tc>
        <w:tc>
          <w:tcPr>
            <w:tcW w:w="92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360" w:type="dxa"/>
            <w:vAlign w:val="bottom"/>
            <w:tcBorders>
              <w:bottom w:val="single" w:sz="8" w:color="A6A6A6"/>
            </w:tcBorders>
          </w:tcPr>
          <w:p>
            <w:pPr>
              <w:spacing w:after="0"/>
              <w:rPr>
                <w:sz w:val="5"/>
                <w:szCs w:val="5"/>
                <w:color w:val="auto"/>
              </w:rPr>
            </w:pPr>
          </w:p>
        </w:tc>
        <w:tc>
          <w:tcPr>
            <w:tcW w:w="96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420" w:type="dxa"/>
            <w:vAlign w:val="bottom"/>
            <w:tcBorders>
              <w:bottom w:val="single" w:sz="8" w:color="A6A6A6"/>
            </w:tcBorders>
          </w:tcPr>
          <w:p>
            <w:pPr>
              <w:spacing w:after="0"/>
              <w:rPr>
                <w:sz w:val="5"/>
                <w:szCs w:val="5"/>
                <w:color w:val="auto"/>
              </w:rPr>
            </w:pPr>
          </w:p>
        </w:tc>
        <w:tc>
          <w:tcPr>
            <w:tcW w:w="88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404"/>
        </w:trPr>
        <w:tc>
          <w:tcPr>
            <w:tcW w:w="5160" w:type="dxa"/>
            <w:vAlign w:val="bottom"/>
            <w:tcBorders>
              <w:bottom w:val="single" w:sz="8" w:color="A6A6A6"/>
            </w:tcBorders>
          </w:tcPr>
          <w:p>
            <w:pPr>
              <w:spacing w:after="0"/>
              <w:rPr>
                <w:sz w:val="24"/>
                <w:szCs w:val="24"/>
                <w:color w:val="auto"/>
              </w:rPr>
            </w:pPr>
          </w:p>
        </w:tc>
        <w:tc>
          <w:tcPr>
            <w:tcW w:w="400" w:type="dxa"/>
            <w:vAlign w:val="bottom"/>
            <w:tcBorders>
              <w:bottom w:val="single" w:sz="8" w:color="A6A6A6"/>
            </w:tcBorders>
          </w:tcPr>
          <w:p>
            <w:pPr>
              <w:spacing w:after="0"/>
              <w:rPr>
                <w:sz w:val="24"/>
                <w:szCs w:val="24"/>
                <w:color w:val="auto"/>
              </w:rPr>
            </w:pPr>
          </w:p>
        </w:tc>
        <w:tc>
          <w:tcPr>
            <w:tcW w:w="920" w:type="dxa"/>
            <w:vAlign w:val="bottom"/>
            <w:tcBorders>
              <w:bottom w:val="single" w:sz="8" w:color="A6A6A6"/>
            </w:tcBorders>
          </w:tcPr>
          <w:p>
            <w:pPr>
              <w:spacing w:after="0"/>
              <w:rPr>
                <w:sz w:val="24"/>
                <w:szCs w:val="24"/>
                <w:color w:val="auto"/>
              </w:rPr>
            </w:pPr>
          </w:p>
        </w:tc>
        <w:tc>
          <w:tcPr>
            <w:tcW w:w="120" w:type="dxa"/>
            <w:vAlign w:val="bottom"/>
            <w:tcBorders>
              <w:bottom w:val="single" w:sz="8" w:color="A6A6A6"/>
            </w:tcBorders>
          </w:tcPr>
          <w:p>
            <w:pPr>
              <w:spacing w:after="0"/>
              <w:rPr>
                <w:sz w:val="24"/>
                <w:szCs w:val="24"/>
                <w:color w:val="auto"/>
              </w:rPr>
            </w:pPr>
          </w:p>
        </w:tc>
        <w:tc>
          <w:tcPr>
            <w:tcW w:w="360" w:type="dxa"/>
            <w:vAlign w:val="bottom"/>
            <w:tcBorders>
              <w:bottom w:val="single" w:sz="8" w:color="A6A6A6"/>
            </w:tcBorders>
          </w:tcPr>
          <w:p>
            <w:pPr>
              <w:spacing w:after="0"/>
              <w:rPr>
                <w:sz w:val="24"/>
                <w:szCs w:val="24"/>
                <w:color w:val="auto"/>
              </w:rPr>
            </w:pPr>
          </w:p>
        </w:tc>
        <w:tc>
          <w:tcPr>
            <w:tcW w:w="960" w:type="dxa"/>
            <w:vAlign w:val="bottom"/>
            <w:tcBorders>
              <w:bottom w:val="single" w:sz="8" w:color="A6A6A6"/>
            </w:tcBorders>
          </w:tcPr>
          <w:p>
            <w:pPr>
              <w:spacing w:after="0"/>
              <w:rPr>
                <w:sz w:val="24"/>
                <w:szCs w:val="24"/>
                <w:color w:val="auto"/>
              </w:rPr>
            </w:pPr>
          </w:p>
        </w:tc>
        <w:tc>
          <w:tcPr>
            <w:tcW w:w="140" w:type="dxa"/>
            <w:vAlign w:val="bottom"/>
            <w:tcBorders>
              <w:bottom w:val="single" w:sz="8" w:color="A6A6A6"/>
            </w:tcBorders>
          </w:tcPr>
          <w:p>
            <w:pPr>
              <w:spacing w:after="0"/>
              <w:rPr>
                <w:sz w:val="24"/>
                <w:szCs w:val="24"/>
                <w:color w:val="auto"/>
              </w:rPr>
            </w:pPr>
          </w:p>
        </w:tc>
        <w:tc>
          <w:tcPr>
            <w:tcW w:w="420" w:type="dxa"/>
            <w:vAlign w:val="bottom"/>
            <w:tcBorders>
              <w:bottom w:val="single" w:sz="8" w:color="A6A6A6"/>
            </w:tcBorders>
          </w:tcPr>
          <w:p>
            <w:pPr>
              <w:spacing w:after="0"/>
              <w:rPr>
                <w:sz w:val="24"/>
                <w:szCs w:val="24"/>
                <w:color w:val="auto"/>
              </w:rPr>
            </w:pPr>
          </w:p>
        </w:tc>
        <w:tc>
          <w:tcPr>
            <w:tcW w:w="880" w:type="dxa"/>
            <w:vAlign w:val="bottom"/>
            <w:tcBorders>
              <w:bottom w:val="single" w:sz="8" w:color="A6A6A6"/>
            </w:tcBorders>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5160" w:type="dxa"/>
            <w:vAlign w:val="bottom"/>
          </w:tcPr>
          <w:p>
            <w:pPr>
              <w:spacing w:after="0"/>
              <w:rPr>
                <w:sz w:val="20"/>
                <w:szCs w:val="20"/>
                <w:color w:val="auto"/>
              </w:rPr>
            </w:pPr>
            <w:r>
              <w:rPr>
                <w:rFonts w:ascii="Arial Narrow" w:cs="Arial Narrow" w:eastAsia="Arial Narrow" w:hAnsi="Arial Narrow"/>
                <w:sz w:val="20"/>
                <w:szCs w:val="20"/>
                <w:b w:val="1"/>
                <w:bCs w:val="1"/>
                <w:color w:val="auto"/>
              </w:rPr>
              <w:t>Noncash Financing Activities:</w:t>
            </w: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5160" w:type="dxa"/>
            <w:vAlign w:val="bottom"/>
            <w:tcBorders>
              <w:bottom w:val="single" w:sz="8" w:color="A6A6A6"/>
            </w:tcBorders>
          </w:tcPr>
          <w:p>
            <w:pPr>
              <w:spacing w:after="0"/>
              <w:rPr>
                <w:sz w:val="5"/>
                <w:szCs w:val="5"/>
                <w:color w:val="auto"/>
              </w:rPr>
            </w:pPr>
          </w:p>
        </w:tc>
        <w:tc>
          <w:tcPr>
            <w:tcW w:w="400" w:type="dxa"/>
            <w:vAlign w:val="bottom"/>
            <w:tcBorders>
              <w:bottom w:val="single" w:sz="8" w:color="A6A6A6"/>
            </w:tcBorders>
          </w:tcPr>
          <w:p>
            <w:pPr>
              <w:spacing w:after="0"/>
              <w:rPr>
                <w:sz w:val="5"/>
                <w:szCs w:val="5"/>
                <w:color w:val="auto"/>
              </w:rPr>
            </w:pPr>
          </w:p>
        </w:tc>
        <w:tc>
          <w:tcPr>
            <w:tcW w:w="92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360" w:type="dxa"/>
            <w:vAlign w:val="bottom"/>
            <w:tcBorders>
              <w:bottom w:val="single" w:sz="8" w:color="A6A6A6"/>
            </w:tcBorders>
          </w:tcPr>
          <w:p>
            <w:pPr>
              <w:spacing w:after="0"/>
              <w:rPr>
                <w:sz w:val="5"/>
                <w:szCs w:val="5"/>
                <w:color w:val="auto"/>
              </w:rPr>
            </w:pPr>
          </w:p>
        </w:tc>
        <w:tc>
          <w:tcPr>
            <w:tcW w:w="96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420" w:type="dxa"/>
            <w:vAlign w:val="bottom"/>
            <w:tcBorders>
              <w:bottom w:val="single" w:sz="8" w:color="A6A6A6"/>
            </w:tcBorders>
          </w:tcPr>
          <w:p>
            <w:pPr>
              <w:spacing w:after="0"/>
              <w:rPr>
                <w:sz w:val="5"/>
                <w:szCs w:val="5"/>
                <w:color w:val="auto"/>
              </w:rPr>
            </w:pPr>
          </w:p>
        </w:tc>
        <w:tc>
          <w:tcPr>
            <w:tcW w:w="88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287"/>
        </w:trPr>
        <w:tc>
          <w:tcPr>
            <w:tcW w:w="5160" w:type="dxa"/>
            <w:vAlign w:val="bottom"/>
          </w:tcPr>
          <w:p>
            <w:pPr>
              <w:ind w:left="100"/>
              <w:spacing w:after="0"/>
              <w:rPr>
                <w:sz w:val="20"/>
                <w:szCs w:val="20"/>
                <w:color w:val="auto"/>
              </w:rPr>
            </w:pPr>
            <w:r>
              <w:rPr>
                <w:rFonts w:ascii="Arial Narrow" w:cs="Arial Narrow" w:eastAsia="Arial Narrow" w:hAnsi="Arial Narrow"/>
                <w:sz w:val="20"/>
                <w:szCs w:val="20"/>
                <w:b w:val="1"/>
                <w:bCs w:val="1"/>
                <w:color w:val="00085E"/>
              </w:rPr>
              <w:t>Right-of-Use Assets Obtained for Capitalized Operating</w:t>
            </w:r>
          </w:p>
        </w:tc>
        <w:tc>
          <w:tcPr>
            <w:tcW w:w="400" w:type="dxa"/>
            <w:vAlign w:val="bottom"/>
            <w:vMerge w:val="restart"/>
          </w:tcPr>
          <w:p>
            <w:pPr>
              <w:jc w:val="right"/>
              <w:ind w:right="200"/>
              <w:spacing w:after="0"/>
              <w:rPr>
                <w:sz w:val="20"/>
                <w:szCs w:val="20"/>
                <w:color w:val="auto"/>
              </w:rPr>
            </w:pPr>
            <w:r>
              <w:rPr>
                <w:rFonts w:ascii="Arial Narrow" w:cs="Arial Narrow" w:eastAsia="Arial Narrow" w:hAnsi="Arial Narrow"/>
                <w:sz w:val="20"/>
                <w:szCs w:val="20"/>
                <w:color w:val="auto"/>
                <w:w w:val="87"/>
              </w:rPr>
              <w:t>$</w:t>
            </w:r>
          </w:p>
        </w:tc>
        <w:tc>
          <w:tcPr>
            <w:tcW w:w="920" w:type="dxa"/>
            <w:vAlign w:val="bottom"/>
            <w:vMerge w:val="restart"/>
          </w:tcPr>
          <w:p>
            <w:pPr>
              <w:jc w:val="right"/>
              <w:ind w:right="3"/>
              <w:spacing w:after="0"/>
              <w:rPr>
                <w:sz w:val="20"/>
                <w:szCs w:val="20"/>
                <w:color w:val="auto"/>
              </w:rPr>
            </w:pPr>
            <w:r>
              <w:rPr>
                <w:rFonts w:ascii="Arial Narrow" w:cs="Arial Narrow" w:eastAsia="Arial Narrow" w:hAnsi="Arial Narrow"/>
                <w:sz w:val="20"/>
                <w:szCs w:val="20"/>
                <w:color w:val="auto"/>
              </w:rPr>
              <w:t>3,325</w:t>
            </w:r>
          </w:p>
        </w:tc>
        <w:tc>
          <w:tcPr>
            <w:tcW w:w="480" w:type="dxa"/>
            <w:vAlign w:val="bottom"/>
            <w:gridSpan w:val="2"/>
            <w:vMerge w:val="restart"/>
          </w:tcPr>
          <w:p>
            <w:pPr>
              <w:jc w:val="right"/>
              <w:ind w:right="180"/>
              <w:spacing w:after="0"/>
              <w:rPr>
                <w:sz w:val="20"/>
                <w:szCs w:val="20"/>
                <w:color w:val="auto"/>
              </w:rPr>
            </w:pPr>
            <w:r>
              <w:rPr>
                <w:rFonts w:ascii="Arial Narrow" w:cs="Arial Narrow" w:eastAsia="Arial Narrow" w:hAnsi="Arial Narrow"/>
                <w:sz w:val="20"/>
                <w:szCs w:val="20"/>
                <w:color w:val="auto"/>
              </w:rPr>
              <w:t>$</w:t>
            </w:r>
          </w:p>
        </w:tc>
        <w:tc>
          <w:tcPr>
            <w:tcW w:w="960" w:type="dxa"/>
            <w:vAlign w:val="bottom"/>
            <w:vMerge w:val="restart"/>
          </w:tcPr>
          <w:p>
            <w:pPr>
              <w:jc w:val="right"/>
              <w:ind w:right="2"/>
              <w:spacing w:after="0"/>
              <w:rPr>
                <w:sz w:val="20"/>
                <w:szCs w:val="20"/>
                <w:color w:val="auto"/>
              </w:rPr>
            </w:pPr>
            <w:r>
              <w:rPr>
                <w:rFonts w:ascii="Arial Narrow" w:cs="Arial Narrow" w:eastAsia="Arial Narrow" w:hAnsi="Arial Narrow"/>
                <w:sz w:val="20"/>
                <w:szCs w:val="20"/>
                <w:color w:val="auto"/>
              </w:rPr>
              <w:t>18,373</w:t>
            </w:r>
          </w:p>
        </w:tc>
        <w:tc>
          <w:tcPr>
            <w:tcW w:w="560" w:type="dxa"/>
            <w:vAlign w:val="bottom"/>
            <w:gridSpan w:val="2"/>
            <w:vMerge w:val="restart"/>
          </w:tcPr>
          <w:p>
            <w:pPr>
              <w:jc w:val="right"/>
              <w:ind w:right="340"/>
              <w:spacing w:after="0"/>
              <w:rPr>
                <w:sz w:val="20"/>
                <w:szCs w:val="20"/>
                <w:color w:val="auto"/>
              </w:rPr>
            </w:pPr>
            <w:r>
              <w:rPr>
                <w:rFonts w:ascii="Arial Narrow" w:cs="Arial Narrow" w:eastAsia="Arial Narrow" w:hAnsi="Arial Narrow"/>
                <w:sz w:val="20"/>
                <w:szCs w:val="20"/>
                <w:color w:val="auto"/>
              </w:rPr>
              <w:t>$</w:t>
            </w:r>
          </w:p>
        </w:tc>
        <w:tc>
          <w:tcPr>
            <w:tcW w:w="880" w:type="dxa"/>
            <w:vAlign w:val="bottom"/>
            <w:vMerge w:val="restart"/>
          </w:tcPr>
          <w:p>
            <w:pPr>
              <w:jc w:val="right"/>
              <w:ind w:right="2"/>
              <w:spacing w:after="0"/>
              <w:rPr>
                <w:sz w:val="20"/>
                <w:szCs w:val="20"/>
                <w:color w:val="auto"/>
              </w:rPr>
            </w:pPr>
            <w:r>
              <w:rPr>
                <w:rFonts w:ascii="Arial Narrow" w:cs="Arial Narrow" w:eastAsia="Arial Narrow" w:hAnsi="Arial Narrow"/>
                <w:sz w:val="20"/>
                <w:szCs w:val="20"/>
                <w:color w:val="auto"/>
              </w:rPr>
              <w:t>6,465</w:t>
            </w:r>
          </w:p>
        </w:tc>
        <w:tc>
          <w:tcPr>
            <w:tcW w:w="0" w:type="dxa"/>
            <w:vAlign w:val="bottom"/>
          </w:tcPr>
          <w:p>
            <w:pPr>
              <w:spacing w:after="0"/>
              <w:rPr>
                <w:sz w:val="1"/>
                <w:szCs w:val="1"/>
                <w:color w:val="auto"/>
              </w:rPr>
            </w:pPr>
          </w:p>
        </w:tc>
      </w:tr>
      <w:tr>
        <w:trPr>
          <w:trHeight w:val="167"/>
        </w:trPr>
        <w:tc>
          <w:tcPr>
            <w:tcW w:w="5160" w:type="dxa"/>
            <w:vAlign w:val="bottom"/>
            <w:vMerge w:val="restart"/>
          </w:tcPr>
          <w:p>
            <w:pPr>
              <w:ind w:left="240"/>
              <w:spacing w:after="0"/>
              <w:rPr>
                <w:sz w:val="20"/>
                <w:szCs w:val="20"/>
                <w:color w:val="auto"/>
              </w:rPr>
            </w:pPr>
            <w:r>
              <w:rPr>
                <w:rFonts w:ascii="Arial Narrow" w:cs="Arial Narrow" w:eastAsia="Arial Narrow" w:hAnsi="Arial Narrow"/>
                <w:sz w:val="20"/>
                <w:szCs w:val="20"/>
                <w:b w:val="1"/>
                <w:bCs w:val="1"/>
                <w:color w:val="00085E"/>
              </w:rPr>
              <w:t>Leases</w:t>
            </w:r>
          </w:p>
        </w:tc>
        <w:tc>
          <w:tcPr>
            <w:tcW w:w="4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516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5160" w:type="dxa"/>
            <w:vAlign w:val="bottom"/>
            <w:tcBorders>
              <w:bottom w:val="single" w:sz="8" w:color="A6A6A6"/>
            </w:tcBorders>
          </w:tcPr>
          <w:p>
            <w:pPr>
              <w:spacing w:after="0"/>
              <w:rPr>
                <w:sz w:val="5"/>
                <w:szCs w:val="5"/>
                <w:color w:val="auto"/>
              </w:rPr>
            </w:pPr>
          </w:p>
        </w:tc>
        <w:tc>
          <w:tcPr>
            <w:tcW w:w="400" w:type="dxa"/>
            <w:vAlign w:val="bottom"/>
            <w:tcBorders>
              <w:bottom w:val="single" w:sz="8" w:color="A6A6A6"/>
            </w:tcBorders>
          </w:tcPr>
          <w:p>
            <w:pPr>
              <w:spacing w:after="0"/>
              <w:rPr>
                <w:sz w:val="5"/>
                <w:szCs w:val="5"/>
                <w:color w:val="auto"/>
              </w:rPr>
            </w:pPr>
          </w:p>
        </w:tc>
        <w:tc>
          <w:tcPr>
            <w:tcW w:w="92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360" w:type="dxa"/>
            <w:vAlign w:val="bottom"/>
            <w:tcBorders>
              <w:bottom w:val="single" w:sz="8" w:color="A6A6A6"/>
            </w:tcBorders>
          </w:tcPr>
          <w:p>
            <w:pPr>
              <w:spacing w:after="0"/>
              <w:rPr>
                <w:sz w:val="5"/>
                <w:szCs w:val="5"/>
                <w:color w:val="auto"/>
              </w:rPr>
            </w:pPr>
          </w:p>
        </w:tc>
        <w:tc>
          <w:tcPr>
            <w:tcW w:w="96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420" w:type="dxa"/>
            <w:vAlign w:val="bottom"/>
            <w:tcBorders>
              <w:bottom w:val="single" w:sz="8" w:color="A6A6A6"/>
            </w:tcBorders>
          </w:tcPr>
          <w:p>
            <w:pPr>
              <w:spacing w:after="0"/>
              <w:rPr>
                <w:sz w:val="5"/>
                <w:szCs w:val="5"/>
                <w:color w:val="auto"/>
              </w:rPr>
            </w:pPr>
          </w:p>
        </w:tc>
        <w:tc>
          <w:tcPr>
            <w:tcW w:w="88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5160" w:type="dxa"/>
            <w:vAlign w:val="bottom"/>
          </w:tcPr>
          <w:p>
            <w:pPr>
              <w:ind w:left="100"/>
              <w:spacing w:after="0"/>
              <w:rPr>
                <w:sz w:val="20"/>
                <w:szCs w:val="20"/>
                <w:color w:val="auto"/>
              </w:rPr>
            </w:pPr>
            <w:r>
              <w:rPr>
                <w:rFonts w:ascii="Arial Narrow" w:cs="Arial Narrow" w:eastAsia="Arial Narrow" w:hAnsi="Arial Narrow"/>
                <w:sz w:val="20"/>
                <w:szCs w:val="20"/>
                <w:b w:val="1"/>
                <w:bCs w:val="1"/>
                <w:color w:val="00085E"/>
              </w:rPr>
              <w:t>Excise Tax on Share Repurchases</w:t>
            </w:r>
          </w:p>
        </w:tc>
        <w:tc>
          <w:tcPr>
            <w:tcW w:w="400" w:type="dxa"/>
            <w:vAlign w:val="bottom"/>
          </w:tcPr>
          <w:p>
            <w:pPr>
              <w:spacing w:after="0"/>
              <w:rPr>
                <w:sz w:val="24"/>
                <w:szCs w:val="24"/>
                <w:color w:val="auto"/>
              </w:rPr>
            </w:pPr>
          </w:p>
        </w:tc>
        <w:tc>
          <w:tcPr>
            <w:tcW w:w="920" w:type="dxa"/>
            <w:vAlign w:val="bottom"/>
          </w:tcPr>
          <w:p>
            <w:pPr>
              <w:jc w:val="right"/>
              <w:ind w:right="3"/>
              <w:spacing w:after="0"/>
              <w:rPr>
                <w:sz w:val="20"/>
                <w:szCs w:val="20"/>
                <w:color w:val="auto"/>
              </w:rPr>
            </w:pPr>
            <w:r>
              <w:rPr>
                <w:rFonts w:ascii="Arial Narrow" w:cs="Arial Narrow" w:eastAsia="Arial Narrow" w:hAnsi="Arial Narrow"/>
                <w:sz w:val="20"/>
                <w:szCs w:val="20"/>
                <w:color w:val="auto"/>
              </w:rPr>
              <w:t>3,819</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ind w:right="2"/>
              <w:spacing w:after="0"/>
              <w:rPr>
                <w:sz w:val="20"/>
                <w:szCs w:val="20"/>
                <w:color w:val="auto"/>
              </w:rPr>
            </w:pPr>
            <w:r>
              <w:rPr>
                <w:rFonts w:ascii="Arial Narrow" w:cs="Arial Narrow" w:eastAsia="Arial Narrow" w:hAnsi="Arial Narrow"/>
                <w:sz w:val="20"/>
                <w:szCs w:val="20"/>
                <w:color w:val="auto"/>
              </w:rPr>
              <w:t>2,982</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ind w:right="2"/>
              <w:spacing w:after="0"/>
              <w:rPr>
                <w:sz w:val="20"/>
                <w:szCs w:val="20"/>
                <w:color w:val="auto"/>
              </w:rPr>
            </w:pPr>
            <w:r>
              <w:rPr>
                <w:rFonts w:ascii="Arial Narrow" w:cs="Arial Narrow" w:eastAsia="Arial Narrow" w:hAnsi="Arial Narrow"/>
                <w:sz w:val="20"/>
                <w:szCs w:val="20"/>
                <w:color w:val="auto"/>
              </w:rPr>
              <w:t>3,432</w:t>
            </w:r>
          </w:p>
        </w:tc>
        <w:tc>
          <w:tcPr>
            <w:tcW w:w="0" w:type="dxa"/>
            <w:vAlign w:val="bottom"/>
          </w:tcPr>
          <w:p>
            <w:pPr>
              <w:spacing w:after="0"/>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085E"/>
        </w:rPr>
        <w:t>Selling, General, and Administrative Expenses</w:t>
      </w:r>
    </w:p>
    <w:p>
      <w:pPr>
        <w:spacing w:after="0" w:line="161" w:lineRule="exact"/>
        <w:rPr>
          <w:sz w:val="20"/>
          <w:szCs w:val="20"/>
          <w:color w:val="auto"/>
        </w:rPr>
      </w:pPr>
    </w:p>
    <w:p>
      <w:pPr>
        <w:ind w:right="180"/>
        <w:spacing w:after="0" w:line="292" w:lineRule="auto"/>
        <w:rPr>
          <w:sz w:val="20"/>
          <w:szCs w:val="20"/>
          <w:color w:val="auto"/>
        </w:rPr>
      </w:pPr>
      <w:r>
        <w:rPr>
          <w:rFonts w:ascii="Arial" w:cs="Arial" w:eastAsia="Arial" w:hAnsi="Arial"/>
          <w:sz w:val="20"/>
          <w:szCs w:val="20"/>
          <w:color w:val="auto"/>
        </w:rPr>
        <w:t>Selling, General, and Administrative Expenses of the operating units are included in Cost of Goods Sold on the Consolidated Statements of Earnings. Corporate General and Administrative (Corporate G&amp;A) Expenses include administration, financial, legal, employee benefits, and other corporate activities, and are shown separately in the Consolidated Statements of Earnings. Corporate G&amp;A also includes stock compensation expense. See Footnote (K) for more information.</w:t>
      </w:r>
    </w:p>
    <w:p>
      <w:pPr>
        <w:spacing w:after="0" w:line="71" w:lineRule="exact"/>
        <w:rPr>
          <w:sz w:val="20"/>
          <w:szCs w:val="20"/>
          <w:color w:val="auto"/>
        </w:rPr>
      </w:pPr>
    </w:p>
    <w:p>
      <w:pPr>
        <w:ind w:right="640"/>
        <w:spacing w:after="0" w:line="325" w:lineRule="auto"/>
        <w:rPr>
          <w:sz w:val="20"/>
          <w:szCs w:val="20"/>
          <w:color w:val="auto"/>
        </w:rPr>
      </w:pPr>
      <w:r>
        <w:rPr>
          <w:rFonts w:ascii="Arial" w:cs="Arial" w:eastAsia="Arial" w:hAnsi="Arial"/>
          <w:sz w:val="20"/>
          <w:szCs w:val="20"/>
          <w:color w:val="auto"/>
        </w:rPr>
        <w:t>Total Selling, General, and Administrative Expenses for the past three fiscal years are summarized below.</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5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960" w:type="dxa"/>
            <w:vAlign w:val="bottom"/>
            <w:gridSpan w:val="6"/>
          </w:tcPr>
          <w:p>
            <w:pPr>
              <w:jc w:val="right"/>
              <w:ind w:right="180"/>
              <w:spacing w:after="0"/>
              <w:rPr>
                <w:sz w:val="20"/>
                <w:szCs w:val="20"/>
                <w:color w:val="auto"/>
              </w:rPr>
            </w:pPr>
            <w:r>
              <w:rPr>
                <w:rFonts w:ascii="Arial Narrow" w:cs="Arial Narrow" w:eastAsia="Arial Narrow" w:hAnsi="Arial Narrow"/>
                <w:sz w:val="18"/>
                <w:szCs w:val="18"/>
                <w:b w:val="1"/>
                <w:bCs w:val="1"/>
                <w:color w:val="auto"/>
              </w:rPr>
              <w:t>For the Years Ended March 31,</w:t>
            </w:r>
          </w:p>
        </w:tc>
        <w:tc>
          <w:tcPr>
            <w:tcW w:w="880" w:type="dxa"/>
            <w:vAlign w:val="bottom"/>
          </w:tcPr>
          <w:p>
            <w:pPr>
              <w:spacing w:after="0"/>
              <w:rPr>
                <w:sz w:val="22"/>
                <w:szCs w:val="22"/>
                <w:color w:val="auto"/>
              </w:rPr>
            </w:pPr>
          </w:p>
        </w:tc>
      </w:tr>
      <w:tr>
        <w:trPr>
          <w:trHeight w:val="21"/>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69"/>
        </w:trPr>
        <w:tc>
          <w:tcPr>
            <w:tcW w:w="5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ind w:right="4"/>
              <w:spacing w:after="0"/>
              <w:rPr>
                <w:sz w:val="20"/>
                <w:szCs w:val="20"/>
                <w:color w:val="auto"/>
              </w:rPr>
            </w:pPr>
            <w:r>
              <w:rPr>
                <w:rFonts w:ascii="Arial Narrow" w:cs="Arial Narrow" w:eastAsia="Arial Narrow" w:hAnsi="Arial Narrow"/>
                <w:sz w:val="18"/>
                <w:szCs w:val="18"/>
                <w:b w:val="1"/>
                <w:bCs w:val="1"/>
                <w:color w:val="auto"/>
              </w:rPr>
              <w:t>2026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ind w:right="3"/>
              <w:spacing w:after="0"/>
              <w:rPr>
                <w:sz w:val="20"/>
                <w:szCs w:val="20"/>
                <w:color w:val="auto"/>
              </w:rPr>
            </w:pPr>
            <w:r>
              <w:rPr>
                <w:rFonts w:ascii="Arial Narrow" w:cs="Arial Narrow" w:eastAsia="Arial Narrow" w:hAnsi="Arial Narrow"/>
                <w:sz w:val="18"/>
                <w:szCs w:val="18"/>
                <w:b w:val="1"/>
                <w:bCs w:val="1"/>
                <w:color w:val="auto"/>
              </w:rPr>
              <w:t>2025</w:t>
            </w: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80" w:type="dxa"/>
            <w:vAlign w:val="bottom"/>
          </w:tcPr>
          <w:p>
            <w:pPr>
              <w:jc w:val="right"/>
              <w:ind w:right="3"/>
              <w:spacing w:after="0"/>
              <w:rPr>
                <w:sz w:val="20"/>
                <w:szCs w:val="20"/>
                <w:color w:val="auto"/>
              </w:rPr>
            </w:pPr>
            <w:r>
              <w:rPr>
                <w:rFonts w:ascii="Arial Narrow" w:cs="Arial Narrow" w:eastAsia="Arial Narrow" w:hAnsi="Arial Narrow"/>
                <w:sz w:val="18"/>
                <w:szCs w:val="18"/>
                <w:b w:val="1"/>
                <w:bCs w:val="1"/>
                <w:color w:val="auto"/>
              </w:rPr>
              <w:t>2024</w:t>
            </w:r>
          </w:p>
        </w:tc>
      </w:tr>
      <w:tr>
        <w:trPr>
          <w:trHeight w:val="21"/>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44"/>
        </w:trPr>
        <w:tc>
          <w:tcPr>
            <w:tcW w:w="5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40" w:type="dxa"/>
            <w:vAlign w:val="bottom"/>
            <w:gridSpan w:val="3"/>
          </w:tcPr>
          <w:p>
            <w:pPr>
              <w:jc w:val="right"/>
              <w:spacing w:after="0"/>
              <w:rPr>
                <w:sz w:val="20"/>
                <w:szCs w:val="20"/>
                <w:color w:val="auto"/>
              </w:rPr>
            </w:pPr>
            <w:r>
              <w:rPr>
                <w:rFonts w:ascii="Arial Narrow" w:cs="Arial Narrow" w:eastAsia="Arial Narrow" w:hAnsi="Arial Narrow"/>
                <w:sz w:val="16"/>
                <w:szCs w:val="16"/>
                <w:color w:val="auto"/>
              </w:rPr>
              <w:t>(dollars in thousands)</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48"/>
        </w:trPr>
        <w:tc>
          <w:tcPr>
            <w:tcW w:w="51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gridSpan w:val="2"/>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gridSpan w:val="2"/>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344"/>
        </w:trPr>
        <w:tc>
          <w:tcPr>
            <w:tcW w:w="5160" w:type="dxa"/>
            <w:vAlign w:val="bottom"/>
          </w:tcPr>
          <w:p>
            <w:pPr>
              <w:spacing w:after="0"/>
              <w:rPr>
                <w:sz w:val="20"/>
                <w:szCs w:val="20"/>
                <w:color w:val="auto"/>
              </w:rPr>
            </w:pPr>
            <w:r>
              <w:rPr>
                <w:rFonts w:ascii="Arial Narrow" w:cs="Arial Narrow" w:eastAsia="Arial Narrow" w:hAnsi="Arial Narrow"/>
                <w:sz w:val="20"/>
                <w:szCs w:val="20"/>
                <w:b w:val="1"/>
                <w:bCs w:val="1"/>
                <w:color w:val="00085E"/>
              </w:rPr>
              <w:t>Operating Units Selling, G&amp;A</w:t>
            </w:r>
          </w:p>
        </w:tc>
        <w:tc>
          <w:tcPr>
            <w:tcW w:w="360" w:type="dxa"/>
            <w:vAlign w:val="bottom"/>
          </w:tcPr>
          <w:p>
            <w:pPr>
              <w:jc w:val="right"/>
              <w:ind w:right="160"/>
              <w:spacing w:after="0"/>
              <w:rPr>
                <w:sz w:val="20"/>
                <w:szCs w:val="20"/>
                <w:color w:val="auto"/>
              </w:rPr>
            </w:pPr>
            <w:r>
              <w:rPr>
                <w:rFonts w:ascii="Arial Narrow" w:cs="Arial Narrow" w:eastAsia="Arial Narrow" w:hAnsi="Arial Narrow"/>
                <w:sz w:val="20"/>
                <w:szCs w:val="20"/>
                <w:color w:val="auto"/>
                <w:w w:val="87"/>
              </w:rPr>
              <w:t>$</w:t>
            </w:r>
          </w:p>
        </w:tc>
        <w:tc>
          <w:tcPr>
            <w:tcW w:w="960" w:type="dxa"/>
            <w:vAlign w:val="bottom"/>
          </w:tcPr>
          <w:p>
            <w:pPr>
              <w:jc w:val="right"/>
              <w:ind w:right="4"/>
              <w:spacing w:after="0"/>
              <w:rPr>
                <w:sz w:val="20"/>
                <w:szCs w:val="20"/>
                <w:color w:val="auto"/>
              </w:rPr>
            </w:pPr>
            <w:r>
              <w:rPr>
                <w:rFonts w:ascii="Arial Narrow" w:cs="Arial Narrow" w:eastAsia="Arial Narrow" w:hAnsi="Arial Narrow"/>
                <w:sz w:val="20"/>
                <w:szCs w:val="20"/>
                <w:color w:val="auto"/>
              </w:rPr>
              <w:t>77,944</w:t>
            </w:r>
          </w:p>
        </w:tc>
        <w:tc>
          <w:tcPr>
            <w:tcW w:w="480" w:type="dxa"/>
            <w:vAlign w:val="bottom"/>
            <w:gridSpan w:val="2"/>
          </w:tcPr>
          <w:p>
            <w:pPr>
              <w:jc w:val="right"/>
              <w:ind w:right="260"/>
              <w:spacing w:after="0"/>
              <w:rPr>
                <w:sz w:val="20"/>
                <w:szCs w:val="20"/>
                <w:color w:val="auto"/>
              </w:rPr>
            </w:pPr>
            <w:r>
              <w:rPr>
                <w:rFonts w:ascii="Arial Narrow" w:cs="Arial Narrow" w:eastAsia="Arial Narrow" w:hAnsi="Arial Narrow"/>
                <w:sz w:val="20"/>
                <w:szCs w:val="20"/>
                <w:color w:val="auto"/>
              </w:rPr>
              <w:t>$</w:t>
            </w:r>
          </w:p>
        </w:tc>
        <w:tc>
          <w:tcPr>
            <w:tcW w:w="960" w:type="dxa"/>
            <w:vAlign w:val="bottom"/>
          </w:tcPr>
          <w:p>
            <w:pPr>
              <w:jc w:val="right"/>
              <w:ind w:right="3"/>
              <w:spacing w:after="0"/>
              <w:rPr>
                <w:sz w:val="20"/>
                <w:szCs w:val="20"/>
                <w:color w:val="auto"/>
              </w:rPr>
            </w:pPr>
            <w:r>
              <w:rPr>
                <w:rFonts w:ascii="Arial Narrow" w:cs="Arial Narrow" w:eastAsia="Arial Narrow" w:hAnsi="Arial Narrow"/>
                <w:sz w:val="20"/>
                <w:szCs w:val="20"/>
                <w:color w:val="auto"/>
              </w:rPr>
              <w:t>74,713</w:t>
            </w:r>
          </w:p>
        </w:tc>
        <w:tc>
          <w:tcPr>
            <w:tcW w:w="560" w:type="dxa"/>
            <w:vAlign w:val="bottom"/>
            <w:gridSpan w:val="2"/>
          </w:tcPr>
          <w:p>
            <w:pPr>
              <w:jc w:val="right"/>
              <w:ind w:right="340"/>
              <w:spacing w:after="0"/>
              <w:rPr>
                <w:sz w:val="20"/>
                <w:szCs w:val="20"/>
                <w:color w:val="auto"/>
              </w:rPr>
            </w:pPr>
            <w:r>
              <w:rPr>
                <w:rFonts w:ascii="Arial Narrow" w:cs="Arial Narrow" w:eastAsia="Arial Narrow" w:hAnsi="Arial Narrow"/>
                <w:sz w:val="20"/>
                <w:szCs w:val="20"/>
                <w:color w:val="auto"/>
              </w:rPr>
              <w:t>$</w:t>
            </w:r>
          </w:p>
        </w:tc>
        <w:tc>
          <w:tcPr>
            <w:tcW w:w="880" w:type="dxa"/>
            <w:vAlign w:val="bottom"/>
          </w:tcPr>
          <w:p>
            <w:pPr>
              <w:jc w:val="right"/>
              <w:ind w:right="3"/>
              <w:spacing w:after="0"/>
              <w:rPr>
                <w:sz w:val="20"/>
                <w:szCs w:val="20"/>
                <w:color w:val="auto"/>
              </w:rPr>
            </w:pPr>
            <w:r>
              <w:rPr>
                <w:rFonts w:ascii="Arial Narrow" w:cs="Arial Narrow" w:eastAsia="Arial Narrow" w:hAnsi="Arial Narrow"/>
                <w:sz w:val="20"/>
                <w:szCs w:val="20"/>
                <w:color w:val="auto"/>
              </w:rPr>
              <w:t>75,001</w:t>
            </w:r>
          </w:p>
        </w:tc>
      </w:tr>
      <w:tr>
        <w:trPr>
          <w:trHeight w:val="65"/>
        </w:trPr>
        <w:tc>
          <w:tcPr>
            <w:tcW w:w="5160" w:type="dxa"/>
            <w:vAlign w:val="bottom"/>
            <w:tcBorders>
              <w:bottom w:val="single" w:sz="8" w:color="A6A6A6"/>
            </w:tcBorders>
          </w:tcPr>
          <w:p>
            <w:pPr>
              <w:spacing w:after="0"/>
              <w:rPr>
                <w:sz w:val="5"/>
                <w:szCs w:val="5"/>
                <w:color w:val="auto"/>
              </w:rPr>
            </w:pPr>
          </w:p>
        </w:tc>
        <w:tc>
          <w:tcPr>
            <w:tcW w:w="360" w:type="dxa"/>
            <w:vAlign w:val="bottom"/>
            <w:tcBorders>
              <w:bottom w:val="single" w:sz="8" w:color="A6A6A6"/>
            </w:tcBorders>
          </w:tcPr>
          <w:p>
            <w:pPr>
              <w:spacing w:after="0"/>
              <w:rPr>
                <w:sz w:val="5"/>
                <w:szCs w:val="5"/>
                <w:color w:val="auto"/>
              </w:rPr>
            </w:pPr>
          </w:p>
        </w:tc>
        <w:tc>
          <w:tcPr>
            <w:tcW w:w="96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360" w:type="dxa"/>
            <w:vAlign w:val="bottom"/>
            <w:tcBorders>
              <w:bottom w:val="single" w:sz="8" w:color="A6A6A6"/>
            </w:tcBorders>
          </w:tcPr>
          <w:p>
            <w:pPr>
              <w:spacing w:after="0"/>
              <w:rPr>
                <w:sz w:val="5"/>
                <w:szCs w:val="5"/>
                <w:color w:val="auto"/>
              </w:rPr>
            </w:pPr>
          </w:p>
        </w:tc>
        <w:tc>
          <w:tcPr>
            <w:tcW w:w="96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420" w:type="dxa"/>
            <w:vAlign w:val="bottom"/>
            <w:tcBorders>
              <w:bottom w:val="single" w:sz="8" w:color="A6A6A6"/>
            </w:tcBorders>
          </w:tcPr>
          <w:p>
            <w:pPr>
              <w:spacing w:after="0"/>
              <w:rPr>
                <w:sz w:val="5"/>
                <w:szCs w:val="5"/>
                <w:color w:val="auto"/>
              </w:rPr>
            </w:pPr>
          </w:p>
        </w:tc>
        <w:tc>
          <w:tcPr>
            <w:tcW w:w="880" w:type="dxa"/>
            <w:vAlign w:val="bottom"/>
            <w:tcBorders>
              <w:bottom w:val="single" w:sz="8" w:color="A6A6A6"/>
            </w:tcBorders>
          </w:tcPr>
          <w:p>
            <w:pPr>
              <w:spacing w:after="0"/>
              <w:rPr>
                <w:sz w:val="5"/>
                <w:szCs w:val="5"/>
                <w:color w:val="auto"/>
              </w:rPr>
            </w:pPr>
          </w:p>
        </w:tc>
      </w:tr>
      <w:tr>
        <w:trPr>
          <w:trHeight w:val="339"/>
        </w:trPr>
        <w:tc>
          <w:tcPr>
            <w:tcW w:w="5160" w:type="dxa"/>
            <w:vAlign w:val="bottom"/>
          </w:tcPr>
          <w:p>
            <w:pPr>
              <w:spacing w:after="0"/>
              <w:rPr>
                <w:sz w:val="20"/>
                <w:szCs w:val="20"/>
                <w:color w:val="auto"/>
              </w:rPr>
            </w:pPr>
            <w:r>
              <w:rPr>
                <w:rFonts w:ascii="Arial Narrow" w:cs="Arial Narrow" w:eastAsia="Arial Narrow" w:hAnsi="Arial Narrow"/>
                <w:sz w:val="20"/>
                <w:szCs w:val="20"/>
                <w:b w:val="1"/>
                <w:bCs w:val="1"/>
                <w:color w:val="00085E"/>
              </w:rPr>
              <w:t>Corporate G&amp;A</w:t>
            </w:r>
          </w:p>
        </w:tc>
        <w:tc>
          <w:tcPr>
            <w:tcW w:w="360" w:type="dxa"/>
            <w:vAlign w:val="bottom"/>
          </w:tcPr>
          <w:p>
            <w:pPr>
              <w:spacing w:after="0"/>
              <w:rPr>
                <w:sz w:val="24"/>
                <w:szCs w:val="24"/>
                <w:color w:val="auto"/>
              </w:rPr>
            </w:pPr>
          </w:p>
        </w:tc>
        <w:tc>
          <w:tcPr>
            <w:tcW w:w="960" w:type="dxa"/>
            <w:vAlign w:val="bottom"/>
          </w:tcPr>
          <w:p>
            <w:pPr>
              <w:jc w:val="right"/>
              <w:ind w:right="4"/>
              <w:spacing w:after="0"/>
              <w:rPr>
                <w:sz w:val="20"/>
                <w:szCs w:val="20"/>
                <w:color w:val="auto"/>
              </w:rPr>
            </w:pPr>
            <w:r>
              <w:rPr>
                <w:rFonts w:ascii="Arial Narrow" w:cs="Arial Narrow" w:eastAsia="Arial Narrow" w:hAnsi="Arial Narrow"/>
                <w:sz w:val="20"/>
                <w:szCs w:val="20"/>
                <w:color w:val="auto"/>
              </w:rPr>
              <w:t>89,182</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ind w:right="3"/>
              <w:spacing w:after="0"/>
              <w:rPr>
                <w:sz w:val="20"/>
                <w:szCs w:val="20"/>
                <w:color w:val="auto"/>
              </w:rPr>
            </w:pPr>
            <w:r>
              <w:rPr>
                <w:rFonts w:ascii="Arial Narrow" w:cs="Arial Narrow" w:eastAsia="Arial Narrow" w:hAnsi="Arial Narrow"/>
                <w:sz w:val="20"/>
                <w:szCs w:val="20"/>
                <w:color w:val="auto"/>
              </w:rPr>
              <w:t>73,942</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ind w:right="3"/>
              <w:spacing w:after="0"/>
              <w:rPr>
                <w:sz w:val="20"/>
                <w:szCs w:val="20"/>
                <w:color w:val="auto"/>
              </w:rPr>
            </w:pPr>
            <w:r>
              <w:rPr>
                <w:rFonts w:ascii="Arial Narrow" w:cs="Arial Narrow" w:eastAsia="Arial Narrow" w:hAnsi="Arial Narrow"/>
                <w:sz w:val="20"/>
                <w:szCs w:val="20"/>
                <w:color w:val="auto"/>
              </w:rPr>
              <w:t>59,795</w:t>
            </w:r>
          </w:p>
        </w:tc>
      </w:tr>
      <w:tr>
        <w:trPr>
          <w:trHeight w:val="90"/>
        </w:trPr>
        <w:tc>
          <w:tcPr>
            <w:tcW w:w="5160" w:type="dxa"/>
            <w:vAlign w:val="bottom"/>
            <w:tcBorders>
              <w:bottom w:val="single" w:sz="8" w:color="A6A6A6"/>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r>
      <w:tr>
        <w:trPr>
          <w:trHeight w:val="344"/>
        </w:trPr>
        <w:tc>
          <w:tcPr>
            <w:tcW w:w="5160" w:type="dxa"/>
            <w:vAlign w:val="bottom"/>
          </w:tcPr>
          <w:p>
            <w:pPr>
              <w:spacing w:after="0"/>
              <w:rPr>
                <w:sz w:val="24"/>
                <w:szCs w:val="24"/>
                <w:color w:val="auto"/>
              </w:rPr>
            </w:pPr>
          </w:p>
        </w:tc>
        <w:tc>
          <w:tcPr>
            <w:tcW w:w="360" w:type="dxa"/>
            <w:vAlign w:val="bottom"/>
          </w:tcPr>
          <w:p>
            <w:pPr>
              <w:jc w:val="right"/>
              <w:ind w:right="160"/>
              <w:spacing w:after="0"/>
              <w:rPr>
                <w:sz w:val="20"/>
                <w:szCs w:val="20"/>
                <w:color w:val="auto"/>
              </w:rPr>
            </w:pPr>
            <w:r>
              <w:rPr>
                <w:rFonts w:ascii="Arial Narrow" w:cs="Arial Narrow" w:eastAsia="Arial Narrow" w:hAnsi="Arial Narrow"/>
                <w:sz w:val="20"/>
                <w:szCs w:val="20"/>
                <w:b w:val="1"/>
                <w:bCs w:val="1"/>
                <w:color w:val="auto"/>
                <w:w w:val="87"/>
              </w:rPr>
              <w:t>$</w:t>
            </w:r>
          </w:p>
        </w:tc>
        <w:tc>
          <w:tcPr>
            <w:tcW w:w="960" w:type="dxa"/>
            <w:vAlign w:val="bottom"/>
          </w:tcPr>
          <w:p>
            <w:pPr>
              <w:jc w:val="right"/>
              <w:ind w:right="4"/>
              <w:spacing w:after="0"/>
              <w:rPr>
                <w:sz w:val="20"/>
                <w:szCs w:val="20"/>
                <w:color w:val="auto"/>
              </w:rPr>
            </w:pPr>
            <w:r>
              <w:rPr>
                <w:rFonts w:ascii="Arial Narrow" w:cs="Arial Narrow" w:eastAsia="Arial Narrow" w:hAnsi="Arial Narrow"/>
                <w:sz w:val="20"/>
                <w:szCs w:val="20"/>
                <w:b w:val="1"/>
                <w:bCs w:val="1"/>
                <w:color w:val="auto"/>
              </w:rPr>
              <w:t>167,126</w:t>
            </w:r>
          </w:p>
        </w:tc>
        <w:tc>
          <w:tcPr>
            <w:tcW w:w="480" w:type="dxa"/>
            <w:vAlign w:val="bottom"/>
            <w:gridSpan w:val="2"/>
          </w:tcPr>
          <w:p>
            <w:pPr>
              <w:jc w:val="right"/>
              <w:ind w:right="260"/>
              <w:spacing w:after="0"/>
              <w:rPr>
                <w:sz w:val="20"/>
                <w:szCs w:val="20"/>
                <w:color w:val="auto"/>
              </w:rPr>
            </w:pPr>
            <w:r>
              <w:rPr>
                <w:rFonts w:ascii="Arial Narrow" w:cs="Arial Narrow" w:eastAsia="Arial Narrow" w:hAnsi="Arial Narrow"/>
                <w:sz w:val="20"/>
                <w:szCs w:val="20"/>
                <w:b w:val="1"/>
                <w:bCs w:val="1"/>
                <w:color w:val="auto"/>
              </w:rPr>
              <w:t>$</w:t>
            </w:r>
          </w:p>
        </w:tc>
        <w:tc>
          <w:tcPr>
            <w:tcW w:w="960" w:type="dxa"/>
            <w:vAlign w:val="bottom"/>
          </w:tcPr>
          <w:p>
            <w:pPr>
              <w:jc w:val="right"/>
              <w:ind w:right="3"/>
              <w:spacing w:after="0"/>
              <w:rPr>
                <w:sz w:val="20"/>
                <w:szCs w:val="20"/>
                <w:color w:val="auto"/>
              </w:rPr>
            </w:pPr>
            <w:r>
              <w:rPr>
                <w:rFonts w:ascii="Arial Narrow" w:cs="Arial Narrow" w:eastAsia="Arial Narrow" w:hAnsi="Arial Narrow"/>
                <w:sz w:val="20"/>
                <w:szCs w:val="20"/>
                <w:b w:val="1"/>
                <w:bCs w:val="1"/>
                <w:color w:val="auto"/>
              </w:rPr>
              <w:t>148,655</w:t>
            </w:r>
          </w:p>
        </w:tc>
        <w:tc>
          <w:tcPr>
            <w:tcW w:w="560" w:type="dxa"/>
            <w:vAlign w:val="bottom"/>
            <w:gridSpan w:val="2"/>
          </w:tcPr>
          <w:p>
            <w:pPr>
              <w:jc w:val="right"/>
              <w:ind w:right="340"/>
              <w:spacing w:after="0"/>
              <w:rPr>
                <w:sz w:val="20"/>
                <w:szCs w:val="20"/>
                <w:color w:val="auto"/>
              </w:rPr>
            </w:pPr>
            <w:r>
              <w:rPr>
                <w:rFonts w:ascii="Arial Narrow" w:cs="Arial Narrow" w:eastAsia="Arial Narrow" w:hAnsi="Arial Narrow"/>
                <w:sz w:val="20"/>
                <w:szCs w:val="20"/>
                <w:b w:val="1"/>
                <w:bCs w:val="1"/>
                <w:color w:val="auto"/>
              </w:rPr>
              <w:t>$</w:t>
            </w:r>
          </w:p>
        </w:tc>
        <w:tc>
          <w:tcPr>
            <w:tcW w:w="880" w:type="dxa"/>
            <w:vAlign w:val="bottom"/>
          </w:tcPr>
          <w:p>
            <w:pPr>
              <w:jc w:val="right"/>
              <w:ind w:right="3"/>
              <w:spacing w:after="0"/>
              <w:rPr>
                <w:sz w:val="20"/>
                <w:szCs w:val="20"/>
                <w:color w:val="auto"/>
              </w:rPr>
            </w:pPr>
            <w:r>
              <w:rPr>
                <w:rFonts w:ascii="Arial Narrow" w:cs="Arial Narrow" w:eastAsia="Arial Narrow" w:hAnsi="Arial Narrow"/>
                <w:sz w:val="20"/>
                <w:szCs w:val="20"/>
                <w:b w:val="1"/>
                <w:bCs w:val="1"/>
                <w:color w:val="auto"/>
              </w:rPr>
              <w:t>134,796</w:t>
            </w:r>
          </w:p>
        </w:tc>
      </w:tr>
      <w:tr>
        <w:trPr>
          <w:trHeight w:val="65"/>
        </w:trPr>
        <w:tc>
          <w:tcPr>
            <w:tcW w:w="516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360"/>
          </w:cols>
          <w:pgMar w:left="1260" w:top="1243"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82</w:t>
      </w:r>
    </w:p>
    <w:p>
      <w:pPr>
        <w:sectPr>
          <w:pgSz w:w="11880" w:h="15480" w:orient="portrait"/>
          <w:cols w:equalWidth="0" w:num="1">
            <w:col w:w="9360"/>
          </w:cols>
          <w:pgMar w:left="1260" w:top="1243" w:right="1260" w:bottom="0" w:gutter="0" w:footer="0" w:header="0"/>
          <w:type w:val="continuous"/>
        </w:sectPr>
      </w:pPr>
    </w:p>
    <w:bookmarkStart w:id="90" w:name="page91"/>
    <w:bookmarkEnd w:id="90"/>
    <w:p>
      <w:pPr>
        <w:spacing w:after="0"/>
        <w:rPr>
          <w:sz w:val="20"/>
          <w:szCs w:val="20"/>
          <w:color w:val="auto"/>
        </w:rPr>
      </w:pPr>
      <w:r>
        <w:rPr>
          <w:rFonts w:ascii="Arial" w:cs="Arial" w:eastAsia="Arial" w:hAnsi="Arial"/>
          <w:sz w:val="22"/>
          <w:szCs w:val="22"/>
          <w:b w:val="1"/>
          <w:bCs w:val="1"/>
          <w:u w:val="single" w:color="auto"/>
          <w:color w:val="00085E"/>
        </w:rPr>
        <w:t>Earnings per Share</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5240" w:type="dxa"/>
            <w:vAlign w:val="bottom"/>
          </w:tcPr>
          <w:p>
            <w:pPr>
              <w:spacing w:after="0"/>
              <w:rPr>
                <w:sz w:val="22"/>
                <w:szCs w:val="22"/>
                <w:color w:val="auto"/>
              </w:rPr>
            </w:pPr>
          </w:p>
        </w:tc>
        <w:tc>
          <w:tcPr>
            <w:tcW w:w="3080" w:type="dxa"/>
            <w:vAlign w:val="bottom"/>
            <w:gridSpan w:val="5"/>
          </w:tcPr>
          <w:p>
            <w:pPr>
              <w:ind w:left="880"/>
              <w:spacing w:after="0"/>
              <w:rPr>
                <w:sz w:val="20"/>
                <w:szCs w:val="20"/>
                <w:color w:val="auto"/>
              </w:rPr>
            </w:pPr>
            <w:r>
              <w:rPr>
                <w:rFonts w:ascii="Arial Narrow" w:cs="Arial Narrow" w:eastAsia="Arial Narrow" w:hAnsi="Arial Narrow"/>
                <w:sz w:val="18"/>
                <w:szCs w:val="18"/>
                <w:b w:val="1"/>
                <w:bCs w:val="1"/>
                <w:color w:val="auto"/>
              </w:rPr>
              <w:t>For the Years Ended March 31,</w:t>
            </w: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52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9"/>
        </w:trPr>
        <w:tc>
          <w:tcPr>
            <w:tcW w:w="5240" w:type="dxa"/>
            <w:vAlign w:val="bottom"/>
          </w:tcPr>
          <w:p>
            <w:pPr>
              <w:spacing w:after="0"/>
              <w:rPr>
                <w:sz w:val="23"/>
                <w:szCs w:val="23"/>
                <w:color w:val="auto"/>
              </w:rPr>
            </w:pPr>
          </w:p>
        </w:tc>
        <w:tc>
          <w:tcPr>
            <w:tcW w:w="1300" w:type="dxa"/>
            <w:vAlign w:val="bottom"/>
          </w:tcPr>
          <w:p>
            <w:pPr>
              <w:jc w:val="right"/>
              <w:ind w:right="103"/>
              <w:spacing w:after="0"/>
              <w:rPr>
                <w:sz w:val="20"/>
                <w:szCs w:val="20"/>
                <w:color w:val="auto"/>
              </w:rPr>
            </w:pPr>
            <w:r>
              <w:rPr>
                <w:rFonts w:ascii="Arial Narrow" w:cs="Arial Narrow" w:eastAsia="Arial Narrow" w:hAnsi="Arial Narrow"/>
                <w:sz w:val="18"/>
                <w:szCs w:val="18"/>
                <w:b w:val="1"/>
                <w:bCs w:val="1"/>
                <w:color w:val="auto"/>
              </w:rPr>
              <w:t>2026</w:t>
            </w:r>
          </w:p>
        </w:tc>
        <w:tc>
          <w:tcPr>
            <w:tcW w:w="1420" w:type="dxa"/>
            <w:vAlign w:val="bottom"/>
            <w:gridSpan w:val="2"/>
          </w:tcPr>
          <w:p>
            <w:pPr>
              <w:jc w:val="right"/>
              <w:ind w:right="200"/>
              <w:spacing w:after="0"/>
              <w:rPr>
                <w:sz w:val="20"/>
                <w:szCs w:val="20"/>
                <w:color w:val="auto"/>
              </w:rPr>
            </w:pPr>
            <w:r>
              <w:rPr>
                <w:rFonts w:ascii="Arial Narrow" w:cs="Arial Narrow" w:eastAsia="Arial Narrow" w:hAnsi="Arial Narrow"/>
                <w:sz w:val="18"/>
                <w:szCs w:val="18"/>
                <w:b w:val="1"/>
                <w:bCs w:val="1"/>
                <w:color w:val="auto"/>
              </w:rPr>
              <w:t>2025</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82"/>
              <w:spacing w:after="0"/>
              <w:rPr>
                <w:sz w:val="20"/>
                <w:szCs w:val="20"/>
                <w:color w:val="auto"/>
              </w:rPr>
            </w:pPr>
            <w:r>
              <w:rPr>
                <w:rFonts w:ascii="Arial Narrow" w:cs="Arial Narrow" w:eastAsia="Arial Narrow" w:hAnsi="Arial Narrow"/>
                <w:sz w:val="18"/>
                <w:szCs w:val="18"/>
                <w:b w:val="1"/>
                <w:bCs w:val="1"/>
                <w:color w:val="auto"/>
              </w:rPr>
              <w:t>2024</w:t>
            </w:r>
          </w:p>
        </w:tc>
        <w:tc>
          <w:tcPr>
            <w:tcW w:w="0" w:type="dxa"/>
            <w:vAlign w:val="bottom"/>
          </w:tcPr>
          <w:p>
            <w:pPr>
              <w:spacing w:after="0"/>
              <w:rPr>
                <w:sz w:val="1"/>
                <w:szCs w:val="1"/>
                <w:color w:val="auto"/>
              </w:rPr>
            </w:pPr>
          </w:p>
        </w:tc>
      </w:tr>
      <w:tr>
        <w:trPr>
          <w:trHeight w:val="46"/>
        </w:trPr>
        <w:tc>
          <w:tcPr>
            <w:tcW w:w="52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44"/>
        </w:trPr>
        <w:tc>
          <w:tcPr>
            <w:tcW w:w="5240" w:type="dxa"/>
            <w:vAlign w:val="bottom"/>
          </w:tcPr>
          <w:p>
            <w:pPr>
              <w:spacing w:after="0"/>
              <w:rPr>
                <w:sz w:val="20"/>
                <w:szCs w:val="20"/>
                <w:color w:val="auto"/>
              </w:rPr>
            </w:pPr>
            <w:r>
              <w:rPr>
                <w:rFonts w:ascii="Arial Narrow" w:cs="Arial Narrow" w:eastAsia="Arial Narrow" w:hAnsi="Arial Narrow"/>
                <w:sz w:val="20"/>
                <w:szCs w:val="20"/>
                <w:b w:val="1"/>
                <w:bCs w:val="1"/>
                <w:color w:val="00085E"/>
              </w:rPr>
              <w:t>Weighted-Average Shares of Common Stock Outstanding</w:t>
            </w:r>
          </w:p>
        </w:tc>
        <w:tc>
          <w:tcPr>
            <w:tcW w:w="1300" w:type="dxa"/>
            <w:vAlign w:val="bottom"/>
          </w:tcPr>
          <w:p>
            <w:pPr>
              <w:jc w:val="right"/>
              <w:ind w:right="103"/>
              <w:spacing w:after="0"/>
              <w:rPr>
                <w:sz w:val="20"/>
                <w:szCs w:val="20"/>
                <w:color w:val="auto"/>
              </w:rPr>
            </w:pPr>
            <w:r>
              <w:rPr>
                <w:rFonts w:ascii="Arial Narrow" w:cs="Arial Narrow" w:eastAsia="Arial Narrow" w:hAnsi="Arial Narrow"/>
                <w:sz w:val="20"/>
                <w:szCs w:val="20"/>
                <w:color w:val="auto"/>
              </w:rPr>
              <w:t>32,014,721</w:t>
            </w:r>
          </w:p>
        </w:tc>
        <w:tc>
          <w:tcPr>
            <w:tcW w:w="1420" w:type="dxa"/>
            <w:vAlign w:val="bottom"/>
            <w:gridSpan w:val="2"/>
          </w:tcPr>
          <w:p>
            <w:pPr>
              <w:jc w:val="right"/>
              <w:ind w:right="200"/>
              <w:spacing w:after="0"/>
              <w:rPr>
                <w:sz w:val="20"/>
                <w:szCs w:val="20"/>
                <w:color w:val="auto"/>
              </w:rPr>
            </w:pPr>
            <w:r>
              <w:rPr>
                <w:rFonts w:ascii="Arial Narrow" w:cs="Arial Narrow" w:eastAsia="Arial Narrow" w:hAnsi="Arial Narrow"/>
                <w:sz w:val="20"/>
                <w:szCs w:val="20"/>
                <w:color w:val="auto"/>
              </w:rPr>
              <w:t>33,378,050</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82"/>
              <w:spacing w:after="0"/>
              <w:rPr>
                <w:sz w:val="20"/>
                <w:szCs w:val="20"/>
                <w:color w:val="auto"/>
              </w:rPr>
            </w:pPr>
            <w:r>
              <w:rPr>
                <w:rFonts w:ascii="Arial Narrow" w:cs="Arial Narrow" w:eastAsia="Arial Narrow" w:hAnsi="Arial Narrow"/>
                <w:sz w:val="20"/>
                <w:szCs w:val="20"/>
                <w:color w:val="auto"/>
              </w:rPr>
              <w:t>34,811,560</w:t>
            </w:r>
          </w:p>
        </w:tc>
        <w:tc>
          <w:tcPr>
            <w:tcW w:w="0" w:type="dxa"/>
            <w:vAlign w:val="bottom"/>
          </w:tcPr>
          <w:p>
            <w:pPr>
              <w:spacing w:after="0"/>
              <w:rPr>
                <w:sz w:val="1"/>
                <w:szCs w:val="1"/>
                <w:color w:val="auto"/>
              </w:rPr>
            </w:pPr>
          </w:p>
        </w:tc>
      </w:tr>
      <w:tr>
        <w:trPr>
          <w:trHeight w:val="65"/>
        </w:trPr>
        <w:tc>
          <w:tcPr>
            <w:tcW w:w="5240" w:type="dxa"/>
            <w:vAlign w:val="bottom"/>
            <w:tcBorders>
              <w:bottom w:val="single" w:sz="8" w:color="A6A6A6"/>
            </w:tcBorders>
          </w:tcPr>
          <w:p>
            <w:pPr>
              <w:spacing w:after="0"/>
              <w:rPr>
                <w:sz w:val="5"/>
                <w:szCs w:val="5"/>
                <w:color w:val="auto"/>
              </w:rPr>
            </w:pPr>
          </w:p>
        </w:tc>
        <w:tc>
          <w:tcPr>
            <w:tcW w:w="130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128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220" w:type="dxa"/>
            <w:vAlign w:val="bottom"/>
            <w:tcBorders>
              <w:bottom w:val="single" w:sz="8" w:color="A6A6A6"/>
            </w:tcBorders>
          </w:tcPr>
          <w:p>
            <w:pPr>
              <w:spacing w:after="0"/>
              <w:rPr>
                <w:sz w:val="5"/>
                <w:szCs w:val="5"/>
                <w:color w:val="auto"/>
              </w:rPr>
            </w:pPr>
          </w:p>
        </w:tc>
        <w:tc>
          <w:tcPr>
            <w:tcW w:w="104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5240" w:type="dxa"/>
            <w:vAlign w:val="bottom"/>
          </w:tcPr>
          <w:p>
            <w:pPr>
              <w:spacing w:after="0"/>
              <w:rPr>
                <w:sz w:val="20"/>
                <w:szCs w:val="20"/>
                <w:color w:val="auto"/>
              </w:rPr>
            </w:pPr>
            <w:r>
              <w:rPr>
                <w:rFonts w:ascii="Arial Narrow" w:cs="Arial Narrow" w:eastAsia="Arial Narrow" w:hAnsi="Arial Narrow"/>
                <w:sz w:val="20"/>
                <w:szCs w:val="20"/>
                <w:b w:val="1"/>
                <w:bCs w:val="1"/>
                <w:color w:val="00085E"/>
              </w:rPr>
              <w:t>Effect of Dilutive Shares:</w:t>
            </w: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5240" w:type="dxa"/>
            <w:vAlign w:val="bottom"/>
            <w:tcBorders>
              <w:bottom w:val="single" w:sz="8" w:color="A6A6A6"/>
            </w:tcBorders>
          </w:tcPr>
          <w:p>
            <w:pPr>
              <w:spacing w:after="0"/>
              <w:rPr>
                <w:sz w:val="5"/>
                <w:szCs w:val="5"/>
                <w:color w:val="auto"/>
              </w:rPr>
            </w:pPr>
          </w:p>
        </w:tc>
        <w:tc>
          <w:tcPr>
            <w:tcW w:w="130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128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220" w:type="dxa"/>
            <w:vAlign w:val="bottom"/>
            <w:tcBorders>
              <w:bottom w:val="single" w:sz="8" w:color="A6A6A6"/>
            </w:tcBorders>
          </w:tcPr>
          <w:p>
            <w:pPr>
              <w:spacing w:after="0"/>
              <w:rPr>
                <w:sz w:val="5"/>
                <w:szCs w:val="5"/>
                <w:color w:val="auto"/>
              </w:rPr>
            </w:pPr>
          </w:p>
        </w:tc>
        <w:tc>
          <w:tcPr>
            <w:tcW w:w="104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5240" w:type="dxa"/>
            <w:vAlign w:val="bottom"/>
          </w:tcPr>
          <w:p>
            <w:pPr>
              <w:spacing w:after="0"/>
              <w:rPr>
                <w:sz w:val="20"/>
                <w:szCs w:val="20"/>
                <w:color w:val="auto"/>
              </w:rPr>
            </w:pPr>
            <w:r>
              <w:rPr>
                <w:rFonts w:ascii="Arial Narrow" w:cs="Arial Narrow" w:eastAsia="Arial Narrow" w:hAnsi="Arial Narrow"/>
                <w:sz w:val="20"/>
                <w:szCs w:val="20"/>
                <w:b w:val="1"/>
                <w:bCs w:val="1"/>
                <w:color w:val="00085E"/>
              </w:rPr>
              <w:t>Assumed Exercise of Outstanding Dilutive Options</w:t>
            </w:r>
          </w:p>
        </w:tc>
        <w:tc>
          <w:tcPr>
            <w:tcW w:w="1300" w:type="dxa"/>
            <w:vAlign w:val="bottom"/>
          </w:tcPr>
          <w:p>
            <w:pPr>
              <w:jc w:val="right"/>
              <w:ind w:right="103"/>
              <w:spacing w:after="0"/>
              <w:rPr>
                <w:sz w:val="20"/>
                <w:szCs w:val="20"/>
                <w:color w:val="auto"/>
              </w:rPr>
            </w:pPr>
            <w:r>
              <w:rPr>
                <w:rFonts w:ascii="Arial Narrow" w:cs="Arial Narrow" w:eastAsia="Arial Narrow" w:hAnsi="Arial Narrow"/>
                <w:sz w:val="20"/>
                <w:szCs w:val="20"/>
                <w:color w:val="auto"/>
              </w:rPr>
              <w:t>174,539</w:t>
            </w:r>
          </w:p>
        </w:tc>
        <w:tc>
          <w:tcPr>
            <w:tcW w:w="1420" w:type="dxa"/>
            <w:vAlign w:val="bottom"/>
            <w:gridSpan w:val="2"/>
          </w:tcPr>
          <w:p>
            <w:pPr>
              <w:jc w:val="right"/>
              <w:ind w:right="200"/>
              <w:spacing w:after="0"/>
              <w:rPr>
                <w:sz w:val="20"/>
                <w:szCs w:val="20"/>
                <w:color w:val="auto"/>
              </w:rPr>
            </w:pPr>
            <w:r>
              <w:rPr>
                <w:rFonts w:ascii="Arial Narrow" w:cs="Arial Narrow" w:eastAsia="Arial Narrow" w:hAnsi="Arial Narrow"/>
                <w:sz w:val="20"/>
                <w:szCs w:val="20"/>
                <w:color w:val="auto"/>
              </w:rPr>
              <w:t>218,434</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82"/>
              <w:spacing w:after="0"/>
              <w:rPr>
                <w:sz w:val="20"/>
                <w:szCs w:val="20"/>
                <w:color w:val="auto"/>
              </w:rPr>
            </w:pPr>
            <w:r>
              <w:rPr>
                <w:rFonts w:ascii="Arial Narrow" w:cs="Arial Narrow" w:eastAsia="Arial Narrow" w:hAnsi="Arial Narrow"/>
                <w:sz w:val="20"/>
                <w:szCs w:val="20"/>
                <w:color w:val="auto"/>
              </w:rPr>
              <w:t>304,889</w:t>
            </w:r>
          </w:p>
        </w:tc>
        <w:tc>
          <w:tcPr>
            <w:tcW w:w="0" w:type="dxa"/>
            <w:vAlign w:val="bottom"/>
          </w:tcPr>
          <w:p>
            <w:pPr>
              <w:spacing w:after="0"/>
              <w:rPr>
                <w:sz w:val="1"/>
                <w:szCs w:val="1"/>
                <w:color w:val="auto"/>
              </w:rPr>
            </w:pPr>
          </w:p>
        </w:tc>
      </w:tr>
      <w:tr>
        <w:trPr>
          <w:trHeight w:val="65"/>
        </w:trPr>
        <w:tc>
          <w:tcPr>
            <w:tcW w:w="5240" w:type="dxa"/>
            <w:vAlign w:val="bottom"/>
            <w:tcBorders>
              <w:bottom w:val="single" w:sz="8" w:color="A6A6A6"/>
            </w:tcBorders>
          </w:tcPr>
          <w:p>
            <w:pPr>
              <w:spacing w:after="0"/>
              <w:rPr>
                <w:sz w:val="5"/>
                <w:szCs w:val="5"/>
                <w:color w:val="auto"/>
              </w:rPr>
            </w:pPr>
          </w:p>
        </w:tc>
        <w:tc>
          <w:tcPr>
            <w:tcW w:w="130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128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220" w:type="dxa"/>
            <w:vAlign w:val="bottom"/>
            <w:tcBorders>
              <w:bottom w:val="single" w:sz="8" w:color="A6A6A6"/>
            </w:tcBorders>
          </w:tcPr>
          <w:p>
            <w:pPr>
              <w:spacing w:after="0"/>
              <w:rPr>
                <w:sz w:val="5"/>
                <w:szCs w:val="5"/>
                <w:color w:val="auto"/>
              </w:rPr>
            </w:pPr>
          </w:p>
        </w:tc>
        <w:tc>
          <w:tcPr>
            <w:tcW w:w="104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287"/>
        </w:trPr>
        <w:tc>
          <w:tcPr>
            <w:tcW w:w="5240" w:type="dxa"/>
            <w:vAlign w:val="bottom"/>
          </w:tcPr>
          <w:p>
            <w:pPr>
              <w:spacing w:after="0"/>
              <w:rPr>
                <w:sz w:val="20"/>
                <w:szCs w:val="20"/>
                <w:color w:val="auto"/>
              </w:rPr>
            </w:pPr>
            <w:r>
              <w:rPr>
                <w:rFonts w:ascii="Arial Narrow" w:cs="Arial Narrow" w:eastAsia="Arial Narrow" w:hAnsi="Arial Narrow"/>
                <w:sz w:val="20"/>
                <w:szCs w:val="20"/>
                <w:b w:val="1"/>
                <w:bCs w:val="1"/>
                <w:color w:val="00085E"/>
              </w:rPr>
              <w:t>Less Shares Repurchased from Proceeds of Assumed Exercised</w:t>
            </w:r>
          </w:p>
        </w:tc>
        <w:tc>
          <w:tcPr>
            <w:tcW w:w="1300" w:type="dxa"/>
            <w:vAlign w:val="bottom"/>
            <w:vMerge w:val="restart"/>
          </w:tcPr>
          <w:p>
            <w:pPr>
              <w:jc w:val="right"/>
              <w:ind w:right="43"/>
              <w:spacing w:after="0"/>
              <w:rPr>
                <w:sz w:val="20"/>
                <w:szCs w:val="20"/>
                <w:color w:val="auto"/>
              </w:rPr>
            </w:pPr>
            <w:r>
              <w:rPr>
                <w:rFonts w:ascii="Arial Narrow" w:cs="Arial Narrow" w:eastAsia="Arial Narrow" w:hAnsi="Arial Narrow"/>
                <w:sz w:val="20"/>
                <w:szCs w:val="20"/>
                <w:color w:val="auto"/>
              </w:rPr>
              <w:t>(75,142)</w:t>
            </w:r>
          </w:p>
        </w:tc>
        <w:tc>
          <w:tcPr>
            <w:tcW w:w="1420" w:type="dxa"/>
            <w:vAlign w:val="bottom"/>
            <w:gridSpan w:val="2"/>
            <w:vMerge w:val="restart"/>
          </w:tcPr>
          <w:p>
            <w:pPr>
              <w:jc w:val="right"/>
              <w:ind w:right="140"/>
              <w:spacing w:after="0"/>
              <w:rPr>
                <w:sz w:val="20"/>
                <w:szCs w:val="20"/>
                <w:color w:val="auto"/>
              </w:rPr>
            </w:pPr>
            <w:r>
              <w:rPr>
                <w:rFonts w:ascii="Arial Narrow" w:cs="Arial Narrow" w:eastAsia="Arial Narrow" w:hAnsi="Arial Narrow"/>
                <w:sz w:val="20"/>
                <w:szCs w:val="20"/>
                <w:color w:val="auto"/>
              </w:rPr>
              <w:t>(82,734)</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vMerge w:val="restart"/>
          </w:tcPr>
          <w:p>
            <w:pPr>
              <w:jc w:val="right"/>
              <w:ind w:right="22"/>
              <w:spacing w:after="0"/>
              <w:rPr>
                <w:sz w:val="20"/>
                <w:szCs w:val="20"/>
                <w:color w:val="auto"/>
              </w:rPr>
            </w:pPr>
            <w:r>
              <w:rPr>
                <w:rFonts w:ascii="Arial Narrow" w:cs="Arial Narrow" w:eastAsia="Arial Narrow" w:hAnsi="Arial Narrow"/>
                <w:sz w:val="20"/>
                <w:szCs w:val="20"/>
                <w:color w:val="auto"/>
              </w:rPr>
              <w:t>(157,457)</w:t>
            </w:r>
          </w:p>
        </w:tc>
        <w:tc>
          <w:tcPr>
            <w:tcW w:w="0" w:type="dxa"/>
            <w:vAlign w:val="bottom"/>
          </w:tcPr>
          <w:p>
            <w:pPr>
              <w:spacing w:after="0"/>
              <w:rPr>
                <w:sz w:val="1"/>
                <w:szCs w:val="1"/>
                <w:color w:val="auto"/>
              </w:rPr>
            </w:pPr>
          </w:p>
        </w:tc>
      </w:tr>
      <w:tr>
        <w:trPr>
          <w:trHeight w:val="167"/>
        </w:trPr>
        <w:tc>
          <w:tcPr>
            <w:tcW w:w="5240" w:type="dxa"/>
            <w:vAlign w:val="bottom"/>
            <w:vMerge w:val="restart"/>
          </w:tcPr>
          <w:p>
            <w:pPr>
              <w:ind w:left="140"/>
              <w:spacing w:after="0"/>
              <w:rPr>
                <w:sz w:val="20"/>
                <w:szCs w:val="20"/>
                <w:color w:val="auto"/>
              </w:rPr>
            </w:pPr>
            <w:r>
              <w:rPr>
                <w:rFonts w:ascii="Arial Narrow" w:cs="Arial Narrow" w:eastAsia="Arial Narrow" w:hAnsi="Arial Narrow"/>
                <w:sz w:val="20"/>
                <w:szCs w:val="20"/>
                <w:b w:val="1"/>
                <w:bCs w:val="1"/>
                <w:color w:val="00085E"/>
              </w:rPr>
              <w:t>Options</w:t>
            </w:r>
          </w:p>
        </w:tc>
        <w:tc>
          <w:tcPr>
            <w:tcW w:w="1300" w:type="dxa"/>
            <w:vAlign w:val="bottom"/>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524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5240" w:type="dxa"/>
            <w:vAlign w:val="bottom"/>
            <w:tcBorders>
              <w:bottom w:val="single" w:sz="8" w:color="A6A6A6"/>
            </w:tcBorders>
          </w:tcPr>
          <w:p>
            <w:pPr>
              <w:spacing w:after="0"/>
              <w:rPr>
                <w:sz w:val="5"/>
                <w:szCs w:val="5"/>
                <w:color w:val="auto"/>
              </w:rPr>
            </w:pPr>
          </w:p>
        </w:tc>
        <w:tc>
          <w:tcPr>
            <w:tcW w:w="130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128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220" w:type="dxa"/>
            <w:vAlign w:val="bottom"/>
            <w:tcBorders>
              <w:bottom w:val="single" w:sz="8" w:color="A6A6A6"/>
            </w:tcBorders>
          </w:tcPr>
          <w:p>
            <w:pPr>
              <w:spacing w:after="0"/>
              <w:rPr>
                <w:sz w:val="5"/>
                <w:szCs w:val="5"/>
                <w:color w:val="auto"/>
              </w:rPr>
            </w:pPr>
          </w:p>
        </w:tc>
        <w:tc>
          <w:tcPr>
            <w:tcW w:w="104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5240" w:type="dxa"/>
            <w:vAlign w:val="bottom"/>
          </w:tcPr>
          <w:p>
            <w:pPr>
              <w:spacing w:after="0"/>
              <w:rPr>
                <w:sz w:val="20"/>
                <w:szCs w:val="20"/>
                <w:color w:val="auto"/>
              </w:rPr>
            </w:pPr>
            <w:r>
              <w:rPr>
                <w:rFonts w:ascii="Arial Narrow" w:cs="Arial Narrow" w:eastAsia="Arial Narrow" w:hAnsi="Arial Narrow"/>
                <w:sz w:val="20"/>
                <w:szCs w:val="20"/>
                <w:b w:val="1"/>
                <w:bCs w:val="1"/>
                <w:color w:val="00085E"/>
              </w:rPr>
              <w:t>Restricted Stock and Restricted Stock Units</w:t>
            </w:r>
          </w:p>
        </w:tc>
        <w:tc>
          <w:tcPr>
            <w:tcW w:w="1300" w:type="dxa"/>
            <w:vAlign w:val="bottom"/>
          </w:tcPr>
          <w:p>
            <w:pPr>
              <w:jc w:val="right"/>
              <w:ind w:right="103"/>
              <w:spacing w:after="0"/>
              <w:rPr>
                <w:sz w:val="20"/>
                <w:szCs w:val="20"/>
                <w:color w:val="auto"/>
              </w:rPr>
            </w:pPr>
            <w:r>
              <w:rPr>
                <w:rFonts w:ascii="Arial Narrow" w:cs="Arial Narrow" w:eastAsia="Arial Narrow" w:hAnsi="Arial Narrow"/>
                <w:sz w:val="20"/>
                <w:szCs w:val="20"/>
                <w:color w:val="auto"/>
              </w:rPr>
              <w:t>79,673</w:t>
            </w:r>
          </w:p>
        </w:tc>
        <w:tc>
          <w:tcPr>
            <w:tcW w:w="1420" w:type="dxa"/>
            <w:vAlign w:val="bottom"/>
            <w:gridSpan w:val="2"/>
          </w:tcPr>
          <w:p>
            <w:pPr>
              <w:jc w:val="right"/>
              <w:ind w:right="200"/>
              <w:spacing w:after="0"/>
              <w:rPr>
                <w:sz w:val="20"/>
                <w:szCs w:val="20"/>
                <w:color w:val="auto"/>
              </w:rPr>
            </w:pPr>
            <w:r>
              <w:rPr>
                <w:rFonts w:ascii="Arial Narrow" w:cs="Arial Narrow" w:eastAsia="Arial Narrow" w:hAnsi="Arial Narrow"/>
                <w:sz w:val="20"/>
                <w:szCs w:val="20"/>
                <w:color w:val="auto"/>
              </w:rPr>
              <w:t>132,645</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82"/>
              <w:spacing w:after="0"/>
              <w:rPr>
                <w:sz w:val="20"/>
                <w:szCs w:val="20"/>
                <w:color w:val="auto"/>
              </w:rPr>
            </w:pPr>
            <w:r>
              <w:rPr>
                <w:rFonts w:ascii="Arial Narrow" w:cs="Arial Narrow" w:eastAsia="Arial Narrow" w:hAnsi="Arial Narrow"/>
                <w:sz w:val="20"/>
                <w:szCs w:val="20"/>
                <w:color w:val="auto"/>
              </w:rPr>
              <w:t>138,879</w:t>
            </w:r>
          </w:p>
        </w:tc>
        <w:tc>
          <w:tcPr>
            <w:tcW w:w="0" w:type="dxa"/>
            <w:vAlign w:val="bottom"/>
          </w:tcPr>
          <w:p>
            <w:pPr>
              <w:spacing w:after="0"/>
              <w:rPr>
                <w:sz w:val="1"/>
                <w:szCs w:val="1"/>
                <w:color w:val="auto"/>
              </w:rPr>
            </w:pPr>
          </w:p>
        </w:tc>
      </w:tr>
      <w:tr>
        <w:trPr>
          <w:trHeight w:val="90"/>
        </w:trPr>
        <w:tc>
          <w:tcPr>
            <w:tcW w:w="5240" w:type="dxa"/>
            <w:vAlign w:val="bottom"/>
            <w:tcBorders>
              <w:bottom w:val="single" w:sz="8" w:color="A6A6A6"/>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2"/>
        </w:trPr>
        <w:tc>
          <w:tcPr>
            <w:tcW w:w="5240" w:type="dxa"/>
            <w:vAlign w:val="bottom"/>
          </w:tcPr>
          <w:p>
            <w:pPr>
              <w:spacing w:after="0"/>
              <w:rPr>
                <w:sz w:val="20"/>
                <w:szCs w:val="20"/>
                <w:color w:val="auto"/>
              </w:rPr>
            </w:pPr>
            <w:r>
              <w:rPr>
                <w:rFonts w:ascii="Arial Narrow" w:cs="Arial Narrow" w:eastAsia="Arial Narrow" w:hAnsi="Arial Narrow"/>
                <w:sz w:val="20"/>
                <w:szCs w:val="20"/>
                <w:b w:val="1"/>
                <w:bCs w:val="1"/>
                <w:color w:val="auto"/>
              </w:rPr>
              <w:t>Weighted-Average Common Stock and Dilutive Securities</w:t>
            </w:r>
          </w:p>
        </w:tc>
        <w:tc>
          <w:tcPr>
            <w:tcW w:w="1300" w:type="dxa"/>
            <w:vAlign w:val="bottom"/>
            <w:vMerge w:val="restart"/>
          </w:tcPr>
          <w:p>
            <w:pPr>
              <w:jc w:val="right"/>
              <w:ind w:right="103"/>
              <w:spacing w:after="0"/>
              <w:rPr>
                <w:sz w:val="20"/>
                <w:szCs w:val="20"/>
                <w:color w:val="auto"/>
              </w:rPr>
            </w:pPr>
            <w:r>
              <w:rPr>
                <w:rFonts w:ascii="Arial Narrow" w:cs="Arial Narrow" w:eastAsia="Arial Narrow" w:hAnsi="Arial Narrow"/>
                <w:sz w:val="20"/>
                <w:szCs w:val="20"/>
                <w:b w:val="1"/>
                <w:bCs w:val="1"/>
                <w:color w:val="auto"/>
              </w:rPr>
              <w:t>32,193,791</w:t>
            </w:r>
          </w:p>
        </w:tc>
        <w:tc>
          <w:tcPr>
            <w:tcW w:w="1420" w:type="dxa"/>
            <w:vAlign w:val="bottom"/>
            <w:gridSpan w:val="2"/>
            <w:vMerge w:val="restart"/>
          </w:tcPr>
          <w:p>
            <w:pPr>
              <w:jc w:val="right"/>
              <w:ind w:right="200"/>
              <w:spacing w:after="0"/>
              <w:rPr>
                <w:sz w:val="20"/>
                <w:szCs w:val="20"/>
                <w:color w:val="auto"/>
              </w:rPr>
            </w:pPr>
            <w:r>
              <w:rPr>
                <w:rFonts w:ascii="Arial Narrow" w:cs="Arial Narrow" w:eastAsia="Arial Narrow" w:hAnsi="Arial Narrow"/>
                <w:sz w:val="20"/>
                <w:szCs w:val="20"/>
                <w:b w:val="1"/>
                <w:bCs w:val="1"/>
                <w:color w:val="auto"/>
              </w:rPr>
              <w:t>33,646,395</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vMerge w:val="restart"/>
          </w:tcPr>
          <w:p>
            <w:pPr>
              <w:jc w:val="right"/>
              <w:ind w:right="82"/>
              <w:spacing w:after="0"/>
              <w:rPr>
                <w:sz w:val="20"/>
                <w:szCs w:val="20"/>
                <w:color w:val="auto"/>
              </w:rPr>
            </w:pPr>
            <w:r>
              <w:rPr>
                <w:rFonts w:ascii="Arial Narrow" w:cs="Arial Narrow" w:eastAsia="Arial Narrow" w:hAnsi="Arial Narrow"/>
                <w:sz w:val="20"/>
                <w:szCs w:val="20"/>
                <w:b w:val="1"/>
                <w:bCs w:val="1"/>
                <w:color w:val="auto"/>
              </w:rPr>
              <w:t>35,097,871</w:t>
            </w:r>
          </w:p>
        </w:tc>
        <w:tc>
          <w:tcPr>
            <w:tcW w:w="0" w:type="dxa"/>
            <w:vAlign w:val="bottom"/>
          </w:tcPr>
          <w:p>
            <w:pPr>
              <w:spacing w:after="0"/>
              <w:rPr>
                <w:sz w:val="1"/>
                <w:szCs w:val="1"/>
                <w:color w:val="auto"/>
              </w:rPr>
            </w:pPr>
          </w:p>
        </w:tc>
      </w:tr>
      <w:tr>
        <w:trPr>
          <w:trHeight w:val="167"/>
        </w:trPr>
        <w:tc>
          <w:tcPr>
            <w:tcW w:w="5240" w:type="dxa"/>
            <w:vAlign w:val="bottom"/>
            <w:vMerge w:val="restart"/>
          </w:tcPr>
          <w:p>
            <w:pPr>
              <w:ind w:left="140"/>
              <w:spacing w:after="0"/>
              <w:rPr>
                <w:sz w:val="20"/>
                <w:szCs w:val="20"/>
                <w:color w:val="auto"/>
              </w:rPr>
            </w:pPr>
            <w:r>
              <w:rPr>
                <w:rFonts w:ascii="Arial Narrow" w:cs="Arial Narrow" w:eastAsia="Arial Narrow" w:hAnsi="Arial Narrow"/>
                <w:sz w:val="20"/>
                <w:szCs w:val="20"/>
                <w:b w:val="1"/>
                <w:bCs w:val="1"/>
                <w:color w:val="auto"/>
              </w:rPr>
              <w:t>Outstanding</w:t>
            </w:r>
          </w:p>
        </w:tc>
        <w:tc>
          <w:tcPr>
            <w:tcW w:w="1300" w:type="dxa"/>
            <w:vAlign w:val="bottom"/>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7"/>
        </w:trPr>
        <w:tc>
          <w:tcPr>
            <w:tcW w:w="5240" w:type="dxa"/>
            <w:vAlign w:val="bottom"/>
            <w:vMerge w:val="continue"/>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ind w:right="400"/>
        <w:spacing w:after="0" w:line="325" w:lineRule="auto"/>
        <w:rPr>
          <w:sz w:val="20"/>
          <w:szCs w:val="20"/>
          <w:color w:val="auto"/>
        </w:rPr>
      </w:pPr>
      <w:r>
        <w:rPr>
          <w:rFonts w:ascii="Arial" w:cs="Arial" w:eastAsia="Arial" w:hAnsi="Arial"/>
          <w:sz w:val="20"/>
          <w:szCs w:val="20"/>
          <w:color w:val="auto"/>
        </w:rPr>
        <w:t>The line Less Shares Repurchased from Proceeds of Assumed Exercised Options includes unearned compensation related to outstanding stock options.</w:t>
      </w:r>
    </w:p>
    <w:p>
      <w:pPr>
        <w:spacing w:after="0" w:line="37" w:lineRule="exact"/>
        <w:rPr>
          <w:sz w:val="20"/>
          <w:szCs w:val="20"/>
          <w:color w:val="auto"/>
        </w:rPr>
      </w:pPr>
    </w:p>
    <w:p>
      <w:pPr>
        <w:ind w:right="140"/>
        <w:spacing w:after="0" w:line="296" w:lineRule="auto"/>
        <w:rPr>
          <w:sz w:val="20"/>
          <w:szCs w:val="20"/>
          <w:color w:val="auto"/>
        </w:rPr>
      </w:pPr>
      <w:r>
        <w:rPr>
          <w:rFonts w:ascii="Arial" w:cs="Arial" w:eastAsia="Arial" w:hAnsi="Arial"/>
          <w:sz w:val="20"/>
          <w:szCs w:val="20"/>
          <w:color w:val="auto"/>
        </w:rPr>
        <w:t>For the fiscal years ended March 31, 2026, 2025, and 2024, there were 31,222, 4,404, and 16,609 stock options at an average exercise price of $219.14 per share, $240.32 per share, and $133.91 per share, respectively, that were excluded from the computation of diluted earnings per share, because including these options would have been anti-dilutive.</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085E"/>
        </w:rPr>
        <w:t>Share-Based Compensation</w:t>
      </w:r>
    </w:p>
    <w:p>
      <w:pPr>
        <w:spacing w:after="0" w:line="161" w:lineRule="exact"/>
        <w:rPr>
          <w:sz w:val="20"/>
          <w:szCs w:val="20"/>
          <w:color w:val="auto"/>
        </w:rPr>
      </w:pPr>
    </w:p>
    <w:p>
      <w:pPr>
        <w:ind w:right="60"/>
        <w:spacing w:after="0" w:line="303" w:lineRule="auto"/>
        <w:rPr>
          <w:sz w:val="20"/>
          <w:szCs w:val="20"/>
          <w:color w:val="auto"/>
        </w:rPr>
      </w:pPr>
      <w:r>
        <w:rPr>
          <w:rFonts w:ascii="Arial" w:cs="Arial" w:eastAsia="Arial" w:hAnsi="Arial"/>
          <w:sz w:val="20"/>
          <w:szCs w:val="20"/>
          <w:color w:val="auto"/>
        </w:rPr>
        <w:t>All share-based compensation is valued at the grant date and expensed over the requisite service period, which is generally identical to the vesting period of the award. Forfeitures of share-based awards are recognized in the period in which they occur.</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085E"/>
        </w:rPr>
        <w:t>Fair Value Measures</w:t>
      </w:r>
    </w:p>
    <w:p>
      <w:pPr>
        <w:spacing w:after="0" w:line="161" w:lineRule="exact"/>
        <w:rPr>
          <w:sz w:val="20"/>
          <w:szCs w:val="20"/>
          <w:color w:val="auto"/>
        </w:rPr>
      </w:pPr>
    </w:p>
    <w:p>
      <w:pPr>
        <w:ind w:right="300"/>
        <w:spacing w:after="0" w:line="290" w:lineRule="auto"/>
        <w:rPr>
          <w:sz w:val="20"/>
          <w:szCs w:val="20"/>
          <w:color w:val="auto"/>
        </w:rPr>
      </w:pPr>
      <w:r>
        <w:rPr>
          <w:rFonts w:ascii="Arial" w:cs="Arial" w:eastAsia="Arial" w:hAnsi="Arial"/>
          <w:sz w:val="20"/>
          <w:szCs w:val="20"/>
          <w:color w:val="auto"/>
        </w:rPr>
        <w:t>Certain assets and liabilities are required to be recorded or disclosed at fair value. The estimated fair values of those assets and liabilities have been determined using market information and valuation methodologies. Changes in assumptions or estimation methods could affect the fair value estimates; however, we do not believe any such changes would have a material impact on our financial condition, results of operations, or cash flows. There are three levels of inputs that may be used to measure fair value:</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Level 1 </w:t>
      </w:r>
      <w:r>
        <w:rPr>
          <w:rFonts w:ascii="Arial" w:cs="Arial" w:eastAsia="Arial" w:hAnsi="Arial"/>
          <w:sz w:val="20"/>
          <w:szCs w:val="20"/>
          <w:color w:val="auto"/>
        </w:rPr>
        <w:t>– Quoted prices for identical assets and liabilities in active markets;</w:t>
      </w:r>
    </w:p>
    <w:p>
      <w:pPr>
        <w:spacing w:after="0" w:line="160" w:lineRule="exact"/>
        <w:rPr>
          <w:sz w:val="20"/>
          <w:szCs w:val="20"/>
          <w:color w:val="auto"/>
        </w:rPr>
      </w:pPr>
    </w:p>
    <w:p>
      <w:pPr>
        <w:jc w:val="both"/>
        <w:ind w:right="280"/>
        <w:spacing w:after="0" w:line="305" w:lineRule="auto"/>
        <w:rPr>
          <w:sz w:val="20"/>
          <w:szCs w:val="20"/>
          <w:color w:val="auto"/>
        </w:rPr>
      </w:pPr>
      <w:r>
        <w:rPr>
          <w:rFonts w:ascii="Arial" w:cs="Arial" w:eastAsia="Arial" w:hAnsi="Arial"/>
          <w:sz w:val="20"/>
          <w:szCs w:val="20"/>
          <w:b w:val="1"/>
          <w:bCs w:val="1"/>
          <w:color w:val="auto"/>
        </w:rPr>
        <w:t xml:space="preserve">Level 2 </w:t>
      </w:r>
      <w:r>
        <w:rPr>
          <w:rFonts w:ascii="Arial" w:cs="Arial" w:eastAsia="Arial" w:hAnsi="Arial"/>
          <w:sz w:val="20"/>
          <w:szCs w:val="20"/>
          <w:color w:val="auto"/>
        </w:rPr>
        <w:t>– Quoted prices for similar assets and liabilities in active markets; quoted prices for identical or</w:t>
      </w:r>
      <w:r>
        <w:rPr>
          <w:rFonts w:ascii="Arial" w:cs="Arial" w:eastAsia="Arial" w:hAnsi="Arial"/>
          <w:sz w:val="20"/>
          <w:szCs w:val="20"/>
          <w:b w:val="1"/>
          <w:bCs w:val="1"/>
          <w:color w:val="auto"/>
        </w:rPr>
        <w:t xml:space="preserve"> </w:t>
      </w:r>
      <w:r>
        <w:rPr>
          <w:rFonts w:ascii="Arial" w:cs="Arial" w:eastAsia="Arial" w:hAnsi="Arial"/>
          <w:sz w:val="20"/>
          <w:szCs w:val="20"/>
          <w:color w:val="auto"/>
        </w:rPr>
        <w:t>similar assets and liabilities in markets that are not active; or other inputs that are observable or can be corroborated by observable market data; and</w:t>
      </w:r>
    </w:p>
    <w:p>
      <w:pPr>
        <w:spacing w:after="0" w:line="53" w:lineRule="exact"/>
        <w:rPr>
          <w:sz w:val="20"/>
          <w:szCs w:val="20"/>
          <w:color w:val="auto"/>
        </w:rPr>
      </w:pPr>
    </w:p>
    <w:p>
      <w:pPr>
        <w:ind w:right="140"/>
        <w:spacing w:after="0" w:line="305" w:lineRule="auto"/>
        <w:rPr>
          <w:sz w:val="20"/>
          <w:szCs w:val="20"/>
          <w:color w:val="auto"/>
        </w:rPr>
      </w:pPr>
      <w:r>
        <w:rPr>
          <w:rFonts w:ascii="Arial" w:cs="Arial" w:eastAsia="Arial" w:hAnsi="Arial"/>
          <w:sz w:val="20"/>
          <w:szCs w:val="20"/>
          <w:b w:val="1"/>
          <w:bCs w:val="1"/>
          <w:color w:val="auto"/>
        </w:rPr>
        <w:t xml:space="preserve">Level 3 </w:t>
      </w:r>
      <w:r>
        <w:rPr>
          <w:rFonts w:ascii="Arial" w:cs="Arial" w:eastAsia="Arial" w:hAnsi="Arial"/>
          <w:sz w:val="20"/>
          <w:szCs w:val="20"/>
          <w:color w:val="auto"/>
        </w:rPr>
        <w:t>– Unobservable inputs that are supported by little or no market activity and that are significant to</w:t>
      </w:r>
      <w:r>
        <w:rPr>
          <w:rFonts w:ascii="Arial" w:cs="Arial" w:eastAsia="Arial" w:hAnsi="Arial"/>
          <w:sz w:val="20"/>
          <w:szCs w:val="20"/>
          <w:b w:val="1"/>
          <w:bCs w:val="1"/>
          <w:color w:val="auto"/>
        </w:rPr>
        <w:t xml:space="preserve"> </w:t>
      </w:r>
      <w:r>
        <w:rPr>
          <w:rFonts w:ascii="Arial" w:cs="Arial" w:eastAsia="Arial" w:hAnsi="Arial"/>
          <w:sz w:val="20"/>
          <w:szCs w:val="20"/>
          <w:color w:val="auto"/>
        </w:rPr>
        <w:t>the fair value of the assets and liabilities. These include certain pricing models, discounted cash flow methodologies, and similar techniques that use significant unobservable inputs.</w:t>
      </w:r>
    </w:p>
    <w:p>
      <w:pPr>
        <w:sectPr>
          <w:pgSz w:w="11880" w:h="15480" w:orient="portrait"/>
          <w:cols w:equalWidth="0" w:num="1">
            <w:col w:w="9360"/>
          </w:cols>
          <w:pgMar w:left="1260" w:top="1243"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83</w:t>
      </w:r>
    </w:p>
    <w:p>
      <w:pPr>
        <w:sectPr>
          <w:pgSz w:w="11880" w:h="15480" w:orient="portrait"/>
          <w:cols w:equalWidth="0" w:num="1">
            <w:col w:w="9360"/>
          </w:cols>
          <w:pgMar w:left="1260" w:top="1243" w:right="1260" w:bottom="0" w:gutter="0" w:footer="0" w:header="0"/>
          <w:type w:val="continuous"/>
        </w:sectPr>
      </w:pPr>
    </w:p>
    <w:bookmarkStart w:id="91" w:name="page92"/>
    <w:bookmarkEnd w:id="91"/>
    <w:p>
      <w:pPr>
        <w:spacing w:after="0"/>
        <w:rPr>
          <w:sz w:val="20"/>
          <w:szCs w:val="20"/>
          <w:color w:val="auto"/>
        </w:rPr>
      </w:pPr>
      <w:r>
        <w:rPr>
          <w:rFonts w:ascii="Arial" w:cs="Arial" w:eastAsia="Arial" w:hAnsi="Arial"/>
          <w:sz w:val="22"/>
          <w:szCs w:val="22"/>
          <w:b w:val="1"/>
          <w:bCs w:val="1"/>
          <w:u w:val="single" w:color="auto"/>
          <w:color w:val="00085E"/>
        </w:rPr>
        <w:t>Recent Accounting Pronouncements</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RECENTLY ADOPTED</w:t>
      </w:r>
    </w:p>
    <w:p>
      <w:pPr>
        <w:spacing w:after="0" w:line="163" w:lineRule="exact"/>
        <w:rPr>
          <w:sz w:val="20"/>
          <w:szCs w:val="20"/>
          <w:color w:val="auto"/>
        </w:rPr>
      </w:pPr>
    </w:p>
    <w:p>
      <w:pPr>
        <w:ind w:right="360"/>
        <w:spacing w:after="0" w:line="311" w:lineRule="auto"/>
        <w:rPr>
          <w:sz w:val="20"/>
          <w:szCs w:val="20"/>
          <w:color w:val="auto"/>
        </w:rPr>
      </w:pPr>
      <w:r>
        <w:rPr>
          <w:rFonts w:ascii="Arial" w:cs="Arial" w:eastAsia="Arial" w:hAnsi="Arial"/>
          <w:sz w:val="19"/>
          <w:szCs w:val="19"/>
          <w:color w:val="auto"/>
        </w:rPr>
        <w:t>During fiscal 2026, the Company retroactively adopted Financial Accounting Standards Board (FASB) Accounting Standards Update No. 2023-09, Income Taxes (Topic 740): Improvements to Income Tax Disclosures (ASU 2023-09), which focused on the rate reconciliation and income taxes paid. The adoption of this guidance did not affect the Company's results of operations, cash flows, or financial condition. See Footnote (I) of the Audited Consolidated Financial Statements for more information.</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PENDING ADOPTION</w:t>
      </w:r>
    </w:p>
    <w:p>
      <w:pPr>
        <w:spacing w:after="0" w:line="163" w:lineRule="exact"/>
        <w:rPr>
          <w:sz w:val="20"/>
          <w:szCs w:val="20"/>
          <w:color w:val="auto"/>
        </w:rPr>
      </w:pPr>
    </w:p>
    <w:p>
      <w:pPr>
        <w:ind w:right="60"/>
        <w:spacing w:after="0" w:line="288" w:lineRule="auto"/>
        <w:rPr>
          <w:sz w:val="20"/>
          <w:szCs w:val="20"/>
          <w:color w:val="auto"/>
        </w:rPr>
      </w:pPr>
      <w:r>
        <w:rPr>
          <w:rFonts w:ascii="Arial" w:cs="Arial" w:eastAsia="Arial" w:hAnsi="Arial"/>
          <w:sz w:val="20"/>
          <w:szCs w:val="20"/>
          <w:color w:val="auto"/>
        </w:rPr>
        <w:t>In November 2024, the FASB issued Accounting Standards Update No. 2024-03, "Income Statement-Reporting Comprehensive Income-Expense Disaggregation Disclosures (Subtopic 220-40): Disaggregation of Income and Expenses" (ASU 2024-03). ASU 2024-03 requires public business entities to disclose additional information about certain key expense categories within major income statement captions in the Notes to the Consolidated Financial Statements. The new standard is effective for fiscal years beginning after December 15, 2026, and is to be applied prospectively. Early adoption is permitted. The Company is currently evaluating the impact of adopting this guidance on its Consolidated Financial Statements.</w:t>
      </w:r>
    </w:p>
    <w:p>
      <w:pPr>
        <w:spacing w:after="0" w:line="72" w:lineRule="exact"/>
        <w:rPr>
          <w:sz w:val="20"/>
          <w:szCs w:val="20"/>
          <w:color w:val="auto"/>
        </w:rPr>
      </w:pPr>
    </w:p>
    <w:p>
      <w:pPr>
        <w:spacing w:after="0" w:line="285" w:lineRule="auto"/>
        <w:rPr>
          <w:sz w:val="20"/>
          <w:szCs w:val="20"/>
          <w:color w:val="auto"/>
        </w:rPr>
      </w:pPr>
      <w:r>
        <w:rPr>
          <w:rFonts w:ascii="Arial" w:cs="Arial" w:eastAsia="Arial" w:hAnsi="Arial"/>
          <w:sz w:val="20"/>
          <w:szCs w:val="20"/>
          <w:color w:val="auto"/>
        </w:rPr>
        <w:t>In July 2025, the FASB issued Accounting Standards Update No. 2025-05, Credit Losses (Topic 326) – Measurement of Credit Losses for Accounts Receivable and Contract Assets. The amendments provide all entities with a practical expedient to assume that the current conditions as of the balance sheet date will remain unchanged for the remaining life of the asset when developing a reasonable and supportable forecast as part of estimating expected credit losses on current accounts receivable and current contract assets arising from transactions accounted for under ASC 606, Revenue from Contracts with Customers. The new standard is effective for annual reporting periods beginning after December 15, 2025, and interim reporting periods within those annual reporting periods. Early adoption is permitted for both interim and annual financial statements that have not yet been issued or made available for issuance. Entities that use the practical expedient and, if applicable, make the accounting policy election are required to apply the amendments prospectively. The Company is currently evaluating the impact of adopting this guidance on its Consolidated Financial Statements.</w:t>
      </w:r>
    </w:p>
    <w:p>
      <w:pPr>
        <w:spacing w:after="0" w:line="83" w:lineRule="exact"/>
        <w:rPr>
          <w:sz w:val="20"/>
          <w:szCs w:val="20"/>
          <w:color w:val="auto"/>
        </w:rPr>
      </w:pPr>
    </w:p>
    <w:p>
      <w:pPr>
        <w:ind w:right="20"/>
        <w:spacing w:after="0" w:line="287" w:lineRule="auto"/>
        <w:rPr>
          <w:sz w:val="20"/>
          <w:szCs w:val="20"/>
          <w:color w:val="auto"/>
        </w:rPr>
      </w:pPr>
      <w:r>
        <w:rPr>
          <w:rFonts w:ascii="Arial" w:cs="Arial" w:eastAsia="Arial" w:hAnsi="Arial"/>
          <w:sz w:val="20"/>
          <w:szCs w:val="20"/>
          <w:color w:val="auto"/>
        </w:rPr>
        <w:t>In September 2025, the FASB issued Accounting Standards Update No. 2025- 06, Intangibles—Goodwill and Other—Internal-Use Software (Subtopic 350-40): Targeted Improvements to the Accounting for Internal-Use Software (ASU 2025-06), to modernize the accounting for and disclosure of internal-use software costs. The guidance removes all references to project stages, defines the threshold to begin capitalizing costs, and clarifies the disclosure requirements of capitalized software costs. The new standard is effective for annual periods beginning after December 15, 2027, and interim periods within those fiscal years, and can be applied retrospectively, prospectively, or on a modified transition approach. Early adoption is permitted. The Company is currently evaluating the impact of adopting this guidance on its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00085E"/>
        </w:rPr>
        <w:t>(B) ACQUISITIONS</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i w:val="1"/>
          <w:iCs w:val="1"/>
          <w:color w:val="00085E"/>
        </w:rPr>
        <w:t>Western Pennsylvania Acquisition</w:t>
      </w:r>
    </w:p>
    <w:p>
      <w:pPr>
        <w:spacing w:after="0" w:line="149" w:lineRule="exact"/>
        <w:rPr>
          <w:sz w:val="20"/>
          <w:szCs w:val="20"/>
          <w:color w:val="auto"/>
        </w:rPr>
      </w:pPr>
    </w:p>
    <w:p>
      <w:pPr>
        <w:jc w:val="both"/>
        <w:ind w:right="600"/>
        <w:spacing w:after="0" w:line="296" w:lineRule="auto"/>
        <w:rPr>
          <w:sz w:val="20"/>
          <w:szCs w:val="20"/>
          <w:color w:val="auto"/>
        </w:rPr>
      </w:pPr>
      <w:r>
        <w:rPr>
          <w:rFonts w:ascii="Arial" w:cs="Arial" w:eastAsia="Arial" w:hAnsi="Arial"/>
          <w:sz w:val="20"/>
          <w:szCs w:val="20"/>
          <w:color w:val="auto"/>
        </w:rPr>
        <w:t>On January 7, 2025, we purchased Bullskin Stone &amp; Lime, LLC, an aggregates business located in Western Pennsylvania (the Western Pennsylvania Acquisition), which was accounted for under the acquisition method. The purchase price of the Pennsylvania Acquisition was approximately $149.9 million, subject to customary post-closing adjustments. The purchase price was funded through</w:t>
      </w:r>
    </w:p>
    <w:p>
      <w:pPr>
        <w:sectPr>
          <w:pgSz w:w="11880" w:h="15480" w:orient="portrait"/>
          <w:cols w:equalWidth="0" w:num="1">
            <w:col w:w="9340"/>
          </w:cols>
          <w:pgMar w:left="1260" w:top="1243" w:right="1280" w:bottom="0"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84</w:t>
      </w:r>
    </w:p>
    <w:p>
      <w:pPr>
        <w:sectPr>
          <w:pgSz w:w="11880" w:h="15480" w:orient="portrait"/>
          <w:cols w:equalWidth="0" w:num="1">
            <w:col w:w="9340"/>
          </w:cols>
          <w:pgMar w:left="1260" w:top="1243" w:right="1280" w:bottom="0" w:gutter="0" w:footer="0" w:header="0"/>
          <w:type w:val="continuous"/>
        </w:sectPr>
      </w:pPr>
    </w:p>
    <w:bookmarkStart w:id="92" w:name="page93"/>
    <w:bookmarkEnd w:id="92"/>
    <w:p>
      <w:pPr>
        <w:ind w:right="340"/>
        <w:spacing w:after="0" w:line="325" w:lineRule="auto"/>
        <w:rPr>
          <w:sz w:val="20"/>
          <w:szCs w:val="20"/>
          <w:color w:val="auto"/>
        </w:rPr>
      </w:pPr>
      <w:r>
        <w:rPr>
          <w:rFonts w:ascii="Arial" w:cs="Arial" w:eastAsia="Arial" w:hAnsi="Arial"/>
          <w:sz w:val="20"/>
          <w:szCs w:val="20"/>
          <w:color w:val="auto"/>
        </w:rPr>
        <w:t>borrowings under our Revolving Credit Facility. Operations related to the Pennsylvania Acquisition are included in the Concrete and Aggregates segment of our segment reporting.</w:t>
      </w:r>
    </w:p>
    <w:p>
      <w:pPr>
        <w:spacing w:after="0" w:line="37" w:lineRule="exact"/>
        <w:rPr>
          <w:sz w:val="20"/>
          <w:szCs w:val="20"/>
          <w:color w:val="auto"/>
        </w:rPr>
      </w:pPr>
    </w:p>
    <w:p>
      <w:pPr>
        <w:ind w:right="300"/>
        <w:spacing w:after="0" w:line="325" w:lineRule="auto"/>
        <w:rPr>
          <w:sz w:val="20"/>
          <w:szCs w:val="20"/>
          <w:color w:val="auto"/>
        </w:rPr>
      </w:pPr>
      <w:r>
        <w:rPr>
          <w:rFonts w:ascii="Arial" w:cs="Arial" w:eastAsia="Arial" w:hAnsi="Arial"/>
          <w:sz w:val="20"/>
          <w:szCs w:val="20"/>
          <w:color w:val="auto"/>
        </w:rPr>
        <w:t>The following table summarizes the allocation of the purchase price to the fair value of assets acquired and liabilities assumed (based on Level 3 inputs) as of March 31, 2026.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jc w:val="right"/>
              <w:ind w:right="262"/>
              <w:spacing w:after="0"/>
              <w:rPr>
                <w:sz w:val="20"/>
                <w:szCs w:val="20"/>
                <w:color w:val="auto"/>
              </w:rPr>
            </w:pPr>
            <w:r>
              <w:rPr>
                <w:rFonts w:ascii="Arial Narrow" w:cs="Arial Narrow" w:eastAsia="Arial Narrow" w:hAnsi="Arial Narrow"/>
                <w:sz w:val="16"/>
                <w:szCs w:val="16"/>
                <w:color w:val="auto"/>
              </w:rPr>
              <w:t>(dollars in thousands)</w:t>
            </w:r>
          </w:p>
        </w:tc>
      </w:tr>
      <w:tr>
        <w:trPr>
          <w:trHeight w:val="48"/>
        </w:trPr>
        <w:tc>
          <w:tcPr>
            <w:tcW w:w="7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r>
      <w:tr>
        <w:trPr>
          <w:trHeight w:val="344"/>
        </w:trPr>
        <w:tc>
          <w:tcPr>
            <w:tcW w:w="7620" w:type="dxa"/>
            <w:vAlign w:val="bottom"/>
          </w:tcPr>
          <w:p>
            <w:pPr>
              <w:spacing w:after="0"/>
              <w:rPr>
                <w:sz w:val="20"/>
                <w:szCs w:val="20"/>
                <w:color w:val="auto"/>
              </w:rPr>
            </w:pPr>
            <w:r>
              <w:rPr>
                <w:rFonts w:ascii="Arial Narrow" w:cs="Arial Narrow" w:eastAsia="Arial Narrow" w:hAnsi="Arial Narrow"/>
                <w:sz w:val="20"/>
                <w:szCs w:val="20"/>
                <w:b w:val="1"/>
                <w:bCs w:val="1"/>
                <w:color w:val="00085E"/>
              </w:rPr>
              <w:t>Accounts Receivable</w:t>
            </w:r>
          </w:p>
        </w:tc>
        <w:tc>
          <w:tcPr>
            <w:tcW w:w="100" w:type="dxa"/>
            <w:vAlign w:val="bottom"/>
          </w:tcPr>
          <w:p>
            <w:pPr>
              <w:jc w:val="right"/>
              <w:spacing w:after="0"/>
              <w:rPr>
                <w:sz w:val="20"/>
                <w:szCs w:val="20"/>
                <w:color w:val="auto"/>
              </w:rPr>
            </w:pPr>
            <w:r>
              <w:rPr>
                <w:rFonts w:ascii="Arial Narrow" w:cs="Arial Narrow" w:eastAsia="Arial Narrow" w:hAnsi="Arial Narrow"/>
                <w:sz w:val="18"/>
                <w:szCs w:val="18"/>
                <w:color w:val="auto"/>
                <w:w w:val="72"/>
              </w:rPr>
              <w:t>$</w:t>
            </w:r>
          </w:p>
        </w:tc>
        <w:tc>
          <w:tcPr>
            <w:tcW w:w="1640" w:type="dxa"/>
            <w:vAlign w:val="bottom"/>
          </w:tcPr>
          <w:p>
            <w:pPr>
              <w:jc w:val="right"/>
              <w:ind w:right="122"/>
              <w:spacing w:after="0"/>
              <w:rPr>
                <w:sz w:val="20"/>
                <w:szCs w:val="20"/>
                <w:color w:val="auto"/>
              </w:rPr>
            </w:pPr>
            <w:r>
              <w:rPr>
                <w:rFonts w:ascii="Arial Narrow" w:cs="Arial Narrow" w:eastAsia="Arial Narrow" w:hAnsi="Arial Narrow"/>
                <w:sz w:val="20"/>
                <w:szCs w:val="20"/>
                <w:color w:val="auto"/>
              </w:rPr>
              <w:t>1,443</w:t>
            </w:r>
          </w:p>
        </w:tc>
      </w:tr>
      <w:tr>
        <w:trPr>
          <w:trHeight w:val="65"/>
        </w:trPr>
        <w:tc>
          <w:tcPr>
            <w:tcW w:w="762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640" w:type="dxa"/>
            <w:vAlign w:val="bottom"/>
            <w:tcBorders>
              <w:bottom w:val="single" w:sz="8" w:color="A6A6A6"/>
            </w:tcBorders>
          </w:tcPr>
          <w:p>
            <w:pPr>
              <w:spacing w:after="0"/>
              <w:rPr>
                <w:sz w:val="5"/>
                <w:szCs w:val="5"/>
                <w:color w:val="auto"/>
              </w:rPr>
            </w:pPr>
          </w:p>
        </w:tc>
      </w:tr>
      <w:tr>
        <w:trPr>
          <w:trHeight w:val="339"/>
        </w:trPr>
        <w:tc>
          <w:tcPr>
            <w:tcW w:w="7620" w:type="dxa"/>
            <w:vAlign w:val="bottom"/>
          </w:tcPr>
          <w:p>
            <w:pPr>
              <w:spacing w:after="0"/>
              <w:rPr>
                <w:sz w:val="20"/>
                <w:szCs w:val="20"/>
                <w:color w:val="auto"/>
              </w:rPr>
            </w:pPr>
            <w:r>
              <w:rPr>
                <w:rFonts w:ascii="Arial Narrow" w:cs="Arial Narrow" w:eastAsia="Arial Narrow" w:hAnsi="Arial Narrow"/>
                <w:sz w:val="20"/>
                <w:szCs w:val="20"/>
                <w:b w:val="1"/>
                <w:bCs w:val="1"/>
                <w:color w:val="00085E"/>
              </w:rPr>
              <w:t>Inventories</w:t>
            </w:r>
          </w:p>
        </w:tc>
        <w:tc>
          <w:tcPr>
            <w:tcW w:w="100" w:type="dxa"/>
            <w:vAlign w:val="bottom"/>
          </w:tcPr>
          <w:p>
            <w:pPr>
              <w:spacing w:after="0"/>
              <w:rPr>
                <w:sz w:val="24"/>
                <w:szCs w:val="24"/>
                <w:color w:val="auto"/>
              </w:rPr>
            </w:pPr>
          </w:p>
        </w:tc>
        <w:tc>
          <w:tcPr>
            <w:tcW w:w="1640" w:type="dxa"/>
            <w:vAlign w:val="bottom"/>
          </w:tcPr>
          <w:p>
            <w:pPr>
              <w:jc w:val="right"/>
              <w:ind w:right="122"/>
              <w:spacing w:after="0"/>
              <w:rPr>
                <w:sz w:val="20"/>
                <w:szCs w:val="20"/>
                <w:color w:val="auto"/>
              </w:rPr>
            </w:pPr>
            <w:r>
              <w:rPr>
                <w:rFonts w:ascii="Arial Narrow" w:cs="Arial Narrow" w:eastAsia="Arial Narrow" w:hAnsi="Arial Narrow"/>
                <w:sz w:val="20"/>
                <w:szCs w:val="20"/>
                <w:color w:val="auto"/>
              </w:rPr>
              <w:t>3,354</w:t>
            </w:r>
          </w:p>
        </w:tc>
      </w:tr>
      <w:tr>
        <w:trPr>
          <w:trHeight w:val="65"/>
        </w:trPr>
        <w:tc>
          <w:tcPr>
            <w:tcW w:w="762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640" w:type="dxa"/>
            <w:vAlign w:val="bottom"/>
            <w:tcBorders>
              <w:bottom w:val="single" w:sz="8" w:color="A6A6A6"/>
            </w:tcBorders>
          </w:tcPr>
          <w:p>
            <w:pPr>
              <w:spacing w:after="0"/>
              <w:rPr>
                <w:sz w:val="5"/>
                <w:szCs w:val="5"/>
                <w:color w:val="auto"/>
              </w:rPr>
            </w:pPr>
          </w:p>
        </w:tc>
      </w:tr>
      <w:tr>
        <w:trPr>
          <w:trHeight w:val="339"/>
        </w:trPr>
        <w:tc>
          <w:tcPr>
            <w:tcW w:w="7620" w:type="dxa"/>
            <w:vAlign w:val="bottom"/>
          </w:tcPr>
          <w:p>
            <w:pPr>
              <w:spacing w:after="0"/>
              <w:rPr>
                <w:sz w:val="20"/>
                <w:szCs w:val="20"/>
                <w:color w:val="auto"/>
              </w:rPr>
            </w:pPr>
            <w:r>
              <w:rPr>
                <w:rFonts w:ascii="Arial Narrow" w:cs="Arial Narrow" w:eastAsia="Arial Narrow" w:hAnsi="Arial Narrow"/>
                <w:sz w:val="20"/>
                <w:szCs w:val="20"/>
                <w:b w:val="1"/>
                <w:bCs w:val="1"/>
                <w:color w:val="00085E"/>
              </w:rPr>
              <w:t>Prepaid and Other Current Assets</w:t>
            </w:r>
          </w:p>
        </w:tc>
        <w:tc>
          <w:tcPr>
            <w:tcW w:w="100" w:type="dxa"/>
            <w:vAlign w:val="bottom"/>
          </w:tcPr>
          <w:p>
            <w:pPr>
              <w:spacing w:after="0"/>
              <w:rPr>
                <w:sz w:val="24"/>
                <w:szCs w:val="24"/>
                <w:color w:val="auto"/>
              </w:rPr>
            </w:pPr>
          </w:p>
        </w:tc>
        <w:tc>
          <w:tcPr>
            <w:tcW w:w="1640" w:type="dxa"/>
            <w:vAlign w:val="bottom"/>
          </w:tcPr>
          <w:p>
            <w:pPr>
              <w:jc w:val="right"/>
              <w:ind w:right="122"/>
              <w:spacing w:after="0"/>
              <w:rPr>
                <w:sz w:val="20"/>
                <w:szCs w:val="20"/>
                <w:color w:val="auto"/>
              </w:rPr>
            </w:pPr>
            <w:r>
              <w:rPr>
                <w:rFonts w:ascii="Arial Narrow" w:cs="Arial Narrow" w:eastAsia="Arial Narrow" w:hAnsi="Arial Narrow"/>
                <w:sz w:val="20"/>
                <w:szCs w:val="20"/>
                <w:color w:val="auto"/>
              </w:rPr>
              <w:t>229</w:t>
            </w:r>
          </w:p>
        </w:tc>
      </w:tr>
      <w:tr>
        <w:trPr>
          <w:trHeight w:val="65"/>
        </w:trPr>
        <w:tc>
          <w:tcPr>
            <w:tcW w:w="762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640" w:type="dxa"/>
            <w:vAlign w:val="bottom"/>
            <w:tcBorders>
              <w:bottom w:val="single" w:sz="8" w:color="A6A6A6"/>
            </w:tcBorders>
          </w:tcPr>
          <w:p>
            <w:pPr>
              <w:spacing w:after="0"/>
              <w:rPr>
                <w:sz w:val="5"/>
                <w:szCs w:val="5"/>
                <w:color w:val="auto"/>
              </w:rPr>
            </w:pPr>
          </w:p>
        </w:tc>
      </w:tr>
      <w:tr>
        <w:trPr>
          <w:trHeight w:val="339"/>
        </w:trPr>
        <w:tc>
          <w:tcPr>
            <w:tcW w:w="7620" w:type="dxa"/>
            <w:vAlign w:val="bottom"/>
          </w:tcPr>
          <w:p>
            <w:pPr>
              <w:spacing w:after="0"/>
              <w:rPr>
                <w:sz w:val="20"/>
                <w:szCs w:val="20"/>
                <w:color w:val="auto"/>
              </w:rPr>
            </w:pPr>
            <w:r>
              <w:rPr>
                <w:rFonts w:ascii="Arial Narrow" w:cs="Arial Narrow" w:eastAsia="Arial Narrow" w:hAnsi="Arial Narrow"/>
                <w:sz w:val="20"/>
                <w:szCs w:val="20"/>
                <w:b w:val="1"/>
                <w:bCs w:val="1"/>
                <w:color w:val="00085E"/>
              </w:rPr>
              <w:t>Property, Plant, and Equipment</w:t>
            </w:r>
          </w:p>
        </w:tc>
        <w:tc>
          <w:tcPr>
            <w:tcW w:w="100" w:type="dxa"/>
            <w:vAlign w:val="bottom"/>
          </w:tcPr>
          <w:p>
            <w:pPr>
              <w:spacing w:after="0"/>
              <w:rPr>
                <w:sz w:val="24"/>
                <w:szCs w:val="24"/>
                <w:color w:val="auto"/>
              </w:rPr>
            </w:pPr>
          </w:p>
        </w:tc>
        <w:tc>
          <w:tcPr>
            <w:tcW w:w="1640" w:type="dxa"/>
            <w:vAlign w:val="bottom"/>
          </w:tcPr>
          <w:p>
            <w:pPr>
              <w:jc w:val="right"/>
              <w:ind w:right="122"/>
              <w:spacing w:after="0"/>
              <w:rPr>
                <w:sz w:val="20"/>
                <w:szCs w:val="20"/>
                <w:color w:val="auto"/>
              </w:rPr>
            </w:pPr>
            <w:r>
              <w:rPr>
                <w:rFonts w:ascii="Arial Narrow" w:cs="Arial Narrow" w:eastAsia="Arial Narrow" w:hAnsi="Arial Narrow"/>
                <w:sz w:val="20"/>
                <w:szCs w:val="20"/>
                <w:color w:val="auto"/>
              </w:rPr>
              <w:t>35,097</w:t>
            </w:r>
          </w:p>
        </w:tc>
      </w:tr>
      <w:tr>
        <w:trPr>
          <w:trHeight w:val="65"/>
        </w:trPr>
        <w:tc>
          <w:tcPr>
            <w:tcW w:w="762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640" w:type="dxa"/>
            <w:vAlign w:val="bottom"/>
            <w:tcBorders>
              <w:bottom w:val="single" w:sz="8" w:color="A6A6A6"/>
            </w:tcBorders>
          </w:tcPr>
          <w:p>
            <w:pPr>
              <w:spacing w:after="0"/>
              <w:rPr>
                <w:sz w:val="5"/>
                <w:szCs w:val="5"/>
                <w:color w:val="auto"/>
              </w:rPr>
            </w:pPr>
          </w:p>
        </w:tc>
      </w:tr>
      <w:tr>
        <w:trPr>
          <w:trHeight w:val="339"/>
        </w:trPr>
        <w:tc>
          <w:tcPr>
            <w:tcW w:w="7620" w:type="dxa"/>
            <w:vAlign w:val="bottom"/>
          </w:tcPr>
          <w:p>
            <w:pPr>
              <w:spacing w:after="0"/>
              <w:rPr>
                <w:sz w:val="20"/>
                <w:szCs w:val="20"/>
                <w:color w:val="auto"/>
              </w:rPr>
            </w:pPr>
            <w:r>
              <w:rPr>
                <w:rFonts w:ascii="Arial Narrow" w:cs="Arial Narrow" w:eastAsia="Arial Narrow" w:hAnsi="Arial Narrow"/>
                <w:sz w:val="20"/>
                <w:szCs w:val="20"/>
                <w:b w:val="1"/>
                <w:bCs w:val="1"/>
                <w:color w:val="00085E"/>
              </w:rPr>
              <w:t>Intangible Assets</w:t>
            </w:r>
          </w:p>
        </w:tc>
        <w:tc>
          <w:tcPr>
            <w:tcW w:w="100" w:type="dxa"/>
            <w:vAlign w:val="bottom"/>
          </w:tcPr>
          <w:p>
            <w:pPr>
              <w:spacing w:after="0"/>
              <w:rPr>
                <w:sz w:val="24"/>
                <w:szCs w:val="24"/>
                <w:color w:val="auto"/>
              </w:rPr>
            </w:pPr>
          </w:p>
        </w:tc>
        <w:tc>
          <w:tcPr>
            <w:tcW w:w="1640" w:type="dxa"/>
            <w:vAlign w:val="bottom"/>
          </w:tcPr>
          <w:p>
            <w:pPr>
              <w:jc w:val="right"/>
              <w:ind w:right="122"/>
              <w:spacing w:after="0"/>
              <w:rPr>
                <w:sz w:val="20"/>
                <w:szCs w:val="20"/>
                <w:color w:val="auto"/>
              </w:rPr>
            </w:pPr>
            <w:r>
              <w:rPr>
                <w:rFonts w:ascii="Arial Narrow" w:cs="Arial Narrow" w:eastAsia="Arial Narrow" w:hAnsi="Arial Narrow"/>
                <w:sz w:val="20"/>
                <w:szCs w:val="20"/>
                <w:color w:val="auto"/>
              </w:rPr>
              <w:t>38,600</w:t>
            </w:r>
          </w:p>
        </w:tc>
      </w:tr>
      <w:tr>
        <w:trPr>
          <w:trHeight w:val="65"/>
        </w:trPr>
        <w:tc>
          <w:tcPr>
            <w:tcW w:w="762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640" w:type="dxa"/>
            <w:vAlign w:val="bottom"/>
            <w:tcBorders>
              <w:bottom w:val="single" w:sz="8" w:color="A6A6A6"/>
            </w:tcBorders>
          </w:tcPr>
          <w:p>
            <w:pPr>
              <w:spacing w:after="0"/>
              <w:rPr>
                <w:sz w:val="5"/>
                <w:szCs w:val="5"/>
                <w:color w:val="auto"/>
              </w:rPr>
            </w:pPr>
          </w:p>
        </w:tc>
      </w:tr>
      <w:tr>
        <w:trPr>
          <w:trHeight w:val="339"/>
        </w:trPr>
        <w:tc>
          <w:tcPr>
            <w:tcW w:w="7620" w:type="dxa"/>
            <w:vAlign w:val="bottom"/>
          </w:tcPr>
          <w:p>
            <w:pPr>
              <w:spacing w:after="0"/>
              <w:rPr>
                <w:sz w:val="20"/>
                <w:szCs w:val="20"/>
                <w:color w:val="auto"/>
              </w:rPr>
            </w:pPr>
            <w:r>
              <w:rPr>
                <w:rFonts w:ascii="Arial Narrow" w:cs="Arial Narrow" w:eastAsia="Arial Narrow" w:hAnsi="Arial Narrow"/>
                <w:sz w:val="20"/>
                <w:szCs w:val="20"/>
                <w:b w:val="1"/>
                <w:bCs w:val="1"/>
                <w:color w:val="00085E"/>
              </w:rPr>
              <w:t>Accounts Payable and Accrued Liabilities</w:t>
            </w:r>
          </w:p>
        </w:tc>
        <w:tc>
          <w:tcPr>
            <w:tcW w:w="100" w:type="dxa"/>
            <w:vAlign w:val="bottom"/>
          </w:tcPr>
          <w:p>
            <w:pPr>
              <w:spacing w:after="0"/>
              <w:rPr>
                <w:sz w:val="24"/>
                <w:szCs w:val="24"/>
                <w:color w:val="auto"/>
              </w:rPr>
            </w:pPr>
          </w:p>
        </w:tc>
        <w:tc>
          <w:tcPr>
            <w:tcW w:w="1640" w:type="dxa"/>
            <w:vAlign w:val="bottom"/>
          </w:tcPr>
          <w:p>
            <w:pPr>
              <w:jc w:val="right"/>
              <w:ind w:right="62"/>
              <w:spacing w:after="0"/>
              <w:rPr>
                <w:sz w:val="20"/>
                <w:szCs w:val="20"/>
                <w:color w:val="auto"/>
              </w:rPr>
            </w:pPr>
            <w:r>
              <w:rPr>
                <w:rFonts w:ascii="Arial Narrow" w:cs="Arial Narrow" w:eastAsia="Arial Narrow" w:hAnsi="Arial Narrow"/>
                <w:sz w:val="20"/>
                <w:szCs w:val="20"/>
                <w:color w:val="auto"/>
              </w:rPr>
              <w:t>(327)</w:t>
            </w:r>
          </w:p>
        </w:tc>
      </w:tr>
      <w:tr>
        <w:trPr>
          <w:trHeight w:val="65"/>
        </w:trPr>
        <w:tc>
          <w:tcPr>
            <w:tcW w:w="762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640" w:type="dxa"/>
            <w:vAlign w:val="bottom"/>
            <w:tcBorders>
              <w:bottom w:val="single" w:sz="8" w:color="A6A6A6"/>
            </w:tcBorders>
          </w:tcPr>
          <w:p>
            <w:pPr>
              <w:spacing w:after="0"/>
              <w:rPr>
                <w:sz w:val="5"/>
                <w:szCs w:val="5"/>
                <w:color w:val="auto"/>
              </w:rPr>
            </w:pPr>
          </w:p>
        </w:tc>
      </w:tr>
      <w:tr>
        <w:trPr>
          <w:trHeight w:val="339"/>
        </w:trPr>
        <w:tc>
          <w:tcPr>
            <w:tcW w:w="7620" w:type="dxa"/>
            <w:vAlign w:val="bottom"/>
          </w:tcPr>
          <w:p>
            <w:pPr>
              <w:spacing w:after="0"/>
              <w:rPr>
                <w:sz w:val="20"/>
                <w:szCs w:val="20"/>
                <w:color w:val="auto"/>
              </w:rPr>
            </w:pPr>
            <w:r>
              <w:rPr>
                <w:rFonts w:ascii="Arial Narrow" w:cs="Arial Narrow" w:eastAsia="Arial Narrow" w:hAnsi="Arial Narrow"/>
                <w:sz w:val="20"/>
                <w:szCs w:val="20"/>
                <w:b w:val="1"/>
                <w:bCs w:val="1"/>
                <w:color w:val="00085E"/>
              </w:rPr>
              <w:t>Other Long-Term Liabilities</w:t>
            </w:r>
          </w:p>
        </w:tc>
        <w:tc>
          <w:tcPr>
            <w:tcW w:w="100" w:type="dxa"/>
            <w:vAlign w:val="bottom"/>
          </w:tcPr>
          <w:p>
            <w:pPr>
              <w:spacing w:after="0"/>
              <w:rPr>
                <w:sz w:val="24"/>
                <w:szCs w:val="24"/>
                <w:color w:val="auto"/>
              </w:rPr>
            </w:pPr>
          </w:p>
        </w:tc>
        <w:tc>
          <w:tcPr>
            <w:tcW w:w="1640" w:type="dxa"/>
            <w:vAlign w:val="bottom"/>
          </w:tcPr>
          <w:p>
            <w:pPr>
              <w:jc w:val="right"/>
              <w:ind w:right="62"/>
              <w:spacing w:after="0"/>
              <w:rPr>
                <w:sz w:val="20"/>
                <w:szCs w:val="20"/>
                <w:color w:val="auto"/>
              </w:rPr>
            </w:pPr>
            <w:r>
              <w:rPr>
                <w:rFonts w:ascii="Arial Narrow" w:cs="Arial Narrow" w:eastAsia="Arial Narrow" w:hAnsi="Arial Narrow"/>
                <w:sz w:val="20"/>
                <w:szCs w:val="20"/>
                <w:color w:val="auto"/>
              </w:rPr>
              <w:t>(792)</w:t>
            </w:r>
          </w:p>
        </w:tc>
      </w:tr>
      <w:tr>
        <w:trPr>
          <w:trHeight w:val="90"/>
        </w:trPr>
        <w:tc>
          <w:tcPr>
            <w:tcW w:w="7620" w:type="dxa"/>
            <w:vAlign w:val="bottom"/>
            <w:tcBorders>
              <w:bottom w:val="single" w:sz="8" w:color="A6A6A6"/>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40" w:type="dxa"/>
            <w:vAlign w:val="bottom"/>
            <w:tcBorders>
              <w:bottom w:val="single" w:sz="8" w:color="auto"/>
            </w:tcBorders>
          </w:tcPr>
          <w:p>
            <w:pPr>
              <w:spacing w:after="0"/>
              <w:rPr>
                <w:sz w:val="7"/>
                <w:szCs w:val="7"/>
                <w:color w:val="auto"/>
              </w:rPr>
            </w:pPr>
          </w:p>
        </w:tc>
      </w:tr>
      <w:tr>
        <w:trPr>
          <w:trHeight w:val="344"/>
        </w:trPr>
        <w:tc>
          <w:tcPr>
            <w:tcW w:w="7620" w:type="dxa"/>
            <w:vAlign w:val="bottom"/>
          </w:tcPr>
          <w:p>
            <w:pPr>
              <w:ind w:left="200"/>
              <w:spacing w:after="0"/>
              <w:rPr>
                <w:sz w:val="20"/>
                <w:szCs w:val="20"/>
                <w:color w:val="auto"/>
              </w:rPr>
            </w:pPr>
            <w:r>
              <w:rPr>
                <w:rFonts w:ascii="Arial Narrow" w:cs="Arial Narrow" w:eastAsia="Arial Narrow" w:hAnsi="Arial Narrow"/>
                <w:sz w:val="20"/>
                <w:szCs w:val="20"/>
                <w:b w:val="1"/>
                <w:bCs w:val="1"/>
                <w:color w:val="auto"/>
              </w:rPr>
              <w:t>Total Net Assets Acquired</w:t>
            </w:r>
          </w:p>
        </w:tc>
        <w:tc>
          <w:tcPr>
            <w:tcW w:w="100" w:type="dxa"/>
            <w:vAlign w:val="bottom"/>
          </w:tcPr>
          <w:p>
            <w:pPr>
              <w:spacing w:after="0"/>
              <w:rPr>
                <w:sz w:val="24"/>
                <w:szCs w:val="24"/>
                <w:color w:val="auto"/>
              </w:rPr>
            </w:pPr>
          </w:p>
        </w:tc>
        <w:tc>
          <w:tcPr>
            <w:tcW w:w="1640" w:type="dxa"/>
            <w:vAlign w:val="bottom"/>
          </w:tcPr>
          <w:p>
            <w:pPr>
              <w:jc w:val="right"/>
              <w:ind w:right="122"/>
              <w:spacing w:after="0"/>
              <w:rPr>
                <w:sz w:val="20"/>
                <w:szCs w:val="20"/>
                <w:color w:val="auto"/>
              </w:rPr>
            </w:pPr>
            <w:r>
              <w:rPr>
                <w:rFonts w:ascii="Arial Narrow" w:cs="Arial Narrow" w:eastAsia="Arial Narrow" w:hAnsi="Arial Narrow"/>
                <w:sz w:val="20"/>
                <w:szCs w:val="20"/>
                <w:color w:val="auto"/>
              </w:rPr>
              <w:t>77,604</w:t>
            </w:r>
          </w:p>
        </w:tc>
      </w:tr>
      <w:tr>
        <w:trPr>
          <w:trHeight w:val="65"/>
        </w:trPr>
        <w:tc>
          <w:tcPr>
            <w:tcW w:w="762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640" w:type="dxa"/>
            <w:vAlign w:val="bottom"/>
            <w:tcBorders>
              <w:bottom w:val="single" w:sz="8" w:color="A6A6A6"/>
            </w:tcBorders>
          </w:tcPr>
          <w:p>
            <w:pPr>
              <w:spacing w:after="0"/>
              <w:rPr>
                <w:sz w:val="5"/>
                <w:szCs w:val="5"/>
                <w:color w:val="auto"/>
              </w:rPr>
            </w:pPr>
          </w:p>
        </w:tc>
      </w:tr>
      <w:tr>
        <w:trPr>
          <w:trHeight w:val="339"/>
        </w:trPr>
        <w:tc>
          <w:tcPr>
            <w:tcW w:w="7620" w:type="dxa"/>
            <w:vAlign w:val="bottom"/>
          </w:tcPr>
          <w:p>
            <w:pPr>
              <w:spacing w:after="0"/>
              <w:rPr>
                <w:sz w:val="20"/>
                <w:szCs w:val="20"/>
                <w:color w:val="auto"/>
              </w:rPr>
            </w:pPr>
            <w:r>
              <w:rPr>
                <w:rFonts w:ascii="Arial Narrow" w:cs="Arial Narrow" w:eastAsia="Arial Narrow" w:hAnsi="Arial Narrow"/>
                <w:sz w:val="20"/>
                <w:szCs w:val="20"/>
                <w:b w:val="1"/>
                <w:bCs w:val="1"/>
                <w:color w:val="00085E"/>
              </w:rPr>
              <w:t>Goodwill</w:t>
            </w:r>
          </w:p>
        </w:tc>
        <w:tc>
          <w:tcPr>
            <w:tcW w:w="100" w:type="dxa"/>
            <w:vAlign w:val="bottom"/>
          </w:tcPr>
          <w:p>
            <w:pPr>
              <w:spacing w:after="0"/>
              <w:rPr>
                <w:sz w:val="24"/>
                <w:szCs w:val="24"/>
                <w:color w:val="auto"/>
              </w:rPr>
            </w:pPr>
          </w:p>
        </w:tc>
        <w:tc>
          <w:tcPr>
            <w:tcW w:w="1640" w:type="dxa"/>
            <w:vAlign w:val="bottom"/>
          </w:tcPr>
          <w:p>
            <w:pPr>
              <w:jc w:val="right"/>
              <w:ind w:right="122"/>
              <w:spacing w:after="0"/>
              <w:rPr>
                <w:sz w:val="20"/>
                <w:szCs w:val="20"/>
                <w:color w:val="auto"/>
              </w:rPr>
            </w:pPr>
            <w:r>
              <w:rPr>
                <w:rFonts w:ascii="Arial Narrow" w:cs="Arial Narrow" w:eastAsia="Arial Narrow" w:hAnsi="Arial Narrow"/>
                <w:sz w:val="20"/>
                <w:szCs w:val="20"/>
                <w:color w:val="auto"/>
              </w:rPr>
              <w:t>72,343</w:t>
            </w:r>
          </w:p>
        </w:tc>
      </w:tr>
      <w:tr>
        <w:trPr>
          <w:trHeight w:val="90"/>
        </w:trPr>
        <w:tc>
          <w:tcPr>
            <w:tcW w:w="7620" w:type="dxa"/>
            <w:vAlign w:val="bottom"/>
            <w:tcBorders>
              <w:bottom w:val="single" w:sz="8" w:color="A6A6A6"/>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40" w:type="dxa"/>
            <w:vAlign w:val="bottom"/>
            <w:tcBorders>
              <w:bottom w:val="single" w:sz="8" w:color="auto"/>
            </w:tcBorders>
          </w:tcPr>
          <w:p>
            <w:pPr>
              <w:spacing w:after="0"/>
              <w:rPr>
                <w:sz w:val="7"/>
                <w:szCs w:val="7"/>
                <w:color w:val="auto"/>
              </w:rPr>
            </w:pPr>
          </w:p>
        </w:tc>
      </w:tr>
      <w:tr>
        <w:trPr>
          <w:trHeight w:val="344"/>
        </w:trPr>
        <w:tc>
          <w:tcPr>
            <w:tcW w:w="7620" w:type="dxa"/>
            <w:vAlign w:val="bottom"/>
          </w:tcPr>
          <w:p>
            <w:pPr>
              <w:ind w:left="200"/>
              <w:spacing w:after="0"/>
              <w:rPr>
                <w:sz w:val="20"/>
                <w:szCs w:val="20"/>
                <w:color w:val="auto"/>
              </w:rPr>
            </w:pPr>
            <w:r>
              <w:rPr>
                <w:rFonts w:ascii="Arial Narrow" w:cs="Arial Narrow" w:eastAsia="Arial Narrow" w:hAnsi="Arial Narrow"/>
                <w:sz w:val="20"/>
                <w:szCs w:val="20"/>
                <w:b w:val="1"/>
                <w:bCs w:val="1"/>
                <w:color w:val="auto"/>
              </w:rPr>
              <w:t>Total Purchase Price</w:t>
            </w:r>
          </w:p>
        </w:tc>
        <w:tc>
          <w:tcPr>
            <w:tcW w:w="100" w:type="dxa"/>
            <w:vAlign w:val="bottom"/>
          </w:tcPr>
          <w:p>
            <w:pPr>
              <w:jc w:val="right"/>
              <w:spacing w:after="0"/>
              <w:rPr>
                <w:sz w:val="20"/>
                <w:szCs w:val="20"/>
                <w:color w:val="auto"/>
              </w:rPr>
            </w:pPr>
            <w:r>
              <w:rPr>
                <w:rFonts w:ascii="Arial Narrow" w:cs="Arial Narrow" w:eastAsia="Arial Narrow" w:hAnsi="Arial Narrow"/>
                <w:sz w:val="18"/>
                <w:szCs w:val="18"/>
                <w:b w:val="1"/>
                <w:bCs w:val="1"/>
                <w:color w:val="auto"/>
                <w:w w:val="72"/>
              </w:rPr>
              <w:t>$</w:t>
            </w:r>
          </w:p>
        </w:tc>
        <w:tc>
          <w:tcPr>
            <w:tcW w:w="1640" w:type="dxa"/>
            <w:vAlign w:val="bottom"/>
          </w:tcPr>
          <w:p>
            <w:pPr>
              <w:jc w:val="right"/>
              <w:ind w:right="122"/>
              <w:spacing w:after="0"/>
              <w:rPr>
                <w:sz w:val="20"/>
                <w:szCs w:val="20"/>
                <w:color w:val="auto"/>
              </w:rPr>
            </w:pPr>
            <w:r>
              <w:rPr>
                <w:rFonts w:ascii="Arial Narrow" w:cs="Arial Narrow" w:eastAsia="Arial Narrow" w:hAnsi="Arial Narrow"/>
                <w:sz w:val="20"/>
                <w:szCs w:val="20"/>
                <w:b w:val="1"/>
                <w:bCs w:val="1"/>
                <w:color w:val="auto"/>
              </w:rPr>
              <w:t>149,947</w:t>
            </w:r>
          </w:p>
        </w:tc>
      </w:tr>
      <w:tr>
        <w:trPr>
          <w:trHeight w:val="65"/>
        </w:trPr>
        <w:tc>
          <w:tcPr>
            <w:tcW w:w="76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r>
      <w:tr>
        <w:trPr>
          <w:trHeight w:val="20"/>
        </w:trPr>
        <w:tc>
          <w:tcPr>
            <w:tcW w:w="7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0"/>
        <w:spacing w:after="0" w:line="290" w:lineRule="auto"/>
        <w:rPr>
          <w:sz w:val="20"/>
          <w:szCs w:val="20"/>
          <w:color w:val="auto"/>
        </w:rPr>
      </w:pPr>
      <w:r>
        <w:rPr>
          <w:rFonts w:ascii="Arial" w:cs="Arial" w:eastAsia="Arial" w:hAnsi="Arial"/>
          <w:sz w:val="20"/>
          <w:szCs w:val="20"/>
          <w:color w:val="auto"/>
        </w:rPr>
        <w:t>The estimated useful lives assigned to Property, Plant, and Equipment range from 5 to 30 years. Goodwill represents the excess purchase price over the fair value of the assets acquired and the liabilities assumed. The Goodwill was generated by the availability of co-product sales and the opportunity associated with the expansion of our Aggregates business to the Western Pennsylvania region of the United States. All Goodwill generated from the Western Pennsylvania Acquisition is deductible for income tax purposes.</w:t>
      </w:r>
    </w:p>
    <w:p>
      <w:pPr>
        <w:spacing w:after="0" w:line="73" w:lineRule="exact"/>
        <w:rPr>
          <w:sz w:val="20"/>
          <w:szCs w:val="20"/>
          <w:color w:val="auto"/>
        </w:rPr>
      </w:pPr>
    </w:p>
    <w:p>
      <w:pPr>
        <w:ind w:right="160"/>
        <w:spacing w:after="0" w:line="325" w:lineRule="auto"/>
        <w:rPr>
          <w:sz w:val="20"/>
          <w:szCs w:val="20"/>
          <w:color w:val="auto"/>
        </w:rPr>
      </w:pPr>
      <w:r>
        <w:rPr>
          <w:rFonts w:ascii="Arial" w:cs="Arial" w:eastAsia="Arial" w:hAnsi="Arial"/>
          <w:sz w:val="20"/>
          <w:szCs w:val="20"/>
          <w:color w:val="auto"/>
        </w:rPr>
        <w:t>The following table is a summary of the fair value estimates of the identifiable intangible assets and their weighted-average useful lives.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17"/>
                <w:szCs w:val="17"/>
                <w:color w:val="auto"/>
              </w:rPr>
            </w:pPr>
          </w:p>
        </w:tc>
        <w:tc>
          <w:tcPr>
            <w:tcW w:w="1480" w:type="dxa"/>
            <w:vAlign w:val="bottom"/>
          </w:tcPr>
          <w:p>
            <w:pPr>
              <w:jc w:val="right"/>
              <w:ind w:right="5"/>
              <w:spacing w:after="0"/>
              <w:rPr>
                <w:sz w:val="20"/>
                <w:szCs w:val="20"/>
                <w:color w:val="auto"/>
              </w:rPr>
            </w:pPr>
            <w:r>
              <w:rPr>
                <w:rFonts w:ascii="Arial Narrow" w:cs="Arial Narrow" w:eastAsia="Arial Narrow" w:hAnsi="Arial Narrow"/>
                <w:sz w:val="18"/>
                <w:szCs w:val="18"/>
                <w:b w:val="1"/>
                <w:bCs w:val="1"/>
                <w:color w:val="auto"/>
              </w:rPr>
              <w:t>Weighted-Average</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jc w:val="right"/>
              <w:ind w:right="4"/>
              <w:spacing w:after="0"/>
              <w:rPr>
                <w:sz w:val="20"/>
                <w:szCs w:val="20"/>
                <w:color w:val="auto"/>
              </w:rPr>
            </w:pPr>
            <w:r>
              <w:rPr>
                <w:rFonts w:ascii="Arial Narrow" w:cs="Arial Narrow" w:eastAsia="Arial Narrow" w:hAnsi="Arial Narrow"/>
                <w:sz w:val="18"/>
                <w:szCs w:val="18"/>
                <w:b w:val="1"/>
                <w:bCs w:val="1"/>
                <w:color w:val="auto"/>
              </w:rPr>
              <w:t>Estimated Fair Value</w:t>
            </w:r>
          </w:p>
        </w:tc>
      </w:tr>
      <w:tr>
        <w:trPr>
          <w:trHeight w:val="254"/>
        </w:trPr>
        <w:tc>
          <w:tcPr>
            <w:tcW w:w="5940" w:type="dxa"/>
            <w:vAlign w:val="bottom"/>
          </w:tcPr>
          <w:p>
            <w:pPr>
              <w:spacing w:after="0"/>
              <w:rPr>
                <w:sz w:val="22"/>
                <w:szCs w:val="22"/>
                <w:color w:val="auto"/>
              </w:rPr>
            </w:pPr>
          </w:p>
        </w:tc>
        <w:tc>
          <w:tcPr>
            <w:tcW w:w="1480" w:type="dxa"/>
            <w:vAlign w:val="bottom"/>
          </w:tcPr>
          <w:p>
            <w:pPr>
              <w:jc w:val="right"/>
              <w:ind w:right="5"/>
              <w:spacing w:after="0"/>
              <w:rPr>
                <w:sz w:val="20"/>
                <w:szCs w:val="20"/>
                <w:color w:val="auto"/>
              </w:rPr>
            </w:pPr>
            <w:r>
              <w:rPr>
                <w:rFonts w:ascii="Arial Narrow" w:cs="Arial Narrow" w:eastAsia="Arial Narrow" w:hAnsi="Arial Narrow"/>
                <w:sz w:val="18"/>
                <w:szCs w:val="18"/>
                <w:b w:val="1"/>
                <w:bCs w:val="1"/>
                <w:color w:val="auto"/>
              </w:rPr>
              <w:t>Life</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60" w:type="dxa"/>
            <w:vAlign w:val="bottom"/>
          </w:tcPr>
          <w:p>
            <w:pPr>
              <w:jc w:val="right"/>
              <w:ind w:right="4"/>
              <w:spacing w:after="0"/>
              <w:rPr>
                <w:sz w:val="20"/>
                <w:szCs w:val="20"/>
                <w:color w:val="auto"/>
              </w:rPr>
            </w:pPr>
            <w:r>
              <w:rPr>
                <w:rFonts w:ascii="Arial Narrow" w:cs="Arial Narrow" w:eastAsia="Arial Narrow" w:hAnsi="Arial Narrow"/>
                <w:sz w:val="18"/>
                <w:szCs w:val="18"/>
                <w:b w:val="1"/>
                <w:bCs w:val="1"/>
                <w:color w:val="auto"/>
                <w:w w:val="99"/>
              </w:rPr>
              <w:t>(dollars in thousands)</w:t>
            </w:r>
          </w:p>
        </w:tc>
      </w:tr>
      <w:tr>
        <w:trPr>
          <w:trHeight w:val="46"/>
        </w:trPr>
        <w:tc>
          <w:tcPr>
            <w:tcW w:w="59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344"/>
        </w:trPr>
        <w:tc>
          <w:tcPr>
            <w:tcW w:w="5940" w:type="dxa"/>
            <w:vAlign w:val="bottom"/>
          </w:tcPr>
          <w:p>
            <w:pPr>
              <w:spacing w:after="0"/>
              <w:rPr>
                <w:sz w:val="20"/>
                <w:szCs w:val="20"/>
                <w:color w:val="auto"/>
              </w:rPr>
            </w:pPr>
            <w:r>
              <w:rPr>
                <w:rFonts w:ascii="Arial Narrow" w:cs="Arial Narrow" w:eastAsia="Arial Narrow" w:hAnsi="Arial Narrow"/>
                <w:sz w:val="20"/>
                <w:szCs w:val="20"/>
                <w:b w:val="1"/>
                <w:bCs w:val="1"/>
                <w:color w:val="00085E"/>
              </w:rPr>
              <w:t>Customer Relationships</w:t>
            </w:r>
          </w:p>
        </w:tc>
        <w:tc>
          <w:tcPr>
            <w:tcW w:w="1480" w:type="dxa"/>
            <w:vAlign w:val="bottom"/>
          </w:tcPr>
          <w:p>
            <w:pPr>
              <w:jc w:val="right"/>
              <w:ind w:right="5"/>
              <w:spacing w:after="0"/>
              <w:rPr>
                <w:sz w:val="20"/>
                <w:szCs w:val="20"/>
                <w:color w:val="auto"/>
              </w:rPr>
            </w:pPr>
            <w:r>
              <w:rPr>
                <w:rFonts w:ascii="Arial Narrow" w:cs="Arial Narrow" w:eastAsia="Arial Narrow" w:hAnsi="Arial Narrow"/>
                <w:sz w:val="20"/>
                <w:szCs w:val="20"/>
                <w:color w:val="auto"/>
              </w:rPr>
              <w:t>15</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jc w:val="right"/>
              <w:ind w:right="4"/>
              <w:spacing w:after="0"/>
              <w:rPr>
                <w:sz w:val="20"/>
                <w:szCs w:val="20"/>
                <w:color w:val="auto"/>
              </w:rPr>
            </w:pPr>
            <w:r>
              <w:rPr>
                <w:rFonts w:ascii="Arial Narrow" w:cs="Arial Narrow" w:eastAsia="Arial Narrow" w:hAnsi="Arial Narrow"/>
                <w:sz w:val="20"/>
                <w:szCs w:val="20"/>
                <w:color w:val="auto"/>
              </w:rPr>
              <w:t>38,100</w:t>
            </w:r>
          </w:p>
        </w:tc>
      </w:tr>
      <w:tr>
        <w:trPr>
          <w:trHeight w:val="65"/>
        </w:trPr>
        <w:tc>
          <w:tcPr>
            <w:tcW w:w="5940" w:type="dxa"/>
            <w:vAlign w:val="bottom"/>
            <w:tcBorders>
              <w:bottom w:val="single" w:sz="8" w:color="A6A6A6"/>
            </w:tcBorders>
          </w:tcPr>
          <w:p>
            <w:pPr>
              <w:spacing w:after="0"/>
              <w:rPr>
                <w:sz w:val="5"/>
                <w:szCs w:val="5"/>
                <w:color w:val="auto"/>
              </w:rPr>
            </w:pPr>
          </w:p>
        </w:tc>
        <w:tc>
          <w:tcPr>
            <w:tcW w:w="148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1660" w:type="dxa"/>
            <w:vAlign w:val="bottom"/>
            <w:tcBorders>
              <w:bottom w:val="single" w:sz="8" w:color="A6A6A6"/>
            </w:tcBorders>
          </w:tcPr>
          <w:p>
            <w:pPr>
              <w:spacing w:after="0"/>
              <w:rPr>
                <w:sz w:val="5"/>
                <w:szCs w:val="5"/>
                <w:color w:val="auto"/>
              </w:rPr>
            </w:pPr>
          </w:p>
        </w:tc>
      </w:tr>
      <w:tr>
        <w:trPr>
          <w:trHeight w:val="339"/>
        </w:trPr>
        <w:tc>
          <w:tcPr>
            <w:tcW w:w="5940" w:type="dxa"/>
            <w:vAlign w:val="bottom"/>
          </w:tcPr>
          <w:p>
            <w:pPr>
              <w:spacing w:after="0"/>
              <w:rPr>
                <w:sz w:val="20"/>
                <w:szCs w:val="20"/>
                <w:color w:val="auto"/>
              </w:rPr>
            </w:pPr>
            <w:r>
              <w:rPr>
                <w:rFonts w:ascii="Arial Narrow" w:cs="Arial Narrow" w:eastAsia="Arial Narrow" w:hAnsi="Arial Narrow"/>
                <w:sz w:val="20"/>
                <w:szCs w:val="20"/>
                <w:b w:val="1"/>
                <w:bCs w:val="1"/>
                <w:color w:val="00085E"/>
              </w:rPr>
              <w:t>Trade Name and Technology</w:t>
            </w:r>
          </w:p>
        </w:tc>
        <w:tc>
          <w:tcPr>
            <w:tcW w:w="1480" w:type="dxa"/>
            <w:vAlign w:val="bottom"/>
          </w:tcPr>
          <w:p>
            <w:pPr>
              <w:jc w:val="right"/>
              <w:ind w:right="5"/>
              <w:spacing w:after="0"/>
              <w:rPr>
                <w:sz w:val="20"/>
                <w:szCs w:val="20"/>
                <w:color w:val="auto"/>
              </w:rPr>
            </w:pPr>
            <w:r>
              <w:rPr>
                <w:rFonts w:ascii="Arial Narrow" w:cs="Arial Narrow" w:eastAsia="Arial Narrow" w:hAnsi="Arial Narrow"/>
                <w:sz w:val="20"/>
                <w:szCs w:val="20"/>
                <w:color w:val="auto"/>
              </w:rPr>
              <w:t>5</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jc w:val="right"/>
              <w:ind w:right="4"/>
              <w:spacing w:after="0"/>
              <w:rPr>
                <w:sz w:val="20"/>
                <w:szCs w:val="20"/>
                <w:color w:val="auto"/>
              </w:rPr>
            </w:pPr>
            <w:r>
              <w:rPr>
                <w:rFonts w:ascii="Arial Narrow" w:cs="Arial Narrow" w:eastAsia="Arial Narrow" w:hAnsi="Arial Narrow"/>
                <w:sz w:val="20"/>
                <w:szCs w:val="20"/>
                <w:color w:val="auto"/>
              </w:rPr>
              <w:t>500</w:t>
            </w:r>
          </w:p>
        </w:tc>
      </w:tr>
      <w:tr>
        <w:trPr>
          <w:trHeight w:val="90"/>
        </w:trPr>
        <w:tc>
          <w:tcPr>
            <w:tcW w:w="5940" w:type="dxa"/>
            <w:vAlign w:val="bottom"/>
            <w:tcBorders>
              <w:bottom w:val="single" w:sz="8" w:color="A6A6A6"/>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660" w:type="dxa"/>
            <w:vAlign w:val="bottom"/>
            <w:tcBorders>
              <w:bottom w:val="single" w:sz="8" w:color="auto"/>
            </w:tcBorders>
          </w:tcPr>
          <w:p>
            <w:pPr>
              <w:spacing w:after="0"/>
              <w:rPr>
                <w:sz w:val="7"/>
                <w:szCs w:val="7"/>
                <w:color w:val="auto"/>
              </w:rPr>
            </w:pPr>
          </w:p>
        </w:tc>
      </w:tr>
      <w:tr>
        <w:trPr>
          <w:trHeight w:val="344"/>
        </w:trPr>
        <w:tc>
          <w:tcPr>
            <w:tcW w:w="5940" w:type="dxa"/>
            <w:vAlign w:val="bottom"/>
          </w:tcPr>
          <w:p>
            <w:pPr>
              <w:ind w:left="200"/>
              <w:spacing w:after="0"/>
              <w:rPr>
                <w:sz w:val="20"/>
                <w:szCs w:val="20"/>
                <w:color w:val="auto"/>
              </w:rPr>
            </w:pPr>
            <w:r>
              <w:rPr>
                <w:rFonts w:ascii="Arial Narrow" w:cs="Arial Narrow" w:eastAsia="Arial Narrow" w:hAnsi="Arial Narrow"/>
                <w:sz w:val="20"/>
                <w:szCs w:val="20"/>
                <w:b w:val="1"/>
                <w:bCs w:val="1"/>
                <w:color w:val="auto"/>
              </w:rPr>
              <w:t>Total Intangible Assets</w:t>
            </w:r>
          </w:p>
        </w:tc>
        <w:tc>
          <w:tcPr>
            <w:tcW w:w="1480" w:type="dxa"/>
            <w:vAlign w:val="bottom"/>
          </w:tcPr>
          <w:p>
            <w:pPr>
              <w:spacing w:after="0"/>
              <w:rPr>
                <w:sz w:val="24"/>
                <w:szCs w:val="24"/>
                <w:color w:val="auto"/>
              </w:rPr>
            </w:pPr>
          </w:p>
        </w:tc>
        <w:tc>
          <w:tcPr>
            <w:tcW w:w="280" w:type="dxa"/>
            <w:vAlign w:val="bottom"/>
            <w:gridSpan w:val="2"/>
          </w:tcPr>
          <w:p>
            <w:pPr>
              <w:jc w:val="right"/>
              <w:ind w:right="40"/>
              <w:spacing w:after="0"/>
              <w:rPr>
                <w:sz w:val="20"/>
                <w:szCs w:val="20"/>
                <w:color w:val="auto"/>
              </w:rPr>
            </w:pPr>
            <w:r>
              <w:rPr>
                <w:rFonts w:ascii="Arial Narrow" w:cs="Arial Narrow" w:eastAsia="Arial Narrow" w:hAnsi="Arial Narrow"/>
                <w:sz w:val="20"/>
                <w:szCs w:val="20"/>
                <w:b w:val="1"/>
                <w:bCs w:val="1"/>
                <w:color w:val="auto"/>
              </w:rPr>
              <w:t>$</w:t>
            </w:r>
          </w:p>
        </w:tc>
        <w:tc>
          <w:tcPr>
            <w:tcW w:w="1660" w:type="dxa"/>
            <w:vAlign w:val="bottom"/>
          </w:tcPr>
          <w:p>
            <w:pPr>
              <w:jc w:val="right"/>
              <w:ind w:right="4"/>
              <w:spacing w:after="0"/>
              <w:rPr>
                <w:sz w:val="20"/>
                <w:szCs w:val="20"/>
                <w:color w:val="auto"/>
              </w:rPr>
            </w:pPr>
            <w:r>
              <w:rPr>
                <w:rFonts w:ascii="Arial Narrow" w:cs="Arial Narrow" w:eastAsia="Arial Narrow" w:hAnsi="Arial Narrow"/>
                <w:sz w:val="20"/>
                <w:szCs w:val="20"/>
                <w:b w:val="1"/>
                <w:bCs w:val="1"/>
                <w:color w:val="auto"/>
              </w:rPr>
              <w:t>38,600</w:t>
            </w:r>
          </w:p>
        </w:tc>
      </w:tr>
      <w:tr>
        <w:trPr>
          <w:trHeight w:val="65"/>
        </w:trPr>
        <w:tc>
          <w:tcPr>
            <w:tcW w:w="594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r>
      <w:tr>
        <w:trPr>
          <w:trHeight w:val="20"/>
        </w:trPr>
        <w:tc>
          <w:tcPr>
            <w:tcW w:w="59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360"/>
          </w:cols>
          <w:pgMar w:left="1260" w:top="1267"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85</w:t>
      </w:r>
    </w:p>
    <w:p>
      <w:pPr>
        <w:sectPr>
          <w:pgSz w:w="11880" w:h="15480" w:orient="portrait"/>
          <w:cols w:equalWidth="0" w:num="1">
            <w:col w:w="9360"/>
          </w:cols>
          <w:pgMar w:left="1260" w:top="1267" w:right="1260" w:bottom="0" w:gutter="0" w:footer="0" w:header="0"/>
          <w:type w:val="continuous"/>
        </w:sectPr>
      </w:pPr>
    </w:p>
    <w:bookmarkStart w:id="93" w:name="page94"/>
    <w:bookmarkEnd w:id="93"/>
    <w:p>
      <w:pPr>
        <w:jc w:val="both"/>
        <w:ind w:right="240"/>
        <w:spacing w:after="0" w:line="303" w:lineRule="auto"/>
        <w:rPr>
          <w:sz w:val="20"/>
          <w:szCs w:val="20"/>
          <w:color w:val="auto"/>
        </w:rPr>
      </w:pPr>
      <w:r>
        <w:rPr>
          <w:rFonts w:ascii="Arial" w:cs="Arial" w:eastAsia="Arial" w:hAnsi="Arial"/>
          <w:sz w:val="20"/>
          <w:szCs w:val="20"/>
          <w:color w:val="auto"/>
        </w:rPr>
        <w:t>The following table presents the Revenue and Operating Earnings related to the Western Pennsylvania Acquisition that has been included in our Consolidated Statement of Earnings for the fiscal year ended March 31, 2026.</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140" w:type="dxa"/>
            <w:vAlign w:val="bottom"/>
          </w:tcPr>
          <w:p>
            <w:pPr>
              <w:spacing w:after="0"/>
              <w:rPr>
                <w:sz w:val="19"/>
                <w:szCs w:val="19"/>
                <w:color w:val="auto"/>
              </w:rPr>
            </w:pPr>
          </w:p>
        </w:tc>
        <w:tc>
          <w:tcPr>
            <w:tcW w:w="5220" w:type="dxa"/>
            <w:vAlign w:val="bottom"/>
            <w:gridSpan w:val="2"/>
          </w:tcPr>
          <w:p>
            <w:pPr>
              <w:jc w:val="right"/>
              <w:ind w:right="47"/>
              <w:spacing w:after="0"/>
              <w:rPr>
                <w:sz w:val="20"/>
                <w:szCs w:val="20"/>
                <w:color w:val="auto"/>
              </w:rPr>
            </w:pPr>
            <w:r>
              <w:rPr>
                <w:rFonts w:ascii="Arial Narrow" w:cs="Arial Narrow" w:eastAsia="Arial Narrow" w:hAnsi="Arial Narrow"/>
                <w:sz w:val="18"/>
                <w:szCs w:val="18"/>
                <w:b w:val="1"/>
                <w:bCs w:val="1"/>
                <w:color w:val="auto"/>
              </w:rPr>
              <w:t>For the Year Ended March 31, 2026</w:t>
            </w:r>
          </w:p>
        </w:tc>
      </w:tr>
      <w:tr>
        <w:trPr>
          <w:trHeight w:val="222"/>
        </w:trPr>
        <w:tc>
          <w:tcPr>
            <w:tcW w:w="41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2260" w:type="dxa"/>
            <w:vAlign w:val="bottom"/>
          </w:tcPr>
          <w:p>
            <w:pPr>
              <w:jc w:val="right"/>
              <w:ind w:right="627"/>
              <w:spacing w:after="0"/>
              <w:rPr>
                <w:sz w:val="20"/>
                <w:szCs w:val="20"/>
                <w:color w:val="auto"/>
              </w:rPr>
            </w:pPr>
            <w:r>
              <w:rPr>
                <w:rFonts w:ascii="Arial Narrow" w:cs="Arial Narrow" w:eastAsia="Arial Narrow" w:hAnsi="Arial Narrow"/>
                <w:sz w:val="16"/>
                <w:szCs w:val="16"/>
                <w:color w:val="auto"/>
              </w:rPr>
              <w:t>(dollars in thousands)</w:t>
            </w:r>
          </w:p>
        </w:tc>
      </w:tr>
      <w:tr>
        <w:trPr>
          <w:trHeight w:val="48"/>
        </w:trPr>
        <w:tc>
          <w:tcPr>
            <w:tcW w:w="4140" w:type="dxa"/>
            <w:vAlign w:val="bottom"/>
            <w:tcBorders>
              <w:bottom w:val="single" w:sz="8" w:color="auto"/>
            </w:tcBorders>
          </w:tcPr>
          <w:p>
            <w:pPr>
              <w:spacing w:after="0"/>
              <w:rPr>
                <w:sz w:val="4"/>
                <w:szCs w:val="4"/>
                <w:color w:val="auto"/>
              </w:rPr>
            </w:pPr>
          </w:p>
        </w:tc>
        <w:tc>
          <w:tcPr>
            <w:tcW w:w="2960" w:type="dxa"/>
            <w:vAlign w:val="bottom"/>
            <w:tcBorders>
              <w:bottom w:val="single" w:sz="8" w:color="auto"/>
            </w:tcBorders>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r>
      <w:tr>
        <w:trPr>
          <w:trHeight w:val="344"/>
        </w:trPr>
        <w:tc>
          <w:tcPr>
            <w:tcW w:w="4140" w:type="dxa"/>
            <w:vAlign w:val="bottom"/>
          </w:tcPr>
          <w:p>
            <w:pPr>
              <w:spacing w:after="0"/>
              <w:rPr>
                <w:sz w:val="20"/>
                <w:szCs w:val="20"/>
                <w:color w:val="auto"/>
              </w:rPr>
            </w:pPr>
            <w:r>
              <w:rPr>
                <w:rFonts w:ascii="Arial Narrow" w:cs="Arial Narrow" w:eastAsia="Arial Narrow" w:hAnsi="Arial Narrow"/>
                <w:sz w:val="20"/>
                <w:szCs w:val="20"/>
                <w:b w:val="1"/>
                <w:bCs w:val="1"/>
                <w:color w:val="00085E"/>
              </w:rPr>
              <w:t>Revenue</w:t>
            </w:r>
          </w:p>
        </w:tc>
        <w:tc>
          <w:tcPr>
            <w:tcW w:w="2960" w:type="dxa"/>
            <w:vAlign w:val="bottom"/>
          </w:tcPr>
          <w:p>
            <w:pPr>
              <w:jc w:val="right"/>
              <w:ind w:right="163"/>
              <w:spacing w:after="0"/>
              <w:rPr>
                <w:sz w:val="20"/>
                <w:szCs w:val="20"/>
                <w:color w:val="auto"/>
              </w:rPr>
            </w:pPr>
            <w:r>
              <w:rPr>
                <w:rFonts w:ascii="Arial Narrow" w:cs="Arial Narrow" w:eastAsia="Arial Narrow" w:hAnsi="Arial Narrow"/>
                <w:sz w:val="20"/>
                <w:szCs w:val="20"/>
                <w:color w:val="auto"/>
              </w:rPr>
              <w:t>$</w:t>
            </w:r>
          </w:p>
        </w:tc>
        <w:tc>
          <w:tcPr>
            <w:tcW w:w="2260" w:type="dxa"/>
            <w:vAlign w:val="bottom"/>
          </w:tcPr>
          <w:p>
            <w:pPr>
              <w:jc w:val="right"/>
              <w:ind w:right="7"/>
              <w:spacing w:after="0"/>
              <w:rPr>
                <w:sz w:val="20"/>
                <w:szCs w:val="20"/>
                <w:color w:val="auto"/>
              </w:rPr>
            </w:pPr>
            <w:r>
              <w:rPr>
                <w:rFonts w:ascii="Arial Narrow" w:cs="Arial Narrow" w:eastAsia="Arial Narrow" w:hAnsi="Arial Narrow"/>
                <w:sz w:val="20"/>
                <w:szCs w:val="20"/>
                <w:color w:val="auto"/>
              </w:rPr>
              <w:t>28,612</w:t>
            </w:r>
          </w:p>
        </w:tc>
      </w:tr>
      <w:tr>
        <w:trPr>
          <w:trHeight w:val="65"/>
        </w:trPr>
        <w:tc>
          <w:tcPr>
            <w:tcW w:w="4140" w:type="dxa"/>
            <w:vAlign w:val="bottom"/>
            <w:tcBorders>
              <w:bottom w:val="single" w:sz="8" w:color="A6A6A6"/>
            </w:tcBorders>
          </w:tcPr>
          <w:p>
            <w:pPr>
              <w:spacing w:after="0"/>
              <w:rPr>
                <w:sz w:val="5"/>
                <w:szCs w:val="5"/>
                <w:color w:val="auto"/>
              </w:rPr>
            </w:pPr>
          </w:p>
        </w:tc>
        <w:tc>
          <w:tcPr>
            <w:tcW w:w="2960" w:type="dxa"/>
            <w:vAlign w:val="bottom"/>
            <w:tcBorders>
              <w:bottom w:val="single" w:sz="8" w:color="A6A6A6"/>
            </w:tcBorders>
          </w:tcPr>
          <w:p>
            <w:pPr>
              <w:spacing w:after="0"/>
              <w:rPr>
                <w:sz w:val="5"/>
                <w:szCs w:val="5"/>
                <w:color w:val="auto"/>
              </w:rPr>
            </w:pPr>
          </w:p>
        </w:tc>
        <w:tc>
          <w:tcPr>
            <w:tcW w:w="2260" w:type="dxa"/>
            <w:vAlign w:val="bottom"/>
            <w:tcBorders>
              <w:bottom w:val="single" w:sz="8" w:color="A6A6A6"/>
            </w:tcBorders>
          </w:tcPr>
          <w:p>
            <w:pPr>
              <w:spacing w:after="0"/>
              <w:rPr>
                <w:sz w:val="5"/>
                <w:szCs w:val="5"/>
                <w:color w:val="auto"/>
              </w:rPr>
            </w:pPr>
          </w:p>
        </w:tc>
      </w:tr>
      <w:tr>
        <w:trPr>
          <w:trHeight w:val="339"/>
        </w:trPr>
        <w:tc>
          <w:tcPr>
            <w:tcW w:w="4140" w:type="dxa"/>
            <w:vAlign w:val="bottom"/>
          </w:tcPr>
          <w:p>
            <w:pPr>
              <w:spacing w:after="0"/>
              <w:rPr>
                <w:sz w:val="20"/>
                <w:szCs w:val="20"/>
                <w:color w:val="auto"/>
              </w:rPr>
            </w:pPr>
            <w:r>
              <w:rPr>
                <w:rFonts w:ascii="Arial Narrow" w:cs="Arial Narrow" w:eastAsia="Arial Narrow" w:hAnsi="Arial Narrow"/>
                <w:sz w:val="20"/>
                <w:szCs w:val="20"/>
                <w:b w:val="1"/>
                <w:bCs w:val="1"/>
                <w:color w:val="00085E"/>
              </w:rPr>
              <w:t>Operating Earnings</w:t>
            </w:r>
          </w:p>
        </w:tc>
        <w:tc>
          <w:tcPr>
            <w:tcW w:w="2960" w:type="dxa"/>
            <w:vAlign w:val="bottom"/>
          </w:tcPr>
          <w:p>
            <w:pPr>
              <w:jc w:val="right"/>
              <w:ind w:right="163"/>
              <w:spacing w:after="0"/>
              <w:rPr>
                <w:sz w:val="20"/>
                <w:szCs w:val="20"/>
                <w:color w:val="auto"/>
              </w:rPr>
            </w:pPr>
            <w:r>
              <w:rPr>
                <w:rFonts w:ascii="Arial Narrow" w:cs="Arial Narrow" w:eastAsia="Arial Narrow" w:hAnsi="Arial Narrow"/>
                <w:sz w:val="20"/>
                <w:szCs w:val="20"/>
                <w:color w:val="auto"/>
              </w:rPr>
              <w:t>$</w:t>
            </w:r>
          </w:p>
        </w:tc>
        <w:tc>
          <w:tcPr>
            <w:tcW w:w="2260" w:type="dxa"/>
            <w:vAlign w:val="bottom"/>
          </w:tcPr>
          <w:p>
            <w:pPr>
              <w:jc w:val="right"/>
              <w:ind w:right="7"/>
              <w:spacing w:after="0"/>
              <w:rPr>
                <w:sz w:val="20"/>
                <w:szCs w:val="20"/>
                <w:color w:val="auto"/>
              </w:rPr>
            </w:pPr>
            <w:r>
              <w:rPr>
                <w:rFonts w:ascii="Arial Narrow" w:cs="Arial Narrow" w:eastAsia="Arial Narrow" w:hAnsi="Arial Narrow"/>
                <w:sz w:val="20"/>
                <w:szCs w:val="20"/>
                <w:color w:val="auto"/>
              </w:rPr>
              <w:t>5,377</w:t>
            </w:r>
          </w:p>
        </w:tc>
      </w:tr>
      <w:tr>
        <w:trPr>
          <w:trHeight w:val="65"/>
        </w:trPr>
        <w:tc>
          <w:tcPr>
            <w:tcW w:w="4140" w:type="dxa"/>
            <w:vAlign w:val="bottom"/>
            <w:tcBorders>
              <w:bottom w:val="single" w:sz="8" w:color="A6A6A6"/>
            </w:tcBorders>
          </w:tcPr>
          <w:p>
            <w:pPr>
              <w:spacing w:after="0"/>
              <w:rPr>
                <w:sz w:val="5"/>
                <w:szCs w:val="5"/>
                <w:color w:val="auto"/>
              </w:rPr>
            </w:pPr>
          </w:p>
        </w:tc>
        <w:tc>
          <w:tcPr>
            <w:tcW w:w="2960" w:type="dxa"/>
            <w:vAlign w:val="bottom"/>
            <w:tcBorders>
              <w:bottom w:val="single" w:sz="8" w:color="A6A6A6"/>
            </w:tcBorders>
          </w:tcPr>
          <w:p>
            <w:pPr>
              <w:spacing w:after="0"/>
              <w:rPr>
                <w:sz w:val="5"/>
                <w:szCs w:val="5"/>
                <w:color w:val="auto"/>
              </w:rPr>
            </w:pPr>
          </w:p>
        </w:tc>
        <w:tc>
          <w:tcPr>
            <w:tcW w:w="2260" w:type="dxa"/>
            <w:vAlign w:val="bottom"/>
            <w:tcBorders>
              <w:bottom w:val="single" w:sz="8" w:color="A6A6A6"/>
            </w:tcBorders>
          </w:tcPr>
          <w:p>
            <w:pPr>
              <w:spacing w:after="0"/>
              <w:rPr>
                <w:sz w:val="5"/>
                <w:szCs w:val="5"/>
                <w:color w:val="auto"/>
              </w:rPr>
            </w:pPr>
          </w:p>
        </w:tc>
      </w:tr>
    </w:tbl>
    <w:p>
      <w:pPr>
        <w:spacing w:after="0" w:line="128" w:lineRule="exact"/>
        <w:rPr>
          <w:sz w:val="20"/>
          <w:szCs w:val="20"/>
          <w:color w:val="auto"/>
        </w:rPr>
      </w:pPr>
    </w:p>
    <w:p>
      <w:pPr>
        <w:ind w:right="380"/>
        <w:spacing w:after="0" w:line="325" w:lineRule="auto"/>
        <w:rPr>
          <w:sz w:val="20"/>
          <w:szCs w:val="20"/>
          <w:color w:val="auto"/>
        </w:rPr>
      </w:pPr>
      <w:r>
        <w:rPr>
          <w:rFonts w:ascii="Arial" w:cs="Arial" w:eastAsia="Arial" w:hAnsi="Arial"/>
          <w:sz w:val="20"/>
          <w:szCs w:val="20"/>
          <w:color w:val="auto"/>
        </w:rPr>
        <w:t>Included in Operating Earnings shown above is approximately $6.7 million related to depreciation and amortization.</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00085E"/>
        </w:rPr>
        <w:t>(C) PROPERTY, PLANT, AND EQUIPMENT</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color w:val="auto"/>
        </w:rPr>
        <w:t>Cost by major category and Accumulated Depreciation are summarized below.</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right"/>
              <w:ind w:right="340"/>
              <w:spacing w:after="0"/>
              <w:rPr>
                <w:sz w:val="20"/>
                <w:szCs w:val="20"/>
                <w:color w:val="auto"/>
              </w:rPr>
            </w:pPr>
            <w:r>
              <w:rPr>
                <w:rFonts w:ascii="Arial Narrow" w:cs="Arial Narrow" w:eastAsia="Arial Narrow" w:hAnsi="Arial Narrow"/>
                <w:sz w:val="18"/>
                <w:szCs w:val="18"/>
                <w:b w:val="1"/>
                <w:bCs w:val="1"/>
                <w:color w:val="auto"/>
              </w:rPr>
              <w:t>March 31,</w:t>
            </w:r>
          </w:p>
        </w:tc>
        <w:tc>
          <w:tcPr>
            <w:tcW w:w="1060" w:type="dxa"/>
            <w:vAlign w:val="bottom"/>
            <w:tcBorders>
              <w:bottom w:val="single" w:sz="8" w:color="auto"/>
            </w:tcBorders>
          </w:tcPr>
          <w:p>
            <w:pPr>
              <w:spacing w:after="0"/>
              <w:rPr>
                <w:sz w:val="20"/>
                <w:szCs w:val="20"/>
                <w:color w:val="auto"/>
              </w:rPr>
            </w:pPr>
          </w:p>
        </w:tc>
      </w:tr>
      <w:tr>
        <w:trPr>
          <w:trHeight w:val="253"/>
        </w:trPr>
        <w:tc>
          <w:tcPr>
            <w:tcW w:w="60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
              <w:spacing w:after="0"/>
              <w:rPr>
                <w:sz w:val="20"/>
                <w:szCs w:val="20"/>
                <w:color w:val="auto"/>
              </w:rPr>
            </w:pPr>
            <w:r>
              <w:rPr>
                <w:rFonts w:ascii="Arial Narrow" w:cs="Arial Narrow" w:eastAsia="Arial Narrow" w:hAnsi="Arial Narrow"/>
                <w:sz w:val="18"/>
                <w:szCs w:val="18"/>
                <w:b w:val="1"/>
                <w:bCs w:val="1"/>
                <w:color w:val="auto"/>
              </w:rPr>
              <w:t>2026</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1"/>
              <w:spacing w:after="0"/>
              <w:rPr>
                <w:sz w:val="20"/>
                <w:szCs w:val="20"/>
                <w:color w:val="auto"/>
              </w:rPr>
            </w:pPr>
            <w:r>
              <w:rPr>
                <w:rFonts w:ascii="Arial Narrow" w:cs="Arial Narrow" w:eastAsia="Arial Narrow" w:hAnsi="Arial Narrow"/>
                <w:sz w:val="18"/>
                <w:szCs w:val="18"/>
                <w:b w:val="1"/>
                <w:bCs w:val="1"/>
                <w:color w:val="auto"/>
              </w:rPr>
              <w:t>2025</w:t>
            </w:r>
          </w:p>
        </w:tc>
      </w:tr>
      <w:tr>
        <w:trPr>
          <w:trHeight w:val="244"/>
        </w:trPr>
        <w:tc>
          <w:tcPr>
            <w:tcW w:w="6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00" w:type="dxa"/>
            <w:vAlign w:val="bottom"/>
            <w:gridSpan w:val="4"/>
          </w:tcPr>
          <w:p>
            <w:pPr>
              <w:jc w:val="right"/>
              <w:ind w:right="60"/>
              <w:spacing w:after="0"/>
              <w:rPr>
                <w:sz w:val="20"/>
                <w:szCs w:val="20"/>
                <w:color w:val="auto"/>
              </w:rPr>
            </w:pPr>
            <w:r>
              <w:rPr>
                <w:rFonts w:ascii="Arial Narrow" w:cs="Arial Narrow" w:eastAsia="Arial Narrow" w:hAnsi="Arial Narrow"/>
                <w:sz w:val="16"/>
                <w:szCs w:val="16"/>
                <w:color w:val="auto"/>
              </w:rPr>
              <w:t>(dollars in thousands)</w:t>
            </w:r>
          </w:p>
        </w:tc>
        <w:tc>
          <w:tcPr>
            <w:tcW w:w="1060" w:type="dxa"/>
            <w:vAlign w:val="bottom"/>
          </w:tcPr>
          <w:p>
            <w:pPr>
              <w:spacing w:after="0"/>
              <w:rPr>
                <w:sz w:val="21"/>
                <w:szCs w:val="21"/>
                <w:color w:val="auto"/>
              </w:rPr>
            </w:pPr>
          </w:p>
        </w:tc>
      </w:tr>
      <w:tr>
        <w:trPr>
          <w:trHeight w:val="48"/>
        </w:trPr>
        <w:tc>
          <w:tcPr>
            <w:tcW w:w="60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gridSpan w:val="3"/>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344"/>
        </w:trPr>
        <w:tc>
          <w:tcPr>
            <w:tcW w:w="6060" w:type="dxa"/>
            <w:vAlign w:val="bottom"/>
          </w:tcPr>
          <w:p>
            <w:pPr>
              <w:spacing w:after="0"/>
              <w:rPr>
                <w:sz w:val="20"/>
                <w:szCs w:val="20"/>
                <w:color w:val="auto"/>
              </w:rPr>
            </w:pPr>
            <w:r>
              <w:rPr>
                <w:rFonts w:ascii="Arial Narrow" w:cs="Arial Narrow" w:eastAsia="Arial Narrow" w:hAnsi="Arial Narrow"/>
                <w:sz w:val="20"/>
                <w:szCs w:val="20"/>
                <w:b w:val="1"/>
                <w:bCs w:val="1"/>
                <w:color w:val="00085E"/>
              </w:rPr>
              <w:t>Land and Quarries</w:t>
            </w:r>
          </w:p>
        </w:tc>
        <w:tc>
          <w:tcPr>
            <w:tcW w:w="340" w:type="dxa"/>
            <w:vAlign w:val="bottom"/>
          </w:tcPr>
          <w:p>
            <w:pPr>
              <w:jc w:val="right"/>
              <w:ind w:right="140"/>
              <w:spacing w:after="0"/>
              <w:rPr>
                <w:sz w:val="20"/>
                <w:szCs w:val="20"/>
                <w:color w:val="auto"/>
              </w:rPr>
            </w:pPr>
            <w:r>
              <w:rPr>
                <w:rFonts w:ascii="Arial Narrow" w:cs="Arial Narrow" w:eastAsia="Arial Narrow" w:hAnsi="Arial Narrow"/>
                <w:sz w:val="20"/>
                <w:szCs w:val="20"/>
                <w:color w:val="auto"/>
                <w:w w:val="87"/>
              </w:rPr>
              <w:t>$</w:t>
            </w:r>
          </w:p>
        </w:tc>
        <w:tc>
          <w:tcPr>
            <w:tcW w:w="1120" w:type="dxa"/>
            <w:vAlign w:val="bottom"/>
          </w:tcPr>
          <w:p>
            <w:pPr>
              <w:jc w:val="right"/>
              <w:ind w:right="4"/>
              <w:spacing w:after="0"/>
              <w:rPr>
                <w:sz w:val="20"/>
                <w:szCs w:val="20"/>
                <w:color w:val="auto"/>
              </w:rPr>
            </w:pPr>
            <w:r>
              <w:rPr>
                <w:rFonts w:ascii="Arial Narrow" w:cs="Arial Narrow" w:eastAsia="Arial Narrow" w:hAnsi="Arial Narrow"/>
                <w:sz w:val="20"/>
                <w:szCs w:val="20"/>
                <w:color w:val="auto"/>
              </w:rPr>
              <w:t>377,572</w:t>
            </w:r>
          </w:p>
        </w:tc>
        <w:tc>
          <w:tcPr>
            <w:tcW w:w="780" w:type="dxa"/>
            <w:vAlign w:val="bottom"/>
            <w:gridSpan w:val="3"/>
          </w:tcPr>
          <w:p>
            <w:pPr>
              <w:jc w:val="right"/>
              <w:ind w:right="380"/>
              <w:spacing w:after="0"/>
              <w:rPr>
                <w:sz w:val="20"/>
                <w:szCs w:val="20"/>
                <w:color w:val="auto"/>
              </w:rPr>
            </w:pPr>
            <w:r>
              <w:rPr>
                <w:rFonts w:ascii="Arial Narrow" w:cs="Arial Narrow" w:eastAsia="Arial Narrow" w:hAnsi="Arial Narrow"/>
                <w:sz w:val="20"/>
                <w:szCs w:val="20"/>
                <w:color w:val="auto"/>
              </w:rPr>
              <w:t>$</w:t>
            </w:r>
          </w:p>
        </w:tc>
        <w:tc>
          <w:tcPr>
            <w:tcW w:w="1060" w:type="dxa"/>
            <w:vAlign w:val="bottom"/>
          </w:tcPr>
          <w:p>
            <w:pPr>
              <w:jc w:val="right"/>
              <w:ind w:right="101"/>
              <w:spacing w:after="0"/>
              <w:rPr>
                <w:sz w:val="20"/>
                <w:szCs w:val="20"/>
                <w:color w:val="auto"/>
              </w:rPr>
            </w:pPr>
            <w:r>
              <w:rPr>
                <w:rFonts w:ascii="Arial Narrow" w:cs="Arial Narrow" w:eastAsia="Arial Narrow" w:hAnsi="Arial Narrow"/>
                <w:sz w:val="20"/>
                <w:szCs w:val="20"/>
                <w:color w:val="auto"/>
              </w:rPr>
              <w:t>364,547</w:t>
            </w:r>
          </w:p>
        </w:tc>
      </w:tr>
      <w:tr>
        <w:trPr>
          <w:trHeight w:val="65"/>
        </w:trPr>
        <w:tc>
          <w:tcPr>
            <w:tcW w:w="6060" w:type="dxa"/>
            <w:vAlign w:val="bottom"/>
            <w:tcBorders>
              <w:bottom w:val="single" w:sz="8" w:color="A6A6A6"/>
            </w:tcBorders>
          </w:tcPr>
          <w:p>
            <w:pPr>
              <w:spacing w:after="0"/>
              <w:rPr>
                <w:sz w:val="5"/>
                <w:szCs w:val="5"/>
                <w:color w:val="auto"/>
              </w:rPr>
            </w:pPr>
          </w:p>
        </w:tc>
        <w:tc>
          <w:tcPr>
            <w:tcW w:w="340" w:type="dxa"/>
            <w:vAlign w:val="bottom"/>
            <w:tcBorders>
              <w:bottom w:val="single" w:sz="8" w:color="A6A6A6"/>
            </w:tcBorders>
          </w:tcPr>
          <w:p>
            <w:pPr>
              <w:spacing w:after="0"/>
              <w:rPr>
                <w:sz w:val="5"/>
                <w:szCs w:val="5"/>
                <w:color w:val="auto"/>
              </w:rPr>
            </w:pPr>
          </w:p>
        </w:tc>
        <w:tc>
          <w:tcPr>
            <w:tcW w:w="112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460" w:type="dxa"/>
            <w:vAlign w:val="bottom"/>
            <w:tcBorders>
              <w:bottom w:val="single" w:sz="8" w:color="A6A6A6"/>
            </w:tcBorders>
          </w:tcPr>
          <w:p>
            <w:pPr>
              <w:spacing w:after="0"/>
              <w:rPr>
                <w:sz w:val="5"/>
                <w:szCs w:val="5"/>
                <w:color w:val="auto"/>
              </w:rPr>
            </w:pPr>
          </w:p>
        </w:tc>
        <w:tc>
          <w:tcPr>
            <w:tcW w:w="1060" w:type="dxa"/>
            <w:vAlign w:val="bottom"/>
            <w:tcBorders>
              <w:bottom w:val="single" w:sz="8" w:color="A6A6A6"/>
            </w:tcBorders>
          </w:tcPr>
          <w:p>
            <w:pPr>
              <w:spacing w:after="0"/>
              <w:rPr>
                <w:sz w:val="5"/>
                <w:szCs w:val="5"/>
                <w:color w:val="auto"/>
              </w:rPr>
            </w:pPr>
          </w:p>
        </w:tc>
      </w:tr>
      <w:tr>
        <w:trPr>
          <w:trHeight w:val="339"/>
        </w:trPr>
        <w:tc>
          <w:tcPr>
            <w:tcW w:w="6060" w:type="dxa"/>
            <w:vAlign w:val="bottom"/>
          </w:tcPr>
          <w:p>
            <w:pPr>
              <w:spacing w:after="0"/>
              <w:rPr>
                <w:sz w:val="20"/>
                <w:szCs w:val="20"/>
                <w:color w:val="auto"/>
              </w:rPr>
            </w:pPr>
            <w:r>
              <w:rPr>
                <w:rFonts w:ascii="Arial Narrow" w:cs="Arial Narrow" w:eastAsia="Arial Narrow" w:hAnsi="Arial Narrow"/>
                <w:sz w:val="20"/>
                <w:szCs w:val="20"/>
                <w:b w:val="1"/>
                <w:bCs w:val="1"/>
                <w:color w:val="00085E"/>
              </w:rPr>
              <w:t>Plants</w:t>
            </w:r>
          </w:p>
        </w:tc>
        <w:tc>
          <w:tcPr>
            <w:tcW w:w="340" w:type="dxa"/>
            <w:vAlign w:val="bottom"/>
          </w:tcPr>
          <w:p>
            <w:pPr>
              <w:spacing w:after="0"/>
              <w:rPr>
                <w:sz w:val="24"/>
                <w:szCs w:val="24"/>
                <w:color w:val="auto"/>
              </w:rPr>
            </w:pPr>
          </w:p>
        </w:tc>
        <w:tc>
          <w:tcPr>
            <w:tcW w:w="1120" w:type="dxa"/>
            <w:vAlign w:val="bottom"/>
          </w:tcPr>
          <w:p>
            <w:pPr>
              <w:jc w:val="right"/>
              <w:ind w:right="4"/>
              <w:spacing w:after="0"/>
              <w:rPr>
                <w:sz w:val="20"/>
                <w:szCs w:val="20"/>
                <w:color w:val="auto"/>
              </w:rPr>
            </w:pPr>
            <w:r>
              <w:rPr>
                <w:rFonts w:ascii="Arial Narrow" w:cs="Arial Narrow" w:eastAsia="Arial Narrow" w:hAnsi="Arial Narrow"/>
                <w:sz w:val="20"/>
                <w:szCs w:val="20"/>
                <w:color w:val="auto"/>
              </w:rPr>
              <w:t>2,730,743</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jc w:val="right"/>
              <w:ind w:right="101"/>
              <w:spacing w:after="0"/>
              <w:rPr>
                <w:sz w:val="20"/>
                <w:szCs w:val="20"/>
                <w:color w:val="auto"/>
              </w:rPr>
            </w:pPr>
            <w:r>
              <w:rPr>
                <w:rFonts w:ascii="Arial Narrow" w:cs="Arial Narrow" w:eastAsia="Arial Narrow" w:hAnsi="Arial Narrow"/>
                <w:sz w:val="20"/>
                <w:szCs w:val="20"/>
                <w:color w:val="auto"/>
              </w:rPr>
              <w:t>2,567,537</w:t>
            </w:r>
          </w:p>
        </w:tc>
      </w:tr>
      <w:tr>
        <w:trPr>
          <w:trHeight w:val="65"/>
        </w:trPr>
        <w:tc>
          <w:tcPr>
            <w:tcW w:w="6060" w:type="dxa"/>
            <w:vAlign w:val="bottom"/>
            <w:tcBorders>
              <w:bottom w:val="single" w:sz="8" w:color="A6A6A6"/>
            </w:tcBorders>
          </w:tcPr>
          <w:p>
            <w:pPr>
              <w:spacing w:after="0"/>
              <w:rPr>
                <w:sz w:val="5"/>
                <w:szCs w:val="5"/>
                <w:color w:val="auto"/>
              </w:rPr>
            </w:pPr>
          </w:p>
        </w:tc>
        <w:tc>
          <w:tcPr>
            <w:tcW w:w="340" w:type="dxa"/>
            <w:vAlign w:val="bottom"/>
            <w:tcBorders>
              <w:bottom w:val="single" w:sz="8" w:color="A6A6A6"/>
            </w:tcBorders>
          </w:tcPr>
          <w:p>
            <w:pPr>
              <w:spacing w:after="0"/>
              <w:rPr>
                <w:sz w:val="5"/>
                <w:szCs w:val="5"/>
                <w:color w:val="auto"/>
              </w:rPr>
            </w:pPr>
          </w:p>
        </w:tc>
        <w:tc>
          <w:tcPr>
            <w:tcW w:w="112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460" w:type="dxa"/>
            <w:vAlign w:val="bottom"/>
            <w:tcBorders>
              <w:bottom w:val="single" w:sz="8" w:color="A6A6A6"/>
            </w:tcBorders>
          </w:tcPr>
          <w:p>
            <w:pPr>
              <w:spacing w:after="0"/>
              <w:rPr>
                <w:sz w:val="5"/>
                <w:szCs w:val="5"/>
                <w:color w:val="auto"/>
              </w:rPr>
            </w:pPr>
          </w:p>
        </w:tc>
        <w:tc>
          <w:tcPr>
            <w:tcW w:w="1060" w:type="dxa"/>
            <w:vAlign w:val="bottom"/>
            <w:tcBorders>
              <w:bottom w:val="single" w:sz="8" w:color="A6A6A6"/>
            </w:tcBorders>
          </w:tcPr>
          <w:p>
            <w:pPr>
              <w:spacing w:after="0"/>
              <w:rPr>
                <w:sz w:val="5"/>
                <w:szCs w:val="5"/>
                <w:color w:val="auto"/>
              </w:rPr>
            </w:pPr>
          </w:p>
        </w:tc>
      </w:tr>
      <w:tr>
        <w:trPr>
          <w:trHeight w:val="339"/>
        </w:trPr>
        <w:tc>
          <w:tcPr>
            <w:tcW w:w="6060" w:type="dxa"/>
            <w:vAlign w:val="bottom"/>
          </w:tcPr>
          <w:p>
            <w:pPr>
              <w:spacing w:after="0"/>
              <w:rPr>
                <w:sz w:val="20"/>
                <w:szCs w:val="20"/>
                <w:color w:val="auto"/>
              </w:rPr>
            </w:pPr>
            <w:r>
              <w:rPr>
                <w:rFonts w:ascii="Arial Narrow" w:cs="Arial Narrow" w:eastAsia="Arial Narrow" w:hAnsi="Arial Narrow"/>
                <w:sz w:val="20"/>
                <w:szCs w:val="20"/>
                <w:b w:val="1"/>
                <w:bCs w:val="1"/>
                <w:color w:val="00085E"/>
              </w:rPr>
              <w:t>Buildings, Machinery, and Equipment</w:t>
            </w:r>
          </w:p>
        </w:tc>
        <w:tc>
          <w:tcPr>
            <w:tcW w:w="340" w:type="dxa"/>
            <w:vAlign w:val="bottom"/>
          </w:tcPr>
          <w:p>
            <w:pPr>
              <w:spacing w:after="0"/>
              <w:rPr>
                <w:sz w:val="24"/>
                <w:szCs w:val="24"/>
                <w:color w:val="auto"/>
              </w:rPr>
            </w:pPr>
          </w:p>
        </w:tc>
        <w:tc>
          <w:tcPr>
            <w:tcW w:w="1120" w:type="dxa"/>
            <w:vAlign w:val="bottom"/>
          </w:tcPr>
          <w:p>
            <w:pPr>
              <w:jc w:val="right"/>
              <w:ind w:right="4"/>
              <w:spacing w:after="0"/>
              <w:rPr>
                <w:sz w:val="20"/>
                <w:szCs w:val="20"/>
                <w:color w:val="auto"/>
              </w:rPr>
            </w:pPr>
            <w:r>
              <w:rPr>
                <w:rFonts w:ascii="Arial Narrow" w:cs="Arial Narrow" w:eastAsia="Arial Narrow" w:hAnsi="Arial Narrow"/>
                <w:sz w:val="20"/>
                <w:szCs w:val="20"/>
                <w:color w:val="auto"/>
              </w:rPr>
              <w:t>301,209</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jc w:val="right"/>
              <w:ind w:right="101"/>
              <w:spacing w:after="0"/>
              <w:rPr>
                <w:sz w:val="20"/>
                <w:szCs w:val="20"/>
                <w:color w:val="auto"/>
              </w:rPr>
            </w:pPr>
            <w:r>
              <w:rPr>
                <w:rFonts w:ascii="Arial Narrow" w:cs="Arial Narrow" w:eastAsia="Arial Narrow" w:hAnsi="Arial Narrow"/>
                <w:sz w:val="20"/>
                <w:szCs w:val="20"/>
                <w:color w:val="auto"/>
              </w:rPr>
              <w:t>312,872</w:t>
            </w:r>
          </w:p>
        </w:tc>
      </w:tr>
      <w:tr>
        <w:trPr>
          <w:trHeight w:val="65"/>
        </w:trPr>
        <w:tc>
          <w:tcPr>
            <w:tcW w:w="6060" w:type="dxa"/>
            <w:vAlign w:val="bottom"/>
            <w:tcBorders>
              <w:bottom w:val="single" w:sz="8" w:color="A6A6A6"/>
            </w:tcBorders>
          </w:tcPr>
          <w:p>
            <w:pPr>
              <w:spacing w:after="0"/>
              <w:rPr>
                <w:sz w:val="5"/>
                <w:szCs w:val="5"/>
                <w:color w:val="auto"/>
              </w:rPr>
            </w:pPr>
          </w:p>
        </w:tc>
        <w:tc>
          <w:tcPr>
            <w:tcW w:w="340" w:type="dxa"/>
            <w:vAlign w:val="bottom"/>
            <w:tcBorders>
              <w:bottom w:val="single" w:sz="8" w:color="A6A6A6"/>
            </w:tcBorders>
          </w:tcPr>
          <w:p>
            <w:pPr>
              <w:spacing w:after="0"/>
              <w:rPr>
                <w:sz w:val="5"/>
                <w:szCs w:val="5"/>
                <w:color w:val="auto"/>
              </w:rPr>
            </w:pPr>
          </w:p>
        </w:tc>
        <w:tc>
          <w:tcPr>
            <w:tcW w:w="112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460" w:type="dxa"/>
            <w:vAlign w:val="bottom"/>
            <w:tcBorders>
              <w:bottom w:val="single" w:sz="8" w:color="A6A6A6"/>
            </w:tcBorders>
          </w:tcPr>
          <w:p>
            <w:pPr>
              <w:spacing w:after="0"/>
              <w:rPr>
                <w:sz w:val="5"/>
                <w:szCs w:val="5"/>
                <w:color w:val="auto"/>
              </w:rPr>
            </w:pPr>
          </w:p>
        </w:tc>
        <w:tc>
          <w:tcPr>
            <w:tcW w:w="1060" w:type="dxa"/>
            <w:vAlign w:val="bottom"/>
            <w:tcBorders>
              <w:bottom w:val="single" w:sz="8" w:color="A6A6A6"/>
            </w:tcBorders>
          </w:tcPr>
          <w:p>
            <w:pPr>
              <w:spacing w:after="0"/>
              <w:rPr>
                <w:sz w:val="5"/>
                <w:szCs w:val="5"/>
                <w:color w:val="auto"/>
              </w:rPr>
            </w:pPr>
          </w:p>
        </w:tc>
      </w:tr>
      <w:tr>
        <w:trPr>
          <w:trHeight w:val="339"/>
        </w:trPr>
        <w:tc>
          <w:tcPr>
            <w:tcW w:w="6060" w:type="dxa"/>
            <w:vAlign w:val="bottom"/>
          </w:tcPr>
          <w:p>
            <w:pPr>
              <w:spacing w:after="0"/>
              <w:rPr>
                <w:sz w:val="20"/>
                <w:szCs w:val="20"/>
                <w:color w:val="auto"/>
              </w:rPr>
            </w:pPr>
            <w:r>
              <w:rPr>
                <w:rFonts w:ascii="Arial Narrow" w:cs="Arial Narrow" w:eastAsia="Arial Narrow" w:hAnsi="Arial Narrow"/>
                <w:sz w:val="20"/>
                <w:szCs w:val="20"/>
                <w:b w:val="1"/>
                <w:bCs w:val="1"/>
                <w:color w:val="00085E"/>
              </w:rPr>
              <w:t>Construction in Progress</w:t>
            </w:r>
          </w:p>
        </w:tc>
        <w:tc>
          <w:tcPr>
            <w:tcW w:w="340" w:type="dxa"/>
            <w:vAlign w:val="bottom"/>
          </w:tcPr>
          <w:p>
            <w:pPr>
              <w:spacing w:after="0"/>
              <w:rPr>
                <w:sz w:val="24"/>
                <w:szCs w:val="24"/>
                <w:color w:val="auto"/>
              </w:rPr>
            </w:pPr>
          </w:p>
        </w:tc>
        <w:tc>
          <w:tcPr>
            <w:tcW w:w="1120" w:type="dxa"/>
            <w:vAlign w:val="bottom"/>
          </w:tcPr>
          <w:p>
            <w:pPr>
              <w:jc w:val="right"/>
              <w:ind w:right="4"/>
              <w:spacing w:after="0"/>
              <w:rPr>
                <w:sz w:val="20"/>
                <w:szCs w:val="20"/>
                <w:color w:val="auto"/>
              </w:rPr>
            </w:pPr>
            <w:r>
              <w:rPr>
                <w:rFonts w:ascii="Arial Narrow" w:cs="Arial Narrow" w:eastAsia="Arial Narrow" w:hAnsi="Arial Narrow"/>
                <w:sz w:val="20"/>
                <w:szCs w:val="20"/>
                <w:color w:val="auto"/>
              </w:rPr>
              <w:t>417,798</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jc w:val="right"/>
              <w:ind w:right="101"/>
              <w:spacing w:after="0"/>
              <w:rPr>
                <w:sz w:val="20"/>
                <w:szCs w:val="20"/>
                <w:color w:val="auto"/>
              </w:rPr>
            </w:pPr>
            <w:r>
              <w:rPr>
                <w:rFonts w:ascii="Arial Narrow" w:cs="Arial Narrow" w:eastAsia="Arial Narrow" w:hAnsi="Arial Narrow"/>
                <w:sz w:val="20"/>
                <w:szCs w:val="20"/>
                <w:color w:val="auto"/>
              </w:rPr>
              <w:t>178,172</w:t>
            </w:r>
          </w:p>
        </w:tc>
      </w:tr>
      <w:tr>
        <w:trPr>
          <w:trHeight w:val="90"/>
        </w:trPr>
        <w:tc>
          <w:tcPr>
            <w:tcW w:w="6060" w:type="dxa"/>
            <w:vAlign w:val="bottom"/>
            <w:tcBorders>
              <w:bottom w:val="single" w:sz="8" w:color="A6A6A6"/>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60" w:type="dxa"/>
            <w:vAlign w:val="bottom"/>
            <w:tcBorders>
              <w:bottom w:val="single" w:sz="8" w:color="A6A6A6"/>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r>
      <w:tr>
        <w:trPr>
          <w:trHeight w:val="344"/>
        </w:trPr>
        <w:tc>
          <w:tcPr>
            <w:tcW w:w="6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4"/>
              <w:spacing w:after="0"/>
              <w:rPr>
                <w:sz w:val="20"/>
                <w:szCs w:val="20"/>
                <w:color w:val="auto"/>
              </w:rPr>
            </w:pPr>
            <w:r>
              <w:rPr>
                <w:rFonts w:ascii="Arial Narrow" w:cs="Arial Narrow" w:eastAsia="Arial Narrow" w:hAnsi="Arial Narrow"/>
                <w:sz w:val="20"/>
                <w:szCs w:val="20"/>
                <w:color w:val="auto"/>
              </w:rPr>
              <w:t>3,827,322</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jc w:val="right"/>
              <w:ind w:right="101"/>
              <w:spacing w:after="0"/>
              <w:rPr>
                <w:sz w:val="20"/>
                <w:szCs w:val="20"/>
                <w:color w:val="auto"/>
              </w:rPr>
            </w:pPr>
            <w:r>
              <w:rPr>
                <w:rFonts w:ascii="Arial Narrow" w:cs="Arial Narrow" w:eastAsia="Arial Narrow" w:hAnsi="Arial Narrow"/>
                <w:sz w:val="20"/>
                <w:szCs w:val="20"/>
                <w:color w:val="auto"/>
              </w:rPr>
              <w:t>3,423,128</w:t>
            </w:r>
          </w:p>
        </w:tc>
      </w:tr>
      <w:tr>
        <w:trPr>
          <w:trHeight w:val="65"/>
        </w:trPr>
        <w:tc>
          <w:tcPr>
            <w:tcW w:w="6060" w:type="dxa"/>
            <w:vAlign w:val="bottom"/>
            <w:tcBorders>
              <w:bottom w:val="single" w:sz="8" w:color="A6A6A6"/>
            </w:tcBorders>
          </w:tcPr>
          <w:p>
            <w:pPr>
              <w:spacing w:after="0"/>
              <w:rPr>
                <w:sz w:val="5"/>
                <w:szCs w:val="5"/>
                <w:color w:val="auto"/>
              </w:rPr>
            </w:pPr>
          </w:p>
        </w:tc>
        <w:tc>
          <w:tcPr>
            <w:tcW w:w="340" w:type="dxa"/>
            <w:vAlign w:val="bottom"/>
            <w:tcBorders>
              <w:bottom w:val="single" w:sz="8" w:color="A6A6A6"/>
            </w:tcBorders>
          </w:tcPr>
          <w:p>
            <w:pPr>
              <w:spacing w:after="0"/>
              <w:rPr>
                <w:sz w:val="5"/>
                <w:szCs w:val="5"/>
                <w:color w:val="auto"/>
              </w:rPr>
            </w:pPr>
          </w:p>
        </w:tc>
        <w:tc>
          <w:tcPr>
            <w:tcW w:w="112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460" w:type="dxa"/>
            <w:vAlign w:val="bottom"/>
            <w:tcBorders>
              <w:bottom w:val="single" w:sz="8" w:color="A6A6A6"/>
            </w:tcBorders>
          </w:tcPr>
          <w:p>
            <w:pPr>
              <w:spacing w:after="0"/>
              <w:rPr>
                <w:sz w:val="5"/>
                <w:szCs w:val="5"/>
                <w:color w:val="auto"/>
              </w:rPr>
            </w:pPr>
          </w:p>
        </w:tc>
        <w:tc>
          <w:tcPr>
            <w:tcW w:w="1060" w:type="dxa"/>
            <w:vAlign w:val="bottom"/>
            <w:tcBorders>
              <w:bottom w:val="single" w:sz="8" w:color="A6A6A6"/>
            </w:tcBorders>
          </w:tcPr>
          <w:p>
            <w:pPr>
              <w:spacing w:after="0"/>
              <w:rPr>
                <w:sz w:val="5"/>
                <w:szCs w:val="5"/>
                <w:color w:val="auto"/>
              </w:rPr>
            </w:pPr>
          </w:p>
        </w:tc>
      </w:tr>
      <w:tr>
        <w:trPr>
          <w:trHeight w:val="339"/>
        </w:trPr>
        <w:tc>
          <w:tcPr>
            <w:tcW w:w="6060" w:type="dxa"/>
            <w:vAlign w:val="bottom"/>
          </w:tcPr>
          <w:p>
            <w:pPr>
              <w:spacing w:after="0"/>
              <w:rPr>
                <w:sz w:val="20"/>
                <w:szCs w:val="20"/>
                <w:color w:val="auto"/>
              </w:rPr>
            </w:pPr>
            <w:r>
              <w:rPr>
                <w:rFonts w:ascii="Arial Narrow" w:cs="Arial Narrow" w:eastAsia="Arial Narrow" w:hAnsi="Arial Narrow"/>
                <w:sz w:val="20"/>
                <w:szCs w:val="20"/>
                <w:b w:val="1"/>
                <w:bCs w:val="1"/>
                <w:color w:val="00085E"/>
              </w:rPr>
              <w:t>Accumulated Depreciation</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Narrow" w:cs="Arial Narrow" w:eastAsia="Arial Narrow" w:hAnsi="Arial Narrow"/>
                <w:sz w:val="20"/>
                <w:szCs w:val="20"/>
                <w:color w:val="auto"/>
              </w:rPr>
              <w:t>(1,762,700)</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jc w:val="right"/>
              <w:ind w:right="21"/>
              <w:spacing w:after="0"/>
              <w:rPr>
                <w:sz w:val="20"/>
                <w:szCs w:val="20"/>
                <w:color w:val="auto"/>
              </w:rPr>
            </w:pPr>
            <w:r>
              <w:rPr>
                <w:rFonts w:ascii="Arial Narrow" w:cs="Arial Narrow" w:eastAsia="Arial Narrow" w:hAnsi="Arial Narrow"/>
                <w:sz w:val="20"/>
                <w:szCs w:val="20"/>
                <w:color w:val="auto"/>
              </w:rPr>
              <w:t>(1,630,146)</w:t>
            </w:r>
          </w:p>
        </w:tc>
      </w:tr>
      <w:tr>
        <w:trPr>
          <w:trHeight w:val="90"/>
        </w:trPr>
        <w:tc>
          <w:tcPr>
            <w:tcW w:w="6060" w:type="dxa"/>
            <w:vAlign w:val="bottom"/>
            <w:tcBorders>
              <w:bottom w:val="single" w:sz="8" w:color="A6A6A6"/>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r>
      <w:tr>
        <w:trPr>
          <w:trHeight w:val="344"/>
        </w:trPr>
        <w:tc>
          <w:tcPr>
            <w:tcW w:w="6060" w:type="dxa"/>
            <w:vAlign w:val="bottom"/>
          </w:tcPr>
          <w:p>
            <w:pPr>
              <w:spacing w:after="0"/>
              <w:rPr>
                <w:sz w:val="24"/>
                <w:szCs w:val="24"/>
                <w:color w:val="auto"/>
              </w:rPr>
            </w:pPr>
          </w:p>
        </w:tc>
        <w:tc>
          <w:tcPr>
            <w:tcW w:w="340" w:type="dxa"/>
            <w:vAlign w:val="bottom"/>
          </w:tcPr>
          <w:p>
            <w:pPr>
              <w:jc w:val="right"/>
              <w:ind w:right="140"/>
              <w:spacing w:after="0"/>
              <w:rPr>
                <w:sz w:val="20"/>
                <w:szCs w:val="20"/>
                <w:color w:val="auto"/>
              </w:rPr>
            </w:pPr>
            <w:r>
              <w:rPr>
                <w:rFonts w:ascii="Arial Narrow" w:cs="Arial Narrow" w:eastAsia="Arial Narrow" w:hAnsi="Arial Narrow"/>
                <w:sz w:val="20"/>
                <w:szCs w:val="20"/>
                <w:b w:val="1"/>
                <w:bCs w:val="1"/>
                <w:color w:val="auto"/>
                <w:w w:val="87"/>
              </w:rPr>
              <w:t>$</w:t>
            </w:r>
          </w:p>
        </w:tc>
        <w:tc>
          <w:tcPr>
            <w:tcW w:w="1120" w:type="dxa"/>
            <w:vAlign w:val="bottom"/>
          </w:tcPr>
          <w:p>
            <w:pPr>
              <w:jc w:val="right"/>
              <w:ind w:right="4"/>
              <w:spacing w:after="0"/>
              <w:rPr>
                <w:sz w:val="20"/>
                <w:szCs w:val="20"/>
                <w:color w:val="auto"/>
              </w:rPr>
            </w:pPr>
            <w:r>
              <w:rPr>
                <w:rFonts w:ascii="Arial Narrow" w:cs="Arial Narrow" w:eastAsia="Arial Narrow" w:hAnsi="Arial Narrow"/>
                <w:sz w:val="20"/>
                <w:szCs w:val="20"/>
                <w:b w:val="1"/>
                <w:bCs w:val="1"/>
                <w:color w:val="auto"/>
              </w:rPr>
              <w:t>2,064,622</w:t>
            </w:r>
          </w:p>
        </w:tc>
        <w:tc>
          <w:tcPr>
            <w:tcW w:w="780" w:type="dxa"/>
            <w:vAlign w:val="bottom"/>
            <w:gridSpan w:val="3"/>
          </w:tcPr>
          <w:p>
            <w:pPr>
              <w:jc w:val="right"/>
              <w:ind w:right="380"/>
              <w:spacing w:after="0"/>
              <w:rPr>
                <w:sz w:val="20"/>
                <w:szCs w:val="20"/>
                <w:color w:val="auto"/>
              </w:rPr>
            </w:pPr>
            <w:r>
              <w:rPr>
                <w:rFonts w:ascii="Arial Narrow" w:cs="Arial Narrow" w:eastAsia="Arial Narrow" w:hAnsi="Arial Narrow"/>
                <w:sz w:val="20"/>
                <w:szCs w:val="20"/>
                <w:b w:val="1"/>
                <w:bCs w:val="1"/>
                <w:color w:val="auto"/>
              </w:rPr>
              <w:t>$</w:t>
            </w:r>
          </w:p>
        </w:tc>
        <w:tc>
          <w:tcPr>
            <w:tcW w:w="1060" w:type="dxa"/>
            <w:vAlign w:val="bottom"/>
          </w:tcPr>
          <w:p>
            <w:pPr>
              <w:jc w:val="right"/>
              <w:ind w:right="101"/>
              <w:spacing w:after="0"/>
              <w:rPr>
                <w:sz w:val="20"/>
                <w:szCs w:val="20"/>
                <w:color w:val="auto"/>
              </w:rPr>
            </w:pPr>
            <w:r>
              <w:rPr>
                <w:rFonts w:ascii="Arial Narrow" w:cs="Arial Narrow" w:eastAsia="Arial Narrow" w:hAnsi="Arial Narrow"/>
                <w:sz w:val="20"/>
                <w:szCs w:val="20"/>
                <w:b w:val="1"/>
                <w:bCs w:val="1"/>
                <w:color w:val="auto"/>
              </w:rPr>
              <w:t>1,792,982</w:t>
            </w:r>
          </w:p>
        </w:tc>
      </w:tr>
      <w:tr>
        <w:trPr>
          <w:trHeight w:val="65"/>
        </w:trPr>
        <w:tc>
          <w:tcPr>
            <w:tcW w:w="606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0"/>
        </w:trPr>
        <w:tc>
          <w:tcPr>
            <w:tcW w:w="6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360"/>
          </w:cols>
          <w:pgMar w:left="1260" w:top="1267"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86</w:t>
      </w:r>
    </w:p>
    <w:p>
      <w:pPr>
        <w:sectPr>
          <w:pgSz w:w="11880" w:h="15480" w:orient="portrait"/>
          <w:cols w:equalWidth="0" w:num="1">
            <w:col w:w="9360"/>
          </w:cols>
          <w:pgMar w:left="1260" w:top="1267" w:right="1260" w:bottom="0" w:gutter="0" w:footer="0" w:header="0"/>
          <w:type w:val="continuous"/>
        </w:sectPr>
      </w:pPr>
    </w:p>
    <w:bookmarkStart w:id="94" w:name="page95"/>
    <w:bookmarkEnd w:id="94"/>
    <w:p>
      <w:pPr>
        <w:spacing w:after="0"/>
        <w:rPr>
          <w:sz w:val="20"/>
          <w:szCs w:val="20"/>
          <w:color w:val="auto"/>
        </w:rPr>
      </w:pPr>
      <w:r>
        <w:rPr>
          <w:rFonts w:ascii="Arial" w:cs="Arial" w:eastAsia="Arial" w:hAnsi="Arial"/>
          <w:sz w:val="22"/>
          <w:szCs w:val="22"/>
          <w:b w:val="1"/>
          <w:bCs w:val="1"/>
          <w:color w:val="00085E"/>
        </w:rPr>
        <w:t>(D) ACCRUED EXPENSES</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color w:val="auto"/>
        </w:rPr>
        <w:t>Accrued expenses consist of the following.</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6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940" w:type="dxa"/>
            <w:vAlign w:val="bottom"/>
            <w:gridSpan w:val="3"/>
          </w:tcPr>
          <w:p>
            <w:pPr>
              <w:jc w:val="right"/>
              <w:ind w:right="500"/>
              <w:spacing w:after="0"/>
              <w:rPr>
                <w:sz w:val="20"/>
                <w:szCs w:val="20"/>
                <w:color w:val="auto"/>
              </w:rPr>
            </w:pPr>
            <w:r>
              <w:rPr>
                <w:rFonts w:ascii="Arial Narrow" w:cs="Arial Narrow" w:eastAsia="Arial Narrow" w:hAnsi="Arial Narrow"/>
                <w:sz w:val="18"/>
                <w:szCs w:val="18"/>
                <w:b w:val="1"/>
                <w:bCs w:val="1"/>
                <w:color w:val="auto"/>
              </w:rPr>
              <w:t>March 31,</w:t>
            </w:r>
          </w:p>
        </w:tc>
        <w:tc>
          <w:tcPr>
            <w:tcW w:w="820" w:type="dxa"/>
            <w:vAlign w:val="bottom"/>
          </w:tcPr>
          <w:p>
            <w:pPr>
              <w:spacing w:after="0"/>
              <w:rPr>
                <w:sz w:val="22"/>
                <w:szCs w:val="22"/>
                <w:color w:val="auto"/>
              </w:rPr>
            </w:pPr>
          </w:p>
        </w:tc>
      </w:tr>
      <w:tr>
        <w:trPr>
          <w:trHeight w:val="21"/>
        </w:trPr>
        <w:tc>
          <w:tcPr>
            <w:tcW w:w="6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69"/>
        </w:trPr>
        <w:tc>
          <w:tcPr>
            <w:tcW w:w="6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60" w:type="dxa"/>
            <w:vAlign w:val="bottom"/>
          </w:tcPr>
          <w:p>
            <w:pPr>
              <w:jc w:val="right"/>
              <w:ind w:right="3"/>
              <w:spacing w:after="0"/>
              <w:rPr>
                <w:sz w:val="20"/>
                <w:szCs w:val="20"/>
                <w:color w:val="auto"/>
              </w:rPr>
            </w:pPr>
            <w:r>
              <w:rPr>
                <w:rFonts w:ascii="Arial Narrow" w:cs="Arial Narrow" w:eastAsia="Arial Narrow" w:hAnsi="Arial Narrow"/>
                <w:sz w:val="18"/>
                <w:szCs w:val="18"/>
                <w:b w:val="1"/>
                <w:bCs w:val="1"/>
                <w:color w:val="auto"/>
              </w:rPr>
              <w:t>2026</w:t>
            </w: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jc w:val="right"/>
              <w:ind w:right="1"/>
              <w:spacing w:after="0"/>
              <w:rPr>
                <w:sz w:val="20"/>
                <w:szCs w:val="20"/>
                <w:color w:val="auto"/>
              </w:rPr>
            </w:pPr>
            <w:r>
              <w:rPr>
                <w:rFonts w:ascii="Arial Narrow" w:cs="Arial Narrow" w:eastAsia="Arial Narrow" w:hAnsi="Arial Narrow"/>
                <w:sz w:val="18"/>
                <w:szCs w:val="18"/>
                <w:b w:val="1"/>
                <w:bCs w:val="1"/>
                <w:color w:val="auto"/>
              </w:rPr>
              <w:t>2025</w:t>
            </w:r>
          </w:p>
        </w:tc>
      </w:tr>
      <w:tr>
        <w:trPr>
          <w:trHeight w:val="21"/>
        </w:trPr>
        <w:tc>
          <w:tcPr>
            <w:tcW w:w="6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44"/>
        </w:trPr>
        <w:tc>
          <w:tcPr>
            <w:tcW w:w="6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940" w:type="dxa"/>
            <w:vAlign w:val="bottom"/>
            <w:gridSpan w:val="3"/>
          </w:tcPr>
          <w:p>
            <w:pPr>
              <w:jc w:val="right"/>
              <w:ind w:right="220"/>
              <w:spacing w:after="0"/>
              <w:rPr>
                <w:sz w:val="20"/>
                <w:szCs w:val="20"/>
                <w:color w:val="auto"/>
              </w:rPr>
            </w:pPr>
            <w:r>
              <w:rPr>
                <w:rFonts w:ascii="Arial Narrow" w:cs="Arial Narrow" w:eastAsia="Arial Narrow" w:hAnsi="Arial Narrow"/>
                <w:sz w:val="16"/>
                <w:szCs w:val="16"/>
                <w:color w:val="auto"/>
              </w:rPr>
              <w:t>(dollars in thousands)</w:t>
            </w:r>
          </w:p>
        </w:tc>
        <w:tc>
          <w:tcPr>
            <w:tcW w:w="820" w:type="dxa"/>
            <w:vAlign w:val="bottom"/>
          </w:tcPr>
          <w:p>
            <w:pPr>
              <w:spacing w:after="0"/>
              <w:rPr>
                <w:sz w:val="21"/>
                <w:szCs w:val="21"/>
                <w:color w:val="auto"/>
              </w:rPr>
            </w:pPr>
          </w:p>
        </w:tc>
      </w:tr>
      <w:tr>
        <w:trPr>
          <w:trHeight w:val="48"/>
        </w:trPr>
        <w:tc>
          <w:tcPr>
            <w:tcW w:w="61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344"/>
        </w:trPr>
        <w:tc>
          <w:tcPr>
            <w:tcW w:w="6120" w:type="dxa"/>
            <w:vAlign w:val="bottom"/>
          </w:tcPr>
          <w:p>
            <w:pPr>
              <w:spacing w:after="0"/>
              <w:rPr>
                <w:sz w:val="20"/>
                <w:szCs w:val="20"/>
                <w:color w:val="auto"/>
              </w:rPr>
            </w:pPr>
            <w:r>
              <w:rPr>
                <w:rFonts w:ascii="Arial Narrow" w:cs="Arial Narrow" w:eastAsia="Arial Narrow" w:hAnsi="Arial Narrow"/>
                <w:sz w:val="20"/>
                <w:szCs w:val="20"/>
                <w:b w:val="1"/>
                <w:bCs w:val="1"/>
                <w:color w:val="00085E"/>
              </w:rPr>
              <w:t>Payroll and Incentive Compensation</w:t>
            </w:r>
          </w:p>
        </w:tc>
        <w:tc>
          <w:tcPr>
            <w:tcW w:w="480" w:type="dxa"/>
            <w:vAlign w:val="bottom"/>
          </w:tcPr>
          <w:p>
            <w:pPr>
              <w:jc w:val="right"/>
              <w:ind w:right="280"/>
              <w:spacing w:after="0"/>
              <w:rPr>
                <w:sz w:val="20"/>
                <w:szCs w:val="20"/>
                <w:color w:val="auto"/>
              </w:rPr>
            </w:pPr>
            <w:r>
              <w:rPr>
                <w:rFonts w:ascii="Arial Narrow" w:cs="Arial Narrow" w:eastAsia="Arial Narrow" w:hAnsi="Arial Narrow"/>
                <w:sz w:val="20"/>
                <w:szCs w:val="20"/>
                <w:color w:val="auto"/>
                <w:w w:val="87"/>
              </w:rPr>
              <w:t>$</w:t>
            </w:r>
          </w:p>
        </w:tc>
        <w:tc>
          <w:tcPr>
            <w:tcW w:w="1060" w:type="dxa"/>
            <w:vAlign w:val="bottom"/>
          </w:tcPr>
          <w:p>
            <w:pPr>
              <w:jc w:val="right"/>
              <w:ind w:right="3"/>
              <w:spacing w:after="0"/>
              <w:rPr>
                <w:sz w:val="20"/>
                <w:szCs w:val="20"/>
                <w:color w:val="auto"/>
              </w:rPr>
            </w:pPr>
            <w:r>
              <w:rPr>
                <w:rFonts w:ascii="Arial Narrow" w:cs="Arial Narrow" w:eastAsia="Arial Narrow" w:hAnsi="Arial Narrow"/>
                <w:sz w:val="20"/>
                <w:szCs w:val="20"/>
                <w:color w:val="auto"/>
              </w:rPr>
              <w:t>35,642</w:t>
            </w:r>
          </w:p>
        </w:tc>
        <w:tc>
          <w:tcPr>
            <w:tcW w:w="880" w:type="dxa"/>
            <w:vAlign w:val="bottom"/>
            <w:gridSpan w:val="2"/>
          </w:tcPr>
          <w:p>
            <w:pPr>
              <w:jc w:val="right"/>
              <w:ind w:right="620"/>
              <w:spacing w:after="0"/>
              <w:rPr>
                <w:sz w:val="20"/>
                <w:szCs w:val="20"/>
                <w:color w:val="auto"/>
              </w:rPr>
            </w:pPr>
            <w:r>
              <w:rPr>
                <w:rFonts w:ascii="Arial Narrow" w:cs="Arial Narrow" w:eastAsia="Arial Narrow" w:hAnsi="Arial Narrow"/>
                <w:sz w:val="20"/>
                <w:szCs w:val="20"/>
                <w:color w:val="auto"/>
              </w:rPr>
              <w:t>$</w:t>
            </w:r>
          </w:p>
        </w:tc>
        <w:tc>
          <w:tcPr>
            <w:tcW w:w="820" w:type="dxa"/>
            <w:vAlign w:val="bottom"/>
          </w:tcPr>
          <w:p>
            <w:pPr>
              <w:jc w:val="right"/>
              <w:ind w:right="1"/>
              <w:spacing w:after="0"/>
              <w:rPr>
                <w:sz w:val="20"/>
                <w:szCs w:val="20"/>
                <w:color w:val="auto"/>
              </w:rPr>
            </w:pPr>
            <w:r>
              <w:rPr>
                <w:rFonts w:ascii="Arial Narrow" w:cs="Arial Narrow" w:eastAsia="Arial Narrow" w:hAnsi="Arial Narrow"/>
                <w:sz w:val="20"/>
                <w:szCs w:val="20"/>
                <w:color w:val="auto"/>
              </w:rPr>
              <w:t>31,918</w:t>
            </w:r>
          </w:p>
        </w:tc>
      </w:tr>
      <w:tr>
        <w:trPr>
          <w:trHeight w:val="65"/>
        </w:trPr>
        <w:tc>
          <w:tcPr>
            <w:tcW w:w="6120" w:type="dxa"/>
            <w:vAlign w:val="bottom"/>
            <w:tcBorders>
              <w:bottom w:val="single" w:sz="8" w:color="A6A6A6"/>
            </w:tcBorders>
          </w:tcPr>
          <w:p>
            <w:pPr>
              <w:spacing w:after="0"/>
              <w:rPr>
                <w:sz w:val="5"/>
                <w:szCs w:val="5"/>
                <w:color w:val="auto"/>
              </w:rPr>
            </w:pPr>
          </w:p>
        </w:tc>
        <w:tc>
          <w:tcPr>
            <w:tcW w:w="480" w:type="dxa"/>
            <w:vAlign w:val="bottom"/>
            <w:tcBorders>
              <w:bottom w:val="single" w:sz="8" w:color="A6A6A6"/>
            </w:tcBorders>
          </w:tcPr>
          <w:p>
            <w:pPr>
              <w:spacing w:after="0"/>
              <w:rPr>
                <w:sz w:val="5"/>
                <w:szCs w:val="5"/>
                <w:color w:val="auto"/>
              </w:rPr>
            </w:pPr>
          </w:p>
        </w:tc>
        <w:tc>
          <w:tcPr>
            <w:tcW w:w="106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720" w:type="dxa"/>
            <w:vAlign w:val="bottom"/>
            <w:tcBorders>
              <w:bottom w:val="single" w:sz="8" w:color="A6A6A6"/>
            </w:tcBorders>
          </w:tcPr>
          <w:p>
            <w:pPr>
              <w:spacing w:after="0"/>
              <w:rPr>
                <w:sz w:val="5"/>
                <w:szCs w:val="5"/>
                <w:color w:val="auto"/>
              </w:rPr>
            </w:pPr>
          </w:p>
        </w:tc>
        <w:tc>
          <w:tcPr>
            <w:tcW w:w="820" w:type="dxa"/>
            <w:vAlign w:val="bottom"/>
            <w:tcBorders>
              <w:bottom w:val="single" w:sz="8" w:color="A6A6A6"/>
            </w:tcBorders>
          </w:tcPr>
          <w:p>
            <w:pPr>
              <w:spacing w:after="0"/>
              <w:rPr>
                <w:sz w:val="5"/>
                <w:szCs w:val="5"/>
                <w:color w:val="auto"/>
              </w:rPr>
            </w:pPr>
          </w:p>
        </w:tc>
      </w:tr>
      <w:tr>
        <w:trPr>
          <w:trHeight w:val="339"/>
        </w:trPr>
        <w:tc>
          <w:tcPr>
            <w:tcW w:w="6120" w:type="dxa"/>
            <w:vAlign w:val="bottom"/>
          </w:tcPr>
          <w:p>
            <w:pPr>
              <w:spacing w:after="0"/>
              <w:rPr>
                <w:sz w:val="20"/>
                <w:szCs w:val="20"/>
                <w:color w:val="auto"/>
              </w:rPr>
            </w:pPr>
            <w:r>
              <w:rPr>
                <w:rFonts w:ascii="Arial Narrow" w:cs="Arial Narrow" w:eastAsia="Arial Narrow" w:hAnsi="Arial Narrow"/>
                <w:sz w:val="20"/>
                <w:szCs w:val="20"/>
                <w:b w:val="1"/>
                <w:bCs w:val="1"/>
                <w:color w:val="00085E"/>
              </w:rPr>
              <w:t>Benefits</w:t>
            </w:r>
          </w:p>
        </w:tc>
        <w:tc>
          <w:tcPr>
            <w:tcW w:w="480" w:type="dxa"/>
            <w:vAlign w:val="bottom"/>
          </w:tcPr>
          <w:p>
            <w:pPr>
              <w:spacing w:after="0"/>
              <w:rPr>
                <w:sz w:val="24"/>
                <w:szCs w:val="24"/>
                <w:color w:val="auto"/>
              </w:rPr>
            </w:pPr>
          </w:p>
        </w:tc>
        <w:tc>
          <w:tcPr>
            <w:tcW w:w="1060" w:type="dxa"/>
            <w:vAlign w:val="bottom"/>
          </w:tcPr>
          <w:p>
            <w:pPr>
              <w:jc w:val="right"/>
              <w:ind w:right="3"/>
              <w:spacing w:after="0"/>
              <w:rPr>
                <w:sz w:val="20"/>
                <w:szCs w:val="20"/>
                <w:color w:val="auto"/>
              </w:rPr>
            </w:pPr>
            <w:r>
              <w:rPr>
                <w:rFonts w:ascii="Arial Narrow" w:cs="Arial Narrow" w:eastAsia="Arial Narrow" w:hAnsi="Arial Narrow"/>
                <w:sz w:val="20"/>
                <w:szCs w:val="20"/>
                <w:color w:val="auto"/>
              </w:rPr>
              <w:t>17,336</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jc w:val="right"/>
              <w:ind w:right="1"/>
              <w:spacing w:after="0"/>
              <w:rPr>
                <w:sz w:val="20"/>
                <w:szCs w:val="20"/>
                <w:color w:val="auto"/>
              </w:rPr>
            </w:pPr>
            <w:r>
              <w:rPr>
                <w:rFonts w:ascii="Arial Narrow" w:cs="Arial Narrow" w:eastAsia="Arial Narrow" w:hAnsi="Arial Narrow"/>
                <w:sz w:val="20"/>
                <w:szCs w:val="20"/>
                <w:color w:val="auto"/>
              </w:rPr>
              <w:t>16,950</w:t>
            </w:r>
          </w:p>
        </w:tc>
      </w:tr>
      <w:tr>
        <w:trPr>
          <w:trHeight w:val="65"/>
        </w:trPr>
        <w:tc>
          <w:tcPr>
            <w:tcW w:w="6120" w:type="dxa"/>
            <w:vAlign w:val="bottom"/>
            <w:tcBorders>
              <w:bottom w:val="single" w:sz="8" w:color="A6A6A6"/>
            </w:tcBorders>
          </w:tcPr>
          <w:p>
            <w:pPr>
              <w:spacing w:after="0"/>
              <w:rPr>
                <w:sz w:val="5"/>
                <w:szCs w:val="5"/>
                <w:color w:val="auto"/>
              </w:rPr>
            </w:pPr>
          </w:p>
        </w:tc>
        <w:tc>
          <w:tcPr>
            <w:tcW w:w="480" w:type="dxa"/>
            <w:vAlign w:val="bottom"/>
            <w:tcBorders>
              <w:bottom w:val="single" w:sz="8" w:color="A6A6A6"/>
            </w:tcBorders>
          </w:tcPr>
          <w:p>
            <w:pPr>
              <w:spacing w:after="0"/>
              <w:rPr>
                <w:sz w:val="5"/>
                <w:szCs w:val="5"/>
                <w:color w:val="auto"/>
              </w:rPr>
            </w:pPr>
          </w:p>
        </w:tc>
        <w:tc>
          <w:tcPr>
            <w:tcW w:w="106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720" w:type="dxa"/>
            <w:vAlign w:val="bottom"/>
            <w:tcBorders>
              <w:bottom w:val="single" w:sz="8" w:color="A6A6A6"/>
            </w:tcBorders>
          </w:tcPr>
          <w:p>
            <w:pPr>
              <w:spacing w:after="0"/>
              <w:rPr>
                <w:sz w:val="5"/>
                <w:szCs w:val="5"/>
                <w:color w:val="auto"/>
              </w:rPr>
            </w:pPr>
          </w:p>
        </w:tc>
        <w:tc>
          <w:tcPr>
            <w:tcW w:w="820" w:type="dxa"/>
            <w:vAlign w:val="bottom"/>
            <w:tcBorders>
              <w:bottom w:val="single" w:sz="8" w:color="A6A6A6"/>
            </w:tcBorders>
          </w:tcPr>
          <w:p>
            <w:pPr>
              <w:spacing w:after="0"/>
              <w:rPr>
                <w:sz w:val="5"/>
                <w:szCs w:val="5"/>
                <w:color w:val="auto"/>
              </w:rPr>
            </w:pPr>
          </w:p>
        </w:tc>
      </w:tr>
      <w:tr>
        <w:trPr>
          <w:trHeight w:val="339"/>
        </w:trPr>
        <w:tc>
          <w:tcPr>
            <w:tcW w:w="6120" w:type="dxa"/>
            <w:vAlign w:val="bottom"/>
          </w:tcPr>
          <w:p>
            <w:pPr>
              <w:spacing w:after="0"/>
              <w:rPr>
                <w:sz w:val="20"/>
                <w:szCs w:val="20"/>
                <w:color w:val="auto"/>
              </w:rPr>
            </w:pPr>
            <w:r>
              <w:rPr>
                <w:rFonts w:ascii="Arial Narrow" w:cs="Arial Narrow" w:eastAsia="Arial Narrow" w:hAnsi="Arial Narrow"/>
                <w:sz w:val="20"/>
                <w:szCs w:val="20"/>
                <w:b w:val="1"/>
                <w:bCs w:val="1"/>
                <w:color w:val="00085E"/>
              </w:rPr>
              <w:t>Interest</w:t>
            </w:r>
          </w:p>
        </w:tc>
        <w:tc>
          <w:tcPr>
            <w:tcW w:w="480" w:type="dxa"/>
            <w:vAlign w:val="bottom"/>
          </w:tcPr>
          <w:p>
            <w:pPr>
              <w:spacing w:after="0"/>
              <w:rPr>
                <w:sz w:val="24"/>
                <w:szCs w:val="24"/>
                <w:color w:val="auto"/>
              </w:rPr>
            </w:pPr>
          </w:p>
        </w:tc>
        <w:tc>
          <w:tcPr>
            <w:tcW w:w="1060" w:type="dxa"/>
            <w:vAlign w:val="bottom"/>
          </w:tcPr>
          <w:p>
            <w:pPr>
              <w:jc w:val="right"/>
              <w:ind w:right="3"/>
              <w:spacing w:after="0"/>
              <w:rPr>
                <w:sz w:val="20"/>
                <w:szCs w:val="20"/>
                <w:color w:val="auto"/>
              </w:rPr>
            </w:pPr>
            <w:r>
              <w:rPr>
                <w:rFonts w:ascii="Arial Narrow" w:cs="Arial Narrow" w:eastAsia="Arial Narrow" w:hAnsi="Arial Narrow"/>
                <w:sz w:val="20"/>
                <w:szCs w:val="20"/>
                <w:color w:val="auto"/>
              </w:rPr>
              <w:t>7,208</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jc w:val="right"/>
              <w:ind w:right="1"/>
              <w:spacing w:after="0"/>
              <w:rPr>
                <w:sz w:val="20"/>
                <w:szCs w:val="20"/>
                <w:color w:val="auto"/>
              </w:rPr>
            </w:pPr>
            <w:r>
              <w:rPr>
                <w:rFonts w:ascii="Arial Narrow" w:cs="Arial Narrow" w:eastAsia="Arial Narrow" w:hAnsi="Arial Narrow"/>
                <w:sz w:val="20"/>
                <w:szCs w:val="20"/>
                <w:color w:val="auto"/>
              </w:rPr>
              <w:t>7,689</w:t>
            </w:r>
          </w:p>
        </w:tc>
      </w:tr>
      <w:tr>
        <w:trPr>
          <w:trHeight w:val="65"/>
        </w:trPr>
        <w:tc>
          <w:tcPr>
            <w:tcW w:w="6120" w:type="dxa"/>
            <w:vAlign w:val="bottom"/>
            <w:tcBorders>
              <w:bottom w:val="single" w:sz="8" w:color="A6A6A6"/>
            </w:tcBorders>
          </w:tcPr>
          <w:p>
            <w:pPr>
              <w:spacing w:after="0"/>
              <w:rPr>
                <w:sz w:val="5"/>
                <w:szCs w:val="5"/>
                <w:color w:val="auto"/>
              </w:rPr>
            </w:pPr>
          </w:p>
        </w:tc>
        <w:tc>
          <w:tcPr>
            <w:tcW w:w="480" w:type="dxa"/>
            <w:vAlign w:val="bottom"/>
            <w:tcBorders>
              <w:bottom w:val="single" w:sz="8" w:color="A6A6A6"/>
            </w:tcBorders>
          </w:tcPr>
          <w:p>
            <w:pPr>
              <w:spacing w:after="0"/>
              <w:rPr>
                <w:sz w:val="5"/>
                <w:szCs w:val="5"/>
                <w:color w:val="auto"/>
              </w:rPr>
            </w:pPr>
          </w:p>
        </w:tc>
        <w:tc>
          <w:tcPr>
            <w:tcW w:w="106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720" w:type="dxa"/>
            <w:vAlign w:val="bottom"/>
            <w:tcBorders>
              <w:bottom w:val="single" w:sz="8" w:color="A6A6A6"/>
            </w:tcBorders>
          </w:tcPr>
          <w:p>
            <w:pPr>
              <w:spacing w:after="0"/>
              <w:rPr>
                <w:sz w:val="5"/>
                <w:szCs w:val="5"/>
                <w:color w:val="auto"/>
              </w:rPr>
            </w:pPr>
          </w:p>
        </w:tc>
        <w:tc>
          <w:tcPr>
            <w:tcW w:w="820" w:type="dxa"/>
            <w:vAlign w:val="bottom"/>
            <w:tcBorders>
              <w:bottom w:val="single" w:sz="8" w:color="A6A6A6"/>
            </w:tcBorders>
          </w:tcPr>
          <w:p>
            <w:pPr>
              <w:spacing w:after="0"/>
              <w:rPr>
                <w:sz w:val="5"/>
                <w:szCs w:val="5"/>
                <w:color w:val="auto"/>
              </w:rPr>
            </w:pPr>
          </w:p>
        </w:tc>
      </w:tr>
      <w:tr>
        <w:trPr>
          <w:trHeight w:val="339"/>
        </w:trPr>
        <w:tc>
          <w:tcPr>
            <w:tcW w:w="6120" w:type="dxa"/>
            <w:vAlign w:val="bottom"/>
          </w:tcPr>
          <w:p>
            <w:pPr>
              <w:spacing w:after="0"/>
              <w:rPr>
                <w:sz w:val="20"/>
                <w:szCs w:val="20"/>
                <w:color w:val="auto"/>
              </w:rPr>
            </w:pPr>
            <w:r>
              <w:rPr>
                <w:rFonts w:ascii="Arial Narrow" w:cs="Arial Narrow" w:eastAsia="Arial Narrow" w:hAnsi="Arial Narrow"/>
                <w:sz w:val="20"/>
                <w:szCs w:val="20"/>
                <w:b w:val="1"/>
                <w:bCs w:val="1"/>
                <w:color w:val="00085E"/>
              </w:rPr>
              <w:t>Dividends</w:t>
            </w:r>
          </w:p>
        </w:tc>
        <w:tc>
          <w:tcPr>
            <w:tcW w:w="480" w:type="dxa"/>
            <w:vAlign w:val="bottom"/>
          </w:tcPr>
          <w:p>
            <w:pPr>
              <w:spacing w:after="0"/>
              <w:rPr>
                <w:sz w:val="24"/>
                <w:szCs w:val="24"/>
                <w:color w:val="auto"/>
              </w:rPr>
            </w:pPr>
          </w:p>
        </w:tc>
        <w:tc>
          <w:tcPr>
            <w:tcW w:w="1060" w:type="dxa"/>
            <w:vAlign w:val="bottom"/>
          </w:tcPr>
          <w:p>
            <w:pPr>
              <w:jc w:val="right"/>
              <w:ind w:right="3"/>
              <w:spacing w:after="0"/>
              <w:rPr>
                <w:sz w:val="20"/>
                <w:szCs w:val="20"/>
                <w:color w:val="auto"/>
              </w:rPr>
            </w:pPr>
            <w:r>
              <w:rPr>
                <w:rFonts w:ascii="Arial Narrow" w:cs="Arial Narrow" w:eastAsia="Arial Narrow" w:hAnsi="Arial Narrow"/>
                <w:sz w:val="20"/>
                <w:szCs w:val="20"/>
                <w:color w:val="auto"/>
              </w:rPr>
              <w:t>8,062</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jc w:val="right"/>
              <w:ind w:right="1"/>
              <w:spacing w:after="0"/>
              <w:rPr>
                <w:sz w:val="20"/>
                <w:szCs w:val="20"/>
                <w:color w:val="auto"/>
              </w:rPr>
            </w:pPr>
            <w:r>
              <w:rPr>
                <w:rFonts w:ascii="Arial Narrow" w:cs="Arial Narrow" w:eastAsia="Arial Narrow" w:hAnsi="Arial Narrow"/>
                <w:sz w:val="20"/>
                <w:szCs w:val="20"/>
                <w:color w:val="auto"/>
              </w:rPr>
              <w:t>8,463</w:t>
            </w:r>
          </w:p>
        </w:tc>
      </w:tr>
      <w:tr>
        <w:trPr>
          <w:trHeight w:val="65"/>
        </w:trPr>
        <w:tc>
          <w:tcPr>
            <w:tcW w:w="6120" w:type="dxa"/>
            <w:vAlign w:val="bottom"/>
            <w:tcBorders>
              <w:bottom w:val="single" w:sz="8" w:color="A6A6A6"/>
            </w:tcBorders>
          </w:tcPr>
          <w:p>
            <w:pPr>
              <w:spacing w:after="0"/>
              <w:rPr>
                <w:sz w:val="5"/>
                <w:szCs w:val="5"/>
                <w:color w:val="auto"/>
              </w:rPr>
            </w:pPr>
          </w:p>
        </w:tc>
        <w:tc>
          <w:tcPr>
            <w:tcW w:w="480" w:type="dxa"/>
            <w:vAlign w:val="bottom"/>
            <w:tcBorders>
              <w:bottom w:val="single" w:sz="8" w:color="A6A6A6"/>
            </w:tcBorders>
          </w:tcPr>
          <w:p>
            <w:pPr>
              <w:spacing w:after="0"/>
              <w:rPr>
                <w:sz w:val="5"/>
                <w:szCs w:val="5"/>
                <w:color w:val="auto"/>
              </w:rPr>
            </w:pPr>
          </w:p>
        </w:tc>
        <w:tc>
          <w:tcPr>
            <w:tcW w:w="106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720" w:type="dxa"/>
            <w:vAlign w:val="bottom"/>
            <w:tcBorders>
              <w:bottom w:val="single" w:sz="8" w:color="A6A6A6"/>
            </w:tcBorders>
          </w:tcPr>
          <w:p>
            <w:pPr>
              <w:spacing w:after="0"/>
              <w:rPr>
                <w:sz w:val="5"/>
                <w:szCs w:val="5"/>
                <w:color w:val="auto"/>
              </w:rPr>
            </w:pPr>
          </w:p>
        </w:tc>
        <w:tc>
          <w:tcPr>
            <w:tcW w:w="820" w:type="dxa"/>
            <w:vAlign w:val="bottom"/>
            <w:tcBorders>
              <w:bottom w:val="single" w:sz="8" w:color="A6A6A6"/>
            </w:tcBorders>
          </w:tcPr>
          <w:p>
            <w:pPr>
              <w:spacing w:after="0"/>
              <w:rPr>
                <w:sz w:val="5"/>
                <w:szCs w:val="5"/>
                <w:color w:val="auto"/>
              </w:rPr>
            </w:pPr>
          </w:p>
        </w:tc>
      </w:tr>
      <w:tr>
        <w:trPr>
          <w:trHeight w:val="339"/>
        </w:trPr>
        <w:tc>
          <w:tcPr>
            <w:tcW w:w="6120" w:type="dxa"/>
            <w:vAlign w:val="bottom"/>
          </w:tcPr>
          <w:p>
            <w:pPr>
              <w:spacing w:after="0"/>
              <w:rPr>
                <w:sz w:val="20"/>
                <w:szCs w:val="20"/>
                <w:color w:val="auto"/>
              </w:rPr>
            </w:pPr>
            <w:r>
              <w:rPr>
                <w:rFonts w:ascii="Arial Narrow" w:cs="Arial Narrow" w:eastAsia="Arial Narrow" w:hAnsi="Arial Narrow"/>
                <w:sz w:val="20"/>
                <w:szCs w:val="20"/>
                <w:b w:val="1"/>
                <w:bCs w:val="1"/>
                <w:color w:val="00085E"/>
              </w:rPr>
              <w:t>Property Taxes</w:t>
            </w:r>
          </w:p>
        </w:tc>
        <w:tc>
          <w:tcPr>
            <w:tcW w:w="480" w:type="dxa"/>
            <w:vAlign w:val="bottom"/>
          </w:tcPr>
          <w:p>
            <w:pPr>
              <w:spacing w:after="0"/>
              <w:rPr>
                <w:sz w:val="24"/>
                <w:szCs w:val="24"/>
                <w:color w:val="auto"/>
              </w:rPr>
            </w:pPr>
          </w:p>
        </w:tc>
        <w:tc>
          <w:tcPr>
            <w:tcW w:w="1060" w:type="dxa"/>
            <w:vAlign w:val="bottom"/>
          </w:tcPr>
          <w:p>
            <w:pPr>
              <w:jc w:val="right"/>
              <w:ind w:right="3"/>
              <w:spacing w:after="0"/>
              <w:rPr>
                <w:sz w:val="20"/>
                <w:szCs w:val="20"/>
                <w:color w:val="auto"/>
              </w:rPr>
            </w:pPr>
            <w:r>
              <w:rPr>
                <w:rFonts w:ascii="Arial Narrow" w:cs="Arial Narrow" w:eastAsia="Arial Narrow" w:hAnsi="Arial Narrow"/>
                <w:sz w:val="20"/>
                <w:szCs w:val="20"/>
                <w:color w:val="auto"/>
              </w:rPr>
              <w:t>7,887</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jc w:val="right"/>
              <w:ind w:right="1"/>
              <w:spacing w:after="0"/>
              <w:rPr>
                <w:sz w:val="20"/>
                <w:szCs w:val="20"/>
                <w:color w:val="auto"/>
              </w:rPr>
            </w:pPr>
            <w:r>
              <w:rPr>
                <w:rFonts w:ascii="Arial Narrow" w:cs="Arial Narrow" w:eastAsia="Arial Narrow" w:hAnsi="Arial Narrow"/>
                <w:sz w:val="20"/>
                <w:szCs w:val="20"/>
                <w:color w:val="auto"/>
              </w:rPr>
              <w:t>5,836</w:t>
            </w:r>
          </w:p>
        </w:tc>
      </w:tr>
      <w:tr>
        <w:trPr>
          <w:trHeight w:val="65"/>
        </w:trPr>
        <w:tc>
          <w:tcPr>
            <w:tcW w:w="6120" w:type="dxa"/>
            <w:vAlign w:val="bottom"/>
            <w:tcBorders>
              <w:bottom w:val="single" w:sz="8" w:color="A6A6A6"/>
            </w:tcBorders>
          </w:tcPr>
          <w:p>
            <w:pPr>
              <w:spacing w:after="0"/>
              <w:rPr>
                <w:sz w:val="5"/>
                <w:szCs w:val="5"/>
                <w:color w:val="auto"/>
              </w:rPr>
            </w:pPr>
          </w:p>
        </w:tc>
        <w:tc>
          <w:tcPr>
            <w:tcW w:w="480" w:type="dxa"/>
            <w:vAlign w:val="bottom"/>
            <w:tcBorders>
              <w:bottom w:val="single" w:sz="8" w:color="A6A6A6"/>
            </w:tcBorders>
          </w:tcPr>
          <w:p>
            <w:pPr>
              <w:spacing w:after="0"/>
              <w:rPr>
                <w:sz w:val="5"/>
                <w:szCs w:val="5"/>
                <w:color w:val="auto"/>
              </w:rPr>
            </w:pPr>
          </w:p>
        </w:tc>
        <w:tc>
          <w:tcPr>
            <w:tcW w:w="106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720" w:type="dxa"/>
            <w:vAlign w:val="bottom"/>
            <w:tcBorders>
              <w:bottom w:val="single" w:sz="8" w:color="A6A6A6"/>
            </w:tcBorders>
          </w:tcPr>
          <w:p>
            <w:pPr>
              <w:spacing w:after="0"/>
              <w:rPr>
                <w:sz w:val="5"/>
                <w:szCs w:val="5"/>
                <w:color w:val="auto"/>
              </w:rPr>
            </w:pPr>
          </w:p>
        </w:tc>
        <w:tc>
          <w:tcPr>
            <w:tcW w:w="820" w:type="dxa"/>
            <w:vAlign w:val="bottom"/>
            <w:tcBorders>
              <w:bottom w:val="single" w:sz="8" w:color="A6A6A6"/>
            </w:tcBorders>
          </w:tcPr>
          <w:p>
            <w:pPr>
              <w:spacing w:after="0"/>
              <w:rPr>
                <w:sz w:val="5"/>
                <w:szCs w:val="5"/>
                <w:color w:val="auto"/>
              </w:rPr>
            </w:pPr>
          </w:p>
        </w:tc>
      </w:tr>
      <w:tr>
        <w:trPr>
          <w:trHeight w:val="339"/>
        </w:trPr>
        <w:tc>
          <w:tcPr>
            <w:tcW w:w="6120" w:type="dxa"/>
            <w:vAlign w:val="bottom"/>
          </w:tcPr>
          <w:p>
            <w:pPr>
              <w:spacing w:after="0"/>
              <w:rPr>
                <w:sz w:val="20"/>
                <w:szCs w:val="20"/>
                <w:color w:val="auto"/>
              </w:rPr>
            </w:pPr>
            <w:r>
              <w:rPr>
                <w:rFonts w:ascii="Arial Narrow" w:cs="Arial Narrow" w:eastAsia="Arial Narrow" w:hAnsi="Arial Narrow"/>
                <w:sz w:val="20"/>
                <w:szCs w:val="20"/>
                <w:b w:val="1"/>
                <w:bCs w:val="1"/>
                <w:color w:val="00085E"/>
              </w:rPr>
              <w:t>Power and Fuel</w:t>
            </w:r>
          </w:p>
        </w:tc>
        <w:tc>
          <w:tcPr>
            <w:tcW w:w="480" w:type="dxa"/>
            <w:vAlign w:val="bottom"/>
          </w:tcPr>
          <w:p>
            <w:pPr>
              <w:spacing w:after="0"/>
              <w:rPr>
                <w:sz w:val="24"/>
                <w:szCs w:val="24"/>
                <w:color w:val="auto"/>
              </w:rPr>
            </w:pPr>
          </w:p>
        </w:tc>
        <w:tc>
          <w:tcPr>
            <w:tcW w:w="1060" w:type="dxa"/>
            <w:vAlign w:val="bottom"/>
          </w:tcPr>
          <w:p>
            <w:pPr>
              <w:jc w:val="right"/>
              <w:ind w:right="3"/>
              <w:spacing w:after="0"/>
              <w:rPr>
                <w:sz w:val="20"/>
                <w:szCs w:val="20"/>
                <w:color w:val="auto"/>
              </w:rPr>
            </w:pPr>
            <w:r>
              <w:rPr>
                <w:rFonts w:ascii="Arial Narrow" w:cs="Arial Narrow" w:eastAsia="Arial Narrow" w:hAnsi="Arial Narrow"/>
                <w:sz w:val="20"/>
                <w:szCs w:val="20"/>
                <w:color w:val="auto"/>
              </w:rPr>
              <w:t>2,949</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jc w:val="right"/>
              <w:ind w:right="1"/>
              <w:spacing w:after="0"/>
              <w:rPr>
                <w:sz w:val="20"/>
                <w:szCs w:val="20"/>
                <w:color w:val="auto"/>
              </w:rPr>
            </w:pPr>
            <w:r>
              <w:rPr>
                <w:rFonts w:ascii="Arial Narrow" w:cs="Arial Narrow" w:eastAsia="Arial Narrow" w:hAnsi="Arial Narrow"/>
                <w:sz w:val="20"/>
                <w:szCs w:val="20"/>
                <w:color w:val="auto"/>
              </w:rPr>
              <w:t>4,045</w:t>
            </w:r>
          </w:p>
        </w:tc>
      </w:tr>
      <w:tr>
        <w:trPr>
          <w:trHeight w:val="65"/>
        </w:trPr>
        <w:tc>
          <w:tcPr>
            <w:tcW w:w="6120" w:type="dxa"/>
            <w:vAlign w:val="bottom"/>
            <w:tcBorders>
              <w:bottom w:val="single" w:sz="8" w:color="A6A6A6"/>
            </w:tcBorders>
          </w:tcPr>
          <w:p>
            <w:pPr>
              <w:spacing w:after="0"/>
              <w:rPr>
                <w:sz w:val="5"/>
                <w:szCs w:val="5"/>
                <w:color w:val="auto"/>
              </w:rPr>
            </w:pPr>
          </w:p>
        </w:tc>
        <w:tc>
          <w:tcPr>
            <w:tcW w:w="480" w:type="dxa"/>
            <w:vAlign w:val="bottom"/>
            <w:tcBorders>
              <w:bottom w:val="single" w:sz="8" w:color="A6A6A6"/>
            </w:tcBorders>
          </w:tcPr>
          <w:p>
            <w:pPr>
              <w:spacing w:after="0"/>
              <w:rPr>
                <w:sz w:val="5"/>
                <w:szCs w:val="5"/>
                <w:color w:val="auto"/>
              </w:rPr>
            </w:pPr>
          </w:p>
        </w:tc>
        <w:tc>
          <w:tcPr>
            <w:tcW w:w="106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720" w:type="dxa"/>
            <w:vAlign w:val="bottom"/>
            <w:tcBorders>
              <w:bottom w:val="single" w:sz="8" w:color="A6A6A6"/>
            </w:tcBorders>
          </w:tcPr>
          <w:p>
            <w:pPr>
              <w:spacing w:after="0"/>
              <w:rPr>
                <w:sz w:val="5"/>
                <w:szCs w:val="5"/>
                <w:color w:val="auto"/>
              </w:rPr>
            </w:pPr>
          </w:p>
        </w:tc>
        <w:tc>
          <w:tcPr>
            <w:tcW w:w="820" w:type="dxa"/>
            <w:vAlign w:val="bottom"/>
            <w:tcBorders>
              <w:bottom w:val="single" w:sz="8" w:color="A6A6A6"/>
            </w:tcBorders>
          </w:tcPr>
          <w:p>
            <w:pPr>
              <w:spacing w:after="0"/>
              <w:rPr>
                <w:sz w:val="5"/>
                <w:szCs w:val="5"/>
                <w:color w:val="auto"/>
              </w:rPr>
            </w:pPr>
          </w:p>
        </w:tc>
      </w:tr>
      <w:tr>
        <w:trPr>
          <w:trHeight w:val="339"/>
        </w:trPr>
        <w:tc>
          <w:tcPr>
            <w:tcW w:w="6120" w:type="dxa"/>
            <w:vAlign w:val="bottom"/>
          </w:tcPr>
          <w:p>
            <w:pPr>
              <w:spacing w:after="0"/>
              <w:rPr>
                <w:sz w:val="20"/>
                <w:szCs w:val="20"/>
                <w:color w:val="auto"/>
              </w:rPr>
            </w:pPr>
            <w:r>
              <w:rPr>
                <w:rFonts w:ascii="Arial Narrow" w:cs="Arial Narrow" w:eastAsia="Arial Narrow" w:hAnsi="Arial Narrow"/>
                <w:sz w:val="20"/>
                <w:szCs w:val="20"/>
                <w:b w:val="1"/>
                <w:bCs w:val="1"/>
                <w:color w:val="00085E"/>
              </w:rPr>
              <w:t>Freight</w:t>
            </w:r>
          </w:p>
        </w:tc>
        <w:tc>
          <w:tcPr>
            <w:tcW w:w="480" w:type="dxa"/>
            <w:vAlign w:val="bottom"/>
          </w:tcPr>
          <w:p>
            <w:pPr>
              <w:spacing w:after="0"/>
              <w:rPr>
                <w:sz w:val="24"/>
                <w:szCs w:val="24"/>
                <w:color w:val="auto"/>
              </w:rPr>
            </w:pPr>
          </w:p>
        </w:tc>
        <w:tc>
          <w:tcPr>
            <w:tcW w:w="1060" w:type="dxa"/>
            <w:vAlign w:val="bottom"/>
          </w:tcPr>
          <w:p>
            <w:pPr>
              <w:jc w:val="right"/>
              <w:ind w:right="3"/>
              <w:spacing w:after="0"/>
              <w:rPr>
                <w:sz w:val="20"/>
                <w:szCs w:val="20"/>
                <w:color w:val="auto"/>
              </w:rPr>
            </w:pPr>
            <w:r>
              <w:rPr>
                <w:rFonts w:ascii="Arial Narrow" w:cs="Arial Narrow" w:eastAsia="Arial Narrow" w:hAnsi="Arial Narrow"/>
                <w:sz w:val="20"/>
                <w:szCs w:val="20"/>
                <w:color w:val="auto"/>
              </w:rPr>
              <w:t>3,738</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jc w:val="right"/>
              <w:ind w:right="1"/>
              <w:spacing w:after="0"/>
              <w:rPr>
                <w:sz w:val="20"/>
                <w:szCs w:val="20"/>
                <w:color w:val="auto"/>
              </w:rPr>
            </w:pPr>
            <w:r>
              <w:rPr>
                <w:rFonts w:ascii="Arial Narrow" w:cs="Arial Narrow" w:eastAsia="Arial Narrow" w:hAnsi="Arial Narrow"/>
                <w:sz w:val="20"/>
                <w:szCs w:val="20"/>
                <w:color w:val="auto"/>
              </w:rPr>
              <w:t>3,664</w:t>
            </w:r>
          </w:p>
        </w:tc>
      </w:tr>
      <w:tr>
        <w:trPr>
          <w:trHeight w:val="65"/>
        </w:trPr>
        <w:tc>
          <w:tcPr>
            <w:tcW w:w="6120" w:type="dxa"/>
            <w:vAlign w:val="bottom"/>
            <w:tcBorders>
              <w:bottom w:val="single" w:sz="8" w:color="A6A6A6"/>
            </w:tcBorders>
          </w:tcPr>
          <w:p>
            <w:pPr>
              <w:spacing w:after="0"/>
              <w:rPr>
                <w:sz w:val="5"/>
                <w:szCs w:val="5"/>
                <w:color w:val="auto"/>
              </w:rPr>
            </w:pPr>
          </w:p>
        </w:tc>
        <w:tc>
          <w:tcPr>
            <w:tcW w:w="480" w:type="dxa"/>
            <w:vAlign w:val="bottom"/>
            <w:tcBorders>
              <w:bottom w:val="single" w:sz="8" w:color="A6A6A6"/>
            </w:tcBorders>
          </w:tcPr>
          <w:p>
            <w:pPr>
              <w:spacing w:after="0"/>
              <w:rPr>
                <w:sz w:val="5"/>
                <w:szCs w:val="5"/>
                <w:color w:val="auto"/>
              </w:rPr>
            </w:pPr>
          </w:p>
        </w:tc>
        <w:tc>
          <w:tcPr>
            <w:tcW w:w="106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720" w:type="dxa"/>
            <w:vAlign w:val="bottom"/>
            <w:tcBorders>
              <w:bottom w:val="single" w:sz="8" w:color="A6A6A6"/>
            </w:tcBorders>
          </w:tcPr>
          <w:p>
            <w:pPr>
              <w:spacing w:after="0"/>
              <w:rPr>
                <w:sz w:val="5"/>
                <w:szCs w:val="5"/>
                <w:color w:val="auto"/>
              </w:rPr>
            </w:pPr>
          </w:p>
        </w:tc>
        <w:tc>
          <w:tcPr>
            <w:tcW w:w="820" w:type="dxa"/>
            <w:vAlign w:val="bottom"/>
            <w:tcBorders>
              <w:bottom w:val="single" w:sz="8" w:color="A6A6A6"/>
            </w:tcBorders>
          </w:tcPr>
          <w:p>
            <w:pPr>
              <w:spacing w:after="0"/>
              <w:rPr>
                <w:sz w:val="5"/>
                <w:szCs w:val="5"/>
                <w:color w:val="auto"/>
              </w:rPr>
            </w:pPr>
          </w:p>
        </w:tc>
      </w:tr>
      <w:tr>
        <w:trPr>
          <w:trHeight w:val="339"/>
        </w:trPr>
        <w:tc>
          <w:tcPr>
            <w:tcW w:w="6120" w:type="dxa"/>
            <w:vAlign w:val="bottom"/>
          </w:tcPr>
          <w:p>
            <w:pPr>
              <w:spacing w:after="0"/>
              <w:rPr>
                <w:sz w:val="20"/>
                <w:szCs w:val="20"/>
                <w:color w:val="auto"/>
              </w:rPr>
            </w:pPr>
            <w:r>
              <w:rPr>
                <w:rFonts w:ascii="Arial Narrow" w:cs="Arial Narrow" w:eastAsia="Arial Narrow" w:hAnsi="Arial Narrow"/>
                <w:sz w:val="20"/>
                <w:szCs w:val="20"/>
                <w:b w:val="1"/>
                <w:bCs w:val="1"/>
                <w:color w:val="00085E"/>
              </w:rPr>
              <w:t>Excise Tax</w:t>
            </w:r>
          </w:p>
        </w:tc>
        <w:tc>
          <w:tcPr>
            <w:tcW w:w="480" w:type="dxa"/>
            <w:vAlign w:val="bottom"/>
          </w:tcPr>
          <w:p>
            <w:pPr>
              <w:spacing w:after="0"/>
              <w:rPr>
                <w:sz w:val="24"/>
                <w:szCs w:val="24"/>
                <w:color w:val="auto"/>
              </w:rPr>
            </w:pPr>
          </w:p>
        </w:tc>
        <w:tc>
          <w:tcPr>
            <w:tcW w:w="1060" w:type="dxa"/>
            <w:vAlign w:val="bottom"/>
          </w:tcPr>
          <w:p>
            <w:pPr>
              <w:jc w:val="right"/>
              <w:ind w:right="3"/>
              <w:spacing w:after="0"/>
              <w:rPr>
                <w:sz w:val="20"/>
                <w:szCs w:val="20"/>
                <w:color w:val="auto"/>
              </w:rPr>
            </w:pPr>
            <w:r>
              <w:rPr>
                <w:rFonts w:ascii="Arial Narrow" w:cs="Arial Narrow" w:eastAsia="Arial Narrow" w:hAnsi="Arial Narrow"/>
                <w:sz w:val="20"/>
                <w:szCs w:val="20"/>
                <w:color w:val="auto"/>
              </w:rPr>
              <w:t>5,052</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jc w:val="right"/>
              <w:ind w:right="1"/>
              <w:spacing w:after="0"/>
              <w:rPr>
                <w:sz w:val="20"/>
                <w:szCs w:val="20"/>
                <w:color w:val="auto"/>
              </w:rPr>
            </w:pPr>
            <w:r>
              <w:rPr>
                <w:rFonts w:ascii="Arial Narrow" w:cs="Arial Narrow" w:eastAsia="Arial Narrow" w:hAnsi="Arial Narrow"/>
                <w:sz w:val="20"/>
                <w:szCs w:val="20"/>
                <w:color w:val="auto"/>
              </w:rPr>
              <w:t>3,822</w:t>
            </w:r>
          </w:p>
        </w:tc>
      </w:tr>
      <w:tr>
        <w:trPr>
          <w:trHeight w:val="65"/>
        </w:trPr>
        <w:tc>
          <w:tcPr>
            <w:tcW w:w="6120" w:type="dxa"/>
            <w:vAlign w:val="bottom"/>
            <w:tcBorders>
              <w:bottom w:val="single" w:sz="8" w:color="A6A6A6"/>
            </w:tcBorders>
          </w:tcPr>
          <w:p>
            <w:pPr>
              <w:spacing w:after="0"/>
              <w:rPr>
                <w:sz w:val="5"/>
                <w:szCs w:val="5"/>
                <w:color w:val="auto"/>
              </w:rPr>
            </w:pPr>
          </w:p>
        </w:tc>
        <w:tc>
          <w:tcPr>
            <w:tcW w:w="480" w:type="dxa"/>
            <w:vAlign w:val="bottom"/>
            <w:tcBorders>
              <w:bottom w:val="single" w:sz="8" w:color="A6A6A6"/>
            </w:tcBorders>
          </w:tcPr>
          <w:p>
            <w:pPr>
              <w:spacing w:after="0"/>
              <w:rPr>
                <w:sz w:val="5"/>
                <w:szCs w:val="5"/>
                <w:color w:val="auto"/>
              </w:rPr>
            </w:pPr>
          </w:p>
        </w:tc>
        <w:tc>
          <w:tcPr>
            <w:tcW w:w="106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720" w:type="dxa"/>
            <w:vAlign w:val="bottom"/>
            <w:tcBorders>
              <w:bottom w:val="single" w:sz="8" w:color="A6A6A6"/>
            </w:tcBorders>
          </w:tcPr>
          <w:p>
            <w:pPr>
              <w:spacing w:after="0"/>
              <w:rPr>
                <w:sz w:val="5"/>
                <w:szCs w:val="5"/>
                <w:color w:val="auto"/>
              </w:rPr>
            </w:pPr>
          </w:p>
        </w:tc>
        <w:tc>
          <w:tcPr>
            <w:tcW w:w="820" w:type="dxa"/>
            <w:vAlign w:val="bottom"/>
            <w:tcBorders>
              <w:bottom w:val="single" w:sz="8" w:color="A6A6A6"/>
            </w:tcBorders>
          </w:tcPr>
          <w:p>
            <w:pPr>
              <w:spacing w:after="0"/>
              <w:rPr>
                <w:sz w:val="5"/>
                <w:szCs w:val="5"/>
                <w:color w:val="auto"/>
              </w:rPr>
            </w:pPr>
          </w:p>
        </w:tc>
      </w:tr>
      <w:tr>
        <w:trPr>
          <w:trHeight w:val="339"/>
        </w:trPr>
        <w:tc>
          <w:tcPr>
            <w:tcW w:w="6120" w:type="dxa"/>
            <w:vAlign w:val="bottom"/>
          </w:tcPr>
          <w:p>
            <w:pPr>
              <w:spacing w:after="0"/>
              <w:rPr>
                <w:sz w:val="20"/>
                <w:szCs w:val="20"/>
                <w:color w:val="auto"/>
              </w:rPr>
            </w:pPr>
            <w:r>
              <w:rPr>
                <w:rFonts w:ascii="Arial Narrow" w:cs="Arial Narrow" w:eastAsia="Arial Narrow" w:hAnsi="Arial Narrow"/>
                <w:sz w:val="20"/>
                <w:szCs w:val="20"/>
                <w:b w:val="1"/>
                <w:bCs w:val="1"/>
                <w:color w:val="00085E"/>
              </w:rPr>
              <w:t>Legal and Professional</w:t>
            </w:r>
          </w:p>
        </w:tc>
        <w:tc>
          <w:tcPr>
            <w:tcW w:w="480" w:type="dxa"/>
            <w:vAlign w:val="bottom"/>
          </w:tcPr>
          <w:p>
            <w:pPr>
              <w:spacing w:after="0"/>
              <w:rPr>
                <w:sz w:val="24"/>
                <w:szCs w:val="24"/>
                <w:color w:val="auto"/>
              </w:rPr>
            </w:pPr>
          </w:p>
        </w:tc>
        <w:tc>
          <w:tcPr>
            <w:tcW w:w="1060" w:type="dxa"/>
            <w:vAlign w:val="bottom"/>
          </w:tcPr>
          <w:p>
            <w:pPr>
              <w:jc w:val="right"/>
              <w:ind w:right="3"/>
              <w:spacing w:after="0"/>
              <w:rPr>
                <w:sz w:val="20"/>
                <w:szCs w:val="20"/>
                <w:color w:val="auto"/>
              </w:rPr>
            </w:pPr>
            <w:r>
              <w:rPr>
                <w:rFonts w:ascii="Arial Narrow" w:cs="Arial Narrow" w:eastAsia="Arial Narrow" w:hAnsi="Arial Narrow"/>
                <w:sz w:val="20"/>
                <w:szCs w:val="20"/>
                <w:color w:val="auto"/>
              </w:rPr>
              <w:t>4,534</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jc w:val="right"/>
              <w:ind w:right="1"/>
              <w:spacing w:after="0"/>
              <w:rPr>
                <w:sz w:val="20"/>
                <w:szCs w:val="20"/>
                <w:color w:val="auto"/>
              </w:rPr>
            </w:pPr>
            <w:r>
              <w:rPr>
                <w:rFonts w:ascii="Arial Narrow" w:cs="Arial Narrow" w:eastAsia="Arial Narrow" w:hAnsi="Arial Narrow"/>
                <w:sz w:val="20"/>
                <w:szCs w:val="20"/>
                <w:color w:val="auto"/>
              </w:rPr>
              <w:t>3,953</w:t>
            </w:r>
          </w:p>
        </w:tc>
      </w:tr>
      <w:tr>
        <w:trPr>
          <w:trHeight w:val="65"/>
        </w:trPr>
        <w:tc>
          <w:tcPr>
            <w:tcW w:w="6120" w:type="dxa"/>
            <w:vAlign w:val="bottom"/>
            <w:tcBorders>
              <w:bottom w:val="single" w:sz="8" w:color="A6A6A6"/>
            </w:tcBorders>
          </w:tcPr>
          <w:p>
            <w:pPr>
              <w:spacing w:after="0"/>
              <w:rPr>
                <w:sz w:val="5"/>
                <w:szCs w:val="5"/>
                <w:color w:val="auto"/>
              </w:rPr>
            </w:pPr>
          </w:p>
        </w:tc>
        <w:tc>
          <w:tcPr>
            <w:tcW w:w="480" w:type="dxa"/>
            <w:vAlign w:val="bottom"/>
            <w:tcBorders>
              <w:bottom w:val="single" w:sz="8" w:color="A6A6A6"/>
            </w:tcBorders>
          </w:tcPr>
          <w:p>
            <w:pPr>
              <w:spacing w:after="0"/>
              <w:rPr>
                <w:sz w:val="5"/>
                <w:szCs w:val="5"/>
                <w:color w:val="auto"/>
              </w:rPr>
            </w:pPr>
          </w:p>
        </w:tc>
        <w:tc>
          <w:tcPr>
            <w:tcW w:w="106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720" w:type="dxa"/>
            <w:vAlign w:val="bottom"/>
            <w:tcBorders>
              <w:bottom w:val="single" w:sz="8" w:color="A6A6A6"/>
            </w:tcBorders>
          </w:tcPr>
          <w:p>
            <w:pPr>
              <w:spacing w:after="0"/>
              <w:rPr>
                <w:sz w:val="5"/>
                <w:szCs w:val="5"/>
                <w:color w:val="auto"/>
              </w:rPr>
            </w:pPr>
          </w:p>
        </w:tc>
        <w:tc>
          <w:tcPr>
            <w:tcW w:w="820" w:type="dxa"/>
            <w:vAlign w:val="bottom"/>
            <w:tcBorders>
              <w:bottom w:val="single" w:sz="8" w:color="A6A6A6"/>
            </w:tcBorders>
          </w:tcPr>
          <w:p>
            <w:pPr>
              <w:spacing w:after="0"/>
              <w:rPr>
                <w:sz w:val="5"/>
                <w:szCs w:val="5"/>
                <w:color w:val="auto"/>
              </w:rPr>
            </w:pPr>
          </w:p>
        </w:tc>
      </w:tr>
      <w:tr>
        <w:trPr>
          <w:trHeight w:val="339"/>
        </w:trPr>
        <w:tc>
          <w:tcPr>
            <w:tcW w:w="6120" w:type="dxa"/>
            <w:vAlign w:val="bottom"/>
          </w:tcPr>
          <w:p>
            <w:pPr>
              <w:spacing w:after="0"/>
              <w:rPr>
                <w:sz w:val="20"/>
                <w:szCs w:val="20"/>
                <w:color w:val="auto"/>
              </w:rPr>
            </w:pPr>
            <w:r>
              <w:rPr>
                <w:rFonts w:ascii="Arial Narrow" w:cs="Arial Narrow" w:eastAsia="Arial Narrow" w:hAnsi="Arial Narrow"/>
                <w:sz w:val="20"/>
                <w:szCs w:val="20"/>
                <w:b w:val="1"/>
                <w:bCs w:val="1"/>
                <w:color w:val="00085E"/>
              </w:rPr>
              <w:t>Sales and Use Tax</w:t>
            </w:r>
          </w:p>
        </w:tc>
        <w:tc>
          <w:tcPr>
            <w:tcW w:w="480" w:type="dxa"/>
            <w:vAlign w:val="bottom"/>
          </w:tcPr>
          <w:p>
            <w:pPr>
              <w:spacing w:after="0"/>
              <w:rPr>
                <w:sz w:val="24"/>
                <w:szCs w:val="24"/>
                <w:color w:val="auto"/>
              </w:rPr>
            </w:pPr>
          </w:p>
        </w:tc>
        <w:tc>
          <w:tcPr>
            <w:tcW w:w="1060" w:type="dxa"/>
            <w:vAlign w:val="bottom"/>
          </w:tcPr>
          <w:p>
            <w:pPr>
              <w:jc w:val="right"/>
              <w:ind w:right="3"/>
              <w:spacing w:after="0"/>
              <w:rPr>
                <w:sz w:val="20"/>
                <w:szCs w:val="20"/>
                <w:color w:val="auto"/>
              </w:rPr>
            </w:pPr>
            <w:r>
              <w:rPr>
                <w:rFonts w:ascii="Arial Narrow" w:cs="Arial Narrow" w:eastAsia="Arial Narrow" w:hAnsi="Arial Narrow"/>
                <w:sz w:val="20"/>
                <w:szCs w:val="20"/>
                <w:color w:val="auto"/>
              </w:rPr>
              <w:t>1,613</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jc w:val="right"/>
              <w:ind w:right="1"/>
              <w:spacing w:after="0"/>
              <w:rPr>
                <w:sz w:val="20"/>
                <w:szCs w:val="20"/>
                <w:color w:val="auto"/>
              </w:rPr>
            </w:pPr>
            <w:r>
              <w:rPr>
                <w:rFonts w:ascii="Arial Narrow" w:cs="Arial Narrow" w:eastAsia="Arial Narrow" w:hAnsi="Arial Narrow"/>
                <w:sz w:val="20"/>
                <w:szCs w:val="20"/>
                <w:color w:val="auto"/>
              </w:rPr>
              <w:t>1,500</w:t>
            </w:r>
          </w:p>
        </w:tc>
      </w:tr>
      <w:tr>
        <w:trPr>
          <w:trHeight w:val="65"/>
        </w:trPr>
        <w:tc>
          <w:tcPr>
            <w:tcW w:w="6120" w:type="dxa"/>
            <w:vAlign w:val="bottom"/>
            <w:tcBorders>
              <w:bottom w:val="single" w:sz="8" w:color="A6A6A6"/>
            </w:tcBorders>
          </w:tcPr>
          <w:p>
            <w:pPr>
              <w:spacing w:after="0"/>
              <w:rPr>
                <w:sz w:val="5"/>
                <w:szCs w:val="5"/>
                <w:color w:val="auto"/>
              </w:rPr>
            </w:pPr>
          </w:p>
        </w:tc>
        <w:tc>
          <w:tcPr>
            <w:tcW w:w="480" w:type="dxa"/>
            <w:vAlign w:val="bottom"/>
            <w:tcBorders>
              <w:bottom w:val="single" w:sz="8" w:color="A6A6A6"/>
            </w:tcBorders>
          </w:tcPr>
          <w:p>
            <w:pPr>
              <w:spacing w:after="0"/>
              <w:rPr>
                <w:sz w:val="5"/>
                <w:szCs w:val="5"/>
                <w:color w:val="auto"/>
              </w:rPr>
            </w:pPr>
          </w:p>
        </w:tc>
        <w:tc>
          <w:tcPr>
            <w:tcW w:w="106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720" w:type="dxa"/>
            <w:vAlign w:val="bottom"/>
            <w:tcBorders>
              <w:bottom w:val="single" w:sz="8" w:color="A6A6A6"/>
            </w:tcBorders>
          </w:tcPr>
          <w:p>
            <w:pPr>
              <w:spacing w:after="0"/>
              <w:rPr>
                <w:sz w:val="5"/>
                <w:szCs w:val="5"/>
                <w:color w:val="auto"/>
              </w:rPr>
            </w:pPr>
          </w:p>
        </w:tc>
        <w:tc>
          <w:tcPr>
            <w:tcW w:w="820" w:type="dxa"/>
            <w:vAlign w:val="bottom"/>
            <w:tcBorders>
              <w:bottom w:val="single" w:sz="8" w:color="A6A6A6"/>
            </w:tcBorders>
          </w:tcPr>
          <w:p>
            <w:pPr>
              <w:spacing w:after="0"/>
              <w:rPr>
                <w:sz w:val="5"/>
                <w:szCs w:val="5"/>
                <w:color w:val="auto"/>
              </w:rPr>
            </w:pPr>
          </w:p>
        </w:tc>
      </w:tr>
      <w:tr>
        <w:trPr>
          <w:trHeight w:val="339"/>
        </w:trPr>
        <w:tc>
          <w:tcPr>
            <w:tcW w:w="6120" w:type="dxa"/>
            <w:vAlign w:val="bottom"/>
          </w:tcPr>
          <w:p>
            <w:pPr>
              <w:spacing w:after="0"/>
              <w:rPr>
                <w:sz w:val="20"/>
                <w:szCs w:val="20"/>
                <w:color w:val="auto"/>
              </w:rPr>
            </w:pPr>
            <w:r>
              <w:rPr>
                <w:rFonts w:ascii="Arial Narrow" w:cs="Arial Narrow" w:eastAsia="Arial Narrow" w:hAnsi="Arial Narrow"/>
                <w:sz w:val="20"/>
                <w:szCs w:val="20"/>
                <w:b w:val="1"/>
                <w:bCs w:val="1"/>
                <w:color w:val="00085E"/>
              </w:rPr>
              <w:t>Other</w:t>
            </w:r>
          </w:p>
        </w:tc>
        <w:tc>
          <w:tcPr>
            <w:tcW w:w="480" w:type="dxa"/>
            <w:vAlign w:val="bottom"/>
          </w:tcPr>
          <w:p>
            <w:pPr>
              <w:spacing w:after="0"/>
              <w:rPr>
                <w:sz w:val="24"/>
                <w:szCs w:val="24"/>
                <w:color w:val="auto"/>
              </w:rPr>
            </w:pPr>
          </w:p>
        </w:tc>
        <w:tc>
          <w:tcPr>
            <w:tcW w:w="1060" w:type="dxa"/>
            <w:vAlign w:val="bottom"/>
          </w:tcPr>
          <w:p>
            <w:pPr>
              <w:jc w:val="right"/>
              <w:ind w:right="3"/>
              <w:spacing w:after="0"/>
              <w:rPr>
                <w:sz w:val="20"/>
                <w:szCs w:val="20"/>
                <w:color w:val="auto"/>
              </w:rPr>
            </w:pPr>
            <w:r>
              <w:rPr>
                <w:rFonts w:ascii="Arial Narrow" w:cs="Arial Narrow" w:eastAsia="Arial Narrow" w:hAnsi="Arial Narrow"/>
                <w:sz w:val="20"/>
                <w:szCs w:val="20"/>
                <w:color w:val="auto"/>
              </w:rPr>
              <w:t>8,106</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jc w:val="right"/>
              <w:ind w:right="1"/>
              <w:spacing w:after="0"/>
              <w:rPr>
                <w:sz w:val="20"/>
                <w:szCs w:val="20"/>
                <w:color w:val="auto"/>
              </w:rPr>
            </w:pPr>
            <w:r>
              <w:rPr>
                <w:rFonts w:ascii="Arial Narrow" w:cs="Arial Narrow" w:eastAsia="Arial Narrow" w:hAnsi="Arial Narrow"/>
                <w:sz w:val="20"/>
                <w:szCs w:val="20"/>
                <w:color w:val="auto"/>
              </w:rPr>
              <w:t>8,237</w:t>
            </w:r>
          </w:p>
        </w:tc>
      </w:tr>
      <w:tr>
        <w:trPr>
          <w:trHeight w:val="90"/>
        </w:trPr>
        <w:tc>
          <w:tcPr>
            <w:tcW w:w="6120" w:type="dxa"/>
            <w:vAlign w:val="bottom"/>
            <w:tcBorders>
              <w:bottom w:val="single" w:sz="8" w:color="A6A6A6"/>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r>
      <w:tr>
        <w:trPr>
          <w:trHeight w:val="344"/>
        </w:trPr>
        <w:tc>
          <w:tcPr>
            <w:tcW w:w="6120" w:type="dxa"/>
            <w:vAlign w:val="bottom"/>
          </w:tcPr>
          <w:p>
            <w:pPr>
              <w:spacing w:after="0"/>
              <w:rPr>
                <w:sz w:val="24"/>
                <w:szCs w:val="24"/>
                <w:color w:val="auto"/>
              </w:rPr>
            </w:pPr>
          </w:p>
        </w:tc>
        <w:tc>
          <w:tcPr>
            <w:tcW w:w="480" w:type="dxa"/>
            <w:vAlign w:val="bottom"/>
          </w:tcPr>
          <w:p>
            <w:pPr>
              <w:jc w:val="right"/>
              <w:ind w:right="280"/>
              <w:spacing w:after="0"/>
              <w:rPr>
                <w:sz w:val="20"/>
                <w:szCs w:val="20"/>
                <w:color w:val="auto"/>
              </w:rPr>
            </w:pPr>
            <w:r>
              <w:rPr>
                <w:rFonts w:ascii="Arial Narrow" w:cs="Arial Narrow" w:eastAsia="Arial Narrow" w:hAnsi="Arial Narrow"/>
                <w:sz w:val="20"/>
                <w:szCs w:val="20"/>
                <w:b w:val="1"/>
                <w:bCs w:val="1"/>
                <w:color w:val="auto"/>
                <w:w w:val="87"/>
              </w:rPr>
              <w:t>$</w:t>
            </w:r>
          </w:p>
        </w:tc>
        <w:tc>
          <w:tcPr>
            <w:tcW w:w="1060" w:type="dxa"/>
            <w:vAlign w:val="bottom"/>
          </w:tcPr>
          <w:p>
            <w:pPr>
              <w:jc w:val="right"/>
              <w:ind w:right="3"/>
              <w:spacing w:after="0"/>
              <w:rPr>
                <w:sz w:val="20"/>
                <w:szCs w:val="20"/>
                <w:color w:val="auto"/>
              </w:rPr>
            </w:pPr>
            <w:r>
              <w:rPr>
                <w:rFonts w:ascii="Arial Narrow" w:cs="Arial Narrow" w:eastAsia="Arial Narrow" w:hAnsi="Arial Narrow"/>
                <w:sz w:val="20"/>
                <w:szCs w:val="20"/>
                <w:b w:val="1"/>
                <w:bCs w:val="1"/>
                <w:color w:val="auto"/>
              </w:rPr>
              <w:t>102,127</w:t>
            </w:r>
          </w:p>
        </w:tc>
        <w:tc>
          <w:tcPr>
            <w:tcW w:w="880" w:type="dxa"/>
            <w:vAlign w:val="bottom"/>
            <w:gridSpan w:val="2"/>
          </w:tcPr>
          <w:p>
            <w:pPr>
              <w:jc w:val="right"/>
              <w:ind w:right="620"/>
              <w:spacing w:after="0"/>
              <w:rPr>
                <w:sz w:val="20"/>
                <w:szCs w:val="20"/>
                <w:color w:val="auto"/>
              </w:rPr>
            </w:pPr>
            <w:r>
              <w:rPr>
                <w:rFonts w:ascii="Arial Narrow" w:cs="Arial Narrow" w:eastAsia="Arial Narrow" w:hAnsi="Arial Narrow"/>
                <w:sz w:val="20"/>
                <w:szCs w:val="20"/>
                <w:b w:val="1"/>
                <w:bCs w:val="1"/>
                <w:color w:val="auto"/>
              </w:rPr>
              <w:t>$</w:t>
            </w:r>
          </w:p>
        </w:tc>
        <w:tc>
          <w:tcPr>
            <w:tcW w:w="820" w:type="dxa"/>
            <w:vAlign w:val="bottom"/>
          </w:tcPr>
          <w:p>
            <w:pPr>
              <w:jc w:val="right"/>
              <w:ind w:right="1"/>
              <w:spacing w:after="0"/>
              <w:rPr>
                <w:sz w:val="20"/>
                <w:szCs w:val="20"/>
                <w:color w:val="auto"/>
              </w:rPr>
            </w:pPr>
            <w:r>
              <w:rPr>
                <w:rFonts w:ascii="Arial Narrow" w:cs="Arial Narrow" w:eastAsia="Arial Narrow" w:hAnsi="Arial Narrow"/>
                <w:sz w:val="20"/>
                <w:szCs w:val="20"/>
                <w:b w:val="1"/>
                <w:bCs w:val="1"/>
                <w:color w:val="auto"/>
              </w:rPr>
              <w:t>96,077</w:t>
            </w:r>
          </w:p>
        </w:tc>
      </w:tr>
      <w:tr>
        <w:trPr>
          <w:trHeight w:val="65"/>
        </w:trPr>
        <w:tc>
          <w:tcPr>
            <w:tcW w:w="612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r>
      <w:tr>
        <w:trPr>
          <w:trHeight w:val="20"/>
        </w:trPr>
        <w:tc>
          <w:tcPr>
            <w:tcW w:w="6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00085E"/>
        </w:rPr>
        <w:t>(E) LEASES</w:t>
      </w:r>
    </w:p>
    <w:p>
      <w:pPr>
        <w:spacing w:after="0" w:line="161" w:lineRule="exact"/>
        <w:rPr>
          <w:sz w:val="20"/>
          <w:szCs w:val="20"/>
          <w:color w:val="auto"/>
        </w:rPr>
      </w:pPr>
    </w:p>
    <w:p>
      <w:pPr>
        <w:ind w:right="20"/>
        <w:spacing w:after="0" w:line="287" w:lineRule="auto"/>
        <w:rPr>
          <w:sz w:val="20"/>
          <w:szCs w:val="20"/>
          <w:color w:val="auto"/>
        </w:rPr>
      </w:pPr>
      <w:r>
        <w:rPr>
          <w:rFonts w:ascii="Arial" w:cs="Arial" w:eastAsia="Arial" w:hAnsi="Arial"/>
          <w:sz w:val="20"/>
          <w:szCs w:val="20"/>
          <w:color w:val="auto"/>
        </w:rPr>
        <w:t>We lease certain real estate, buildings, and equipment, including rail cars and barges. Certain of these leases contain escalations of rent over the term of the lease, as well as options for us to extend the term of the lease at the end of the original term. These extensions range from periods of one year to twenty years. Our lease agreements do not contain material residual value guarantees or material restrictive covenants. In calculating the present value of future minimum lease payments, we use the rate implicit in the lease if it can be determined. Otherwise, we use our incremental borrowing rate in effect at the commencement of the lease to determine the present value of the future minimum lease payments. Additionally, we lease certain equipment under short-term leases with initial terms of less than 12 months. These short-term equipment leases are not recorded on the balance sheet.</w:t>
      </w:r>
    </w:p>
    <w:p>
      <w:pPr>
        <w:sectPr>
          <w:pgSz w:w="11880" w:h="15480" w:orient="portrait"/>
          <w:cols w:equalWidth="0" w:num="1">
            <w:col w:w="9360"/>
          </w:cols>
          <w:pgMar w:left="1260" w:top="1243"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87</w:t>
      </w:r>
    </w:p>
    <w:p>
      <w:pPr>
        <w:sectPr>
          <w:pgSz w:w="11880" w:h="15480" w:orient="portrait"/>
          <w:cols w:equalWidth="0" w:num="1">
            <w:col w:w="9360"/>
          </w:cols>
          <w:pgMar w:left="1260" w:top="1243" w:right="1260" w:bottom="0" w:gutter="0" w:footer="0" w:header="0"/>
          <w:type w:val="continuous"/>
        </w:sectPr>
      </w:pPr>
    </w:p>
    <w:bookmarkStart w:id="95" w:name="page96"/>
    <w:bookmarkEnd w:id="95"/>
    <w:p>
      <w:pPr>
        <w:spacing w:after="0"/>
        <w:rPr>
          <w:sz w:val="20"/>
          <w:szCs w:val="20"/>
          <w:color w:val="auto"/>
        </w:rPr>
      </w:pPr>
      <w:r>
        <w:rPr>
          <w:rFonts w:ascii="Arial" w:cs="Arial" w:eastAsia="Arial" w:hAnsi="Arial"/>
          <w:sz w:val="20"/>
          <w:szCs w:val="20"/>
          <w:color w:val="auto"/>
        </w:rPr>
        <w:t>Lease expense for our operating and short-term leases is shown below.</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5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940" w:type="dxa"/>
            <w:vAlign w:val="bottom"/>
            <w:gridSpan w:val="6"/>
          </w:tcPr>
          <w:p>
            <w:pPr>
              <w:jc w:val="right"/>
              <w:ind w:right="240"/>
              <w:spacing w:after="0"/>
              <w:rPr>
                <w:sz w:val="20"/>
                <w:szCs w:val="20"/>
                <w:color w:val="auto"/>
              </w:rPr>
            </w:pPr>
            <w:r>
              <w:rPr>
                <w:rFonts w:ascii="Arial Narrow" w:cs="Arial Narrow" w:eastAsia="Arial Narrow" w:hAnsi="Arial Narrow"/>
                <w:sz w:val="18"/>
                <w:szCs w:val="18"/>
                <w:b w:val="1"/>
                <w:bCs w:val="1"/>
                <w:color w:val="auto"/>
              </w:rPr>
              <w:t>For the Years Ended March 31,</w:t>
            </w:r>
          </w:p>
        </w:tc>
        <w:tc>
          <w:tcPr>
            <w:tcW w:w="760" w:type="dxa"/>
            <w:vAlign w:val="bottom"/>
          </w:tcPr>
          <w:p>
            <w:pPr>
              <w:spacing w:after="0"/>
              <w:rPr>
                <w:sz w:val="22"/>
                <w:szCs w:val="22"/>
                <w:color w:val="auto"/>
              </w:rPr>
            </w:pPr>
          </w:p>
        </w:tc>
      </w:tr>
      <w:tr>
        <w:trPr>
          <w:trHeight w:val="21"/>
        </w:trPr>
        <w:tc>
          <w:tcPr>
            <w:tcW w:w="5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69"/>
        </w:trPr>
        <w:tc>
          <w:tcPr>
            <w:tcW w:w="52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00" w:type="dxa"/>
            <w:vAlign w:val="bottom"/>
          </w:tcPr>
          <w:p>
            <w:pPr>
              <w:jc w:val="right"/>
              <w:ind w:right="4"/>
              <w:spacing w:after="0"/>
              <w:rPr>
                <w:sz w:val="20"/>
                <w:szCs w:val="20"/>
                <w:color w:val="auto"/>
              </w:rPr>
            </w:pPr>
            <w:r>
              <w:rPr>
                <w:rFonts w:ascii="Arial Narrow" w:cs="Arial Narrow" w:eastAsia="Arial Narrow" w:hAnsi="Arial Narrow"/>
                <w:sz w:val="18"/>
                <w:szCs w:val="18"/>
                <w:b w:val="1"/>
                <w:bCs w:val="1"/>
                <w:color w:val="auto"/>
              </w:rPr>
              <w:t>2026</w:t>
            </w: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ind w:right="3"/>
              <w:spacing w:after="0"/>
              <w:rPr>
                <w:sz w:val="20"/>
                <w:szCs w:val="20"/>
                <w:color w:val="auto"/>
              </w:rPr>
            </w:pPr>
            <w:r>
              <w:rPr>
                <w:rFonts w:ascii="Arial Narrow" w:cs="Arial Narrow" w:eastAsia="Arial Narrow" w:hAnsi="Arial Narrow"/>
                <w:sz w:val="18"/>
                <w:szCs w:val="18"/>
                <w:b w:val="1"/>
                <w:bCs w:val="1"/>
                <w:color w:val="auto"/>
              </w:rPr>
              <w:t>2025</w:t>
            </w: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60" w:type="dxa"/>
            <w:vAlign w:val="bottom"/>
          </w:tcPr>
          <w:p>
            <w:pPr>
              <w:jc w:val="right"/>
              <w:ind w:right="3"/>
              <w:spacing w:after="0"/>
              <w:rPr>
                <w:sz w:val="20"/>
                <w:szCs w:val="20"/>
                <w:color w:val="auto"/>
              </w:rPr>
            </w:pPr>
            <w:r>
              <w:rPr>
                <w:rFonts w:ascii="Arial Narrow" w:cs="Arial Narrow" w:eastAsia="Arial Narrow" w:hAnsi="Arial Narrow"/>
                <w:sz w:val="18"/>
                <w:szCs w:val="18"/>
                <w:b w:val="1"/>
                <w:bCs w:val="1"/>
                <w:color w:val="auto"/>
              </w:rPr>
              <w:t>2024</w:t>
            </w:r>
          </w:p>
        </w:tc>
      </w:tr>
      <w:tr>
        <w:trPr>
          <w:trHeight w:val="21"/>
        </w:trPr>
        <w:tc>
          <w:tcPr>
            <w:tcW w:w="5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44"/>
        </w:trPr>
        <w:tc>
          <w:tcPr>
            <w:tcW w:w="5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0" w:type="dxa"/>
            <w:vAlign w:val="bottom"/>
            <w:gridSpan w:val="3"/>
          </w:tcPr>
          <w:p>
            <w:pPr>
              <w:jc w:val="right"/>
              <w:spacing w:after="0"/>
              <w:rPr>
                <w:sz w:val="20"/>
                <w:szCs w:val="20"/>
                <w:color w:val="auto"/>
              </w:rPr>
            </w:pPr>
            <w:r>
              <w:rPr>
                <w:rFonts w:ascii="Arial Narrow" w:cs="Arial Narrow" w:eastAsia="Arial Narrow" w:hAnsi="Arial Narrow"/>
                <w:sz w:val="16"/>
                <w:szCs w:val="16"/>
                <w:color w:val="auto"/>
              </w:rPr>
              <w:t>(dollars in thousands)</w:t>
            </w: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48"/>
        </w:trPr>
        <w:tc>
          <w:tcPr>
            <w:tcW w:w="52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gridSpan w:val="2"/>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gridSpan w:val="2"/>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r>
      <w:tr>
        <w:trPr>
          <w:trHeight w:val="344"/>
        </w:trPr>
        <w:tc>
          <w:tcPr>
            <w:tcW w:w="5280" w:type="dxa"/>
            <w:vAlign w:val="bottom"/>
          </w:tcPr>
          <w:p>
            <w:pPr>
              <w:spacing w:after="0"/>
              <w:rPr>
                <w:sz w:val="20"/>
                <w:szCs w:val="20"/>
                <w:color w:val="auto"/>
              </w:rPr>
            </w:pPr>
            <w:r>
              <w:rPr>
                <w:rFonts w:ascii="Arial Narrow" w:cs="Arial Narrow" w:eastAsia="Arial Narrow" w:hAnsi="Arial Narrow"/>
                <w:sz w:val="20"/>
                <w:szCs w:val="20"/>
                <w:b w:val="1"/>
                <w:bCs w:val="1"/>
                <w:color w:val="00085E"/>
              </w:rPr>
              <w:t>Operating Lease Cost</w:t>
            </w:r>
          </w:p>
        </w:tc>
        <w:tc>
          <w:tcPr>
            <w:tcW w:w="380" w:type="dxa"/>
            <w:vAlign w:val="bottom"/>
          </w:tcPr>
          <w:p>
            <w:pPr>
              <w:jc w:val="right"/>
              <w:ind w:right="180"/>
              <w:spacing w:after="0"/>
              <w:rPr>
                <w:sz w:val="20"/>
                <w:szCs w:val="20"/>
                <w:color w:val="auto"/>
              </w:rPr>
            </w:pPr>
            <w:r>
              <w:rPr>
                <w:rFonts w:ascii="Arial Narrow" w:cs="Arial Narrow" w:eastAsia="Arial Narrow" w:hAnsi="Arial Narrow"/>
                <w:sz w:val="20"/>
                <w:szCs w:val="20"/>
                <w:color w:val="auto"/>
                <w:w w:val="87"/>
              </w:rPr>
              <w:t>$</w:t>
            </w:r>
          </w:p>
        </w:tc>
        <w:tc>
          <w:tcPr>
            <w:tcW w:w="900" w:type="dxa"/>
            <w:vAlign w:val="bottom"/>
          </w:tcPr>
          <w:p>
            <w:pPr>
              <w:jc w:val="right"/>
              <w:ind w:right="4"/>
              <w:spacing w:after="0"/>
              <w:rPr>
                <w:sz w:val="20"/>
                <w:szCs w:val="20"/>
                <w:color w:val="auto"/>
              </w:rPr>
            </w:pPr>
            <w:r>
              <w:rPr>
                <w:rFonts w:ascii="Arial Narrow" w:cs="Arial Narrow" w:eastAsia="Arial Narrow" w:hAnsi="Arial Narrow"/>
                <w:sz w:val="20"/>
                <w:szCs w:val="20"/>
                <w:color w:val="auto"/>
              </w:rPr>
              <w:t>8,804</w:t>
            </w:r>
          </w:p>
        </w:tc>
        <w:tc>
          <w:tcPr>
            <w:tcW w:w="560" w:type="dxa"/>
            <w:vAlign w:val="bottom"/>
            <w:gridSpan w:val="2"/>
          </w:tcPr>
          <w:p>
            <w:pPr>
              <w:jc w:val="right"/>
              <w:ind w:right="340"/>
              <w:spacing w:after="0"/>
              <w:rPr>
                <w:sz w:val="20"/>
                <w:szCs w:val="20"/>
                <w:color w:val="auto"/>
              </w:rPr>
            </w:pPr>
            <w:r>
              <w:rPr>
                <w:rFonts w:ascii="Arial Narrow" w:cs="Arial Narrow" w:eastAsia="Arial Narrow" w:hAnsi="Arial Narrow"/>
                <w:sz w:val="20"/>
                <w:szCs w:val="20"/>
                <w:color w:val="auto"/>
              </w:rPr>
              <w:t>$</w:t>
            </w:r>
          </w:p>
        </w:tc>
        <w:tc>
          <w:tcPr>
            <w:tcW w:w="840" w:type="dxa"/>
            <w:vAlign w:val="bottom"/>
          </w:tcPr>
          <w:p>
            <w:pPr>
              <w:jc w:val="right"/>
              <w:ind w:right="3"/>
              <w:spacing w:after="0"/>
              <w:rPr>
                <w:sz w:val="20"/>
                <w:szCs w:val="20"/>
                <w:color w:val="auto"/>
              </w:rPr>
            </w:pPr>
            <w:r>
              <w:rPr>
                <w:rFonts w:ascii="Arial Narrow" w:cs="Arial Narrow" w:eastAsia="Arial Narrow" w:hAnsi="Arial Narrow"/>
                <w:sz w:val="20"/>
                <w:szCs w:val="20"/>
                <w:color w:val="auto"/>
              </w:rPr>
              <w:t>7,953</w:t>
            </w:r>
          </w:p>
        </w:tc>
        <w:tc>
          <w:tcPr>
            <w:tcW w:w="640" w:type="dxa"/>
            <w:vAlign w:val="bottom"/>
            <w:gridSpan w:val="2"/>
          </w:tcPr>
          <w:p>
            <w:pPr>
              <w:jc w:val="right"/>
              <w:ind w:right="420"/>
              <w:spacing w:after="0"/>
              <w:rPr>
                <w:sz w:val="20"/>
                <w:szCs w:val="20"/>
                <w:color w:val="auto"/>
              </w:rPr>
            </w:pPr>
            <w:r>
              <w:rPr>
                <w:rFonts w:ascii="Arial Narrow" w:cs="Arial Narrow" w:eastAsia="Arial Narrow" w:hAnsi="Arial Narrow"/>
                <w:sz w:val="20"/>
                <w:szCs w:val="20"/>
                <w:color w:val="auto"/>
              </w:rPr>
              <w:t>$</w:t>
            </w:r>
          </w:p>
        </w:tc>
        <w:tc>
          <w:tcPr>
            <w:tcW w:w="760" w:type="dxa"/>
            <w:vAlign w:val="bottom"/>
          </w:tcPr>
          <w:p>
            <w:pPr>
              <w:jc w:val="right"/>
              <w:ind w:right="3"/>
              <w:spacing w:after="0"/>
              <w:rPr>
                <w:sz w:val="20"/>
                <w:szCs w:val="20"/>
                <w:color w:val="auto"/>
              </w:rPr>
            </w:pPr>
            <w:r>
              <w:rPr>
                <w:rFonts w:ascii="Arial Narrow" w:cs="Arial Narrow" w:eastAsia="Arial Narrow" w:hAnsi="Arial Narrow"/>
                <w:sz w:val="20"/>
                <w:szCs w:val="20"/>
                <w:color w:val="auto"/>
              </w:rPr>
              <w:t>8,030</w:t>
            </w:r>
          </w:p>
        </w:tc>
      </w:tr>
      <w:tr>
        <w:trPr>
          <w:trHeight w:val="65"/>
        </w:trPr>
        <w:tc>
          <w:tcPr>
            <w:tcW w:w="5280" w:type="dxa"/>
            <w:vAlign w:val="bottom"/>
            <w:tcBorders>
              <w:bottom w:val="single" w:sz="8" w:color="A6A6A6"/>
            </w:tcBorders>
          </w:tcPr>
          <w:p>
            <w:pPr>
              <w:spacing w:after="0"/>
              <w:rPr>
                <w:sz w:val="5"/>
                <w:szCs w:val="5"/>
                <w:color w:val="auto"/>
              </w:rPr>
            </w:pPr>
          </w:p>
        </w:tc>
        <w:tc>
          <w:tcPr>
            <w:tcW w:w="380" w:type="dxa"/>
            <w:vAlign w:val="bottom"/>
            <w:tcBorders>
              <w:bottom w:val="single" w:sz="8" w:color="A6A6A6"/>
            </w:tcBorders>
          </w:tcPr>
          <w:p>
            <w:pPr>
              <w:spacing w:after="0"/>
              <w:rPr>
                <w:sz w:val="5"/>
                <w:szCs w:val="5"/>
                <w:color w:val="auto"/>
              </w:rPr>
            </w:pPr>
          </w:p>
        </w:tc>
        <w:tc>
          <w:tcPr>
            <w:tcW w:w="90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420" w:type="dxa"/>
            <w:vAlign w:val="bottom"/>
            <w:tcBorders>
              <w:bottom w:val="single" w:sz="8" w:color="A6A6A6"/>
            </w:tcBorders>
          </w:tcPr>
          <w:p>
            <w:pPr>
              <w:spacing w:after="0"/>
              <w:rPr>
                <w:sz w:val="5"/>
                <w:szCs w:val="5"/>
                <w:color w:val="auto"/>
              </w:rPr>
            </w:pPr>
          </w:p>
        </w:tc>
        <w:tc>
          <w:tcPr>
            <w:tcW w:w="84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500" w:type="dxa"/>
            <w:vAlign w:val="bottom"/>
            <w:tcBorders>
              <w:bottom w:val="single" w:sz="8" w:color="A6A6A6"/>
            </w:tcBorders>
          </w:tcPr>
          <w:p>
            <w:pPr>
              <w:spacing w:after="0"/>
              <w:rPr>
                <w:sz w:val="5"/>
                <w:szCs w:val="5"/>
                <w:color w:val="auto"/>
              </w:rPr>
            </w:pPr>
          </w:p>
        </w:tc>
        <w:tc>
          <w:tcPr>
            <w:tcW w:w="760" w:type="dxa"/>
            <w:vAlign w:val="bottom"/>
            <w:tcBorders>
              <w:bottom w:val="single" w:sz="8" w:color="A6A6A6"/>
            </w:tcBorders>
          </w:tcPr>
          <w:p>
            <w:pPr>
              <w:spacing w:after="0"/>
              <w:rPr>
                <w:sz w:val="5"/>
                <w:szCs w:val="5"/>
                <w:color w:val="auto"/>
              </w:rPr>
            </w:pPr>
          </w:p>
        </w:tc>
      </w:tr>
      <w:tr>
        <w:trPr>
          <w:trHeight w:val="339"/>
        </w:trPr>
        <w:tc>
          <w:tcPr>
            <w:tcW w:w="5280" w:type="dxa"/>
            <w:vAlign w:val="bottom"/>
          </w:tcPr>
          <w:p>
            <w:pPr>
              <w:spacing w:after="0"/>
              <w:rPr>
                <w:sz w:val="20"/>
                <w:szCs w:val="20"/>
                <w:color w:val="auto"/>
              </w:rPr>
            </w:pPr>
            <w:r>
              <w:rPr>
                <w:rFonts w:ascii="Arial Narrow" w:cs="Arial Narrow" w:eastAsia="Arial Narrow" w:hAnsi="Arial Narrow"/>
                <w:sz w:val="20"/>
                <w:szCs w:val="20"/>
                <w:b w:val="1"/>
                <w:bCs w:val="1"/>
                <w:color w:val="00085E"/>
              </w:rPr>
              <w:t>Short-term Lease Cost</w:t>
            </w:r>
          </w:p>
        </w:tc>
        <w:tc>
          <w:tcPr>
            <w:tcW w:w="380" w:type="dxa"/>
            <w:vAlign w:val="bottom"/>
          </w:tcPr>
          <w:p>
            <w:pPr>
              <w:spacing w:after="0"/>
              <w:rPr>
                <w:sz w:val="24"/>
                <w:szCs w:val="24"/>
                <w:color w:val="auto"/>
              </w:rPr>
            </w:pPr>
          </w:p>
        </w:tc>
        <w:tc>
          <w:tcPr>
            <w:tcW w:w="900" w:type="dxa"/>
            <w:vAlign w:val="bottom"/>
          </w:tcPr>
          <w:p>
            <w:pPr>
              <w:jc w:val="right"/>
              <w:ind w:right="4"/>
              <w:spacing w:after="0"/>
              <w:rPr>
                <w:sz w:val="20"/>
                <w:szCs w:val="20"/>
                <w:color w:val="auto"/>
              </w:rPr>
            </w:pPr>
            <w:r>
              <w:rPr>
                <w:rFonts w:ascii="Arial Narrow" w:cs="Arial Narrow" w:eastAsia="Arial Narrow" w:hAnsi="Arial Narrow"/>
                <w:sz w:val="20"/>
                <w:szCs w:val="20"/>
                <w:color w:val="auto"/>
              </w:rPr>
              <w:t>2,165</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ind w:right="3"/>
              <w:spacing w:after="0"/>
              <w:rPr>
                <w:sz w:val="20"/>
                <w:szCs w:val="20"/>
                <w:color w:val="auto"/>
              </w:rPr>
            </w:pPr>
            <w:r>
              <w:rPr>
                <w:rFonts w:ascii="Arial Narrow" w:cs="Arial Narrow" w:eastAsia="Arial Narrow" w:hAnsi="Arial Narrow"/>
                <w:sz w:val="20"/>
                <w:szCs w:val="20"/>
                <w:color w:val="auto"/>
              </w:rPr>
              <w:t>1,306</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jc w:val="right"/>
              <w:ind w:right="3"/>
              <w:spacing w:after="0"/>
              <w:rPr>
                <w:sz w:val="20"/>
                <w:szCs w:val="20"/>
                <w:color w:val="auto"/>
              </w:rPr>
            </w:pPr>
            <w:r>
              <w:rPr>
                <w:rFonts w:ascii="Arial Narrow" w:cs="Arial Narrow" w:eastAsia="Arial Narrow" w:hAnsi="Arial Narrow"/>
                <w:sz w:val="20"/>
                <w:szCs w:val="20"/>
                <w:color w:val="auto"/>
              </w:rPr>
              <w:t>691</w:t>
            </w:r>
          </w:p>
        </w:tc>
      </w:tr>
      <w:tr>
        <w:trPr>
          <w:trHeight w:val="90"/>
        </w:trPr>
        <w:tc>
          <w:tcPr>
            <w:tcW w:w="5280" w:type="dxa"/>
            <w:vAlign w:val="bottom"/>
            <w:tcBorders>
              <w:bottom w:val="single" w:sz="8" w:color="A6A6A6"/>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r>
      <w:tr>
        <w:trPr>
          <w:trHeight w:val="344"/>
        </w:trPr>
        <w:tc>
          <w:tcPr>
            <w:tcW w:w="5280" w:type="dxa"/>
            <w:vAlign w:val="bottom"/>
          </w:tcPr>
          <w:p>
            <w:pPr>
              <w:spacing w:after="0"/>
              <w:rPr>
                <w:sz w:val="20"/>
                <w:szCs w:val="20"/>
                <w:color w:val="auto"/>
              </w:rPr>
            </w:pPr>
            <w:r>
              <w:rPr>
                <w:rFonts w:ascii="Arial Narrow" w:cs="Arial Narrow" w:eastAsia="Arial Narrow" w:hAnsi="Arial Narrow"/>
                <w:sz w:val="20"/>
                <w:szCs w:val="20"/>
                <w:b w:val="1"/>
                <w:bCs w:val="1"/>
                <w:color w:val="auto"/>
              </w:rPr>
              <w:t>Total Lease Cost</w:t>
            </w:r>
          </w:p>
        </w:tc>
        <w:tc>
          <w:tcPr>
            <w:tcW w:w="380" w:type="dxa"/>
            <w:vAlign w:val="bottom"/>
          </w:tcPr>
          <w:p>
            <w:pPr>
              <w:jc w:val="right"/>
              <w:ind w:right="180"/>
              <w:spacing w:after="0"/>
              <w:rPr>
                <w:sz w:val="20"/>
                <w:szCs w:val="20"/>
                <w:color w:val="auto"/>
              </w:rPr>
            </w:pPr>
            <w:r>
              <w:rPr>
                <w:rFonts w:ascii="Arial Narrow" w:cs="Arial Narrow" w:eastAsia="Arial Narrow" w:hAnsi="Arial Narrow"/>
                <w:sz w:val="20"/>
                <w:szCs w:val="20"/>
                <w:b w:val="1"/>
                <w:bCs w:val="1"/>
                <w:color w:val="auto"/>
                <w:w w:val="87"/>
              </w:rPr>
              <w:t>$</w:t>
            </w:r>
          </w:p>
        </w:tc>
        <w:tc>
          <w:tcPr>
            <w:tcW w:w="900" w:type="dxa"/>
            <w:vAlign w:val="bottom"/>
          </w:tcPr>
          <w:p>
            <w:pPr>
              <w:jc w:val="right"/>
              <w:ind w:right="4"/>
              <w:spacing w:after="0"/>
              <w:rPr>
                <w:sz w:val="20"/>
                <w:szCs w:val="20"/>
                <w:color w:val="auto"/>
              </w:rPr>
            </w:pPr>
            <w:r>
              <w:rPr>
                <w:rFonts w:ascii="Arial Narrow" w:cs="Arial Narrow" w:eastAsia="Arial Narrow" w:hAnsi="Arial Narrow"/>
                <w:sz w:val="20"/>
                <w:szCs w:val="20"/>
                <w:b w:val="1"/>
                <w:bCs w:val="1"/>
                <w:color w:val="auto"/>
              </w:rPr>
              <w:t>10,969</w:t>
            </w:r>
          </w:p>
        </w:tc>
        <w:tc>
          <w:tcPr>
            <w:tcW w:w="560" w:type="dxa"/>
            <w:vAlign w:val="bottom"/>
            <w:gridSpan w:val="2"/>
          </w:tcPr>
          <w:p>
            <w:pPr>
              <w:jc w:val="right"/>
              <w:ind w:right="340"/>
              <w:spacing w:after="0"/>
              <w:rPr>
                <w:sz w:val="20"/>
                <w:szCs w:val="20"/>
                <w:color w:val="auto"/>
              </w:rPr>
            </w:pPr>
            <w:r>
              <w:rPr>
                <w:rFonts w:ascii="Arial Narrow" w:cs="Arial Narrow" w:eastAsia="Arial Narrow" w:hAnsi="Arial Narrow"/>
                <w:sz w:val="20"/>
                <w:szCs w:val="20"/>
                <w:b w:val="1"/>
                <w:bCs w:val="1"/>
                <w:color w:val="auto"/>
              </w:rPr>
              <w:t>$</w:t>
            </w:r>
          </w:p>
        </w:tc>
        <w:tc>
          <w:tcPr>
            <w:tcW w:w="840" w:type="dxa"/>
            <w:vAlign w:val="bottom"/>
          </w:tcPr>
          <w:p>
            <w:pPr>
              <w:jc w:val="right"/>
              <w:ind w:right="3"/>
              <w:spacing w:after="0"/>
              <w:rPr>
                <w:sz w:val="20"/>
                <w:szCs w:val="20"/>
                <w:color w:val="auto"/>
              </w:rPr>
            </w:pPr>
            <w:r>
              <w:rPr>
                <w:rFonts w:ascii="Arial Narrow" w:cs="Arial Narrow" w:eastAsia="Arial Narrow" w:hAnsi="Arial Narrow"/>
                <w:sz w:val="20"/>
                <w:szCs w:val="20"/>
                <w:b w:val="1"/>
                <w:bCs w:val="1"/>
                <w:color w:val="auto"/>
              </w:rPr>
              <w:t>9,259</w:t>
            </w:r>
          </w:p>
        </w:tc>
        <w:tc>
          <w:tcPr>
            <w:tcW w:w="640" w:type="dxa"/>
            <w:vAlign w:val="bottom"/>
            <w:gridSpan w:val="2"/>
          </w:tcPr>
          <w:p>
            <w:pPr>
              <w:jc w:val="right"/>
              <w:ind w:right="420"/>
              <w:spacing w:after="0"/>
              <w:rPr>
                <w:sz w:val="20"/>
                <w:szCs w:val="20"/>
                <w:color w:val="auto"/>
              </w:rPr>
            </w:pPr>
            <w:r>
              <w:rPr>
                <w:rFonts w:ascii="Arial Narrow" w:cs="Arial Narrow" w:eastAsia="Arial Narrow" w:hAnsi="Arial Narrow"/>
                <w:sz w:val="20"/>
                <w:szCs w:val="20"/>
                <w:b w:val="1"/>
                <w:bCs w:val="1"/>
                <w:color w:val="auto"/>
              </w:rPr>
              <w:t>$</w:t>
            </w:r>
          </w:p>
        </w:tc>
        <w:tc>
          <w:tcPr>
            <w:tcW w:w="760" w:type="dxa"/>
            <w:vAlign w:val="bottom"/>
          </w:tcPr>
          <w:p>
            <w:pPr>
              <w:jc w:val="right"/>
              <w:ind w:right="3"/>
              <w:spacing w:after="0"/>
              <w:rPr>
                <w:sz w:val="20"/>
                <w:szCs w:val="20"/>
                <w:color w:val="auto"/>
              </w:rPr>
            </w:pPr>
            <w:r>
              <w:rPr>
                <w:rFonts w:ascii="Arial Narrow" w:cs="Arial Narrow" w:eastAsia="Arial Narrow" w:hAnsi="Arial Narrow"/>
                <w:sz w:val="20"/>
                <w:szCs w:val="20"/>
                <w:b w:val="1"/>
                <w:bCs w:val="1"/>
                <w:color w:val="auto"/>
              </w:rPr>
              <w:t>8,721</w:t>
            </w:r>
          </w:p>
        </w:tc>
      </w:tr>
      <w:tr>
        <w:trPr>
          <w:trHeight w:val="65"/>
        </w:trPr>
        <w:tc>
          <w:tcPr>
            <w:tcW w:w="528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r>
      <w:tr>
        <w:trPr>
          <w:trHeight w:val="20"/>
        </w:trPr>
        <w:tc>
          <w:tcPr>
            <w:tcW w:w="5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The Right-of-Use Assets and Lease Liabilities are reflected on our Balance Sheet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6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40" w:type="dxa"/>
            <w:vAlign w:val="bottom"/>
            <w:gridSpan w:val="3"/>
          </w:tcPr>
          <w:p>
            <w:pPr>
              <w:jc w:val="right"/>
              <w:ind w:right="480"/>
              <w:spacing w:after="0"/>
              <w:rPr>
                <w:sz w:val="20"/>
                <w:szCs w:val="20"/>
                <w:color w:val="auto"/>
              </w:rPr>
            </w:pPr>
            <w:r>
              <w:rPr>
                <w:rFonts w:ascii="Arial Narrow" w:cs="Arial Narrow" w:eastAsia="Arial Narrow" w:hAnsi="Arial Narrow"/>
                <w:sz w:val="18"/>
                <w:szCs w:val="18"/>
                <w:b w:val="1"/>
                <w:bCs w:val="1"/>
                <w:color w:val="auto"/>
              </w:rPr>
              <w:t>March 31,</w:t>
            </w:r>
          </w:p>
        </w:tc>
        <w:tc>
          <w:tcPr>
            <w:tcW w:w="800" w:type="dxa"/>
            <w:vAlign w:val="bottom"/>
          </w:tcPr>
          <w:p>
            <w:pPr>
              <w:spacing w:after="0"/>
              <w:rPr>
                <w:sz w:val="22"/>
                <w:szCs w:val="22"/>
                <w:color w:val="auto"/>
              </w:rPr>
            </w:pPr>
          </w:p>
        </w:tc>
      </w:tr>
      <w:tr>
        <w:trPr>
          <w:trHeight w:val="21"/>
        </w:trPr>
        <w:tc>
          <w:tcPr>
            <w:tcW w:w="6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69"/>
        </w:trPr>
        <w:tc>
          <w:tcPr>
            <w:tcW w:w="6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jc w:val="right"/>
              <w:ind w:right="6"/>
              <w:spacing w:after="0"/>
              <w:rPr>
                <w:sz w:val="20"/>
                <w:szCs w:val="20"/>
                <w:color w:val="auto"/>
              </w:rPr>
            </w:pPr>
            <w:r>
              <w:rPr>
                <w:rFonts w:ascii="Arial Narrow" w:cs="Arial Narrow" w:eastAsia="Arial Narrow" w:hAnsi="Arial Narrow"/>
                <w:sz w:val="18"/>
                <w:szCs w:val="18"/>
                <w:b w:val="1"/>
                <w:bCs w:val="1"/>
                <w:color w:val="auto"/>
              </w:rPr>
              <w:t>2026</w:t>
            </w: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jc w:val="right"/>
              <w:ind w:right="2"/>
              <w:spacing w:after="0"/>
              <w:rPr>
                <w:sz w:val="20"/>
                <w:szCs w:val="20"/>
                <w:color w:val="auto"/>
              </w:rPr>
            </w:pPr>
            <w:r>
              <w:rPr>
                <w:rFonts w:ascii="Arial Narrow" w:cs="Arial Narrow" w:eastAsia="Arial Narrow" w:hAnsi="Arial Narrow"/>
                <w:sz w:val="18"/>
                <w:szCs w:val="18"/>
                <w:b w:val="1"/>
                <w:bCs w:val="1"/>
                <w:color w:val="auto"/>
              </w:rPr>
              <w:t>2025</w:t>
            </w:r>
          </w:p>
        </w:tc>
      </w:tr>
      <w:tr>
        <w:trPr>
          <w:trHeight w:val="21"/>
        </w:trPr>
        <w:tc>
          <w:tcPr>
            <w:tcW w:w="6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44"/>
        </w:trPr>
        <w:tc>
          <w:tcPr>
            <w:tcW w:w="6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40" w:type="dxa"/>
            <w:vAlign w:val="bottom"/>
            <w:gridSpan w:val="3"/>
          </w:tcPr>
          <w:p>
            <w:pPr>
              <w:jc w:val="right"/>
              <w:ind w:right="180"/>
              <w:spacing w:after="0"/>
              <w:rPr>
                <w:sz w:val="20"/>
                <w:szCs w:val="20"/>
                <w:color w:val="auto"/>
              </w:rPr>
            </w:pPr>
            <w:r>
              <w:rPr>
                <w:rFonts w:ascii="Arial Narrow" w:cs="Arial Narrow" w:eastAsia="Arial Narrow" w:hAnsi="Arial Narrow"/>
                <w:sz w:val="16"/>
                <w:szCs w:val="16"/>
                <w:color w:val="auto"/>
              </w:rPr>
              <w:t>(dollars in thousands)</w:t>
            </w:r>
          </w:p>
        </w:tc>
        <w:tc>
          <w:tcPr>
            <w:tcW w:w="800" w:type="dxa"/>
            <w:vAlign w:val="bottom"/>
          </w:tcPr>
          <w:p>
            <w:pPr>
              <w:spacing w:after="0"/>
              <w:rPr>
                <w:sz w:val="21"/>
                <w:szCs w:val="21"/>
                <w:color w:val="auto"/>
              </w:rPr>
            </w:pPr>
          </w:p>
        </w:tc>
      </w:tr>
      <w:tr>
        <w:trPr>
          <w:trHeight w:val="48"/>
        </w:trPr>
        <w:tc>
          <w:tcPr>
            <w:tcW w:w="62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r>
      <w:tr>
        <w:trPr>
          <w:trHeight w:val="344"/>
        </w:trPr>
        <w:tc>
          <w:tcPr>
            <w:tcW w:w="6240" w:type="dxa"/>
            <w:vAlign w:val="bottom"/>
          </w:tcPr>
          <w:p>
            <w:pPr>
              <w:spacing w:after="0"/>
              <w:rPr>
                <w:sz w:val="20"/>
                <w:szCs w:val="20"/>
                <w:color w:val="auto"/>
              </w:rPr>
            </w:pPr>
            <w:r>
              <w:rPr>
                <w:rFonts w:ascii="Arial Narrow" w:cs="Arial Narrow" w:eastAsia="Arial Narrow" w:hAnsi="Arial Narrow"/>
                <w:sz w:val="20"/>
                <w:szCs w:val="20"/>
                <w:b w:val="1"/>
                <w:bCs w:val="1"/>
                <w:color w:val="auto"/>
              </w:rPr>
              <w:t>Operating Leases:</w:t>
            </w: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65"/>
        </w:trPr>
        <w:tc>
          <w:tcPr>
            <w:tcW w:w="6240" w:type="dxa"/>
            <w:vAlign w:val="bottom"/>
            <w:tcBorders>
              <w:bottom w:val="single" w:sz="8" w:color="A6A6A6"/>
            </w:tcBorders>
          </w:tcPr>
          <w:p>
            <w:pPr>
              <w:spacing w:after="0"/>
              <w:rPr>
                <w:sz w:val="5"/>
                <w:szCs w:val="5"/>
                <w:color w:val="auto"/>
              </w:rPr>
            </w:pPr>
          </w:p>
        </w:tc>
        <w:tc>
          <w:tcPr>
            <w:tcW w:w="480" w:type="dxa"/>
            <w:vAlign w:val="bottom"/>
            <w:tcBorders>
              <w:bottom w:val="single" w:sz="8" w:color="A6A6A6"/>
            </w:tcBorders>
          </w:tcPr>
          <w:p>
            <w:pPr>
              <w:spacing w:after="0"/>
              <w:rPr>
                <w:sz w:val="5"/>
                <w:szCs w:val="5"/>
                <w:color w:val="auto"/>
              </w:rPr>
            </w:pPr>
          </w:p>
        </w:tc>
        <w:tc>
          <w:tcPr>
            <w:tcW w:w="1000" w:type="dxa"/>
            <w:vAlign w:val="bottom"/>
            <w:tcBorders>
              <w:bottom w:val="single" w:sz="8" w:color="A6A6A6"/>
            </w:tcBorders>
          </w:tcPr>
          <w:p>
            <w:pPr>
              <w:spacing w:after="0"/>
              <w:rPr>
                <w:sz w:val="5"/>
                <w:szCs w:val="5"/>
                <w:color w:val="auto"/>
              </w:rPr>
            </w:pPr>
          </w:p>
        </w:tc>
        <w:tc>
          <w:tcPr>
            <w:tcW w:w="840" w:type="dxa"/>
            <w:vAlign w:val="bottom"/>
            <w:tcBorders>
              <w:bottom w:val="single" w:sz="8" w:color="A6A6A6"/>
            </w:tcBorders>
            <w:gridSpan w:val="2"/>
          </w:tcPr>
          <w:p>
            <w:pPr>
              <w:spacing w:after="0"/>
              <w:rPr>
                <w:sz w:val="5"/>
                <w:szCs w:val="5"/>
                <w:color w:val="auto"/>
              </w:rPr>
            </w:pPr>
          </w:p>
        </w:tc>
        <w:tc>
          <w:tcPr>
            <w:tcW w:w="800" w:type="dxa"/>
            <w:vAlign w:val="bottom"/>
            <w:tcBorders>
              <w:bottom w:val="single" w:sz="8" w:color="A6A6A6"/>
            </w:tcBorders>
          </w:tcPr>
          <w:p>
            <w:pPr>
              <w:spacing w:after="0"/>
              <w:rPr>
                <w:sz w:val="5"/>
                <w:szCs w:val="5"/>
                <w:color w:val="auto"/>
              </w:rPr>
            </w:pPr>
          </w:p>
        </w:tc>
      </w:tr>
      <w:tr>
        <w:trPr>
          <w:trHeight w:val="339"/>
        </w:trPr>
        <w:tc>
          <w:tcPr>
            <w:tcW w:w="6240" w:type="dxa"/>
            <w:vAlign w:val="bottom"/>
          </w:tcPr>
          <w:p>
            <w:pPr>
              <w:spacing w:after="0"/>
              <w:rPr>
                <w:sz w:val="20"/>
                <w:szCs w:val="20"/>
                <w:color w:val="auto"/>
              </w:rPr>
            </w:pPr>
            <w:r>
              <w:rPr>
                <w:rFonts w:ascii="Arial Narrow" w:cs="Arial Narrow" w:eastAsia="Arial Narrow" w:hAnsi="Arial Narrow"/>
                <w:sz w:val="20"/>
                <w:szCs w:val="20"/>
                <w:b w:val="1"/>
                <w:bCs w:val="1"/>
                <w:color w:val="00085E"/>
              </w:rPr>
              <w:t>Operating Lease Right-of-Use Assets</w:t>
            </w:r>
          </w:p>
        </w:tc>
        <w:tc>
          <w:tcPr>
            <w:tcW w:w="480" w:type="dxa"/>
            <w:vAlign w:val="bottom"/>
          </w:tcPr>
          <w:p>
            <w:pPr>
              <w:jc w:val="right"/>
              <w:ind w:right="310"/>
              <w:spacing w:after="0"/>
              <w:rPr>
                <w:sz w:val="20"/>
                <w:szCs w:val="20"/>
                <w:color w:val="auto"/>
              </w:rPr>
            </w:pPr>
            <w:r>
              <w:rPr>
                <w:rFonts w:ascii="Arial Narrow" w:cs="Arial Narrow" w:eastAsia="Arial Narrow" w:hAnsi="Arial Narrow"/>
                <w:sz w:val="18"/>
                <w:szCs w:val="18"/>
                <w:b w:val="1"/>
                <w:bCs w:val="1"/>
                <w:color w:val="auto"/>
                <w:w w:val="72"/>
              </w:rPr>
              <w:t>$</w:t>
            </w:r>
          </w:p>
        </w:tc>
        <w:tc>
          <w:tcPr>
            <w:tcW w:w="1000" w:type="dxa"/>
            <w:vAlign w:val="bottom"/>
          </w:tcPr>
          <w:p>
            <w:pPr>
              <w:jc w:val="right"/>
              <w:ind w:right="6"/>
              <w:spacing w:after="0"/>
              <w:rPr>
                <w:sz w:val="20"/>
                <w:szCs w:val="20"/>
                <w:color w:val="auto"/>
              </w:rPr>
            </w:pPr>
            <w:r>
              <w:rPr>
                <w:rFonts w:ascii="Arial Narrow" w:cs="Arial Narrow" w:eastAsia="Arial Narrow" w:hAnsi="Arial Narrow"/>
                <w:sz w:val="20"/>
                <w:szCs w:val="20"/>
                <w:b w:val="1"/>
                <w:bCs w:val="1"/>
                <w:color w:val="auto"/>
              </w:rPr>
              <w:t>29,346</w:t>
            </w:r>
          </w:p>
        </w:tc>
        <w:tc>
          <w:tcPr>
            <w:tcW w:w="840" w:type="dxa"/>
            <w:vAlign w:val="bottom"/>
            <w:gridSpan w:val="2"/>
          </w:tcPr>
          <w:p>
            <w:pPr>
              <w:jc w:val="right"/>
              <w:ind w:right="580"/>
              <w:spacing w:after="0"/>
              <w:rPr>
                <w:sz w:val="20"/>
                <w:szCs w:val="20"/>
                <w:color w:val="auto"/>
              </w:rPr>
            </w:pPr>
            <w:r>
              <w:rPr>
                <w:rFonts w:ascii="Arial Narrow" w:cs="Arial Narrow" w:eastAsia="Arial Narrow" w:hAnsi="Arial Narrow"/>
                <w:sz w:val="20"/>
                <w:szCs w:val="20"/>
                <w:b w:val="1"/>
                <w:bCs w:val="1"/>
                <w:color w:val="auto"/>
              </w:rPr>
              <w:t>$</w:t>
            </w:r>
          </w:p>
        </w:tc>
        <w:tc>
          <w:tcPr>
            <w:tcW w:w="800" w:type="dxa"/>
            <w:vAlign w:val="bottom"/>
          </w:tcPr>
          <w:p>
            <w:pPr>
              <w:jc w:val="right"/>
              <w:ind w:right="2"/>
              <w:spacing w:after="0"/>
              <w:rPr>
                <w:sz w:val="20"/>
                <w:szCs w:val="20"/>
                <w:color w:val="auto"/>
              </w:rPr>
            </w:pPr>
            <w:r>
              <w:rPr>
                <w:rFonts w:ascii="Arial Narrow" w:cs="Arial Narrow" w:eastAsia="Arial Narrow" w:hAnsi="Arial Narrow"/>
                <w:sz w:val="20"/>
                <w:szCs w:val="20"/>
                <w:b w:val="1"/>
                <w:bCs w:val="1"/>
                <w:color w:val="auto"/>
              </w:rPr>
              <w:t>29,313</w:t>
            </w:r>
          </w:p>
        </w:tc>
      </w:tr>
      <w:tr>
        <w:trPr>
          <w:trHeight w:val="65"/>
        </w:trPr>
        <w:tc>
          <w:tcPr>
            <w:tcW w:w="6240" w:type="dxa"/>
            <w:vAlign w:val="bottom"/>
            <w:tcBorders>
              <w:bottom w:val="single" w:sz="8" w:color="A6A6A6"/>
            </w:tcBorders>
          </w:tcPr>
          <w:p>
            <w:pPr>
              <w:spacing w:after="0"/>
              <w:rPr>
                <w:sz w:val="5"/>
                <w:szCs w:val="5"/>
                <w:color w:val="auto"/>
              </w:rPr>
            </w:pPr>
          </w:p>
        </w:tc>
        <w:tc>
          <w:tcPr>
            <w:tcW w:w="480" w:type="dxa"/>
            <w:vAlign w:val="bottom"/>
            <w:tcBorders>
              <w:bottom w:val="single" w:sz="8" w:color="A6A6A6"/>
            </w:tcBorders>
          </w:tcPr>
          <w:p>
            <w:pPr>
              <w:spacing w:after="0"/>
              <w:rPr>
                <w:sz w:val="5"/>
                <w:szCs w:val="5"/>
                <w:color w:val="auto"/>
              </w:rPr>
            </w:pPr>
          </w:p>
        </w:tc>
        <w:tc>
          <w:tcPr>
            <w:tcW w:w="1000" w:type="dxa"/>
            <w:vAlign w:val="bottom"/>
            <w:tcBorders>
              <w:bottom w:val="single" w:sz="8" w:color="A6A6A6"/>
            </w:tcBorders>
          </w:tcPr>
          <w:p>
            <w:pPr>
              <w:spacing w:after="0"/>
              <w:rPr>
                <w:sz w:val="5"/>
                <w:szCs w:val="5"/>
                <w:color w:val="auto"/>
              </w:rPr>
            </w:pPr>
          </w:p>
        </w:tc>
        <w:tc>
          <w:tcPr>
            <w:tcW w:w="840" w:type="dxa"/>
            <w:vAlign w:val="bottom"/>
            <w:tcBorders>
              <w:bottom w:val="single" w:sz="8" w:color="A6A6A6"/>
            </w:tcBorders>
            <w:gridSpan w:val="2"/>
          </w:tcPr>
          <w:p>
            <w:pPr>
              <w:spacing w:after="0"/>
              <w:rPr>
                <w:sz w:val="5"/>
                <w:szCs w:val="5"/>
                <w:color w:val="auto"/>
              </w:rPr>
            </w:pPr>
          </w:p>
        </w:tc>
        <w:tc>
          <w:tcPr>
            <w:tcW w:w="800" w:type="dxa"/>
            <w:vAlign w:val="bottom"/>
            <w:tcBorders>
              <w:bottom w:val="single" w:sz="8" w:color="A6A6A6"/>
            </w:tcBorders>
          </w:tcPr>
          <w:p>
            <w:pPr>
              <w:spacing w:after="0"/>
              <w:rPr>
                <w:sz w:val="5"/>
                <w:szCs w:val="5"/>
                <w:color w:val="auto"/>
              </w:rPr>
            </w:pPr>
          </w:p>
        </w:tc>
      </w:tr>
      <w:tr>
        <w:trPr>
          <w:trHeight w:val="404"/>
        </w:trPr>
        <w:tc>
          <w:tcPr>
            <w:tcW w:w="6240" w:type="dxa"/>
            <w:vAlign w:val="bottom"/>
            <w:tcBorders>
              <w:bottom w:val="single" w:sz="8" w:color="A6A6A6"/>
            </w:tcBorders>
          </w:tcPr>
          <w:p>
            <w:pPr>
              <w:spacing w:after="0"/>
              <w:rPr>
                <w:sz w:val="24"/>
                <w:szCs w:val="24"/>
                <w:color w:val="auto"/>
              </w:rPr>
            </w:pPr>
          </w:p>
        </w:tc>
        <w:tc>
          <w:tcPr>
            <w:tcW w:w="480" w:type="dxa"/>
            <w:vAlign w:val="bottom"/>
            <w:tcBorders>
              <w:bottom w:val="single" w:sz="8" w:color="A6A6A6"/>
            </w:tcBorders>
          </w:tcPr>
          <w:p>
            <w:pPr>
              <w:spacing w:after="0"/>
              <w:rPr>
                <w:sz w:val="24"/>
                <w:szCs w:val="24"/>
                <w:color w:val="auto"/>
              </w:rPr>
            </w:pPr>
          </w:p>
        </w:tc>
        <w:tc>
          <w:tcPr>
            <w:tcW w:w="1000" w:type="dxa"/>
            <w:vAlign w:val="bottom"/>
            <w:tcBorders>
              <w:bottom w:val="single" w:sz="8" w:color="A6A6A6"/>
            </w:tcBorders>
          </w:tcPr>
          <w:p>
            <w:pPr>
              <w:spacing w:after="0"/>
              <w:rPr>
                <w:sz w:val="24"/>
                <w:szCs w:val="24"/>
                <w:color w:val="auto"/>
              </w:rPr>
            </w:pPr>
          </w:p>
        </w:tc>
        <w:tc>
          <w:tcPr>
            <w:tcW w:w="840" w:type="dxa"/>
            <w:vAlign w:val="bottom"/>
            <w:tcBorders>
              <w:bottom w:val="single" w:sz="8" w:color="A6A6A6"/>
            </w:tcBorders>
            <w:gridSpan w:val="2"/>
          </w:tcPr>
          <w:p>
            <w:pPr>
              <w:spacing w:after="0"/>
              <w:rPr>
                <w:sz w:val="24"/>
                <w:szCs w:val="24"/>
                <w:color w:val="auto"/>
              </w:rPr>
            </w:pPr>
          </w:p>
        </w:tc>
        <w:tc>
          <w:tcPr>
            <w:tcW w:w="800" w:type="dxa"/>
            <w:vAlign w:val="bottom"/>
            <w:tcBorders>
              <w:bottom w:val="single" w:sz="8" w:color="A6A6A6"/>
            </w:tcBorders>
          </w:tcPr>
          <w:p>
            <w:pPr>
              <w:spacing w:after="0"/>
              <w:rPr>
                <w:sz w:val="24"/>
                <w:szCs w:val="24"/>
                <w:color w:val="auto"/>
              </w:rPr>
            </w:pPr>
          </w:p>
        </w:tc>
      </w:tr>
      <w:tr>
        <w:trPr>
          <w:trHeight w:val="339"/>
        </w:trPr>
        <w:tc>
          <w:tcPr>
            <w:tcW w:w="6240" w:type="dxa"/>
            <w:vAlign w:val="bottom"/>
          </w:tcPr>
          <w:p>
            <w:pPr>
              <w:spacing w:after="0"/>
              <w:rPr>
                <w:sz w:val="20"/>
                <w:szCs w:val="20"/>
                <w:color w:val="auto"/>
              </w:rPr>
            </w:pPr>
            <w:r>
              <w:rPr>
                <w:rFonts w:ascii="Arial Narrow" w:cs="Arial Narrow" w:eastAsia="Arial Narrow" w:hAnsi="Arial Narrow"/>
                <w:sz w:val="20"/>
                <w:szCs w:val="20"/>
                <w:b w:val="1"/>
                <w:bCs w:val="1"/>
                <w:color w:val="00085E"/>
              </w:rPr>
              <w:t>Current Operating Lease Liabilities</w:t>
            </w:r>
          </w:p>
        </w:tc>
        <w:tc>
          <w:tcPr>
            <w:tcW w:w="480" w:type="dxa"/>
            <w:vAlign w:val="bottom"/>
          </w:tcPr>
          <w:p>
            <w:pPr>
              <w:jc w:val="right"/>
              <w:ind w:right="310"/>
              <w:spacing w:after="0"/>
              <w:rPr>
                <w:sz w:val="20"/>
                <w:szCs w:val="20"/>
                <w:color w:val="auto"/>
              </w:rPr>
            </w:pPr>
            <w:r>
              <w:rPr>
                <w:rFonts w:ascii="Arial Narrow" w:cs="Arial Narrow" w:eastAsia="Arial Narrow" w:hAnsi="Arial Narrow"/>
                <w:sz w:val="18"/>
                <w:szCs w:val="18"/>
                <w:color w:val="auto"/>
                <w:w w:val="72"/>
              </w:rPr>
              <w:t>$</w:t>
            </w:r>
          </w:p>
        </w:tc>
        <w:tc>
          <w:tcPr>
            <w:tcW w:w="1000" w:type="dxa"/>
            <w:vAlign w:val="bottom"/>
          </w:tcPr>
          <w:p>
            <w:pPr>
              <w:jc w:val="right"/>
              <w:ind w:right="6"/>
              <w:spacing w:after="0"/>
              <w:rPr>
                <w:sz w:val="20"/>
                <w:szCs w:val="20"/>
                <w:color w:val="auto"/>
              </w:rPr>
            </w:pPr>
            <w:r>
              <w:rPr>
                <w:rFonts w:ascii="Arial Narrow" w:cs="Arial Narrow" w:eastAsia="Arial Narrow" w:hAnsi="Arial Narrow"/>
                <w:sz w:val="20"/>
                <w:szCs w:val="20"/>
                <w:color w:val="auto"/>
              </w:rPr>
              <w:t>4,144</w:t>
            </w:r>
          </w:p>
        </w:tc>
        <w:tc>
          <w:tcPr>
            <w:tcW w:w="840" w:type="dxa"/>
            <w:vAlign w:val="bottom"/>
            <w:gridSpan w:val="2"/>
          </w:tcPr>
          <w:p>
            <w:pPr>
              <w:jc w:val="right"/>
              <w:ind w:right="580"/>
              <w:spacing w:after="0"/>
              <w:rPr>
                <w:sz w:val="20"/>
                <w:szCs w:val="20"/>
                <w:color w:val="auto"/>
              </w:rPr>
            </w:pPr>
            <w:r>
              <w:rPr>
                <w:rFonts w:ascii="Arial Narrow" w:cs="Arial Narrow" w:eastAsia="Arial Narrow" w:hAnsi="Arial Narrow"/>
                <w:sz w:val="20"/>
                <w:szCs w:val="20"/>
                <w:color w:val="auto"/>
              </w:rPr>
              <w:t>$</w:t>
            </w:r>
          </w:p>
        </w:tc>
        <w:tc>
          <w:tcPr>
            <w:tcW w:w="800" w:type="dxa"/>
            <w:vAlign w:val="bottom"/>
          </w:tcPr>
          <w:p>
            <w:pPr>
              <w:jc w:val="right"/>
              <w:ind w:right="2"/>
              <w:spacing w:after="0"/>
              <w:rPr>
                <w:sz w:val="20"/>
                <w:szCs w:val="20"/>
                <w:color w:val="auto"/>
              </w:rPr>
            </w:pPr>
            <w:r>
              <w:rPr>
                <w:rFonts w:ascii="Arial Narrow" w:cs="Arial Narrow" w:eastAsia="Arial Narrow" w:hAnsi="Arial Narrow"/>
                <w:sz w:val="20"/>
                <w:szCs w:val="20"/>
                <w:color w:val="auto"/>
              </w:rPr>
              <w:t>4,032</w:t>
            </w:r>
          </w:p>
        </w:tc>
      </w:tr>
      <w:tr>
        <w:trPr>
          <w:trHeight w:val="65"/>
        </w:trPr>
        <w:tc>
          <w:tcPr>
            <w:tcW w:w="6240" w:type="dxa"/>
            <w:vAlign w:val="bottom"/>
            <w:tcBorders>
              <w:bottom w:val="single" w:sz="8" w:color="A6A6A6"/>
            </w:tcBorders>
          </w:tcPr>
          <w:p>
            <w:pPr>
              <w:spacing w:after="0"/>
              <w:rPr>
                <w:sz w:val="5"/>
                <w:szCs w:val="5"/>
                <w:color w:val="auto"/>
              </w:rPr>
            </w:pPr>
          </w:p>
        </w:tc>
        <w:tc>
          <w:tcPr>
            <w:tcW w:w="480" w:type="dxa"/>
            <w:vAlign w:val="bottom"/>
            <w:tcBorders>
              <w:bottom w:val="single" w:sz="8" w:color="A6A6A6"/>
            </w:tcBorders>
          </w:tcPr>
          <w:p>
            <w:pPr>
              <w:spacing w:after="0"/>
              <w:rPr>
                <w:sz w:val="5"/>
                <w:szCs w:val="5"/>
                <w:color w:val="auto"/>
              </w:rPr>
            </w:pPr>
          </w:p>
        </w:tc>
        <w:tc>
          <w:tcPr>
            <w:tcW w:w="100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680" w:type="dxa"/>
            <w:vAlign w:val="bottom"/>
            <w:tcBorders>
              <w:bottom w:val="single" w:sz="8" w:color="A6A6A6"/>
            </w:tcBorders>
          </w:tcPr>
          <w:p>
            <w:pPr>
              <w:spacing w:after="0"/>
              <w:rPr>
                <w:sz w:val="5"/>
                <w:szCs w:val="5"/>
                <w:color w:val="auto"/>
              </w:rPr>
            </w:pPr>
          </w:p>
        </w:tc>
        <w:tc>
          <w:tcPr>
            <w:tcW w:w="800" w:type="dxa"/>
            <w:vAlign w:val="bottom"/>
            <w:tcBorders>
              <w:bottom w:val="single" w:sz="8" w:color="A6A6A6"/>
            </w:tcBorders>
          </w:tcPr>
          <w:p>
            <w:pPr>
              <w:spacing w:after="0"/>
              <w:rPr>
                <w:sz w:val="5"/>
                <w:szCs w:val="5"/>
                <w:color w:val="auto"/>
              </w:rPr>
            </w:pPr>
          </w:p>
        </w:tc>
      </w:tr>
      <w:tr>
        <w:trPr>
          <w:trHeight w:val="339"/>
        </w:trPr>
        <w:tc>
          <w:tcPr>
            <w:tcW w:w="6240" w:type="dxa"/>
            <w:vAlign w:val="bottom"/>
          </w:tcPr>
          <w:p>
            <w:pPr>
              <w:spacing w:after="0"/>
              <w:rPr>
                <w:sz w:val="20"/>
                <w:szCs w:val="20"/>
                <w:color w:val="auto"/>
              </w:rPr>
            </w:pPr>
            <w:r>
              <w:rPr>
                <w:rFonts w:ascii="Arial Narrow" w:cs="Arial Narrow" w:eastAsia="Arial Narrow" w:hAnsi="Arial Narrow"/>
                <w:sz w:val="20"/>
                <w:szCs w:val="20"/>
                <w:b w:val="1"/>
                <w:bCs w:val="1"/>
                <w:color w:val="00085E"/>
              </w:rPr>
              <w:t>Noncurrent Operating Lease Liabilities</w:t>
            </w:r>
          </w:p>
        </w:tc>
        <w:tc>
          <w:tcPr>
            <w:tcW w:w="480" w:type="dxa"/>
            <w:vAlign w:val="bottom"/>
          </w:tcPr>
          <w:p>
            <w:pPr>
              <w:spacing w:after="0"/>
              <w:rPr>
                <w:sz w:val="24"/>
                <w:szCs w:val="24"/>
                <w:color w:val="auto"/>
              </w:rPr>
            </w:pPr>
          </w:p>
        </w:tc>
        <w:tc>
          <w:tcPr>
            <w:tcW w:w="1000" w:type="dxa"/>
            <w:vAlign w:val="bottom"/>
          </w:tcPr>
          <w:p>
            <w:pPr>
              <w:jc w:val="right"/>
              <w:ind w:right="6"/>
              <w:spacing w:after="0"/>
              <w:rPr>
                <w:sz w:val="20"/>
                <w:szCs w:val="20"/>
                <w:color w:val="auto"/>
              </w:rPr>
            </w:pPr>
            <w:r>
              <w:rPr>
                <w:rFonts w:ascii="Arial Narrow" w:cs="Arial Narrow" w:eastAsia="Arial Narrow" w:hAnsi="Arial Narrow"/>
                <w:sz w:val="20"/>
                <w:szCs w:val="20"/>
                <w:color w:val="auto"/>
              </w:rPr>
              <w:t>32,559</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jc w:val="right"/>
              <w:ind w:right="2"/>
              <w:spacing w:after="0"/>
              <w:rPr>
                <w:sz w:val="20"/>
                <w:szCs w:val="20"/>
                <w:color w:val="auto"/>
              </w:rPr>
            </w:pPr>
            <w:r>
              <w:rPr>
                <w:rFonts w:ascii="Arial Narrow" w:cs="Arial Narrow" w:eastAsia="Arial Narrow" w:hAnsi="Arial Narrow"/>
                <w:sz w:val="20"/>
                <w:szCs w:val="20"/>
                <w:color w:val="auto"/>
              </w:rPr>
              <w:t>33,597</w:t>
            </w:r>
          </w:p>
        </w:tc>
      </w:tr>
      <w:tr>
        <w:trPr>
          <w:trHeight w:val="90"/>
        </w:trPr>
        <w:tc>
          <w:tcPr>
            <w:tcW w:w="6240" w:type="dxa"/>
            <w:vAlign w:val="bottom"/>
            <w:tcBorders>
              <w:bottom w:val="single" w:sz="8" w:color="A6A6A6"/>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r>
      <w:tr>
        <w:trPr>
          <w:trHeight w:val="344"/>
        </w:trPr>
        <w:tc>
          <w:tcPr>
            <w:tcW w:w="6240" w:type="dxa"/>
            <w:vAlign w:val="bottom"/>
          </w:tcPr>
          <w:p>
            <w:pPr>
              <w:spacing w:after="0"/>
              <w:rPr>
                <w:sz w:val="20"/>
                <w:szCs w:val="20"/>
                <w:color w:val="auto"/>
              </w:rPr>
            </w:pPr>
            <w:r>
              <w:rPr>
                <w:rFonts w:ascii="Arial Narrow" w:cs="Arial Narrow" w:eastAsia="Arial Narrow" w:hAnsi="Arial Narrow"/>
                <w:sz w:val="20"/>
                <w:szCs w:val="20"/>
                <w:b w:val="1"/>
                <w:bCs w:val="1"/>
                <w:color w:val="auto"/>
              </w:rPr>
              <w:t>Total Operating Lease Liabilities</w:t>
            </w:r>
          </w:p>
        </w:tc>
        <w:tc>
          <w:tcPr>
            <w:tcW w:w="480" w:type="dxa"/>
            <w:vAlign w:val="bottom"/>
          </w:tcPr>
          <w:p>
            <w:pPr>
              <w:jc w:val="right"/>
              <w:ind w:right="310"/>
              <w:spacing w:after="0"/>
              <w:rPr>
                <w:sz w:val="20"/>
                <w:szCs w:val="20"/>
                <w:color w:val="auto"/>
              </w:rPr>
            </w:pPr>
            <w:r>
              <w:rPr>
                <w:rFonts w:ascii="Arial Narrow" w:cs="Arial Narrow" w:eastAsia="Arial Narrow" w:hAnsi="Arial Narrow"/>
                <w:sz w:val="18"/>
                <w:szCs w:val="18"/>
                <w:b w:val="1"/>
                <w:bCs w:val="1"/>
                <w:color w:val="auto"/>
                <w:w w:val="72"/>
              </w:rPr>
              <w:t>$</w:t>
            </w:r>
          </w:p>
        </w:tc>
        <w:tc>
          <w:tcPr>
            <w:tcW w:w="1000" w:type="dxa"/>
            <w:vAlign w:val="bottom"/>
          </w:tcPr>
          <w:p>
            <w:pPr>
              <w:jc w:val="right"/>
              <w:ind w:right="6"/>
              <w:spacing w:after="0"/>
              <w:rPr>
                <w:sz w:val="20"/>
                <w:szCs w:val="20"/>
                <w:color w:val="auto"/>
              </w:rPr>
            </w:pPr>
            <w:r>
              <w:rPr>
                <w:rFonts w:ascii="Arial Narrow" w:cs="Arial Narrow" w:eastAsia="Arial Narrow" w:hAnsi="Arial Narrow"/>
                <w:sz w:val="20"/>
                <w:szCs w:val="20"/>
                <w:b w:val="1"/>
                <w:bCs w:val="1"/>
                <w:color w:val="auto"/>
              </w:rPr>
              <w:t>36,703</w:t>
            </w:r>
          </w:p>
        </w:tc>
        <w:tc>
          <w:tcPr>
            <w:tcW w:w="840" w:type="dxa"/>
            <w:vAlign w:val="bottom"/>
            <w:gridSpan w:val="2"/>
          </w:tcPr>
          <w:p>
            <w:pPr>
              <w:jc w:val="right"/>
              <w:ind w:right="580"/>
              <w:spacing w:after="0"/>
              <w:rPr>
                <w:sz w:val="20"/>
                <w:szCs w:val="20"/>
                <w:color w:val="auto"/>
              </w:rPr>
            </w:pPr>
            <w:r>
              <w:rPr>
                <w:rFonts w:ascii="Arial Narrow" w:cs="Arial Narrow" w:eastAsia="Arial Narrow" w:hAnsi="Arial Narrow"/>
                <w:sz w:val="20"/>
                <w:szCs w:val="20"/>
                <w:b w:val="1"/>
                <w:bCs w:val="1"/>
                <w:color w:val="auto"/>
              </w:rPr>
              <w:t>$</w:t>
            </w:r>
          </w:p>
        </w:tc>
        <w:tc>
          <w:tcPr>
            <w:tcW w:w="800" w:type="dxa"/>
            <w:vAlign w:val="bottom"/>
          </w:tcPr>
          <w:p>
            <w:pPr>
              <w:jc w:val="right"/>
              <w:ind w:right="2"/>
              <w:spacing w:after="0"/>
              <w:rPr>
                <w:sz w:val="20"/>
                <w:szCs w:val="20"/>
                <w:color w:val="auto"/>
              </w:rPr>
            </w:pPr>
            <w:r>
              <w:rPr>
                <w:rFonts w:ascii="Arial Narrow" w:cs="Arial Narrow" w:eastAsia="Arial Narrow" w:hAnsi="Arial Narrow"/>
                <w:sz w:val="20"/>
                <w:szCs w:val="20"/>
                <w:b w:val="1"/>
                <w:bCs w:val="1"/>
                <w:color w:val="auto"/>
              </w:rPr>
              <w:t>37,629</w:t>
            </w:r>
          </w:p>
        </w:tc>
      </w:tr>
      <w:tr>
        <w:trPr>
          <w:trHeight w:val="65"/>
        </w:trPr>
        <w:tc>
          <w:tcPr>
            <w:tcW w:w="624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r>
      <w:tr>
        <w:trPr>
          <w:trHeight w:val="20"/>
        </w:trPr>
        <w:tc>
          <w:tcPr>
            <w:tcW w:w="6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360"/>
          </w:cols>
          <w:pgMar w:left="1260" w:top="1267"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88</w:t>
      </w:r>
    </w:p>
    <w:p>
      <w:pPr>
        <w:sectPr>
          <w:pgSz w:w="11880" w:h="15480" w:orient="portrait"/>
          <w:cols w:equalWidth="0" w:num="1">
            <w:col w:w="9360"/>
          </w:cols>
          <w:pgMar w:left="1260" w:top="1267" w:right="1260" w:bottom="0" w:gutter="0" w:footer="0" w:header="0"/>
          <w:type w:val="continuous"/>
        </w:sectPr>
      </w:pPr>
    </w:p>
    <w:bookmarkStart w:id="96" w:name="page97"/>
    <w:bookmarkEnd w:id="96"/>
    <w:p>
      <w:pPr>
        <w:spacing w:after="0"/>
        <w:rPr>
          <w:sz w:val="20"/>
          <w:szCs w:val="20"/>
          <w:color w:val="auto"/>
        </w:rPr>
      </w:pPr>
      <w:r>
        <w:rPr>
          <w:rFonts w:ascii="Arial" w:cs="Arial" w:eastAsia="Arial" w:hAnsi="Arial"/>
          <w:sz w:val="20"/>
          <w:szCs w:val="20"/>
          <w:color w:val="auto"/>
        </w:rPr>
        <w:t>Future payments for operating leases are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6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20" w:type="dxa"/>
            <w:vAlign w:val="bottom"/>
          </w:tcPr>
          <w:p>
            <w:pPr>
              <w:jc w:val="right"/>
              <w:ind w:right="281"/>
              <w:spacing w:after="0"/>
              <w:rPr>
                <w:sz w:val="20"/>
                <w:szCs w:val="20"/>
                <w:color w:val="auto"/>
              </w:rPr>
            </w:pPr>
            <w:r>
              <w:rPr>
                <w:rFonts w:ascii="Arial Narrow" w:cs="Arial Narrow" w:eastAsia="Arial Narrow" w:hAnsi="Arial Narrow"/>
                <w:sz w:val="18"/>
                <w:szCs w:val="18"/>
                <w:b w:val="1"/>
                <w:bCs w:val="1"/>
                <w:color w:val="auto"/>
              </w:rPr>
              <w:t>Amount</w:t>
            </w:r>
          </w:p>
        </w:tc>
      </w:tr>
      <w:tr>
        <w:trPr>
          <w:trHeight w:val="258"/>
        </w:trPr>
        <w:tc>
          <w:tcPr>
            <w:tcW w:w="6100" w:type="dxa"/>
            <w:vAlign w:val="bottom"/>
          </w:tcPr>
          <w:p>
            <w:pPr>
              <w:spacing w:after="0"/>
              <w:rPr>
                <w:sz w:val="20"/>
                <w:szCs w:val="20"/>
                <w:color w:val="auto"/>
              </w:rPr>
            </w:pPr>
            <w:r>
              <w:rPr>
                <w:rFonts w:ascii="Arial Narrow" w:cs="Arial Narrow" w:eastAsia="Arial Narrow" w:hAnsi="Arial Narrow"/>
                <w:sz w:val="18"/>
                <w:szCs w:val="18"/>
                <w:b w:val="1"/>
                <w:bCs w:val="1"/>
                <w:color w:val="auto"/>
              </w:rPr>
              <w:t>Fiscal Year</w:t>
            </w: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700" w:type="dxa"/>
            <w:vAlign w:val="bottom"/>
            <w:gridSpan w:val="3"/>
          </w:tcPr>
          <w:p>
            <w:pPr>
              <w:jc w:val="right"/>
              <w:ind w:right="281"/>
              <w:spacing w:after="0"/>
              <w:rPr>
                <w:sz w:val="20"/>
                <w:szCs w:val="20"/>
                <w:color w:val="auto"/>
              </w:rPr>
            </w:pPr>
            <w:r>
              <w:rPr>
                <w:rFonts w:ascii="Arial Narrow" w:cs="Arial Narrow" w:eastAsia="Arial Narrow" w:hAnsi="Arial Narrow"/>
                <w:sz w:val="16"/>
                <w:szCs w:val="16"/>
                <w:color w:val="auto"/>
              </w:rPr>
              <w:t>(dollars in thousands)</w:t>
            </w:r>
          </w:p>
        </w:tc>
      </w:tr>
      <w:tr>
        <w:trPr>
          <w:trHeight w:val="46"/>
        </w:trPr>
        <w:tc>
          <w:tcPr>
            <w:tcW w:w="6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345"/>
        </w:trPr>
        <w:tc>
          <w:tcPr>
            <w:tcW w:w="6100" w:type="dxa"/>
            <w:vAlign w:val="bottom"/>
          </w:tcPr>
          <w:p>
            <w:pPr>
              <w:spacing w:after="0"/>
              <w:rPr>
                <w:sz w:val="20"/>
                <w:szCs w:val="20"/>
                <w:color w:val="auto"/>
              </w:rPr>
            </w:pPr>
            <w:r>
              <w:rPr>
                <w:rFonts w:ascii="Arial Narrow" w:cs="Arial Narrow" w:eastAsia="Arial Narrow" w:hAnsi="Arial Narrow"/>
                <w:sz w:val="20"/>
                <w:szCs w:val="20"/>
                <w:b w:val="1"/>
                <w:bCs w:val="1"/>
                <w:color w:val="00085E"/>
              </w:rPr>
              <w:t>2027</w:t>
            </w:r>
          </w:p>
        </w:tc>
        <w:tc>
          <w:tcPr>
            <w:tcW w:w="360" w:type="dxa"/>
            <w:vAlign w:val="bottom"/>
          </w:tcPr>
          <w:p>
            <w:pPr>
              <w:spacing w:after="0"/>
              <w:rPr>
                <w:sz w:val="24"/>
                <w:szCs w:val="24"/>
                <w:color w:val="auto"/>
              </w:rPr>
            </w:pPr>
          </w:p>
        </w:tc>
        <w:tc>
          <w:tcPr>
            <w:tcW w:w="1200" w:type="dxa"/>
            <w:vAlign w:val="bottom"/>
            <w:gridSpan w:val="2"/>
          </w:tcPr>
          <w:p>
            <w:pPr>
              <w:jc w:val="right"/>
              <w:ind w:right="630"/>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right"/>
              <w:ind w:right="281"/>
              <w:spacing w:after="0"/>
              <w:rPr>
                <w:sz w:val="20"/>
                <w:szCs w:val="20"/>
                <w:color w:val="auto"/>
              </w:rPr>
            </w:pPr>
            <w:r>
              <w:rPr>
                <w:rFonts w:ascii="Arial Narrow" w:cs="Arial Narrow" w:eastAsia="Arial Narrow" w:hAnsi="Arial Narrow"/>
                <w:sz w:val="20"/>
                <w:szCs w:val="20"/>
                <w:color w:val="auto"/>
              </w:rPr>
              <w:t>5,227</w:t>
            </w:r>
          </w:p>
        </w:tc>
      </w:tr>
      <w:tr>
        <w:trPr>
          <w:trHeight w:val="65"/>
        </w:trPr>
        <w:tc>
          <w:tcPr>
            <w:tcW w:w="6100" w:type="dxa"/>
            <w:vAlign w:val="bottom"/>
            <w:tcBorders>
              <w:bottom w:val="single" w:sz="8" w:color="A6A6A6"/>
            </w:tcBorders>
          </w:tcPr>
          <w:p>
            <w:pPr>
              <w:spacing w:after="0"/>
              <w:rPr>
                <w:sz w:val="5"/>
                <w:szCs w:val="5"/>
                <w:color w:val="auto"/>
              </w:rPr>
            </w:pPr>
          </w:p>
        </w:tc>
        <w:tc>
          <w:tcPr>
            <w:tcW w:w="360" w:type="dxa"/>
            <w:vAlign w:val="bottom"/>
            <w:tcBorders>
              <w:bottom w:val="single" w:sz="8" w:color="A6A6A6"/>
            </w:tcBorders>
          </w:tcPr>
          <w:p>
            <w:pPr>
              <w:spacing w:after="0"/>
              <w:rPr>
                <w:sz w:val="5"/>
                <w:szCs w:val="5"/>
                <w:color w:val="auto"/>
              </w:rPr>
            </w:pPr>
          </w:p>
        </w:tc>
        <w:tc>
          <w:tcPr>
            <w:tcW w:w="400" w:type="dxa"/>
            <w:vAlign w:val="bottom"/>
            <w:tcBorders>
              <w:bottom w:val="single" w:sz="8" w:color="A6A6A6"/>
            </w:tcBorders>
          </w:tcPr>
          <w:p>
            <w:pPr>
              <w:spacing w:after="0"/>
              <w:rPr>
                <w:sz w:val="5"/>
                <w:szCs w:val="5"/>
                <w:color w:val="auto"/>
              </w:rPr>
            </w:pPr>
          </w:p>
        </w:tc>
        <w:tc>
          <w:tcPr>
            <w:tcW w:w="80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520" w:type="dxa"/>
            <w:vAlign w:val="bottom"/>
            <w:tcBorders>
              <w:bottom w:val="single" w:sz="8" w:color="A6A6A6"/>
            </w:tcBorders>
          </w:tcPr>
          <w:p>
            <w:pPr>
              <w:spacing w:after="0"/>
              <w:rPr>
                <w:sz w:val="5"/>
                <w:szCs w:val="5"/>
                <w:color w:val="auto"/>
              </w:rPr>
            </w:pPr>
          </w:p>
        </w:tc>
        <w:tc>
          <w:tcPr>
            <w:tcW w:w="1020" w:type="dxa"/>
            <w:vAlign w:val="bottom"/>
            <w:tcBorders>
              <w:bottom w:val="single" w:sz="8" w:color="A6A6A6"/>
            </w:tcBorders>
          </w:tcPr>
          <w:p>
            <w:pPr>
              <w:spacing w:after="0"/>
              <w:rPr>
                <w:sz w:val="5"/>
                <w:szCs w:val="5"/>
                <w:color w:val="auto"/>
              </w:rPr>
            </w:pPr>
          </w:p>
        </w:tc>
      </w:tr>
      <w:tr>
        <w:trPr>
          <w:trHeight w:val="340"/>
        </w:trPr>
        <w:tc>
          <w:tcPr>
            <w:tcW w:w="6100" w:type="dxa"/>
            <w:vAlign w:val="bottom"/>
          </w:tcPr>
          <w:p>
            <w:pPr>
              <w:spacing w:after="0"/>
              <w:rPr>
                <w:sz w:val="20"/>
                <w:szCs w:val="20"/>
                <w:color w:val="auto"/>
              </w:rPr>
            </w:pPr>
            <w:r>
              <w:rPr>
                <w:rFonts w:ascii="Arial Narrow" w:cs="Arial Narrow" w:eastAsia="Arial Narrow" w:hAnsi="Arial Narrow"/>
                <w:sz w:val="20"/>
                <w:szCs w:val="20"/>
                <w:b w:val="1"/>
                <w:bCs w:val="1"/>
                <w:color w:val="00085E"/>
              </w:rPr>
              <w:t>2028</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right"/>
              <w:ind w:right="281"/>
              <w:spacing w:after="0"/>
              <w:rPr>
                <w:sz w:val="20"/>
                <w:szCs w:val="20"/>
                <w:color w:val="auto"/>
              </w:rPr>
            </w:pPr>
            <w:r>
              <w:rPr>
                <w:rFonts w:ascii="Arial Narrow" w:cs="Arial Narrow" w:eastAsia="Arial Narrow" w:hAnsi="Arial Narrow"/>
                <w:sz w:val="20"/>
                <w:szCs w:val="20"/>
                <w:color w:val="auto"/>
              </w:rPr>
              <w:t>4,467</w:t>
            </w:r>
          </w:p>
        </w:tc>
      </w:tr>
      <w:tr>
        <w:trPr>
          <w:trHeight w:val="65"/>
        </w:trPr>
        <w:tc>
          <w:tcPr>
            <w:tcW w:w="6100" w:type="dxa"/>
            <w:vAlign w:val="bottom"/>
            <w:tcBorders>
              <w:bottom w:val="single" w:sz="8" w:color="A6A6A6"/>
            </w:tcBorders>
          </w:tcPr>
          <w:p>
            <w:pPr>
              <w:spacing w:after="0"/>
              <w:rPr>
                <w:sz w:val="5"/>
                <w:szCs w:val="5"/>
                <w:color w:val="auto"/>
              </w:rPr>
            </w:pPr>
          </w:p>
        </w:tc>
        <w:tc>
          <w:tcPr>
            <w:tcW w:w="360" w:type="dxa"/>
            <w:vAlign w:val="bottom"/>
            <w:tcBorders>
              <w:bottom w:val="single" w:sz="8" w:color="A6A6A6"/>
            </w:tcBorders>
          </w:tcPr>
          <w:p>
            <w:pPr>
              <w:spacing w:after="0"/>
              <w:rPr>
                <w:sz w:val="5"/>
                <w:szCs w:val="5"/>
                <w:color w:val="auto"/>
              </w:rPr>
            </w:pPr>
          </w:p>
        </w:tc>
        <w:tc>
          <w:tcPr>
            <w:tcW w:w="400" w:type="dxa"/>
            <w:vAlign w:val="bottom"/>
            <w:tcBorders>
              <w:bottom w:val="single" w:sz="8" w:color="A6A6A6"/>
            </w:tcBorders>
          </w:tcPr>
          <w:p>
            <w:pPr>
              <w:spacing w:after="0"/>
              <w:rPr>
                <w:sz w:val="5"/>
                <w:szCs w:val="5"/>
                <w:color w:val="auto"/>
              </w:rPr>
            </w:pPr>
          </w:p>
        </w:tc>
        <w:tc>
          <w:tcPr>
            <w:tcW w:w="80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520" w:type="dxa"/>
            <w:vAlign w:val="bottom"/>
            <w:tcBorders>
              <w:bottom w:val="single" w:sz="8" w:color="A6A6A6"/>
            </w:tcBorders>
          </w:tcPr>
          <w:p>
            <w:pPr>
              <w:spacing w:after="0"/>
              <w:rPr>
                <w:sz w:val="5"/>
                <w:szCs w:val="5"/>
                <w:color w:val="auto"/>
              </w:rPr>
            </w:pPr>
          </w:p>
        </w:tc>
        <w:tc>
          <w:tcPr>
            <w:tcW w:w="1020" w:type="dxa"/>
            <w:vAlign w:val="bottom"/>
            <w:tcBorders>
              <w:bottom w:val="single" w:sz="8" w:color="A6A6A6"/>
            </w:tcBorders>
          </w:tcPr>
          <w:p>
            <w:pPr>
              <w:spacing w:after="0"/>
              <w:rPr>
                <w:sz w:val="5"/>
                <w:szCs w:val="5"/>
                <w:color w:val="auto"/>
              </w:rPr>
            </w:pPr>
          </w:p>
        </w:tc>
      </w:tr>
      <w:tr>
        <w:trPr>
          <w:trHeight w:val="340"/>
        </w:trPr>
        <w:tc>
          <w:tcPr>
            <w:tcW w:w="6100" w:type="dxa"/>
            <w:vAlign w:val="bottom"/>
          </w:tcPr>
          <w:p>
            <w:pPr>
              <w:spacing w:after="0"/>
              <w:rPr>
                <w:sz w:val="20"/>
                <w:szCs w:val="20"/>
                <w:color w:val="auto"/>
              </w:rPr>
            </w:pPr>
            <w:r>
              <w:rPr>
                <w:rFonts w:ascii="Arial Narrow" w:cs="Arial Narrow" w:eastAsia="Arial Narrow" w:hAnsi="Arial Narrow"/>
                <w:sz w:val="20"/>
                <w:szCs w:val="20"/>
                <w:b w:val="1"/>
                <w:bCs w:val="1"/>
                <w:color w:val="00085E"/>
              </w:rPr>
              <w:t>2029</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right"/>
              <w:ind w:right="281"/>
              <w:spacing w:after="0"/>
              <w:rPr>
                <w:sz w:val="20"/>
                <w:szCs w:val="20"/>
                <w:color w:val="auto"/>
              </w:rPr>
            </w:pPr>
            <w:r>
              <w:rPr>
                <w:rFonts w:ascii="Arial Narrow" w:cs="Arial Narrow" w:eastAsia="Arial Narrow" w:hAnsi="Arial Narrow"/>
                <w:sz w:val="20"/>
                <w:szCs w:val="20"/>
                <w:color w:val="auto"/>
              </w:rPr>
              <w:t>4,044</w:t>
            </w:r>
          </w:p>
        </w:tc>
      </w:tr>
      <w:tr>
        <w:trPr>
          <w:trHeight w:val="65"/>
        </w:trPr>
        <w:tc>
          <w:tcPr>
            <w:tcW w:w="6100" w:type="dxa"/>
            <w:vAlign w:val="bottom"/>
            <w:tcBorders>
              <w:bottom w:val="single" w:sz="8" w:color="A6A6A6"/>
            </w:tcBorders>
          </w:tcPr>
          <w:p>
            <w:pPr>
              <w:spacing w:after="0"/>
              <w:rPr>
                <w:sz w:val="5"/>
                <w:szCs w:val="5"/>
                <w:color w:val="auto"/>
              </w:rPr>
            </w:pPr>
          </w:p>
        </w:tc>
        <w:tc>
          <w:tcPr>
            <w:tcW w:w="360" w:type="dxa"/>
            <w:vAlign w:val="bottom"/>
            <w:tcBorders>
              <w:bottom w:val="single" w:sz="8" w:color="A6A6A6"/>
            </w:tcBorders>
          </w:tcPr>
          <w:p>
            <w:pPr>
              <w:spacing w:after="0"/>
              <w:rPr>
                <w:sz w:val="5"/>
                <w:szCs w:val="5"/>
                <w:color w:val="auto"/>
              </w:rPr>
            </w:pPr>
          </w:p>
        </w:tc>
        <w:tc>
          <w:tcPr>
            <w:tcW w:w="400" w:type="dxa"/>
            <w:vAlign w:val="bottom"/>
            <w:tcBorders>
              <w:bottom w:val="single" w:sz="8" w:color="A6A6A6"/>
            </w:tcBorders>
          </w:tcPr>
          <w:p>
            <w:pPr>
              <w:spacing w:after="0"/>
              <w:rPr>
                <w:sz w:val="5"/>
                <w:szCs w:val="5"/>
                <w:color w:val="auto"/>
              </w:rPr>
            </w:pPr>
          </w:p>
        </w:tc>
        <w:tc>
          <w:tcPr>
            <w:tcW w:w="80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520" w:type="dxa"/>
            <w:vAlign w:val="bottom"/>
            <w:tcBorders>
              <w:bottom w:val="single" w:sz="8" w:color="A6A6A6"/>
            </w:tcBorders>
          </w:tcPr>
          <w:p>
            <w:pPr>
              <w:spacing w:after="0"/>
              <w:rPr>
                <w:sz w:val="5"/>
                <w:szCs w:val="5"/>
                <w:color w:val="auto"/>
              </w:rPr>
            </w:pPr>
          </w:p>
        </w:tc>
        <w:tc>
          <w:tcPr>
            <w:tcW w:w="1020" w:type="dxa"/>
            <w:vAlign w:val="bottom"/>
            <w:tcBorders>
              <w:bottom w:val="single" w:sz="8" w:color="A6A6A6"/>
            </w:tcBorders>
          </w:tcPr>
          <w:p>
            <w:pPr>
              <w:spacing w:after="0"/>
              <w:rPr>
                <w:sz w:val="5"/>
                <w:szCs w:val="5"/>
                <w:color w:val="auto"/>
              </w:rPr>
            </w:pPr>
          </w:p>
        </w:tc>
      </w:tr>
      <w:tr>
        <w:trPr>
          <w:trHeight w:val="340"/>
        </w:trPr>
        <w:tc>
          <w:tcPr>
            <w:tcW w:w="6100" w:type="dxa"/>
            <w:vAlign w:val="bottom"/>
          </w:tcPr>
          <w:p>
            <w:pPr>
              <w:spacing w:after="0"/>
              <w:rPr>
                <w:sz w:val="20"/>
                <w:szCs w:val="20"/>
                <w:color w:val="auto"/>
              </w:rPr>
            </w:pPr>
            <w:r>
              <w:rPr>
                <w:rFonts w:ascii="Arial Narrow" w:cs="Arial Narrow" w:eastAsia="Arial Narrow" w:hAnsi="Arial Narrow"/>
                <w:sz w:val="20"/>
                <w:szCs w:val="20"/>
                <w:b w:val="1"/>
                <w:bCs w:val="1"/>
                <w:color w:val="00085E"/>
              </w:rPr>
              <w:t>2030</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right"/>
              <w:ind w:right="281"/>
              <w:spacing w:after="0"/>
              <w:rPr>
                <w:sz w:val="20"/>
                <w:szCs w:val="20"/>
                <w:color w:val="auto"/>
              </w:rPr>
            </w:pPr>
            <w:r>
              <w:rPr>
                <w:rFonts w:ascii="Arial Narrow" w:cs="Arial Narrow" w:eastAsia="Arial Narrow" w:hAnsi="Arial Narrow"/>
                <w:sz w:val="20"/>
                <w:szCs w:val="20"/>
                <w:color w:val="auto"/>
              </w:rPr>
              <w:t>4,130</w:t>
            </w:r>
          </w:p>
        </w:tc>
      </w:tr>
      <w:tr>
        <w:trPr>
          <w:trHeight w:val="65"/>
        </w:trPr>
        <w:tc>
          <w:tcPr>
            <w:tcW w:w="6100" w:type="dxa"/>
            <w:vAlign w:val="bottom"/>
            <w:tcBorders>
              <w:bottom w:val="single" w:sz="8" w:color="A6A6A6"/>
            </w:tcBorders>
          </w:tcPr>
          <w:p>
            <w:pPr>
              <w:spacing w:after="0"/>
              <w:rPr>
                <w:sz w:val="5"/>
                <w:szCs w:val="5"/>
                <w:color w:val="auto"/>
              </w:rPr>
            </w:pPr>
          </w:p>
        </w:tc>
        <w:tc>
          <w:tcPr>
            <w:tcW w:w="360" w:type="dxa"/>
            <w:vAlign w:val="bottom"/>
            <w:tcBorders>
              <w:bottom w:val="single" w:sz="8" w:color="A6A6A6"/>
            </w:tcBorders>
          </w:tcPr>
          <w:p>
            <w:pPr>
              <w:spacing w:after="0"/>
              <w:rPr>
                <w:sz w:val="5"/>
                <w:szCs w:val="5"/>
                <w:color w:val="auto"/>
              </w:rPr>
            </w:pPr>
          </w:p>
        </w:tc>
        <w:tc>
          <w:tcPr>
            <w:tcW w:w="400" w:type="dxa"/>
            <w:vAlign w:val="bottom"/>
            <w:tcBorders>
              <w:bottom w:val="single" w:sz="8" w:color="A6A6A6"/>
            </w:tcBorders>
          </w:tcPr>
          <w:p>
            <w:pPr>
              <w:spacing w:after="0"/>
              <w:rPr>
                <w:sz w:val="5"/>
                <w:szCs w:val="5"/>
                <w:color w:val="auto"/>
              </w:rPr>
            </w:pPr>
          </w:p>
        </w:tc>
        <w:tc>
          <w:tcPr>
            <w:tcW w:w="80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520" w:type="dxa"/>
            <w:vAlign w:val="bottom"/>
            <w:tcBorders>
              <w:bottom w:val="single" w:sz="8" w:color="A6A6A6"/>
            </w:tcBorders>
          </w:tcPr>
          <w:p>
            <w:pPr>
              <w:spacing w:after="0"/>
              <w:rPr>
                <w:sz w:val="5"/>
                <w:szCs w:val="5"/>
                <w:color w:val="auto"/>
              </w:rPr>
            </w:pPr>
          </w:p>
        </w:tc>
        <w:tc>
          <w:tcPr>
            <w:tcW w:w="1020" w:type="dxa"/>
            <w:vAlign w:val="bottom"/>
            <w:tcBorders>
              <w:bottom w:val="single" w:sz="8" w:color="A6A6A6"/>
            </w:tcBorders>
          </w:tcPr>
          <w:p>
            <w:pPr>
              <w:spacing w:after="0"/>
              <w:rPr>
                <w:sz w:val="5"/>
                <w:szCs w:val="5"/>
                <w:color w:val="auto"/>
              </w:rPr>
            </w:pPr>
          </w:p>
        </w:tc>
      </w:tr>
      <w:tr>
        <w:trPr>
          <w:trHeight w:val="340"/>
        </w:trPr>
        <w:tc>
          <w:tcPr>
            <w:tcW w:w="6100" w:type="dxa"/>
            <w:vAlign w:val="bottom"/>
          </w:tcPr>
          <w:p>
            <w:pPr>
              <w:spacing w:after="0"/>
              <w:rPr>
                <w:sz w:val="20"/>
                <w:szCs w:val="20"/>
                <w:color w:val="auto"/>
              </w:rPr>
            </w:pPr>
            <w:r>
              <w:rPr>
                <w:rFonts w:ascii="Arial Narrow" w:cs="Arial Narrow" w:eastAsia="Arial Narrow" w:hAnsi="Arial Narrow"/>
                <w:sz w:val="20"/>
                <w:szCs w:val="20"/>
                <w:b w:val="1"/>
                <w:bCs w:val="1"/>
                <w:color w:val="00085E"/>
              </w:rPr>
              <w:t>2031</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right"/>
              <w:ind w:right="281"/>
              <w:spacing w:after="0"/>
              <w:rPr>
                <w:sz w:val="20"/>
                <w:szCs w:val="20"/>
                <w:color w:val="auto"/>
              </w:rPr>
            </w:pPr>
            <w:r>
              <w:rPr>
                <w:rFonts w:ascii="Arial Narrow" w:cs="Arial Narrow" w:eastAsia="Arial Narrow" w:hAnsi="Arial Narrow"/>
                <w:sz w:val="20"/>
                <w:szCs w:val="20"/>
                <w:color w:val="auto"/>
              </w:rPr>
              <w:t>3,798</w:t>
            </w:r>
          </w:p>
        </w:tc>
      </w:tr>
      <w:tr>
        <w:trPr>
          <w:trHeight w:val="65"/>
        </w:trPr>
        <w:tc>
          <w:tcPr>
            <w:tcW w:w="6100" w:type="dxa"/>
            <w:vAlign w:val="bottom"/>
            <w:tcBorders>
              <w:bottom w:val="single" w:sz="8" w:color="A6A6A6"/>
            </w:tcBorders>
          </w:tcPr>
          <w:p>
            <w:pPr>
              <w:spacing w:after="0"/>
              <w:rPr>
                <w:sz w:val="5"/>
                <w:szCs w:val="5"/>
                <w:color w:val="auto"/>
              </w:rPr>
            </w:pPr>
          </w:p>
        </w:tc>
        <w:tc>
          <w:tcPr>
            <w:tcW w:w="360" w:type="dxa"/>
            <w:vAlign w:val="bottom"/>
            <w:tcBorders>
              <w:bottom w:val="single" w:sz="8" w:color="A6A6A6"/>
            </w:tcBorders>
          </w:tcPr>
          <w:p>
            <w:pPr>
              <w:spacing w:after="0"/>
              <w:rPr>
                <w:sz w:val="5"/>
                <w:szCs w:val="5"/>
                <w:color w:val="auto"/>
              </w:rPr>
            </w:pPr>
          </w:p>
        </w:tc>
        <w:tc>
          <w:tcPr>
            <w:tcW w:w="400" w:type="dxa"/>
            <w:vAlign w:val="bottom"/>
            <w:tcBorders>
              <w:bottom w:val="single" w:sz="8" w:color="A6A6A6"/>
            </w:tcBorders>
          </w:tcPr>
          <w:p>
            <w:pPr>
              <w:spacing w:after="0"/>
              <w:rPr>
                <w:sz w:val="5"/>
                <w:szCs w:val="5"/>
                <w:color w:val="auto"/>
              </w:rPr>
            </w:pPr>
          </w:p>
        </w:tc>
        <w:tc>
          <w:tcPr>
            <w:tcW w:w="80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520" w:type="dxa"/>
            <w:vAlign w:val="bottom"/>
            <w:tcBorders>
              <w:bottom w:val="single" w:sz="8" w:color="A6A6A6"/>
            </w:tcBorders>
          </w:tcPr>
          <w:p>
            <w:pPr>
              <w:spacing w:after="0"/>
              <w:rPr>
                <w:sz w:val="5"/>
                <w:szCs w:val="5"/>
                <w:color w:val="auto"/>
              </w:rPr>
            </w:pPr>
          </w:p>
        </w:tc>
        <w:tc>
          <w:tcPr>
            <w:tcW w:w="1020" w:type="dxa"/>
            <w:vAlign w:val="bottom"/>
            <w:tcBorders>
              <w:bottom w:val="single" w:sz="8" w:color="A6A6A6"/>
            </w:tcBorders>
          </w:tcPr>
          <w:p>
            <w:pPr>
              <w:spacing w:after="0"/>
              <w:rPr>
                <w:sz w:val="5"/>
                <w:szCs w:val="5"/>
                <w:color w:val="auto"/>
              </w:rPr>
            </w:pPr>
          </w:p>
        </w:tc>
      </w:tr>
      <w:tr>
        <w:trPr>
          <w:trHeight w:val="340"/>
        </w:trPr>
        <w:tc>
          <w:tcPr>
            <w:tcW w:w="6100" w:type="dxa"/>
            <w:vAlign w:val="bottom"/>
          </w:tcPr>
          <w:p>
            <w:pPr>
              <w:spacing w:after="0"/>
              <w:rPr>
                <w:sz w:val="20"/>
                <w:szCs w:val="20"/>
                <w:color w:val="auto"/>
              </w:rPr>
            </w:pPr>
            <w:r>
              <w:rPr>
                <w:rFonts w:ascii="Arial Narrow" w:cs="Arial Narrow" w:eastAsia="Arial Narrow" w:hAnsi="Arial Narrow"/>
                <w:sz w:val="20"/>
                <w:szCs w:val="20"/>
                <w:b w:val="1"/>
                <w:bCs w:val="1"/>
                <w:color w:val="00085E"/>
              </w:rPr>
              <w:t>Thereafter</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right"/>
              <w:ind w:right="281"/>
              <w:spacing w:after="0"/>
              <w:rPr>
                <w:sz w:val="20"/>
                <w:szCs w:val="20"/>
                <w:color w:val="auto"/>
              </w:rPr>
            </w:pPr>
            <w:r>
              <w:rPr>
                <w:rFonts w:ascii="Arial Narrow" w:cs="Arial Narrow" w:eastAsia="Arial Narrow" w:hAnsi="Arial Narrow"/>
                <w:sz w:val="20"/>
                <w:szCs w:val="20"/>
                <w:color w:val="auto"/>
              </w:rPr>
              <w:t>26,237</w:t>
            </w:r>
          </w:p>
        </w:tc>
      </w:tr>
      <w:tr>
        <w:trPr>
          <w:trHeight w:val="90"/>
        </w:trPr>
        <w:tc>
          <w:tcPr>
            <w:tcW w:w="6100" w:type="dxa"/>
            <w:vAlign w:val="bottom"/>
            <w:tcBorders>
              <w:bottom w:val="single" w:sz="8" w:color="A6A6A6"/>
            </w:tcBorders>
          </w:tcPr>
          <w:p>
            <w:pPr>
              <w:spacing w:after="0"/>
              <w:rPr>
                <w:sz w:val="7"/>
                <w:szCs w:val="7"/>
                <w:color w:val="auto"/>
              </w:rPr>
            </w:pPr>
          </w:p>
        </w:tc>
        <w:tc>
          <w:tcPr>
            <w:tcW w:w="360" w:type="dxa"/>
            <w:vAlign w:val="bottom"/>
            <w:tcBorders>
              <w:bottom w:val="single" w:sz="8" w:color="A6A6A6"/>
            </w:tcBorders>
          </w:tcPr>
          <w:p>
            <w:pPr>
              <w:spacing w:after="0"/>
              <w:rPr>
                <w:sz w:val="7"/>
                <w:szCs w:val="7"/>
                <w:color w:val="auto"/>
              </w:rPr>
            </w:pPr>
          </w:p>
        </w:tc>
        <w:tc>
          <w:tcPr>
            <w:tcW w:w="400" w:type="dxa"/>
            <w:vAlign w:val="bottom"/>
            <w:tcBorders>
              <w:bottom w:val="single" w:sz="8" w:color="A6A6A6"/>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r>
      <w:tr>
        <w:trPr>
          <w:trHeight w:val="345"/>
        </w:trPr>
        <w:tc>
          <w:tcPr>
            <w:tcW w:w="6100" w:type="dxa"/>
            <w:vAlign w:val="bottom"/>
          </w:tcPr>
          <w:p>
            <w:pPr>
              <w:spacing w:after="0"/>
              <w:rPr>
                <w:sz w:val="20"/>
                <w:szCs w:val="20"/>
                <w:color w:val="auto"/>
              </w:rPr>
            </w:pPr>
            <w:r>
              <w:rPr>
                <w:rFonts w:ascii="Arial Narrow" w:cs="Arial Narrow" w:eastAsia="Arial Narrow" w:hAnsi="Arial Narrow"/>
                <w:sz w:val="20"/>
                <w:szCs w:val="20"/>
                <w:b w:val="1"/>
                <w:bCs w:val="1"/>
                <w:color w:val="auto"/>
              </w:rPr>
              <w:t>Total Lease Payments</w:t>
            </w:r>
          </w:p>
        </w:tc>
        <w:tc>
          <w:tcPr>
            <w:tcW w:w="360" w:type="dxa"/>
            <w:vAlign w:val="bottom"/>
          </w:tcPr>
          <w:p>
            <w:pPr>
              <w:spacing w:after="0"/>
              <w:rPr>
                <w:sz w:val="24"/>
                <w:szCs w:val="24"/>
                <w:color w:val="auto"/>
              </w:rPr>
            </w:pPr>
          </w:p>
        </w:tc>
        <w:tc>
          <w:tcPr>
            <w:tcW w:w="1200" w:type="dxa"/>
            <w:vAlign w:val="bottom"/>
            <w:gridSpan w:val="2"/>
          </w:tcPr>
          <w:p>
            <w:pPr>
              <w:jc w:val="right"/>
              <w:ind w:right="630"/>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right"/>
              <w:ind w:right="281"/>
              <w:spacing w:after="0"/>
              <w:rPr>
                <w:sz w:val="20"/>
                <w:szCs w:val="20"/>
                <w:color w:val="auto"/>
              </w:rPr>
            </w:pPr>
            <w:r>
              <w:rPr>
                <w:rFonts w:ascii="Arial Narrow" w:cs="Arial Narrow" w:eastAsia="Arial Narrow" w:hAnsi="Arial Narrow"/>
                <w:sz w:val="20"/>
                <w:szCs w:val="20"/>
                <w:color w:val="auto"/>
              </w:rPr>
              <w:t>47,903</w:t>
            </w:r>
          </w:p>
        </w:tc>
      </w:tr>
      <w:tr>
        <w:trPr>
          <w:trHeight w:val="65"/>
        </w:trPr>
        <w:tc>
          <w:tcPr>
            <w:tcW w:w="6100" w:type="dxa"/>
            <w:vAlign w:val="bottom"/>
            <w:tcBorders>
              <w:bottom w:val="single" w:sz="8" w:color="A6A6A6"/>
            </w:tcBorders>
          </w:tcPr>
          <w:p>
            <w:pPr>
              <w:spacing w:after="0"/>
              <w:rPr>
                <w:sz w:val="5"/>
                <w:szCs w:val="5"/>
                <w:color w:val="auto"/>
              </w:rPr>
            </w:pPr>
          </w:p>
        </w:tc>
        <w:tc>
          <w:tcPr>
            <w:tcW w:w="360" w:type="dxa"/>
            <w:vAlign w:val="bottom"/>
            <w:tcBorders>
              <w:bottom w:val="single" w:sz="8" w:color="A6A6A6"/>
            </w:tcBorders>
          </w:tcPr>
          <w:p>
            <w:pPr>
              <w:spacing w:after="0"/>
              <w:rPr>
                <w:sz w:val="5"/>
                <w:szCs w:val="5"/>
                <w:color w:val="auto"/>
              </w:rPr>
            </w:pPr>
          </w:p>
        </w:tc>
        <w:tc>
          <w:tcPr>
            <w:tcW w:w="400" w:type="dxa"/>
            <w:vAlign w:val="bottom"/>
            <w:tcBorders>
              <w:bottom w:val="single" w:sz="8" w:color="A6A6A6"/>
            </w:tcBorders>
          </w:tcPr>
          <w:p>
            <w:pPr>
              <w:spacing w:after="0"/>
              <w:rPr>
                <w:sz w:val="5"/>
                <w:szCs w:val="5"/>
                <w:color w:val="auto"/>
              </w:rPr>
            </w:pPr>
          </w:p>
        </w:tc>
        <w:tc>
          <w:tcPr>
            <w:tcW w:w="80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520" w:type="dxa"/>
            <w:vAlign w:val="bottom"/>
            <w:tcBorders>
              <w:bottom w:val="single" w:sz="8" w:color="A6A6A6"/>
            </w:tcBorders>
          </w:tcPr>
          <w:p>
            <w:pPr>
              <w:spacing w:after="0"/>
              <w:rPr>
                <w:sz w:val="5"/>
                <w:szCs w:val="5"/>
                <w:color w:val="auto"/>
              </w:rPr>
            </w:pPr>
          </w:p>
        </w:tc>
        <w:tc>
          <w:tcPr>
            <w:tcW w:w="1020" w:type="dxa"/>
            <w:vAlign w:val="bottom"/>
            <w:tcBorders>
              <w:bottom w:val="single" w:sz="8" w:color="A6A6A6"/>
            </w:tcBorders>
          </w:tcPr>
          <w:p>
            <w:pPr>
              <w:spacing w:after="0"/>
              <w:rPr>
                <w:sz w:val="5"/>
                <w:szCs w:val="5"/>
                <w:color w:val="auto"/>
              </w:rPr>
            </w:pPr>
          </w:p>
        </w:tc>
      </w:tr>
      <w:tr>
        <w:trPr>
          <w:trHeight w:val="340"/>
        </w:trPr>
        <w:tc>
          <w:tcPr>
            <w:tcW w:w="6100" w:type="dxa"/>
            <w:vAlign w:val="bottom"/>
          </w:tcPr>
          <w:p>
            <w:pPr>
              <w:spacing w:after="0"/>
              <w:rPr>
                <w:sz w:val="20"/>
                <w:szCs w:val="20"/>
                <w:color w:val="auto"/>
              </w:rPr>
            </w:pPr>
            <w:r>
              <w:rPr>
                <w:rFonts w:ascii="Arial Narrow" w:cs="Arial Narrow" w:eastAsia="Arial Narrow" w:hAnsi="Arial Narrow"/>
                <w:sz w:val="20"/>
                <w:szCs w:val="20"/>
                <w:b w:val="1"/>
                <w:bCs w:val="1"/>
                <w:color w:val="00085E"/>
              </w:rPr>
              <w:t>Less: Imputed Interest</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right"/>
              <w:ind w:right="221"/>
              <w:spacing w:after="0"/>
              <w:rPr>
                <w:sz w:val="20"/>
                <w:szCs w:val="20"/>
                <w:color w:val="auto"/>
              </w:rPr>
            </w:pPr>
            <w:r>
              <w:rPr>
                <w:rFonts w:ascii="Arial Narrow" w:cs="Arial Narrow" w:eastAsia="Arial Narrow" w:hAnsi="Arial Narrow"/>
                <w:sz w:val="20"/>
                <w:szCs w:val="20"/>
                <w:color w:val="auto"/>
              </w:rPr>
              <w:t>(11,200)</w:t>
            </w:r>
          </w:p>
        </w:tc>
      </w:tr>
      <w:tr>
        <w:trPr>
          <w:trHeight w:val="90"/>
        </w:trPr>
        <w:tc>
          <w:tcPr>
            <w:tcW w:w="6100" w:type="dxa"/>
            <w:vAlign w:val="bottom"/>
            <w:tcBorders>
              <w:bottom w:val="single" w:sz="8" w:color="A6A6A6"/>
            </w:tcBorders>
          </w:tcPr>
          <w:p>
            <w:pPr>
              <w:spacing w:after="0"/>
              <w:rPr>
                <w:sz w:val="7"/>
                <w:szCs w:val="7"/>
                <w:color w:val="auto"/>
              </w:rPr>
            </w:pPr>
          </w:p>
        </w:tc>
        <w:tc>
          <w:tcPr>
            <w:tcW w:w="360" w:type="dxa"/>
            <w:vAlign w:val="bottom"/>
            <w:tcBorders>
              <w:bottom w:val="single" w:sz="8" w:color="A6A6A6"/>
            </w:tcBorders>
          </w:tcPr>
          <w:p>
            <w:pPr>
              <w:spacing w:after="0"/>
              <w:rPr>
                <w:sz w:val="7"/>
                <w:szCs w:val="7"/>
                <w:color w:val="auto"/>
              </w:rPr>
            </w:pPr>
          </w:p>
        </w:tc>
        <w:tc>
          <w:tcPr>
            <w:tcW w:w="400" w:type="dxa"/>
            <w:vAlign w:val="bottom"/>
            <w:tcBorders>
              <w:bottom w:val="single" w:sz="8" w:color="A6A6A6"/>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r>
      <w:tr>
        <w:trPr>
          <w:trHeight w:val="345"/>
        </w:trPr>
        <w:tc>
          <w:tcPr>
            <w:tcW w:w="6100" w:type="dxa"/>
            <w:vAlign w:val="bottom"/>
          </w:tcPr>
          <w:p>
            <w:pPr>
              <w:spacing w:after="0"/>
              <w:rPr>
                <w:sz w:val="20"/>
                <w:szCs w:val="20"/>
                <w:color w:val="auto"/>
              </w:rPr>
            </w:pPr>
            <w:r>
              <w:rPr>
                <w:rFonts w:ascii="Arial Narrow" w:cs="Arial Narrow" w:eastAsia="Arial Narrow" w:hAnsi="Arial Narrow"/>
                <w:sz w:val="20"/>
                <w:szCs w:val="20"/>
                <w:b w:val="1"/>
                <w:bCs w:val="1"/>
                <w:color w:val="auto"/>
              </w:rPr>
              <w:t>Present Value of Lease Liabilities</w:t>
            </w:r>
          </w:p>
        </w:tc>
        <w:tc>
          <w:tcPr>
            <w:tcW w:w="360" w:type="dxa"/>
            <w:vAlign w:val="bottom"/>
          </w:tcPr>
          <w:p>
            <w:pPr>
              <w:spacing w:after="0"/>
              <w:rPr>
                <w:sz w:val="24"/>
                <w:szCs w:val="24"/>
                <w:color w:val="auto"/>
              </w:rPr>
            </w:pPr>
          </w:p>
        </w:tc>
        <w:tc>
          <w:tcPr>
            <w:tcW w:w="1200" w:type="dxa"/>
            <w:vAlign w:val="bottom"/>
            <w:gridSpan w:val="2"/>
          </w:tcPr>
          <w:p>
            <w:pPr>
              <w:jc w:val="right"/>
              <w:ind w:right="630"/>
              <w:spacing w:after="0"/>
              <w:rPr>
                <w:sz w:val="20"/>
                <w:szCs w:val="20"/>
                <w:color w:val="auto"/>
              </w:rPr>
            </w:pPr>
            <w:r>
              <w:rPr>
                <w:rFonts w:ascii="Arial Narrow" w:cs="Arial Narrow" w:eastAsia="Arial Narrow" w:hAnsi="Arial Narrow"/>
                <w:sz w:val="20"/>
                <w:szCs w:val="20"/>
                <w:b w:val="1"/>
                <w:bCs w:val="1"/>
                <w:color w:val="auto"/>
              </w:rPr>
              <w:t>$</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right"/>
              <w:ind w:right="281"/>
              <w:spacing w:after="0"/>
              <w:rPr>
                <w:sz w:val="20"/>
                <w:szCs w:val="20"/>
                <w:color w:val="auto"/>
              </w:rPr>
            </w:pPr>
            <w:r>
              <w:rPr>
                <w:rFonts w:ascii="Arial Narrow" w:cs="Arial Narrow" w:eastAsia="Arial Narrow" w:hAnsi="Arial Narrow"/>
                <w:sz w:val="20"/>
                <w:szCs w:val="20"/>
                <w:b w:val="1"/>
                <w:bCs w:val="1"/>
                <w:color w:val="auto"/>
              </w:rPr>
              <w:t>36,703</w:t>
            </w:r>
          </w:p>
        </w:tc>
      </w:tr>
      <w:tr>
        <w:trPr>
          <w:trHeight w:val="65"/>
        </w:trPr>
        <w:tc>
          <w:tcPr>
            <w:tcW w:w="6100" w:type="dxa"/>
            <w:vAlign w:val="bottom"/>
            <w:tcBorders>
              <w:bottom w:val="single" w:sz="8" w:color="A6A6A6"/>
            </w:tcBorders>
          </w:tcPr>
          <w:p>
            <w:pPr>
              <w:spacing w:after="0"/>
              <w:rPr>
                <w:sz w:val="5"/>
                <w:szCs w:val="5"/>
                <w:color w:val="auto"/>
              </w:rPr>
            </w:pPr>
          </w:p>
        </w:tc>
        <w:tc>
          <w:tcPr>
            <w:tcW w:w="360" w:type="dxa"/>
            <w:vAlign w:val="bottom"/>
            <w:tcBorders>
              <w:bottom w:val="single" w:sz="8" w:color="A6A6A6"/>
            </w:tcBorders>
          </w:tcPr>
          <w:p>
            <w:pPr>
              <w:spacing w:after="0"/>
              <w:rPr>
                <w:sz w:val="5"/>
                <w:szCs w:val="5"/>
                <w:color w:val="auto"/>
              </w:rPr>
            </w:pPr>
          </w:p>
        </w:tc>
        <w:tc>
          <w:tcPr>
            <w:tcW w:w="400" w:type="dxa"/>
            <w:vAlign w:val="bottom"/>
            <w:tcBorders>
              <w:bottom w:val="single" w:sz="8" w:color="A6A6A6"/>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r>
      <w:tr>
        <w:trPr>
          <w:trHeight w:val="20"/>
        </w:trPr>
        <w:tc>
          <w:tcPr>
            <w:tcW w:w="6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95"/>
        </w:trPr>
        <w:tc>
          <w:tcPr>
            <w:tcW w:w="6100" w:type="dxa"/>
            <w:vAlign w:val="bottom"/>
            <w:tcBorders>
              <w:bottom w:val="single" w:sz="8" w:color="A6A6A6"/>
            </w:tcBorders>
          </w:tcPr>
          <w:p>
            <w:pPr>
              <w:spacing w:after="0"/>
              <w:rPr>
                <w:sz w:val="24"/>
                <w:szCs w:val="24"/>
                <w:color w:val="auto"/>
              </w:rPr>
            </w:pPr>
          </w:p>
        </w:tc>
        <w:tc>
          <w:tcPr>
            <w:tcW w:w="360" w:type="dxa"/>
            <w:vAlign w:val="bottom"/>
            <w:tcBorders>
              <w:bottom w:val="single" w:sz="8" w:color="A6A6A6"/>
            </w:tcBorders>
          </w:tcPr>
          <w:p>
            <w:pPr>
              <w:spacing w:after="0"/>
              <w:rPr>
                <w:sz w:val="24"/>
                <w:szCs w:val="24"/>
                <w:color w:val="auto"/>
              </w:rPr>
            </w:pPr>
          </w:p>
        </w:tc>
        <w:tc>
          <w:tcPr>
            <w:tcW w:w="400" w:type="dxa"/>
            <w:vAlign w:val="bottom"/>
            <w:tcBorders>
              <w:bottom w:val="single" w:sz="8" w:color="A6A6A6"/>
            </w:tcBorders>
          </w:tcPr>
          <w:p>
            <w:pPr>
              <w:spacing w:after="0"/>
              <w:rPr>
                <w:sz w:val="24"/>
                <w:szCs w:val="24"/>
                <w:color w:val="auto"/>
              </w:rPr>
            </w:pPr>
          </w:p>
        </w:tc>
        <w:tc>
          <w:tcPr>
            <w:tcW w:w="800" w:type="dxa"/>
            <w:vAlign w:val="bottom"/>
            <w:tcBorders>
              <w:bottom w:val="single" w:sz="8" w:color="A6A6A6"/>
            </w:tcBorders>
          </w:tcPr>
          <w:p>
            <w:pPr>
              <w:spacing w:after="0"/>
              <w:rPr>
                <w:sz w:val="24"/>
                <w:szCs w:val="24"/>
                <w:color w:val="auto"/>
              </w:rPr>
            </w:pPr>
          </w:p>
        </w:tc>
        <w:tc>
          <w:tcPr>
            <w:tcW w:w="160" w:type="dxa"/>
            <w:vAlign w:val="bottom"/>
            <w:tcBorders>
              <w:bottom w:val="single" w:sz="8" w:color="A6A6A6"/>
            </w:tcBorders>
          </w:tcPr>
          <w:p>
            <w:pPr>
              <w:spacing w:after="0"/>
              <w:rPr>
                <w:sz w:val="24"/>
                <w:szCs w:val="24"/>
                <w:color w:val="auto"/>
              </w:rPr>
            </w:pPr>
          </w:p>
        </w:tc>
        <w:tc>
          <w:tcPr>
            <w:tcW w:w="520" w:type="dxa"/>
            <w:vAlign w:val="bottom"/>
            <w:tcBorders>
              <w:bottom w:val="single" w:sz="8" w:color="A6A6A6"/>
            </w:tcBorders>
          </w:tcPr>
          <w:p>
            <w:pPr>
              <w:spacing w:after="0"/>
              <w:rPr>
                <w:sz w:val="24"/>
                <w:szCs w:val="24"/>
                <w:color w:val="auto"/>
              </w:rPr>
            </w:pPr>
          </w:p>
        </w:tc>
        <w:tc>
          <w:tcPr>
            <w:tcW w:w="1020" w:type="dxa"/>
            <w:vAlign w:val="bottom"/>
            <w:tcBorders>
              <w:bottom w:val="single" w:sz="8" w:color="A6A6A6"/>
            </w:tcBorders>
          </w:tcPr>
          <w:p>
            <w:pPr>
              <w:spacing w:after="0"/>
              <w:rPr>
                <w:sz w:val="24"/>
                <w:szCs w:val="24"/>
                <w:color w:val="auto"/>
              </w:rPr>
            </w:pPr>
          </w:p>
        </w:tc>
      </w:tr>
      <w:tr>
        <w:trPr>
          <w:trHeight w:val="340"/>
        </w:trPr>
        <w:tc>
          <w:tcPr>
            <w:tcW w:w="6100" w:type="dxa"/>
            <w:vAlign w:val="bottom"/>
          </w:tcPr>
          <w:p>
            <w:pPr>
              <w:spacing w:after="0"/>
              <w:rPr>
                <w:sz w:val="20"/>
                <w:szCs w:val="20"/>
                <w:color w:val="auto"/>
              </w:rPr>
            </w:pPr>
            <w:r>
              <w:rPr>
                <w:rFonts w:ascii="Arial Narrow" w:cs="Arial Narrow" w:eastAsia="Arial Narrow" w:hAnsi="Arial Narrow"/>
                <w:sz w:val="20"/>
                <w:szCs w:val="20"/>
                <w:b w:val="1"/>
                <w:bCs w:val="1"/>
                <w:color w:val="auto"/>
              </w:rPr>
              <w:t>Weighted-Average Remaining Lease Term (in years)</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right"/>
              <w:ind w:right="281"/>
              <w:spacing w:after="0"/>
              <w:rPr>
                <w:sz w:val="20"/>
                <w:szCs w:val="20"/>
                <w:color w:val="auto"/>
              </w:rPr>
            </w:pPr>
            <w:r>
              <w:rPr>
                <w:rFonts w:ascii="Arial Narrow" w:cs="Arial Narrow" w:eastAsia="Arial Narrow" w:hAnsi="Arial Narrow"/>
                <w:sz w:val="20"/>
                <w:szCs w:val="20"/>
                <w:b w:val="1"/>
                <w:bCs w:val="1"/>
                <w:color w:val="auto"/>
              </w:rPr>
              <w:t>11.7</w:t>
            </w:r>
          </w:p>
        </w:tc>
      </w:tr>
      <w:tr>
        <w:trPr>
          <w:trHeight w:val="65"/>
        </w:trPr>
        <w:tc>
          <w:tcPr>
            <w:tcW w:w="6100" w:type="dxa"/>
            <w:vAlign w:val="bottom"/>
            <w:tcBorders>
              <w:bottom w:val="single" w:sz="8" w:color="A6A6A6"/>
            </w:tcBorders>
          </w:tcPr>
          <w:p>
            <w:pPr>
              <w:spacing w:after="0"/>
              <w:rPr>
                <w:sz w:val="5"/>
                <w:szCs w:val="5"/>
                <w:color w:val="auto"/>
              </w:rPr>
            </w:pPr>
          </w:p>
        </w:tc>
        <w:tc>
          <w:tcPr>
            <w:tcW w:w="360" w:type="dxa"/>
            <w:vAlign w:val="bottom"/>
            <w:tcBorders>
              <w:bottom w:val="single" w:sz="8" w:color="A6A6A6"/>
            </w:tcBorders>
          </w:tcPr>
          <w:p>
            <w:pPr>
              <w:spacing w:after="0"/>
              <w:rPr>
                <w:sz w:val="5"/>
                <w:szCs w:val="5"/>
                <w:color w:val="auto"/>
              </w:rPr>
            </w:pPr>
          </w:p>
        </w:tc>
        <w:tc>
          <w:tcPr>
            <w:tcW w:w="400" w:type="dxa"/>
            <w:vAlign w:val="bottom"/>
            <w:tcBorders>
              <w:bottom w:val="single" w:sz="8" w:color="A6A6A6"/>
            </w:tcBorders>
          </w:tcPr>
          <w:p>
            <w:pPr>
              <w:spacing w:after="0"/>
              <w:rPr>
                <w:sz w:val="5"/>
                <w:szCs w:val="5"/>
                <w:color w:val="auto"/>
              </w:rPr>
            </w:pPr>
          </w:p>
        </w:tc>
        <w:tc>
          <w:tcPr>
            <w:tcW w:w="80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520" w:type="dxa"/>
            <w:vAlign w:val="bottom"/>
            <w:tcBorders>
              <w:bottom w:val="single" w:sz="8" w:color="A6A6A6"/>
            </w:tcBorders>
          </w:tcPr>
          <w:p>
            <w:pPr>
              <w:spacing w:after="0"/>
              <w:rPr>
                <w:sz w:val="5"/>
                <w:szCs w:val="5"/>
                <w:color w:val="auto"/>
              </w:rPr>
            </w:pPr>
          </w:p>
        </w:tc>
        <w:tc>
          <w:tcPr>
            <w:tcW w:w="1020" w:type="dxa"/>
            <w:vAlign w:val="bottom"/>
            <w:tcBorders>
              <w:bottom w:val="single" w:sz="8" w:color="A6A6A6"/>
            </w:tcBorders>
          </w:tcPr>
          <w:p>
            <w:pPr>
              <w:spacing w:after="0"/>
              <w:rPr>
                <w:sz w:val="5"/>
                <w:szCs w:val="5"/>
                <w:color w:val="auto"/>
              </w:rPr>
            </w:pPr>
          </w:p>
        </w:tc>
      </w:tr>
      <w:tr>
        <w:trPr>
          <w:trHeight w:val="340"/>
        </w:trPr>
        <w:tc>
          <w:tcPr>
            <w:tcW w:w="6100" w:type="dxa"/>
            <w:vAlign w:val="bottom"/>
          </w:tcPr>
          <w:p>
            <w:pPr>
              <w:spacing w:after="0"/>
              <w:rPr>
                <w:sz w:val="20"/>
                <w:szCs w:val="20"/>
                <w:color w:val="auto"/>
              </w:rPr>
            </w:pPr>
            <w:r>
              <w:rPr>
                <w:rFonts w:ascii="Arial Narrow" w:cs="Arial Narrow" w:eastAsia="Arial Narrow" w:hAnsi="Arial Narrow"/>
                <w:sz w:val="20"/>
                <w:szCs w:val="20"/>
                <w:b w:val="1"/>
                <w:bCs w:val="1"/>
                <w:color w:val="auto"/>
              </w:rPr>
              <w:t>Weighted-Average Discount Rate</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right"/>
              <w:ind w:right="121"/>
              <w:spacing w:after="0"/>
              <w:rPr>
                <w:sz w:val="20"/>
                <w:szCs w:val="20"/>
                <w:color w:val="auto"/>
              </w:rPr>
            </w:pPr>
            <w:r>
              <w:rPr>
                <w:rFonts w:ascii="Arial Narrow" w:cs="Arial Narrow" w:eastAsia="Arial Narrow" w:hAnsi="Arial Narrow"/>
                <w:sz w:val="20"/>
                <w:szCs w:val="20"/>
                <w:b w:val="1"/>
                <w:bCs w:val="1"/>
                <w:color w:val="auto"/>
              </w:rPr>
              <w:t>4.43%</w:t>
            </w:r>
          </w:p>
        </w:tc>
      </w:tr>
      <w:tr>
        <w:trPr>
          <w:trHeight w:val="65"/>
        </w:trPr>
        <w:tc>
          <w:tcPr>
            <w:tcW w:w="6100" w:type="dxa"/>
            <w:vAlign w:val="bottom"/>
            <w:tcBorders>
              <w:bottom w:val="single" w:sz="8" w:color="A6A6A6"/>
            </w:tcBorders>
          </w:tcPr>
          <w:p>
            <w:pPr>
              <w:spacing w:after="0"/>
              <w:rPr>
                <w:sz w:val="5"/>
                <w:szCs w:val="5"/>
                <w:color w:val="auto"/>
              </w:rPr>
            </w:pPr>
          </w:p>
        </w:tc>
        <w:tc>
          <w:tcPr>
            <w:tcW w:w="360" w:type="dxa"/>
            <w:vAlign w:val="bottom"/>
            <w:tcBorders>
              <w:bottom w:val="single" w:sz="8" w:color="A6A6A6"/>
            </w:tcBorders>
          </w:tcPr>
          <w:p>
            <w:pPr>
              <w:spacing w:after="0"/>
              <w:rPr>
                <w:sz w:val="5"/>
                <w:szCs w:val="5"/>
                <w:color w:val="auto"/>
              </w:rPr>
            </w:pPr>
          </w:p>
        </w:tc>
        <w:tc>
          <w:tcPr>
            <w:tcW w:w="400" w:type="dxa"/>
            <w:vAlign w:val="bottom"/>
            <w:tcBorders>
              <w:bottom w:val="single" w:sz="8" w:color="A6A6A6"/>
            </w:tcBorders>
          </w:tcPr>
          <w:p>
            <w:pPr>
              <w:spacing w:after="0"/>
              <w:rPr>
                <w:sz w:val="5"/>
                <w:szCs w:val="5"/>
                <w:color w:val="auto"/>
              </w:rPr>
            </w:pPr>
          </w:p>
        </w:tc>
        <w:tc>
          <w:tcPr>
            <w:tcW w:w="80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520" w:type="dxa"/>
            <w:vAlign w:val="bottom"/>
            <w:tcBorders>
              <w:bottom w:val="single" w:sz="8" w:color="A6A6A6"/>
            </w:tcBorders>
          </w:tcPr>
          <w:p>
            <w:pPr>
              <w:spacing w:after="0"/>
              <w:rPr>
                <w:sz w:val="5"/>
                <w:szCs w:val="5"/>
                <w:color w:val="auto"/>
              </w:rPr>
            </w:pPr>
          </w:p>
        </w:tc>
        <w:tc>
          <w:tcPr>
            <w:tcW w:w="1020" w:type="dxa"/>
            <w:vAlign w:val="bottom"/>
            <w:tcBorders>
              <w:bottom w:val="single" w:sz="8" w:color="A6A6A6"/>
            </w:tcBorders>
          </w:tcPr>
          <w:p>
            <w:pPr>
              <w:spacing w:after="0"/>
              <w:rPr>
                <w:sz w:val="5"/>
                <w:szCs w:val="5"/>
                <w:color w:val="auto"/>
              </w:rPr>
            </w:pPr>
          </w:p>
        </w:tc>
      </w:tr>
      <w:tr>
        <w:trPr>
          <w:trHeight w:val="533"/>
        </w:trPr>
        <w:tc>
          <w:tcPr>
            <w:tcW w:w="6100" w:type="dxa"/>
            <w:vAlign w:val="bottom"/>
          </w:tcPr>
          <w:p>
            <w:pPr>
              <w:spacing w:after="0"/>
              <w:rPr>
                <w:sz w:val="20"/>
                <w:szCs w:val="20"/>
                <w:color w:val="auto"/>
              </w:rPr>
            </w:pPr>
            <w:r>
              <w:rPr>
                <w:rFonts w:ascii="Arial" w:cs="Arial" w:eastAsia="Arial" w:hAnsi="Arial"/>
                <w:sz w:val="22"/>
                <w:szCs w:val="22"/>
                <w:b w:val="1"/>
                <w:bCs w:val="1"/>
                <w:color w:val="00085E"/>
              </w:rPr>
              <w:t>(F) INDEBTEDNESS</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72"/>
        </w:trPr>
        <w:tc>
          <w:tcPr>
            <w:tcW w:w="6100" w:type="dxa"/>
            <w:vAlign w:val="bottom"/>
          </w:tcPr>
          <w:p>
            <w:pPr>
              <w:spacing w:after="0"/>
              <w:rPr>
                <w:sz w:val="20"/>
                <w:szCs w:val="20"/>
                <w:color w:val="auto"/>
              </w:rPr>
            </w:pPr>
            <w:r>
              <w:rPr>
                <w:rFonts w:ascii="Arial" w:cs="Arial" w:eastAsia="Arial" w:hAnsi="Arial"/>
                <w:sz w:val="20"/>
                <w:szCs w:val="20"/>
                <w:color w:val="auto"/>
              </w:rPr>
              <w:t>Long-term debt consists of the following.</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34"/>
        </w:trPr>
        <w:tc>
          <w:tcPr>
            <w:tcW w:w="6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80" w:type="dxa"/>
            <w:vAlign w:val="bottom"/>
            <w:gridSpan w:val="3"/>
          </w:tcPr>
          <w:p>
            <w:pPr>
              <w:jc w:val="right"/>
              <w:ind w:right="160"/>
              <w:spacing w:after="0"/>
              <w:rPr>
                <w:sz w:val="20"/>
                <w:szCs w:val="20"/>
                <w:color w:val="auto"/>
              </w:rPr>
            </w:pPr>
            <w:r>
              <w:rPr>
                <w:rFonts w:ascii="Arial Narrow" w:cs="Arial Narrow" w:eastAsia="Arial Narrow" w:hAnsi="Arial Narrow"/>
                <w:sz w:val="18"/>
                <w:szCs w:val="18"/>
                <w:b w:val="1"/>
                <w:bCs w:val="1"/>
                <w:color w:val="auto"/>
              </w:rPr>
              <w:t>As of March 31,</w:t>
            </w:r>
          </w:p>
        </w:tc>
        <w:tc>
          <w:tcPr>
            <w:tcW w:w="1020" w:type="dxa"/>
            <w:vAlign w:val="bottom"/>
          </w:tcPr>
          <w:p>
            <w:pPr>
              <w:spacing w:after="0"/>
              <w:rPr>
                <w:sz w:val="24"/>
                <w:szCs w:val="24"/>
                <w:color w:val="auto"/>
              </w:rPr>
            </w:pPr>
          </w:p>
        </w:tc>
      </w:tr>
      <w:tr>
        <w:trPr>
          <w:trHeight w:val="21"/>
        </w:trPr>
        <w:tc>
          <w:tcPr>
            <w:tcW w:w="6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69"/>
        </w:trPr>
        <w:tc>
          <w:tcPr>
            <w:tcW w:w="6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gridSpan w:val="2"/>
          </w:tcPr>
          <w:p>
            <w:pPr>
              <w:jc w:val="right"/>
              <w:ind w:right="110"/>
              <w:spacing w:after="0"/>
              <w:rPr>
                <w:sz w:val="20"/>
                <w:szCs w:val="20"/>
                <w:color w:val="auto"/>
              </w:rPr>
            </w:pPr>
            <w:r>
              <w:rPr>
                <w:rFonts w:ascii="Arial Narrow" w:cs="Arial Narrow" w:eastAsia="Arial Narrow" w:hAnsi="Arial Narrow"/>
                <w:sz w:val="18"/>
                <w:szCs w:val="18"/>
                <w:b w:val="1"/>
                <w:bCs w:val="1"/>
                <w:color w:val="auto"/>
              </w:rPr>
              <w:t>2026</w:t>
            </w: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20" w:type="dxa"/>
            <w:vAlign w:val="bottom"/>
          </w:tcPr>
          <w:p>
            <w:pPr>
              <w:jc w:val="right"/>
              <w:ind w:right="101"/>
              <w:spacing w:after="0"/>
              <w:rPr>
                <w:sz w:val="20"/>
                <w:szCs w:val="20"/>
                <w:color w:val="auto"/>
              </w:rPr>
            </w:pPr>
            <w:r>
              <w:rPr>
                <w:rFonts w:ascii="Arial Narrow" w:cs="Arial Narrow" w:eastAsia="Arial Narrow" w:hAnsi="Arial Narrow"/>
                <w:sz w:val="18"/>
                <w:szCs w:val="18"/>
                <w:b w:val="1"/>
                <w:bCs w:val="1"/>
                <w:color w:val="auto"/>
              </w:rPr>
              <w:t>2025</w:t>
            </w:r>
          </w:p>
        </w:tc>
      </w:tr>
      <w:tr>
        <w:trPr>
          <w:trHeight w:val="21"/>
        </w:trPr>
        <w:tc>
          <w:tcPr>
            <w:tcW w:w="6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44"/>
        </w:trPr>
        <w:tc>
          <w:tcPr>
            <w:tcW w:w="6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80" w:type="dxa"/>
            <w:vAlign w:val="bottom"/>
            <w:gridSpan w:val="3"/>
          </w:tcPr>
          <w:p>
            <w:pPr>
              <w:jc w:val="right"/>
              <w:ind w:right="80"/>
              <w:spacing w:after="0"/>
              <w:rPr>
                <w:sz w:val="20"/>
                <w:szCs w:val="20"/>
                <w:color w:val="auto"/>
              </w:rPr>
            </w:pPr>
            <w:r>
              <w:rPr>
                <w:rFonts w:ascii="Arial Narrow" w:cs="Arial Narrow" w:eastAsia="Arial Narrow" w:hAnsi="Arial Narrow"/>
                <w:sz w:val="16"/>
                <w:szCs w:val="16"/>
                <w:color w:val="auto"/>
              </w:rPr>
              <w:t>(dollars in thousands)</w:t>
            </w:r>
          </w:p>
        </w:tc>
        <w:tc>
          <w:tcPr>
            <w:tcW w:w="1020" w:type="dxa"/>
            <w:vAlign w:val="bottom"/>
          </w:tcPr>
          <w:p>
            <w:pPr>
              <w:spacing w:after="0"/>
              <w:rPr>
                <w:sz w:val="21"/>
                <w:szCs w:val="21"/>
                <w:color w:val="auto"/>
              </w:rPr>
            </w:pPr>
          </w:p>
        </w:tc>
      </w:tr>
      <w:tr>
        <w:trPr>
          <w:trHeight w:val="48"/>
        </w:trPr>
        <w:tc>
          <w:tcPr>
            <w:tcW w:w="6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gridSpan w:val="2"/>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344"/>
        </w:trPr>
        <w:tc>
          <w:tcPr>
            <w:tcW w:w="6100" w:type="dxa"/>
            <w:vAlign w:val="bottom"/>
          </w:tcPr>
          <w:p>
            <w:pPr>
              <w:spacing w:after="0"/>
              <w:rPr>
                <w:sz w:val="20"/>
                <w:szCs w:val="20"/>
                <w:color w:val="auto"/>
              </w:rPr>
            </w:pPr>
            <w:r>
              <w:rPr>
                <w:rFonts w:ascii="Arial Narrow" w:cs="Arial Narrow" w:eastAsia="Arial Narrow" w:hAnsi="Arial Narrow"/>
                <w:sz w:val="20"/>
                <w:szCs w:val="20"/>
                <w:b w:val="1"/>
                <w:bCs w:val="1"/>
                <w:color w:val="00085E"/>
              </w:rPr>
              <w:t>Revolving Credit Facility</w:t>
            </w:r>
          </w:p>
        </w:tc>
        <w:tc>
          <w:tcPr>
            <w:tcW w:w="360" w:type="dxa"/>
            <w:vAlign w:val="bottom"/>
          </w:tcPr>
          <w:p>
            <w:pPr>
              <w:jc w:val="right"/>
              <w:ind w:right="160"/>
              <w:spacing w:after="0"/>
              <w:rPr>
                <w:sz w:val="20"/>
                <w:szCs w:val="20"/>
                <w:color w:val="auto"/>
              </w:rPr>
            </w:pPr>
            <w:r>
              <w:rPr>
                <w:rFonts w:ascii="Arial Narrow" w:cs="Arial Narrow" w:eastAsia="Arial Narrow" w:hAnsi="Arial Narrow"/>
                <w:sz w:val="20"/>
                <w:szCs w:val="20"/>
                <w:color w:val="auto"/>
                <w:w w:val="87"/>
              </w:rPr>
              <w:t>$</w:t>
            </w:r>
          </w:p>
        </w:tc>
        <w:tc>
          <w:tcPr>
            <w:tcW w:w="400" w:type="dxa"/>
            <w:vAlign w:val="bottom"/>
          </w:tcPr>
          <w:p>
            <w:pPr>
              <w:spacing w:after="0"/>
              <w:rPr>
                <w:sz w:val="24"/>
                <w:szCs w:val="24"/>
                <w:color w:val="auto"/>
              </w:rPr>
            </w:pPr>
          </w:p>
        </w:tc>
        <w:tc>
          <w:tcPr>
            <w:tcW w:w="800" w:type="dxa"/>
            <w:vAlign w:val="bottom"/>
          </w:tcPr>
          <w:p>
            <w:pPr>
              <w:jc w:val="right"/>
              <w:ind w:right="110"/>
              <w:spacing w:after="0"/>
              <w:rPr>
                <w:sz w:val="20"/>
                <w:szCs w:val="20"/>
                <w:color w:val="auto"/>
              </w:rPr>
            </w:pPr>
            <w:r>
              <w:rPr>
                <w:rFonts w:ascii="Arial Narrow" w:cs="Arial Narrow" w:eastAsia="Arial Narrow" w:hAnsi="Arial Narrow"/>
                <w:sz w:val="20"/>
                <w:szCs w:val="20"/>
                <w:color w:val="auto"/>
              </w:rPr>
              <w:t>—</w:t>
            </w:r>
          </w:p>
        </w:tc>
        <w:tc>
          <w:tcPr>
            <w:tcW w:w="680" w:type="dxa"/>
            <w:vAlign w:val="bottom"/>
            <w:gridSpan w:val="2"/>
          </w:tcPr>
          <w:p>
            <w:pPr>
              <w:jc w:val="right"/>
              <w:ind w:right="420"/>
              <w:spacing w:after="0"/>
              <w:rPr>
                <w:sz w:val="20"/>
                <w:szCs w:val="20"/>
                <w:color w:val="auto"/>
              </w:rPr>
            </w:pPr>
            <w:r>
              <w:rPr>
                <w:rFonts w:ascii="Arial Narrow" w:cs="Arial Narrow" w:eastAsia="Arial Narrow" w:hAnsi="Arial Narrow"/>
                <w:sz w:val="20"/>
                <w:szCs w:val="20"/>
                <w:color w:val="auto"/>
              </w:rPr>
              <w:t>$</w:t>
            </w:r>
          </w:p>
        </w:tc>
        <w:tc>
          <w:tcPr>
            <w:tcW w:w="1020" w:type="dxa"/>
            <w:vAlign w:val="bottom"/>
          </w:tcPr>
          <w:p>
            <w:pPr>
              <w:jc w:val="right"/>
              <w:ind w:right="101"/>
              <w:spacing w:after="0"/>
              <w:rPr>
                <w:sz w:val="20"/>
                <w:szCs w:val="20"/>
                <w:color w:val="auto"/>
              </w:rPr>
            </w:pPr>
            <w:r>
              <w:rPr>
                <w:rFonts w:ascii="Arial Narrow" w:cs="Arial Narrow" w:eastAsia="Arial Narrow" w:hAnsi="Arial Narrow"/>
                <w:sz w:val="20"/>
                <w:szCs w:val="20"/>
                <w:color w:val="auto"/>
              </w:rPr>
              <w:t>200,000</w:t>
            </w:r>
          </w:p>
        </w:tc>
      </w:tr>
      <w:tr>
        <w:trPr>
          <w:trHeight w:val="65"/>
        </w:trPr>
        <w:tc>
          <w:tcPr>
            <w:tcW w:w="6100" w:type="dxa"/>
            <w:vAlign w:val="bottom"/>
            <w:tcBorders>
              <w:bottom w:val="single" w:sz="8" w:color="A6A6A6"/>
            </w:tcBorders>
          </w:tcPr>
          <w:p>
            <w:pPr>
              <w:spacing w:after="0"/>
              <w:rPr>
                <w:sz w:val="5"/>
                <w:szCs w:val="5"/>
                <w:color w:val="auto"/>
              </w:rPr>
            </w:pPr>
          </w:p>
        </w:tc>
        <w:tc>
          <w:tcPr>
            <w:tcW w:w="360" w:type="dxa"/>
            <w:vAlign w:val="bottom"/>
            <w:tcBorders>
              <w:bottom w:val="single" w:sz="8" w:color="A6A6A6"/>
            </w:tcBorders>
          </w:tcPr>
          <w:p>
            <w:pPr>
              <w:spacing w:after="0"/>
              <w:rPr>
                <w:sz w:val="5"/>
                <w:szCs w:val="5"/>
                <w:color w:val="auto"/>
              </w:rPr>
            </w:pPr>
          </w:p>
        </w:tc>
        <w:tc>
          <w:tcPr>
            <w:tcW w:w="1200" w:type="dxa"/>
            <w:vAlign w:val="bottom"/>
            <w:tcBorders>
              <w:bottom w:val="single" w:sz="8" w:color="A6A6A6"/>
            </w:tcBorders>
            <w:gridSpan w:val="2"/>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520" w:type="dxa"/>
            <w:vAlign w:val="bottom"/>
            <w:tcBorders>
              <w:bottom w:val="single" w:sz="8" w:color="A6A6A6"/>
            </w:tcBorders>
          </w:tcPr>
          <w:p>
            <w:pPr>
              <w:spacing w:after="0"/>
              <w:rPr>
                <w:sz w:val="5"/>
                <w:szCs w:val="5"/>
                <w:color w:val="auto"/>
              </w:rPr>
            </w:pPr>
          </w:p>
        </w:tc>
        <w:tc>
          <w:tcPr>
            <w:tcW w:w="1020" w:type="dxa"/>
            <w:vAlign w:val="bottom"/>
            <w:tcBorders>
              <w:bottom w:val="single" w:sz="8" w:color="A6A6A6"/>
            </w:tcBorders>
          </w:tcPr>
          <w:p>
            <w:pPr>
              <w:spacing w:after="0"/>
              <w:rPr>
                <w:sz w:val="5"/>
                <w:szCs w:val="5"/>
                <w:color w:val="auto"/>
              </w:rPr>
            </w:pPr>
          </w:p>
        </w:tc>
      </w:tr>
      <w:tr>
        <w:trPr>
          <w:trHeight w:val="339"/>
        </w:trPr>
        <w:tc>
          <w:tcPr>
            <w:tcW w:w="6100" w:type="dxa"/>
            <w:vAlign w:val="bottom"/>
          </w:tcPr>
          <w:p>
            <w:pPr>
              <w:spacing w:after="0"/>
              <w:rPr>
                <w:sz w:val="20"/>
                <w:szCs w:val="20"/>
                <w:color w:val="auto"/>
              </w:rPr>
            </w:pPr>
            <w:r>
              <w:rPr>
                <w:rFonts w:ascii="Arial Narrow" w:cs="Arial Narrow" w:eastAsia="Arial Narrow" w:hAnsi="Arial Narrow"/>
                <w:sz w:val="20"/>
                <w:szCs w:val="20"/>
                <w:b w:val="1"/>
                <w:bCs w:val="1"/>
                <w:color w:val="00085E"/>
              </w:rPr>
              <w:t>2.500% Senior Unsecured Notes Due 2031</w:t>
            </w:r>
          </w:p>
        </w:tc>
        <w:tc>
          <w:tcPr>
            <w:tcW w:w="360" w:type="dxa"/>
            <w:vAlign w:val="bottom"/>
          </w:tcPr>
          <w:p>
            <w:pPr>
              <w:spacing w:after="0"/>
              <w:rPr>
                <w:sz w:val="24"/>
                <w:szCs w:val="24"/>
                <w:color w:val="auto"/>
              </w:rPr>
            </w:pPr>
          </w:p>
        </w:tc>
        <w:tc>
          <w:tcPr>
            <w:tcW w:w="1200" w:type="dxa"/>
            <w:vAlign w:val="bottom"/>
            <w:gridSpan w:val="2"/>
          </w:tcPr>
          <w:p>
            <w:pPr>
              <w:jc w:val="right"/>
              <w:ind w:right="110"/>
              <w:spacing w:after="0"/>
              <w:rPr>
                <w:sz w:val="20"/>
                <w:szCs w:val="20"/>
                <w:color w:val="auto"/>
              </w:rPr>
            </w:pPr>
            <w:r>
              <w:rPr>
                <w:rFonts w:ascii="Arial Narrow" w:cs="Arial Narrow" w:eastAsia="Arial Narrow" w:hAnsi="Arial Narrow"/>
                <w:sz w:val="20"/>
                <w:szCs w:val="20"/>
                <w:color w:val="auto"/>
              </w:rPr>
              <w:t>750,000</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right"/>
              <w:ind w:right="101"/>
              <w:spacing w:after="0"/>
              <w:rPr>
                <w:sz w:val="20"/>
                <w:szCs w:val="20"/>
                <w:color w:val="auto"/>
              </w:rPr>
            </w:pPr>
            <w:r>
              <w:rPr>
                <w:rFonts w:ascii="Arial Narrow" w:cs="Arial Narrow" w:eastAsia="Arial Narrow" w:hAnsi="Arial Narrow"/>
                <w:sz w:val="20"/>
                <w:szCs w:val="20"/>
                <w:color w:val="auto"/>
              </w:rPr>
              <w:t>750,000</w:t>
            </w:r>
          </w:p>
        </w:tc>
      </w:tr>
      <w:tr>
        <w:trPr>
          <w:trHeight w:val="65"/>
        </w:trPr>
        <w:tc>
          <w:tcPr>
            <w:tcW w:w="6100" w:type="dxa"/>
            <w:vAlign w:val="bottom"/>
            <w:tcBorders>
              <w:bottom w:val="single" w:sz="8" w:color="A6A6A6"/>
            </w:tcBorders>
          </w:tcPr>
          <w:p>
            <w:pPr>
              <w:spacing w:after="0"/>
              <w:rPr>
                <w:sz w:val="5"/>
                <w:szCs w:val="5"/>
                <w:color w:val="auto"/>
              </w:rPr>
            </w:pPr>
          </w:p>
        </w:tc>
        <w:tc>
          <w:tcPr>
            <w:tcW w:w="360" w:type="dxa"/>
            <w:vAlign w:val="bottom"/>
            <w:tcBorders>
              <w:bottom w:val="single" w:sz="8" w:color="A6A6A6"/>
            </w:tcBorders>
          </w:tcPr>
          <w:p>
            <w:pPr>
              <w:spacing w:after="0"/>
              <w:rPr>
                <w:sz w:val="5"/>
                <w:szCs w:val="5"/>
                <w:color w:val="auto"/>
              </w:rPr>
            </w:pPr>
          </w:p>
        </w:tc>
        <w:tc>
          <w:tcPr>
            <w:tcW w:w="1200" w:type="dxa"/>
            <w:vAlign w:val="bottom"/>
            <w:tcBorders>
              <w:bottom w:val="single" w:sz="8" w:color="A6A6A6"/>
            </w:tcBorders>
            <w:gridSpan w:val="2"/>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520" w:type="dxa"/>
            <w:vAlign w:val="bottom"/>
            <w:tcBorders>
              <w:bottom w:val="single" w:sz="8" w:color="A6A6A6"/>
            </w:tcBorders>
          </w:tcPr>
          <w:p>
            <w:pPr>
              <w:spacing w:after="0"/>
              <w:rPr>
                <w:sz w:val="5"/>
                <w:szCs w:val="5"/>
                <w:color w:val="auto"/>
              </w:rPr>
            </w:pPr>
          </w:p>
        </w:tc>
        <w:tc>
          <w:tcPr>
            <w:tcW w:w="1020" w:type="dxa"/>
            <w:vAlign w:val="bottom"/>
            <w:tcBorders>
              <w:bottom w:val="single" w:sz="8" w:color="A6A6A6"/>
            </w:tcBorders>
          </w:tcPr>
          <w:p>
            <w:pPr>
              <w:spacing w:after="0"/>
              <w:rPr>
                <w:sz w:val="5"/>
                <w:szCs w:val="5"/>
                <w:color w:val="auto"/>
              </w:rPr>
            </w:pPr>
          </w:p>
        </w:tc>
      </w:tr>
      <w:tr>
        <w:trPr>
          <w:trHeight w:val="339"/>
        </w:trPr>
        <w:tc>
          <w:tcPr>
            <w:tcW w:w="6100" w:type="dxa"/>
            <w:vAlign w:val="bottom"/>
          </w:tcPr>
          <w:p>
            <w:pPr>
              <w:spacing w:after="0"/>
              <w:rPr>
                <w:sz w:val="20"/>
                <w:szCs w:val="20"/>
                <w:color w:val="auto"/>
              </w:rPr>
            </w:pPr>
            <w:r>
              <w:rPr>
                <w:rFonts w:ascii="Arial Narrow" w:cs="Arial Narrow" w:eastAsia="Arial Narrow" w:hAnsi="Arial Narrow"/>
                <w:sz w:val="20"/>
                <w:szCs w:val="20"/>
                <w:b w:val="1"/>
                <w:bCs w:val="1"/>
                <w:color w:val="00085E"/>
              </w:rPr>
              <w:t>5.000% Senior Unsecured Notes Due 2036</w:t>
            </w:r>
          </w:p>
        </w:tc>
        <w:tc>
          <w:tcPr>
            <w:tcW w:w="360" w:type="dxa"/>
            <w:vAlign w:val="bottom"/>
          </w:tcPr>
          <w:p>
            <w:pPr>
              <w:spacing w:after="0"/>
              <w:rPr>
                <w:sz w:val="24"/>
                <w:szCs w:val="24"/>
                <w:color w:val="auto"/>
              </w:rPr>
            </w:pPr>
          </w:p>
        </w:tc>
        <w:tc>
          <w:tcPr>
            <w:tcW w:w="1200" w:type="dxa"/>
            <w:vAlign w:val="bottom"/>
            <w:gridSpan w:val="2"/>
          </w:tcPr>
          <w:p>
            <w:pPr>
              <w:jc w:val="right"/>
              <w:ind w:right="110"/>
              <w:spacing w:after="0"/>
              <w:rPr>
                <w:sz w:val="20"/>
                <w:szCs w:val="20"/>
                <w:color w:val="auto"/>
              </w:rPr>
            </w:pPr>
            <w:r>
              <w:rPr>
                <w:rFonts w:ascii="Arial Narrow" w:cs="Arial Narrow" w:eastAsia="Arial Narrow" w:hAnsi="Arial Narrow"/>
                <w:sz w:val="20"/>
                <w:szCs w:val="20"/>
                <w:color w:val="auto"/>
              </w:rPr>
              <w:t>750,000</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right"/>
              <w:ind w:right="101"/>
              <w:spacing w:after="0"/>
              <w:rPr>
                <w:sz w:val="20"/>
                <w:szCs w:val="20"/>
                <w:color w:val="auto"/>
              </w:rPr>
            </w:pPr>
            <w:r>
              <w:rPr>
                <w:rFonts w:ascii="Arial Narrow" w:cs="Arial Narrow" w:eastAsia="Arial Narrow" w:hAnsi="Arial Narrow"/>
                <w:sz w:val="20"/>
                <w:szCs w:val="20"/>
                <w:color w:val="auto"/>
              </w:rPr>
              <w:t>—</w:t>
            </w:r>
          </w:p>
        </w:tc>
      </w:tr>
      <w:tr>
        <w:trPr>
          <w:trHeight w:val="65"/>
        </w:trPr>
        <w:tc>
          <w:tcPr>
            <w:tcW w:w="6100" w:type="dxa"/>
            <w:vAlign w:val="bottom"/>
            <w:tcBorders>
              <w:bottom w:val="single" w:sz="8" w:color="A6A6A6"/>
            </w:tcBorders>
          </w:tcPr>
          <w:p>
            <w:pPr>
              <w:spacing w:after="0"/>
              <w:rPr>
                <w:sz w:val="5"/>
                <w:szCs w:val="5"/>
                <w:color w:val="auto"/>
              </w:rPr>
            </w:pPr>
          </w:p>
        </w:tc>
        <w:tc>
          <w:tcPr>
            <w:tcW w:w="360" w:type="dxa"/>
            <w:vAlign w:val="bottom"/>
            <w:tcBorders>
              <w:bottom w:val="single" w:sz="8" w:color="A6A6A6"/>
            </w:tcBorders>
          </w:tcPr>
          <w:p>
            <w:pPr>
              <w:spacing w:after="0"/>
              <w:rPr>
                <w:sz w:val="5"/>
                <w:szCs w:val="5"/>
                <w:color w:val="auto"/>
              </w:rPr>
            </w:pPr>
          </w:p>
        </w:tc>
        <w:tc>
          <w:tcPr>
            <w:tcW w:w="1200" w:type="dxa"/>
            <w:vAlign w:val="bottom"/>
            <w:tcBorders>
              <w:bottom w:val="single" w:sz="8" w:color="A6A6A6"/>
            </w:tcBorders>
            <w:gridSpan w:val="2"/>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520" w:type="dxa"/>
            <w:vAlign w:val="bottom"/>
            <w:tcBorders>
              <w:bottom w:val="single" w:sz="8" w:color="A6A6A6"/>
            </w:tcBorders>
          </w:tcPr>
          <w:p>
            <w:pPr>
              <w:spacing w:after="0"/>
              <w:rPr>
                <w:sz w:val="5"/>
                <w:szCs w:val="5"/>
                <w:color w:val="auto"/>
              </w:rPr>
            </w:pPr>
          </w:p>
        </w:tc>
        <w:tc>
          <w:tcPr>
            <w:tcW w:w="1020" w:type="dxa"/>
            <w:vAlign w:val="bottom"/>
            <w:tcBorders>
              <w:bottom w:val="single" w:sz="8" w:color="A6A6A6"/>
            </w:tcBorders>
          </w:tcPr>
          <w:p>
            <w:pPr>
              <w:spacing w:after="0"/>
              <w:rPr>
                <w:sz w:val="5"/>
                <w:szCs w:val="5"/>
                <w:color w:val="auto"/>
              </w:rPr>
            </w:pPr>
          </w:p>
        </w:tc>
      </w:tr>
      <w:tr>
        <w:trPr>
          <w:trHeight w:val="339"/>
        </w:trPr>
        <w:tc>
          <w:tcPr>
            <w:tcW w:w="6100" w:type="dxa"/>
            <w:vAlign w:val="bottom"/>
          </w:tcPr>
          <w:p>
            <w:pPr>
              <w:spacing w:after="0"/>
              <w:rPr>
                <w:sz w:val="20"/>
                <w:szCs w:val="20"/>
                <w:color w:val="auto"/>
              </w:rPr>
            </w:pPr>
            <w:r>
              <w:rPr>
                <w:rFonts w:ascii="Arial Narrow" w:cs="Arial Narrow" w:eastAsia="Arial Narrow" w:hAnsi="Arial Narrow"/>
                <w:sz w:val="20"/>
                <w:szCs w:val="20"/>
                <w:b w:val="1"/>
                <w:bCs w:val="1"/>
                <w:color w:val="00085E"/>
              </w:rPr>
              <w:t>Term Loan</w:t>
            </w:r>
          </w:p>
        </w:tc>
        <w:tc>
          <w:tcPr>
            <w:tcW w:w="360" w:type="dxa"/>
            <w:vAlign w:val="bottom"/>
          </w:tcPr>
          <w:p>
            <w:pPr>
              <w:spacing w:after="0"/>
              <w:rPr>
                <w:sz w:val="24"/>
                <w:szCs w:val="24"/>
                <w:color w:val="auto"/>
              </w:rPr>
            </w:pPr>
          </w:p>
        </w:tc>
        <w:tc>
          <w:tcPr>
            <w:tcW w:w="1200" w:type="dxa"/>
            <w:vAlign w:val="bottom"/>
            <w:gridSpan w:val="2"/>
          </w:tcPr>
          <w:p>
            <w:pPr>
              <w:jc w:val="right"/>
              <w:ind w:right="110"/>
              <w:spacing w:after="0"/>
              <w:rPr>
                <w:sz w:val="20"/>
                <w:szCs w:val="20"/>
                <w:color w:val="auto"/>
              </w:rPr>
            </w:pPr>
            <w:r>
              <w:rPr>
                <w:rFonts w:ascii="Arial Narrow" w:cs="Arial Narrow" w:eastAsia="Arial Narrow" w:hAnsi="Arial Narrow"/>
                <w:sz w:val="20"/>
                <w:szCs w:val="20"/>
                <w:color w:val="auto"/>
              </w:rPr>
              <w:t>281,250</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right"/>
              <w:ind w:right="101"/>
              <w:spacing w:after="0"/>
              <w:rPr>
                <w:sz w:val="20"/>
                <w:szCs w:val="20"/>
                <w:color w:val="auto"/>
              </w:rPr>
            </w:pPr>
            <w:r>
              <w:rPr>
                <w:rFonts w:ascii="Arial Narrow" w:cs="Arial Narrow" w:eastAsia="Arial Narrow" w:hAnsi="Arial Narrow"/>
                <w:sz w:val="20"/>
                <w:szCs w:val="20"/>
                <w:color w:val="auto"/>
              </w:rPr>
              <w:t>296,250</w:t>
            </w:r>
          </w:p>
        </w:tc>
      </w:tr>
      <w:tr>
        <w:trPr>
          <w:trHeight w:val="90"/>
        </w:trPr>
        <w:tc>
          <w:tcPr>
            <w:tcW w:w="6100" w:type="dxa"/>
            <w:vAlign w:val="bottom"/>
            <w:tcBorders>
              <w:bottom w:val="single" w:sz="8" w:color="A6A6A6"/>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gridSpan w:val="2"/>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r>
      <w:tr>
        <w:trPr>
          <w:trHeight w:val="344"/>
        </w:trPr>
        <w:tc>
          <w:tcPr>
            <w:tcW w:w="6100" w:type="dxa"/>
            <w:vAlign w:val="bottom"/>
          </w:tcPr>
          <w:p>
            <w:pPr>
              <w:ind w:left="200"/>
              <w:spacing w:after="0"/>
              <w:rPr>
                <w:sz w:val="20"/>
                <w:szCs w:val="20"/>
                <w:color w:val="auto"/>
              </w:rPr>
            </w:pPr>
            <w:r>
              <w:rPr>
                <w:rFonts w:ascii="Arial Narrow" w:cs="Arial Narrow" w:eastAsia="Arial Narrow" w:hAnsi="Arial Narrow"/>
                <w:sz w:val="20"/>
                <w:szCs w:val="20"/>
                <w:b w:val="1"/>
                <w:bCs w:val="1"/>
                <w:color w:val="00085E"/>
              </w:rPr>
              <w:t>Total Debt</w:t>
            </w:r>
          </w:p>
        </w:tc>
        <w:tc>
          <w:tcPr>
            <w:tcW w:w="360" w:type="dxa"/>
            <w:vAlign w:val="bottom"/>
          </w:tcPr>
          <w:p>
            <w:pPr>
              <w:spacing w:after="0"/>
              <w:rPr>
                <w:sz w:val="24"/>
                <w:szCs w:val="24"/>
                <w:color w:val="auto"/>
              </w:rPr>
            </w:pPr>
          </w:p>
        </w:tc>
        <w:tc>
          <w:tcPr>
            <w:tcW w:w="1200" w:type="dxa"/>
            <w:vAlign w:val="bottom"/>
            <w:gridSpan w:val="2"/>
          </w:tcPr>
          <w:p>
            <w:pPr>
              <w:jc w:val="right"/>
              <w:ind w:right="110"/>
              <w:spacing w:after="0"/>
              <w:rPr>
                <w:sz w:val="20"/>
                <w:szCs w:val="20"/>
                <w:color w:val="auto"/>
              </w:rPr>
            </w:pPr>
            <w:r>
              <w:rPr>
                <w:rFonts w:ascii="Arial Narrow" w:cs="Arial Narrow" w:eastAsia="Arial Narrow" w:hAnsi="Arial Narrow"/>
                <w:sz w:val="20"/>
                <w:szCs w:val="20"/>
                <w:color w:val="auto"/>
              </w:rPr>
              <w:t>1,781,250</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right"/>
              <w:ind w:right="101"/>
              <w:spacing w:after="0"/>
              <w:rPr>
                <w:sz w:val="20"/>
                <w:szCs w:val="20"/>
                <w:color w:val="auto"/>
              </w:rPr>
            </w:pPr>
            <w:r>
              <w:rPr>
                <w:rFonts w:ascii="Arial Narrow" w:cs="Arial Narrow" w:eastAsia="Arial Narrow" w:hAnsi="Arial Narrow"/>
                <w:sz w:val="20"/>
                <w:szCs w:val="20"/>
                <w:color w:val="auto"/>
              </w:rPr>
              <w:t>1,246,250</w:t>
            </w:r>
          </w:p>
        </w:tc>
      </w:tr>
      <w:tr>
        <w:trPr>
          <w:trHeight w:val="65"/>
        </w:trPr>
        <w:tc>
          <w:tcPr>
            <w:tcW w:w="6100" w:type="dxa"/>
            <w:vAlign w:val="bottom"/>
            <w:tcBorders>
              <w:bottom w:val="single" w:sz="8" w:color="A6A6A6"/>
            </w:tcBorders>
          </w:tcPr>
          <w:p>
            <w:pPr>
              <w:spacing w:after="0"/>
              <w:rPr>
                <w:sz w:val="5"/>
                <w:szCs w:val="5"/>
                <w:color w:val="auto"/>
              </w:rPr>
            </w:pPr>
          </w:p>
        </w:tc>
        <w:tc>
          <w:tcPr>
            <w:tcW w:w="360" w:type="dxa"/>
            <w:vAlign w:val="bottom"/>
            <w:tcBorders>
              <w:bottom w:val="single" w:sz="8" w:color="A6A6A6"/>
            </w:tcBorders>
          </w:tcPr>
          <w:p>
            <w:pPr>
              <w:spacing w:after="0"/>
              <w:rPr>
                <w:sz w:val="5"/>
                <w:szCs w:val="5"/>
                <w:color w:val="auto"/>
              </w:rPr>
            </w:pPr>
          </w:p>
        </w:tc>
        <w:tc>
          <w:tcPr>
            <w:tcW w:w="1200" w:type="dxa"/>
            <w:vAlign w:val="bottom"/>
            <w:tcBorders>
              <w:bottom w:val="single" w:sz="8" w:color="A6A6A6"/>
            </w:tcBorders>
            <w:gridSpan w:val="2"/>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520" w:type="dxa"/>
            <w:vAlign w:val="bottom"/>
            <w:tcBorders>
              <w:bottom w:val="single" w:sz="8" w:color="A6A6A6"/>
            </w:tcBorders>
          </w:tcPr>
          <w:p>
            <w:pPr>
              <w:spacing w:after="0"/>
              <w:rPr>
                <w:sz w:val="5"/>
                <w:szCs w:val="5"/>
                <w:color w:val="auto"/>
              </w:rPr>
            </w:pPr>
          </w:p>
        </w:tc>
        <w:tc>
          <w:tcPr>
            <w:tcW w:w="1020" w:type="dxa"/>
            <w:vAlign w:val="bottom"/>
            <w:tcBorders>
              <w:bottom w:val="single" w:sz="8" w:color="A6A6A6"/>
            </w:tcBorders>
          </w:tcPr>
          <w:p>
            <w:pPr>
              <w:spacing w:after="0"/>
              <w:rPr>
                <w:sz w:val="5"/>
                <w:szCs w:val="5"/>
                <w:color w:val="auto"/>
              </w:rPr>
            </w:pPr>
          </w:p>
        </w:tc>
      </w:tr>
      <w:tr>
        <w:trPr>
          <w:trHeight w:val="339"/>
        </w:trPr>
        <w:tc>
          <w:tcPr>
            <w:tcW w:w="6100" w:type="dxa"/>
            <w:vAlign w:val="bottom"/>
          </w:tcPr>
          <w:p>
            <w:pPr>
              <w:spacing w:after="0"/>
              <w:rPr>
                <w:sz w:val="20"/>
                <w:szCs w:val="20"/>
                <w:color w:val="auto"/>
              </w:rPr>
            </w:pPr>
            <w:r>
              <w:rPr>
                <w:rFonts w:ascii="Arial Narrow" w:cs="Arial Narrow" w:eastAsia="Arial Narrow" w:hAnsi="Arial Narrow"/>
                <w:sz w:val="20"/>
                <w:szCs w:val="20"/>
                <w:b w:val="1"/>
                <w:bCs w:val="1"/>
                <w:color w:val="00085E"/>
              </w:rPr>
              <w:t>Less: Current Portion of Long-Term Debt</w:t>
            </w:r>
          </w:p>
        </w:tc>
        <w:tc>
          <w:tcPr>
            <w:tcW w:w="360" w:type="dxa"/>
            <w:vAlign w:val="bottom"/>
          </w:tcPr>
          <w:p>
            <w:pPr>
              <w:spacing w:after="0"/>
              <w:rPr>
                <w:sz w:val="24"/>
                <w:szCs w:val="24"/>
                <w:color w:val="auto"/>
              </w:rPr>
            </w:pPr>
          </w:p>
        </w:tc>
        <w:tc>
          <w:tcPr>
            <w:tcW w:w="1200" w:type="dxa"/>
            <w:vAlign w:val="bottom"/>
            <w:gridSpan w:val="2"/>
          </w:tcPr>
          <w:p>
            <w:pPr>
              <w:jc w:val="right"/>
              <w:ind w:right="50"/>
              <w:spacing w:after="0"/>
              <w:rPr>
                <w:sz w:val="20"/>
                <w:szCs w:val="20"/>
                <w:color w:val="auto"/>
              </w:rPr>
            </w:pPr>
            <w:r>
              <w:rPr>
                <w:rFonts w:ascii="Arial Narrow" w:cs="Arial Narrow" w:eastAsia="Arial Narrow" w:hAnsi="Arial Narrow"/>
                <w:sz w:val="20"/>
                <w:szCs w:val="20"/>
                <w:color w:val="auto"/>
              </w:rPr>
              <w:t>(15,000)</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right"/>
              <w:ind w:right="21"/>
              <w:spacing w:after="0"/>
              <w:rPr>
                <w:sz w:val="20"/>
                <w:szCs w:val="20"/>
                <w:color w:val="auto"/>
              </w:rPr>
            </w:pPr>
            <w:r>
              <w:rPr>
                <w:rFonts w:ascii="Arial Narrow" w:cs="Arial Narrow" w:eastAsia="Arial Narrow" w:hAnsi="Arial Narrow"/>
                <w:sz w:val="20"/>
                <w:szCs w:val="20"/>
                <w:color w:val="auto"/>
              </w:rPr>
              <w:t>(15,000)</w:t>
            </w:r>
          </w:p>
        </w:tc>
      </w:tr>
      <w:tr>
        <w:trPr>
          <w:trHeight w:val="65"/>
        </w:trPr>
        <w:tc>
          <w:tcPr>
            <w:tcW w:w="6100" w:type="dxa"/>
            <w:vAlign w:val="bottom"/>
            <w:tcBorders>
              <w:bottom w:val="single" w:sz="8" w:color="A6A6A6"/>
            </w:tcBorders>
          </w:tcPr>
          <w:p>
            <w:pPr>
              <w:spacing w:after="0"/>
              <w:rPr>
                <w:sz w:val="5"/>
                <w:szCs w:val="5"/>
                <w:color w:val="auto"/>
              </w:rPr>
            </w:pPr>
          </w:p>
        </w:tc>
        <w:tc>
          <w:tcPr>
            <w:tcW w:w="360" w:type="dxa"/>
            <w:vAlign w:val="bottom"/>
            <w:tcBorders>
              <w:bottom w:val="single" w:sz="8" w:color="A6A6A6"/>
            </w:tcBorders>
          </w:tcPr>
          <w:p>
            <w:pPr>
              <w:spacing w:after="0"/>
              <w:rPr>
                <w:sz w:val="5"/>
                <w:szCs w:val="5"/>
                <w:color w:val="auto"/>
              </w:rPr>
            </w:pPr>
          </w:p>
        </w:tc>
        <w:tc>
          <w:tcPr>
            <w:tcW w:w="1200" w:type="dxa"/>
            <w:vAlign w:val="bottom"/>
            <w:tcBorders>
              <w:bottom w:val="single" w:sz="8" w:color="A6A6A6"/>
            </w:tcBorders>
            <w:gridSpan w:val="2"/>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520" w:type="dxa"/>
            <w:vAlign w:val="bottom"/>
            <w:tcBorders>
              <w:bottom w:val="single" w:sz="8" w:color="A6A6A6"/>
            </w:tcBorders>
          </w:tcPr>
          <w:p>
            <w:pPr>
              <w:spacing w:after="0"/>
              <w:rPr>
                <w:sz w:val="5"/>
                <w:szCs w:val="5"/>
                <w:color w:val="auto"/>
              </w:rPr>
            </w:pPr>
          </w:p>
        </w:tc>
        <w:tc>
          <w:tcPr>
            <w:tcW w:w="1020" w:type="dxa"/>
            <w:vAlign w:val="bottom"/>
            <w:tcBorders>
              <w:bottom w:val="single" w:sz="8" w:color="A6A6A6"/>
            </w:tcBorders>
          </w:tcPr>
          <w:p>
            <w:pPr>
              <w:spacing w:after="0"/>
              <w:rPr>
                <w:sz w:val="5"/>
                <w:szCs w:val="5"/>
                <w:color w:val="auto"/>
              </w:rPr>
            </w:pPr>
          </w:p>
        </w:tc>
      </w:tr>
      <w:tr>
        <w:trPr>
          <w:trHeight w:val="339"/>
        </w:trPr>
        <w:tc>
          <w:tcPr>
            <w:tcW w:w="6100" w:type="dxa"/>
            <w:vAlign w:val="bottom"/>
          </w:tcPr>
          <w:p>
            <w:pPr>
              <w:spacing w:after="0"/>
              <w:rPr>
                <w:sz w:val="20"/>
                <w:szCs w:val="20"/>
                <w:color w:val="auto"/>
              </w:rPr>
            </w:pPr>
            <w:r>
              <w:rPr>
                <w:rFonts w:ascii="Arial Narrow" w:cs="Arial Narrow" w:eastAsia="Arial Narrow" w:hAnsi="Arial Narrow"/>
                <w:sz w:val="20"/>
                <w:szCs w:val="20"/>
                <w:b w:val="1"/>
                <w:bCs w:val="1"/>
                <w:color w:val="00085E"/>
              </w:rPr>
              <w:t>Less: Unamortized Discount and Debt Issuance Costs</w:t>
            </w:r>
          </w:p>
        </w:tc>
        <w:tc>
          <w:tcPr>
            <w:tcW w:w="360" w:type="dxa"/>
            <w:vAlign w:val="bottom"/>
          </w:tcPr>
          <w:p>
            <w:pPr>
              <w:spacing w:after="0"/>
              <w:rPr>
                <w:sz w:val="24"/>
                <w:szCs w:val="24"/>
                <w:color w:val="auto"/>
              </w:rPr>
            </w:pPr>
          </w:p>
        </w:tc>
        <w:tc>
          <w:tcPr>
            <w:tcW w:w="1200" w:type="dxa"/>
            <w:vAlign w:val="bottom"/>
            <w:gridSpan w:val="2"/>
          </w:tcPr>
          <w:p>
            <w:pPr>
              <w:jc w:val="right"/>
              <w:ind w:right="50"/>
              <w:spacing w:after="0"/>
              <w:rPr>
                <w:sz w:val="20"/>
                <w:szCs w:val="20"/>
                <w:color w:val="auto"/>
              </w:rPr>
            </w:pPr>
            <w:r>
              <w:rPr>
                <w:rFonts w:ascii="Arial Narrow" w:cs="Arial Narrow" w:eastAsia="Arial Narrow" w:hAnsi="Arial Narrow"/>
                <w:sz w:val="20"/>
                <w:szCs w:val="20"/>
                <w:color w:val="auto"/>
              </w:rPr>
              <w:t>(21,169)</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right"/>
              <w:ind w:right="21"/>
              <w:spacing w:after="0"/>
              <w:rPr>
                <w:sz w:val="20"/>
                <w:szCs w:val="20"/>
                <w:color w:val="auto"/>
              </w:rPr>
            </w:pPr>
            <w:r>
              <w:rPr>
                <w:rFonts w:ascii="Arial Narrow" w:cs="Arial Narrow" w:eastAsia="Arial Narrow" w:hAnsi="Arial Narrow"/>
                <w:sz w:val="20"/>
                <w:szCs w:val="20"/>
                <w:color w:val="auto"/>
              </w:rPr>
              <w:t>(7,934)</w:t>
            </w:r>
          </w:p>
        </w:tc>
      </w:tr>
      <w:tr>
        <w:trPr>
          <w:trHeight w:val="90"/>
        </w:trPr>
        <w:tc>
          <w:tcPr>
            <w:tcW w:w="6100" w:type="dxa"/>
            <w:vAlign w:val="bottom"/>
            <w:tcBorders>
              <w:bottom w:val="single" w:sz="8" w:color="A6A6A6"/>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gridSpan w:val="2"/>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r>
      <w:tr>
        <w:trPr>
          <w:trHeight w:val="344"/>
        </w:trPr>
        <w:tc>
          <w:tcPr>
            <w:tcW w:w="6100" w:type="dxa"/>
            <w:vAlign w:val="bottom"/>
          </w:tcPr>
          <w:p>
            <w:pPr>
              <w:ind w:left="200"/>
              <w:spacing w:after="0"/>
              <w:rPr>
                <w:sz w:val="20"/>
                <w:szCs w:val="20"/>
                <w:color w:val="auto"/>
              </w:rPr>
            </w:pPr>
            <w:r>
              <w:rPr>
                <w:rFonts w:ascii="Arial Narrow" w:cs="Arial Narrow" w:eastAsia="Arial Narrow" w:hAnsi="Arial Narrow"/>
                <w:sz w:val="20"/>
                <w:szCs w:val="20"/>
                <w:b w:val="1"/>
                <w:bCs w:val="1"/>
                <w:color w:val="auto"/>
              </w:rPr>
              <w:t>Long-Term Debt</w:t>
            </w:r>
          </w:p>
        </w:tc>
        <w:tc>
          <w:tcPr>
            <w:tcW w:w="360" w:type="dxa"/>
            <w:vAlign w:val="bottom"/>
          </w:tcPr>
          <w:p>
            <w:pPr>
              <w:jc w:val="right"/>
              <w:ind w:right="160"/>
              <w:spacing w:after="0"/>
              <w:rPr>
                <w:sz w:val="20"/>
                <w:szCs w:val="20"/>
                <w:color w:val="auto"/>
              </w:rPr>
            </w:pPr>
            <w:r>
              <w:rPr>
                <w:rFonts w:ascii="Arial Narrow" w:cs="Arial Narrow" w:eastAsia="Arial Narrow" w:hAnsi="Arial Narrow"/>
                <w:sz w:val="20"/>
                <w:szCs w:val="20"/>
                <w:b w:val="1"/>
                <w:bCs w:val="1"/>
                <w:color w:val="auto"/>
                <w:w w:val="87"/>
              </w:rPr>
              <w:t>$</w:t>
            </w:r>
          </w:p>
        </w:tc>
        <w:tc>
          <w:tcPr>
            <w:tcW w:w="1200" w:type="dxa"/>
            <w:vAlign w:val="bottom"/>
            <w:gridSpan w:val="2"/>
          </w:tcPr>
          <w:p>
            <w:pPr>
              <w:jc w:val="right"/>
              <w:ind w:right="110"/>
              <w:spacing w:after="0"/>
              <w:rPr>
                <w:sz w:val="20"/>
                <w:szCs w:val="20"/>
                <w:color w:val="auto"/>
              </w:rPr>
            </w:pPr>
            <w:r>
              <w:rPr>
                <w:rFonts w:ascii="Arial Narrow" w:cs="Arial Narrow" w:eastAsia="Arial Narrow" w:hAnsi="Arial Narrow"/>
                <w:sz w:val="20"/>
                <w:szCs w:val="20"/>
                <w:b w:val="1"/>
                <w:bCs w:val="1"/>
                <w:color w:val="auto"/>
              </w:rPr>
              <w:t>1,745,081</w:t>
            </w:r>
          </w:p>
        </w:tc>
        <w:tc>
          <w:tcPr>
            <w:tcW w:w="680" w:type="dxa"/>
            <w:vAlign w:val="bottom"/>
            <w:gridSpan w:val="2"/>
          </w:tcPr>
          <w:p>
            <w:pPr>
              <w:jc w:val="right"/>
              <w:ind w:right="420"/>
              <w:spacing w:after="0"/>
              <w:rPr>
                <w:sz w:val="20"/>
                <w:szCs w:val="20"/>
                <w:color w:val="auto"/>
              </w:rPr>
            </w:pPr>
            <w:r>
              <w:rPr>
                <w:rFonts w:ascii="Arial Narrow" w:cs="Arial Narrow" w:eastAsia="Arial Narrow" w:hAnsi="Arial Narrow"/>
                <w:sz w:val="20"/>
                <w:szCs w:val="20"/>
                <w:b w:val="1"/>
                <w:bCs w:val="1"/>
                <w:color w:val="auto"/>
              </w:rPr>
              <w:t>$</w:t>
            </w:r>
          </w:p>
        </w:tc>
        <w:tc>
          <w:tcPr>
            <w:tcW w:w="1020" w:type="dxa"/>
            <w:vAlign w:val="bottom"/>
          </w:tcPr>
          <w:p>
            <w:pPr>
              <w:jc w:val="right"/>
              <w:ind w:right="101"/>
              <w:spacing w:after="0"/>
              <w:rPr>
                <w:sz w:val="20"/>
                <w:szCs w:val="20"/>
                <w:color w:val="auto"/>
              </w:rPr>
            </w:pPr>
            <w:r>
              <w:rPr>
                <w:rFonts w:ascii="Arial Narrow" w:cs="Arial Narrow" w:eastAsia="Arial Narrow" w:hAnsi="Arial Narrow"/>
                <w:sz w:val="20"/>
                <w:szCs w:val="20"/>
                <w:b w:val="1"/>
                <w:bCs w:val="1"/>
                <w:color w:val="auto"/>
              </w:rPr>
              <w:t>1,223,316</w:t>
            </w:r>
          </w:p>
        </w:tc>
      </w:tr>
      <w:tr>
        <w:trPr>
          <w:trHeight w:val="65"/>
        </w:trPr>
        <w:tc>
          <w:tcPr>
            <w:tcW w:w="610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r>
      <w:tr>
        <w:trPr>
          <w:trHeight w:val="20"/>
        </w:trPr>
        <w:tc>
          <w:tcPr>
            <w:tcW w:w="6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360"/>
          </w:cols>
          <w:pgMar w:left="1260" w:top="1239"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89</w:t>
      </w:r>
    </w:p>
    <w:p>
      <w:pPr>
        <w:sectPr>
          <w:pgSz w:w="11880" w:h="15480" w:orient="portrait"/>
          <w:cols w:equalWidth="0" w:num="1">
            <w:col w:w="9360"/>
          </w:cols>
          <w:pgMar w:left="1260" w:top="1239" w:right="1260" w:bottom="0" w:gutter="0" w:footer="0" w:header="0"/>
          <w:type w:val="continuous"/>
        </w:sectPr>
      </w:pPr>
    </w:p>
    <w:bookmarkStart w:id="97" w:name="page98"/>
    <w:bookmarkEnd w:id="97"/>
    <w:p>
      <w:pPr>
        <w:ind w:right="100"/>
        <w:spacing w:after="0" w:line="290" w:lineRule="auto"/>
        <w:rPr>
          <w:sz w:val="20"/>
          <w:szCs w:val="20"/>
          <w:color w:val="auto"/>
        </w:rPr>
      </w:pPr>
      <w:r>
        <w:rPr>
          <w:rFonts w:ascii="Arial" w:cs="Arial" w:eastAsia="Arial" w:hAnsi="Arial"/>
          <w:sz w:val="20"/>
          <w:szCs w:val="20"/>
          <w:color w:val="auto"/>
        </w:rPr>
        <w:t>The weighted-average interest rates of borrowings under our Revolving Credit Facility during fiscal years 2026, 2025, and 2024 were approximately 5.7%, 6.5%, and 6.6%, respectively. The weighted-average interest rates on our Term Loan were approximately 5.5% and 6.3% during fiscal years 2026 and 2025, respectively. The interest rates on the Term Loan was approximately 5.0% and 5.7% at March 31, 2026, and 2025, respectively. The interest rate on the Revolving Credit Facility was 5.7% at March 31, 2025. There was no outstanding balance on the Revolving Credit Facility at March 31, 2026.</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085E"/>
        </w:rPr>
        <w:t>Revolving Credit Facility</w:t>
      </w:r>
    </w:p>
    <w:p>
      <w:pPr>
        <w:spacing w:after="0" w:line="161" w:lineRule="exact"/>
        <w:rPr>
          <w:sz w:val="20"/>
          <w:szCs w:val="20"/>
          <w:color w:val="auto"/>
        </w:rPr>
      </w:pPr>
    </w:p>
    <w:p>
      <w:pPr>
        <w:ind w:right="60"/>
        <w:spacing w:after="0" w:line="288" w:lineRule="auto"/>
        <w:rPr>
          <w:sz w:val="20"/>
          <w:szCs w:val="20"/>
          <w:color w:val="auto"/>
        </w:rPr>
      </w:pPr>
      <w:r>
        <w:rPr>
          <w:rFonts w:ascii="Arial" w:cs="Arial" w:eastAsia="Arial" w:hAnsi="Arial"/>
          <w:sz w:val="20"/>
          <w:szCs w:val="20"/>
          <w:color w:val="auto"/>
        </w:rPr>
        <w:t>We have an unsecured $750.0 million revolving credit facility, which includes a separate term loan facility (Term Loan), that was amended on February 4, 2025. Under the terms of the amendment, we extended the expiration date to February 4, 2030 and increased the Term Loan portion of the facility from $200.0 million to $300.0 million (such facility, as amended, the Revolving Credit Facility). The Revolving Credit Facility also provides the Company the option to increase the borrowing capacity by up to $375.0 million (for a total borrowing capacity of $1,125.0 million, excluding the Term Loan), provided that the existing lenders, or new lenders, agree to such increase. The Revolving Credit Facility includes a $40.0 million letter of credit facility and a swingline loan sub-facility of $25.0 million.</w:t>
      </w:r>
    </w:p>
    <w:p>
      <w:pPr>
        <w:spacing w:after="0" w:line="72" w:lineRule="exact"/>
        <w:rPr>
          <w:sz w:val="20"/>
          <w:szCs w:val="20"/>
          <w:color w:val="auto"/>
        </w:rPr>
      </w:pPr>
    </w:p>
    <w:p>
      <w:pPr>
        <w:ind w:right="220"/>
        <w:spacing w:after="0" w:line="289" w:lineRule="auto"/>
        <w:rPr>
          <w:sz w:val="20"/>
          <w:szCs w:val="20"/>
          <w:color w:val="auto"/>
        </w:rPr>
      </w:pPr>
      <w:r>
        <w:rPr>
          <w:rFonts w:ascii="Arial" w:cs="Arial" w:eastAsia="Arial" w:hAnsi="Arial"/>
          <w:sz w:val="20"/>
          <w:szCs w:val="20"/>
          <w:color w:val="auto"/>
        </w:rPr>
        <w:t>The Revolving Credit Facility contains customary covenants for an unsecured investment-grade facility, including covenants that restrict the Company’s and/or its subsidiaries’ ability to incur additional debt; encumber assets; merge with or transfer or sell assets to other persons; and enter into certain affiliate transactions. The Revolving Credit Facility also requires the Company to maintain at the end of each fiscal quarter a Leverage Ratio of 3.50:1.00 or less and an Interest Coverage Ratio (both ratios, as defined in the Revolving Credit Facility) equal to or greater than 2.50 to 1.00 (collectively, the Financial Covenants).</w:t>
      </w:r>
    </w:p>
    <w:p>
      <w:pPr>
        <w:spacing w:after="0" w:line="71" w:lineRule="exact"/>
        <w:rPr>
          <w:sz w:val="20"/>
          <w:szCs w:val="20"/>
          <w:color w:val="auto"/>
        </w:rPr>
      </w:pPr>
    </w:p>
    <w:p>
      <w:pPr>
        <w:spacing w:after="0" w:line="284" w:lineRule="auto"/>
        <w:rPr>
          <w:sz w:val="20"/>
          <w:szCs w:val="20"/>
          <w:color w:val="auto"/>
        </w:rPr>
      </w:pPr>
      <w:r>
        <w:rPr>
          <w:rFonts w:ascii="Arial" w:cs="Arial" w:eastAsia="Arial" w:hAnsi="Arial"/>
          <w:sz w:val="20"/>
          <w:szCs w:val="20"/>
          <w:color w:val="auto"/>
        </w:rPr>
        <w:t>At the Company’s option, outstanding loans under the Revolving Credit Facility bear interest, at a variable rate equal to either (i) the adjusted term SOFR rate (secured overnight financing rate), plus 10 basis points, plus an agreed spread (ranging from 100 to 162.5 basis points, which is established based on the Company's credit rating); (ii) in respect of any Revolving Loans (until such time as the then-existing Benchmark (as defined in the Revolving Credit Facility) is replaced in accordance with the Revolving Credit Facility), the adjusted daily simple SOFR rate, plus 10 basis points, plus an agreed spread (ranging from 100 to 162.5 basis points, which is established based on the Company's credit rating); or (iii) an Alternate Base Rate (as defined in the Revolving Credit Facility), which is the highest of (a) the Prime Rate (as defined in the Revolving Credit Facility) in effect on any applicable day, (b) the NYFRB Rate (as defined in the Revolving Credit Facility) in effect on any applicable day, plus ½ of 1%, and (c) the Adjusted Term SOFR (as defined in the Revolving Credit Facility) for a one-month interest period on any applicable day, or if such day is not a business day, the immediately preceding business day, plus 1.0%, in each case plus an agreed upon spread (ranging from 0 to 62.5 basis points), which is established quarterly based on the Company's credit rating. The Company is also required to pay a facility fee on unused available borrowings under the Revolving Credit Facility ranging from 9 to 22.5 basis points, which is established based on the Company's then credit rating.</w:t>
      </w:r>
    </w:p>
    <w:p>
      <w:pPr>
        <w:spacing w:after="0" w:line="86" w:lineRule="exact"/>
        <w:rPr>
          <w:sz w:val="20"/>
          <w:szCs w:val="20"/>
          <w:color w:val="auto"/>
        </w:rPr>
      </w:pPr>
    </w:p>
    <w:p>
      <w:pPr>
        <w:spacing w:after="0" w:line="308" w:lineRule="auto"/>
        <w:rPr>
          <w:sz w:val="20"/>
          <w:szCs w:val="20"/>
          <w:color w:val="auto"/>
        </w:rPr>
      </w:pPr>
      <w:r>
        <w:rPr>
          <w:rFonts w:ascii="Arial" w:cs="Arial" w:eastAsia="Arial" w:hAnsi="Arial"/>
          <w:sz w:val="19"/>
          <w:szCs w:val="19"/>
          <w:color w:val="auto"/>
        </w:rPr>
        <w:t>The Company pays each lender a participation fee with respect to such lender’s participation in letters of credit, and the fee accrues at the same Applicable Rate (as defined in the Revolving Credit Facility) used to determine the interest rate applicable to Eurodollar Revolving Loans (as defined in the Revolving Credit Facility), plus a fronting fee for each letter of credit issued by the issuing bank in an amount equal to 12.5 basis points per annum on the daily maximum amount then available to be drawn under such letter of credit. The Company also pays each issuing bank such bank’s standard fees with respect to issuance,</w:t>
      </w:r>
    </w:p>
    <w:p>
      <w:pPr>
        <w:sectPr>
          <w:pgSz w:w="11880" w:h="15480" w:orient="portrait"/>
          <w:cols w:equalWidth="0" w:num="1">
            <w:col w:w="9340"/>
          </w:cols>
          <w:pgMar w:left="1260" w:top="1267"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90</w:t>
      </w:r>
    </w:p>
    <w:p>
      <w:pPr>
        <w:sectPr>
          <w:pgSz w:w="11880" w:h="15480" w:orient="portrait"/>
          <w:cols w:equalWidth="0" w:num="1">
            <w:col w:w="9340"/>
          </w:cols>
          <w:pgMar w:left="1260" w:top="1267" w:right="1280" w:bottom="0" w:gutter="0" w:footer="0" w:header="0"/>
          <w:type w:val="continuous"/>
        </w:sectPr>
      </w:pPr>
    </w:p>
    <w:bookmarkStart w:id="98" w:name="page99"/>
    <w:bookmarkEnd w:id="98"/>
    <w:p>
      <w:pPr>
        <w:ind w:right="400"/>
        <w:spacing w:after="0" w:line="325" w:lineRule="auto"/>
        <w:rPr>
          <w:sz w:val="20"/>
          <w:szCs w:val="20"/>
          <w:color w:val="auto"/>
        </w:rPr>
      </w:pPr>
      <w:r>
        <w:rPr>
          <w:rFonts w:ascii="Arial" w:cs="Arial" w:eastAsia="Arial" w:hAnsi="Arial"/>
          <w:sz w:val="20"/>
          <w:szCs w:val="20"/>
          <w:color w:val="auto"/>
        </w:rPr>
        <w:t>amendment or extensions of letters of credit and other processing fees, and other standard costs and charges relating to such issuing bank’s letters of credit from time to time.</w:t>
      </w:r>
    </w:p>
    <w:p>
      <w:pPr>
        <w:spacing w:after="0" w:line="37" w:lineRule="exact"/>
        <w:rPr>
          <w:sz w:val="20"/>
          <w:szCs w:val="20"/>
          <w:color w:val="auto"/>
        </w:rPr>
      </w:pPr>
    </w:p>
    <w:p>
      <w:pPr>
        <w:spacing w:after="0" w:line="296" w:lineRule="auto"/>
        <w:rPr>
          <w:sz w:val="20"/>
          <w:szCs w:val="20"/>
          <w:color w:val="auto"/>
        </w:rPr>
      </w:pPr>
      <w:r>
        <w:rPr>
          <w:rFonts w:ascii="Arial" w:cs="Arial" w:eastAsia="Arial" w:hAnsi="Arial"/>
          <w:sz w:val="20"/>
          <w:szCs w:val="20"/>
          <w:color w:val="auto"/>
        </w:rPr>
        <w:t>There were no outstanding borrowings under the Revolving Credit Facility, and $9.9 million of outstanding letters of credit as of March 31, 2026, leaving us with $740.1 million of available borrowings under the Revolving Credit Facility, net of outstanding letters of credit. We were in compliance with all covenants at March 31, 2026; therefore, all $740.1 million is available for future borrowings.</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085E"/>
        </w:rPr>
        <w:t>Term Loan</w:t>
      </w:r>
    </w:p>
    <w:p>
      <w:pPr>
        <w:spacing w:after="0" w:line="161" w:lineRule="exact"/>
        <w:rPr>
          <w:sz w:val="20"/>
          <w:szCs w:val="20"/>
          <w:color w:val="auto"/>
        </w:rPr>
      </w:pPr>
    </w:p>
    <w:p>
      <w:pPr>
        <w:spacing w:after="0" w:line="289" w:lineRule="auto"/>
        <w:rPr>
          <w:sz w:val="20"/>
          <w:szCs w:val="20"/>
          <w:color w:val="auto"/>
        </w:rPr>
      </w:pPr>
      <w:r>
        <w:rPr>
          <w:rFonts w:ascii="Arial" w:cs="Arial" w:eastAsia="Arial" w:hAnsi="Arial"/>
          <w:sz w:val="20"/>
          <w:szCs w:val="20"/>
          <w:color w:val="auto"/>
        </w:rPr>
        <w:t>On February 4, 2025, we increased our Term Loan borrowings under the Revolving Credit Facility to $300.0 million, and used these proceeds to, among other things, pay down a portion of the Revolving Credit Facility. The Term Loan requires quarterly principal payments of $3.8 million, with any unpaid amounts due upon maturity on February 4, 2030. At the Company’s option, principal amounts outstanding under the Term Loan bear interest as set forth in the Revolving Credit Facility (but not, for the avoidance of doubt, at a daily simple SOFR rate unless and until such time as the then-existing Benchmark (as defined in the Revolving Credit Facility) is replaced in accordance with the Revolving Credit Facility).</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085E"/>
        </w:rPr>
        <w:t>2.500% Senior Unsecured Notes Due 2031</w:t>
      </w:r>
    </w:p>
    <w:p>
      <w:pPr>
        <w:spacing w:after="0" w:line="161" w:lineRule="exact"/>
        <w:rPr>
          <w:sz w:val="20"/>
          <w:szCs w:val="20"/>
          <w:color w:val="auto"/>
        </w:rPr>
      </w:pPr>
    </w:p>
    <w:p>
      <w:pPr>
        <w:ind w:right="20"/>
        <w:spacing w:after="0" w:line="283" w:lineRule="auto"/>
        <w:rPr>
          <w:sz w:val="20"/>
          <w:szCs w:val="20"/>
          <w:color w:val="auto"/>
        </w:rPr>
      </w:pPr>
      <w:r>
        <w:rPr>
          <w:rFonts w:ascii="Arial" w:cs="Arial" w:eastAsia="Arial" w:hAnsi="Arial"/>
          <w:sz w:val="20"/>
          <w:szCs w:val="20"/>
          <w:color w:val="auto"/>
        </w:rPr>
        <w:t>On July 1, 2021, we issued $750.0 million aggregate principal amount of 2.500% senior notes due July 2031 (the 2.500% Senior Unsecured Notes). The 2.500% Senior Unsecured Notes are senior unsecured obligations of the Company and are not guaranteed by any of our subsidiaries. The 2.500% Senior Unsecured Notes were issued net of the original issue discount of $6.3 million and have an effective interest rate of approximately 2.6%. The original issue discount is being amortized by the effective interest method over the 10-year term of the notes. The 2.500% Senior Unsecured Notes are redeemable prior to April 1, 2031, at a redemption price equal to 100% of the aggregate principal amount of the 2.500% Senior Unsecured Notes being redeemed, plus the present value of remaining scheduled payments of principal and interest from the applicable redemption date to April 1, 2031, discounted to the redemption date on a semi-annual basis at the Treasury rate plus 20 basis points. The 2.500% Senior Unsecured Notes are redeemable on or after April 1, 2031, at a redemption price equal to 100% of the aggregate principal amount of the 2.500% Senior Unsecured Notes being redeemed, plus accrued and unpaid interest to, but excluding, the applicable redemption date. If we experience certain change-of-control triggering events, we would be required to offer to repurchase the 2.500% Senior Unsecured Notes at a purchase price equal to 101% of the aggregate principal amount of the 2.500% Senior Unsecured Notes being repurchased, plus accrued and unpaid interest to, but excluding, the applicable redemption date. The indenture governing the 2.500% Senior Unsecured Notes contains certain covenants that limit our ability to create or permit to exist certain liens; enter into sale and leaseback transactions; and consolidate, merge, or transfer all or substantially all of our assets, and provides for certain events of default that, if any occurred, would permit or require the principal of and accrued interest on the 2.500% Senior Unsecured Notes to become or be declared due and payable.</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085E"/>
        </w:rPr>
        <w:t>5.000% Senior Unsecured Notes Due 2036</w:t>
      </w:r>
    </w:p>
    <w:p>
      <w:pPr>
        <w:spacing w:after="0" w:line="161" w:lineRule="exact"/>
        <w:rPr>
          <w:sz w:val="20"/>
          <w:szCs w:val="20"/>
          <w:color w:val="auto"/>
        </w:rPr>
      </w:pPr>
    </w:p>
    <w:p>
      <w:pPr>
        <w:spacing w:after="0" w:line="290" w:lineRule="auto"/>
        <w:rPr>
          <w:sz w:val="20"/>
          <w:szCs w:val="20"/>
          <w:color w:val="auto"/>
        </w:rPr>
      </w:pPr>
      <w:r>
        <w:rPr>
          <w:rFonts w:ascii="Arial" w:cs="Arial" w:eastAsia="Arial" w:hAnsi="Arial"/>
          <w:sz w:val="20"/>
          <w:szCs w:val="20"/>
          <w:color w:val="auto"/>
        </w:rPr>
        <w:t>On November 13, 2025, we issued $750.0 million aggregate principal amount of 5.000% senior notes due March 2036 (the 5.000% Senior Unsecured Notes). The 5.000% Senior Unsecured Notes are senior unsecured obligations of the Company and are not guaranteed by any of our subsidiaries. The 5.000% Senior Unsecured Notes were issued net of original issue discount of $8.2 million and have an effective interest rate of approximately 5.1%. The original issue discount is being amortized by the effective interest method over the term of the notes. The 5.000% Senior Unsecured Notes are redeemable prior to</w:t>
      </w:r>
    </w:p>
    <w:p>
      <w:pPr>
        <w:sectPr>
          <w:pgSz w:w="11880" w:h="15480" w:orient="portrait"/>
          <w:cols w:equalWidth="0" w:num="1">
            <w:col w:w="9340"/>
          </w:cols>
          <w:pgMar w:left="1260" w:top="1267" w:right="1280" w:bottom="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91</w:t>
      </w:r>
    </w:p>
    <w:p>
      <w:pPr>
        <w:sectPr>
          <w:pgSz w:w="11880" w:h="15480" w:orient="portrait"/>
          <w:cols w:equalWidth="0" w:num="1">
            <w:col w:w="9340"/>
          </w:cols>
          <w:pgMar w:left="1260" w:top="1267" w:right="1280" w:bottom="0" w:gutter="0" w:footer="0" w:header="0"/>
          <w:type w:val="continuous"/>
        </w:sectPr>
      </w:pPr>
    </w:p>
    <w:bookmarkStart w:id="99" w:name="page100"/>
    <w:bookmarkEnd w:id="99"/>
    <w:p>
      <w:pPr>
        <w:ind w:right="40"/>
        <w:spacing w:after="0" w:line="281" w:lineRule="auto"/>
        <w:rPr>
          <w:sz w:val="20"/>
          <w:szCs w:val="20"/>
          <w:color w:val="auto"/>
        </w:rPr>
      </w:pPr>
      <w:r>
        <w:rPr>
          <w:rFonts w:ascii="Arial" w:cs="Arial" w:eastAsia="Arial" w:hAnsi="Arial"/>
          <w:sz w:val="20"/>
          <w:szCs w:val="20"/>
          <w:color w:val="auto"/>
        </w:rPr>
        <w:t>December 15, 2035, at a redemption price equal to the greater of (i) the present value of remaining scheduled payments of principal and interest from the applicable redemption date to December 15, 2035, discounted to the redemption date on a semi-annual basis at the Treasury rate plus 20 basis points, less interest accrued to the applicable redemption date and (ii) 100% of the aggregate principal amount of the 5.000% Senior Unsecured Notes being redeemed, plus, in either case, accrued and unpaid interest to, but excluding, the applicable redemption date. The 5.000% Senior Unsecured Notes are redeemable on or after December 15, 2035, at a redemption price equal to 100% of the aggregate principal amount of the 5.000% Senior Unsecured Notes being redeemed, plus accrued and unpaid interest to, but excluding, the applicable redemption date. If we experience certain change of control triggering events, we would be required to offer to repurchase the 5.000% Senior Unsecured Notes at a purchase price equal to 101% of the aggregate principal amount of the 5.000% Senior Unsecured Notes being repurchased, plus accrued and unpaid interest to, but excluding, the applicable repurchase date. The indenture governing the</w:t>
      </w:r>
    </w:p>
    <w:p>
      <w:pPr>
        <w:spacing w:after="0" w:line="9" w:lineRule="exact"/>
        <w:rPr>
          <w:sz w:val="20"/>
          <w:szCs w:val="20"/>
          <w:color w:val="auto"/>
        </w:rPr>
      </w:pPr>
    </w:p>
    <w:p>
      <w:pPr>
        <w:ind w:right="20"/>
        <w:spacing w:after="0" w:line="292" w:lineRule="auto"/>
        <w:rPr>
          <w:sz w:val="20"/>
          <w:szCs w:val="20"/>
          <w:color w:val="auto"/>
        </w:rPr>
      </w:pPr>
      <w:r>
        <w:rPr>
          <w:rFonts w:ascii="Arial" w:cs="Arial" w:eastAsia="Arial" w:hAnsi="Arial"/>
          <w:sz w:val="20"/>
          <w:szCs w:val="20"/>
          <w:color w:val="auto"/>
        </w:rPr>
        <w:t>5.000% Senior Unsecured Notes contains certain covenants that limit our ability to create or permit to exist certain liens; enter into sale and leaseback transactions; and consolidate, merge, or transfer all or substantially all of our assets, and provides for certain events of default that, if any occurred, would permit or require the principal of and accrued interest on the 5.000% Senior Unsecured Notes to become or be declared due and payable.</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color w:val="auto"/>
        </w:rPr>
        <w:t>Our maturities of long-term debt during the next five fiscal years are as follows.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7360" w:type="dxa"/>
            <w:vAlign w:val="bottom"/>
          </w:tcPr>
          <w:p>
            <w:pPr>
              <w:spacing w:after="0"/>
              <w:rPr>
                <w:sz w:val="20"/>
                <w:szCs w:val="20"/>
                <w:color w:val="auto"/>
              </w:rPr>
            </w:pPr>
            <w:r>
              <w:rPr>
                <w:rFonts w:ascii="Arial Narrow" w:cs="Arial Narrow" w:eastAsia="Arial Narrow" w:hAnsi="Arial Narrow"/>
                <w:sz w:val="18"/>
                <w:szCs w:val="18"/>
                <w:b w:val="1"/>
                <w:bCs w:val="1"/>
                <w:color w:val="auto"/>
              </w:rPr>
              <w:t>Fiscal Year</w:t>
            </w:r>
          </w:p>
        </w:tc>
        <w:tc>
          <w:tcPr>
            <w:tcW w:w="380" w:type="dxa"/>
            <w:vAlign w:val="bottom"/>
          </w:tcPr>
          <w:p>
            <w:pPr>
              <w:spacing w:after="0"/>
              <w:rPr>
                <w:sz w:val="22"/>
                <w:szCs w:val="22"/>
                <w:color w:val="auto"/>
              </w:rPr>
            </w:pPr>
          </w:p>
        </w:tc>
        <w:tc>
          <w:tcPr>
            <w:tcW w:w="1620" w:type="dxa"/>
            <w:vAlign w:val="bottom"/>
          </w:tcPr>
          <w:p>
            <w:pPr>
              <w:jc w:val="right"/>
              <w:ind w:right="3"/>
              <w:spacing w:after="0"/>
              <w:rPr>
                <w:sz w:val="20"/>
                <w:szCs w:val="20"/>
                <w:color w:val="auto"/>
              </w:rPr>
            </w:pPr>
            <w:r>
              <w:rPr>
                <w:rFonts w:ascii="Arial Narrow" w:cs="Arial Narrow" w:eastAsia="Arial Narrow" w:hAnsi="Arial Narrow"/>
                <w:sz w:val="16"/>
                <w:szCs w:val="16"/>
                <w:color w:val="auto"/>
              </w:rPr>
              <w:t>(dollars in thousands)</w:t>
            </w:r>
          </w:p>
        </w:tc>
      </w:tr>
      <w:tr>
        <w:trPr>
          <w:trHeight w:val="46"/>
        </w:trPr>
        <w:tc>
          <w:tcPr>
            <w:tcW w:w="73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r>
      <w:tr>
        <w:trPr>
          <w:trHeight w:val="344"/>
        </w:trPr>
        <w:tc>
          <w:tcPr>
            <w:tcW w:w="7360" w:type="dxa"/>
            <w:vAlign w:val="bottom"/>
          </w:tcPr>
          <w:p>
            <w:pPr>
              <w:spacing w:after="0"/>
              <w:rPr>
                <w:sz w:val="20"/>
                <w:szCs w:val="20"/>
                <w:color w:val="auto"/>
              </w:rPr>
            </w:pPr>
            <w:r>
              <w:rPr>
                <w:rFonts w:ascii="Arial Narrow" w:cs="Arial Narrow" w:eastAsia="Arial Narrow" w:hAnsi="Arial Narrow"/>
                <w:sz w:val="20"/>
                <w:szCs w:val="20"/>
                <w:b w:val="1"/>
                <w:bCs w:val="1"/>
                <w:color w:val="00085E"/>
              </w:rPr>
              <w:t>2027</w:t>
            </w:r>
          </w:p>
        </w:tc>
        <w:tc>
          <w:tcPr>
            <w:tcW w:w="380" w:type="dxa"/>
            <w:vAlign w:val="bottom"/>
          </w:tcPr>
          <w:p>
            <w:pPr>
              <w:jc w:val="right"/>
              <w:ind w:right="180"/>
              <w:spacing w:after="0"/>
              <w:rPr>
                <w:sz w:val="20"/>
                <w:szCs w:val="20"/>
                <w:color w:val="auto"/>
              </w:rPr>
            </w:pPr>
            <w:r>
              <w:rPr>
                <w:rFonts w:ascii="Arial Narrow" w:cs="Arial Narrow" w:eastAsia="Arial Narrow" w:hAnsi="Arial Narrow"/>
                <w:sz w:val="20"/>
                <w:szCs w:val="20"/>
                <w:color w:val="auto"/>
                <w:w w:val="87"/>
              </w:rPr>
              <w:t>$</w:t>
            </w:r>
          </w:p>
        </w:tc>
        <w:tc>
          <w:tcPr>
            <w:tcW w:w="1620" w:type="dxa"/>
            <w:vAlign w:val="bottom"/>
          </w:tcPr>
          <w:p>
            <w:pPr>
              <w:jc w:val="right"/>
              <w:ind w:right="3"/>
              <w:spacing w:after="0"/>
              <w:rPr>
                <w:sz w:val="20"/>
                <w:szCs w:val="20"/>
                <w:color w:val="auto"/>
              </w:rPr>
            </w:pPr>
            <w:r>
              <w:rPr>
                <w:rFonts w:ascii="Arial Narrow" w:cs="Arial Narrow" w:eastAsia="Arial Narrow" w:hAnsi="Arial Narrow"/>
                <w:sz w:val="20"/>
                <w:szCs w:val="20"/>
                <w:color w:val="auto"/>
              </w:rPr>
              <w:t>15,000</w:t>
            </w:r>
          </w:p>
        </w:tc>
      </w:tr>
      <w:tr>
        <w:trPr>
          <w:trHeight w:val="65"/>
        </w:trPr>
        <w:tc>
          <w:tcPr>
            <w:tcW w:w="7360" w:type="dxa"/>
            <w:vAlign w:val="bottom"/>
            <w:tcBorders>
              <w:bottom w:val="single" w:sz="8" w:color="A6A6A6"/>
            </w:tcBorders>
          </w:tcPr>
          <w:p>
            <w:pPr>
              <w:spacing w:after="0"/>
              <w:rPr>
                <w:sz w:val="5"/>
                <w:szCs w:val="5"/>
                <w:color w:val="auto"/>
              </w:rPr>
            </w:pPr>
          </w:p>
        </w:tc>
        <w:tc>
          <w:tcPr>
            <w:tcW w:w="380" w:type="dxa"/>
            <w:vAlign w:val="bottom"/>
            <w:tcBorders>
              <w:bottom w:val="single" w:sz="8" w:color="A6A6A6"/>
            </w:tcBorders>
          </w:tcPr>
          <w:p>
            <w:pPr>
              <w:spacing w:after="0"/>
              <w:rPr>
                <w:sz w:val="5"/>
                <w:szCs w:val="5"/>
                <w:color w:val="auto"/>
              </w:rPr>
            </w:pPr>
          </w:p>
        </w:tc>
        <w:tc>
          <w:tcPr>
            <w:tcW w:w="1620" w:type="dxa"/>
            <w:vAlign w:val="bottom"/>
            <w:tcBorders>
              <w:bottom w:val="single" w:sz="8" w:color="A6A6A6"/>
            </w:tcBorders>
          </w:tcPr>
          <w:p>
            <w:pPr>
              <w:spacing w:after="0"/>
              <w:rPr>
                <w:sz w:val="5"/>
                <w:szCs w:val="5"/>
                <w:color w:val="auto"/>
              </w:rPr>
            </w:pPr>
          </w:p>
        </w:tc>
      </w:tr>
      <w:tr>
        <w:trPr>
          <w:trHeight w:val="339"/>
        </w:trPr>
        <w:tc>
          <w:tcPr>
            <w:tcW w:w="7360" w:type="dxa"/>
            <w:vAlign w:val="bottom"/>
          </w:tcPr>
          <w:p>
            <w:pPr>
              <w:spacing w:after="0"/>
              <w:rPr>
                <w:sz w:val="20"/>
                <w:szCs w:val="20"/>
                <w:color w:val="auto"/>
              </w:rPr>
            </w:pPr>
            <w:r>
              <w:rPr>
                <w:rFonts w:ascii="Arial Narrow" w:cs="Arial Narrow" w:eastAsia="Arial Narrow" w:hAnsi="Arial Narrow"/>
                <w:sz w:val="20"/>
                <w:szCs w:val="20"/>
                <w:b w:val="1"/>
                <w:bCs w:val="1"/>
                <w:color w:val="00085E"/>
              </w:rPr>
              <w:t>2028</w:t>
            </w:r>
          </w:p>
        </w:tc>
        <w:tc>
          <w:tcPr>
            <w:tcW w:w="380" w:type="dxa"/>
            <w:vAlign w:val="bottom"/>
          </w:tcPr>
          <w:p>
            <w:pPr>
              <w:spacing w:after="0"/>
              <w:rPr>
                <w:sz w:val="24"/>
                <w:szCs w:val="24"/>
                <w:color w:val="auto"/>
              </w:rPr>
            </w:pPr>
          </w:p>
        </w:tc>
        <w:tc>
          <w:tcPr>
            <w:tcW w:w="1620" w:type="dxa"/>
            <w:vAlign w:val="bottom"/>
          </w:tcPr>
          <w:p>
            <w:pPr>
              <w:jc w:val="right"/>
              <w:ind w:right="3"/>
              <w:spacing w:after="0"/>
              <w:rPr>
                <w:sz w:val="20"/>
                <w:szCs w:val="20"/>
                <w:color w:val="auto"/>
              </w:rPr>
            </w:pPr>
            <w:r>
              <w:rPr>
                <w:rFonts w:ascii="Arial Narrow" w:cs="Arial Narrow" w:eastAsia="Arial Narrow" w:hAnsi="Arial Narrow"/>
                <w:sz w:val="20"/>
                <w:szCs w:val="20"/>
                <w:color w:val="auto"/>
              </w:rPr>
              <w:t>15,000</w:t>
            </w:r>
          </w:p>
        </w:tc>
      </w:tr>
      <w:tr>
        <w:trPr>
          <w:trHeight w:val="65"/>
        </w:trPr>
        <w:tc>
          <w:tcPr>
            <w:tcW w:w="7360" w:type="dxa"/>
            <w:vAlign w:val="bottom"/>
            <w:tcBorders>
              <w:bottom w:val="single" w:sz="8" w:color="A6A6A6"/>
            </w:tcBorders>
          </w:tcPr>
          <w:p>
            <w:pPr>
              <w:spacing w:after="0"/>
              <w:rPr>
                <w:sz w:val="5"/>
                <w:szCs w:val="5"/>
                <w:color w:val="auto"/>
              </w:rPr>
            </w:pPr>
          </w:p>
        </w:tc>
        <w:tc>
          <w:tcPr>
            <w:tcW w:w="380" w:type="dxa"/>
            <w:vAlign w:val="bottom"/>
            <w:tcBorders>
              <w:bottom w:val="single" w:sz="8" w:color="A6A6A6"/>
            </w:tcBorders>
          </w:tcPr>
          <w:p>
            <w:pPr>
              <w:spacing w:after="0"/>
              <w:rPr>
                <w:sz w:val="5"/>
                <w:szCs w:val="5"/>
                <w:color w:val="auto"/>
              </w:rPr>
            </w:pPr>
          </w:p>
        </w:tc>
        <w:tc>
          <w:tcPr>
            <w:tcW w:w="1620" w:type="dxa"/>
            <w:vAlign w:val="bottom"/>
            <w:tcBorders>
              <w:bottom w:val="single" w:sz="8" w:color="A6A6A6"/>
            </w:tcBorders>
          </w:tcPr>
          <w:p>
            <w:pPr>
              <w:spacing w:after="0"/>
              <w:rPr>
                <w:sz w:val="5"/>
                <w:szCs w:val="5"/>
                <w:color w:val="auto"/>
              </w:rPr>
            </w:pPr>
          </w:p>
        </w:tc>
      </w:tr>
      <w:tr>
        <w:trPr>
          <w:trHeight w:val="339"/>
        </w:trPr>
        <w:tc>
          <w:tcPr>
            <w:tcW w:w="7360" w:type="dxa"/>
            <w:vAlign w:val="bottom"/>
          </w:tcPr>
          <w:p>
            <w:pPr>
              <w:spacing w:after="0"/>
              <w:rPr>
                <w:sz w:val="20"/>
                <w:szCs w:val="20"/>
                <w:color w:val="auto"/>
              </w:rPr>
            </w:pPr>
            <w:r>
              <w:rPr>
                <w:rFonts w:ascii="Arial Narrow" w:cs="Arial Narrow" w:eastAsia="Arial Narrow" w:hAnsi="Arial Narrow"/>
                <w:sz w:val="20"/>
                <w:szCs w:val="20"/>
                <w:b w:val="1"/>
                <w:bCs w:val="1"/>
                <w:color w:val="00085E"/>
              </w:rPr>
              <w:t>2029</w:t>
            </w:r>
          </w:p>
        </w:tc>
        <w:tc>
          <w:tcPr>
            <w:tcW w:w="380" w:type="dxa"/>
            <w:vAlign w:val="bottom"/>
          </w:tcPr>
          <w:p>
            <w:pPr>
              <w:spacing w:after="0"/>
              <w:rPr>
                <w:sz w:val="24"/>
                <w:szCs w:val="24"/>
                <w:color w:val="auto"/>
              </w:rPr>
            </w:pPr>
          </w:p>
        </w:tc>
        <w:tc>
          <w:tcPr>
            <w:tcW w:w="1620" w:type="dxa"/>
            <w:vAlign w:val="bottom"/>
          </w:tcPr>
          <w:p>
            <w:pPr>
              <w:jc w:val="right"/>
              <w:ind w:right="3"/>
              <w:spacing w:after="0"/>
              <w:rPr>
                <w:sz w:val="20"/>
                <w:szCs w:val="20"/>
                <w:color w:val="auto"/>
              </w:rPr>
            </w:pPr>
            <w:r>
              <w:rPr>
                <w:rFonts w:ascii="Arial Narrow" w:cs="Arial Narrow" w:eastAsia="Arial Narrow" w:hAnsi="Arial Narrow"/>
                <w:sz w:val="20"/>
                <w:szCs w:val="20"/>
                <w:color w:val="auto"/>
              </w:rPr>
              <w:t>15,000</w:t>
            </w:r>
          </w:p>
        </w:tc>
      </w:tr>
      <w:tr>
        <w:trPr>
          <w:trHeight w:val="65"/>
        </w:trPr>
        <w:tc>
          <w:tcPr>
            <w:tcW w:w="7360" w:type="dxa"/>
            <w:vAlign w:val="bottom"/>
            <w:tcBorders>
              <w:bottom w:val="single" w:sz="8" w:color="A6A6A6"/>
            </w:tcBorders>
          </w:tcPr>
          <w:p>
            <w:pPr>
              <w:spacing w:after="0"/>
              <w:rPr>
                <w:sz w:val="5"/>
                <w:szCs w:val="5"/>
                <w:color w:val="auto"/>
              </w:rPr>
            </w:pPr>
          </w:p>
        </w:tc>
        <w:tc>
          <w:tcPr>
            <w:tcW w:w="380" w:type="dxa"/>
            <w:vAlign w:val="bottom"/>
            <w:tcBorders>
              <w:bottom w:val="single" w:sz="8" w:color="A6A6A6"/>
            </w:tcBorders>
          </w:tcPr>
          <w:p>
            <w:pPr>
              <w:spacing w:after="0"/>
              <w:rPr>
                <w:sz w:val="5"/>
                <w:szCs w:val="5"/>
                <w:color w:val="auto"/>
              </w:rPr>
            </w:pPr>
          </w:p>
        </w:tc>
        <w:tc>
          <w:tcPr>
            <w:tcW w:w="1620" w:type="dxa"/>
            <w:vAlign w:val="bottom"/>
            <w:tcBorders>
              <w:bottom w:val="single" w:sz="8" w:color="A6A6A6"/>
            </w:tcBorders>
          </w:tcPr>
          <w:p>
            <w:pPr>
              <w:spacing w:after="0"/>
              <w:rPr>
                <w:sz w:val="5"/>
                <w:szCs w:val="5"/>
                <w:color w:val="auto"/>
              </w:rPr>
            </w:pPr>
          </w:p>
        </w:tc>
      </w:tr>
      <w:tr>
        <w:trPr>
          <w:trHeight w:val="339"/>
        </w:trPr>
        <w:tc>
          <w:tcPr>
            <w:tcW w:w="7360" w:type="dxa"/>
            <w:vAlign w:val="bottom"/>
          </w:tcPr>
          <w:p>
            <w:pPr>
              <w:spacing w:after="0"/>
              <w:rPr>
                <w:sz w:val="20"/>
                <w:szCs w:val="20"/>
                <w:color w:val="auto"/>
              </w:rPr>
            </w:pPr>
            <w:r>
              <w:rPr>
                <w:rFonts w:ascii="Arial Narrow" w:cs="Arial Narrow" w:eastAsia="Arial Narrow" w:hAnsi="Arial Narrow"/>
                <w:sz w:val="20"/>
                <w:szCs w:val="20"/>
                <w:b w:val="1"/>
                <w:bCs w:val="1"/>
                <w:color w:val="00085E"/>
              </w:rPr>
              <w:t>2030</w:t>
            </w:r>
          </w:p>
        </w:tc>
        <w:tc>
          <w:tcPr>
            <w:tcW w:w="380" w:type="dxa"/>
            <w:vAlign w:val="bottom"/>
          </w:tcPr>
          <w:p>
            <w:pPr>
              <w:spacing w:after="0"/>
              <w:rPr>
                <w:sz w:val="24"/>
                <w:szCs w:val="24"/>
                <w:color w:val="auto"/>
              </w:rPr>
            </w:pPr>
          </w:p>
        </w:tc>
        <w:tc>
          <w:tcPr>
            <w:tcW w:w="1620" w:type="dxa"/>
            <w:vAlign w:val="bottom"/>
          </w:tcPr>
          <w:p>
            <w:pPr>
              <w:jc w:val="right"/>
              <w:ind w:right="3"/>
              <w:spacing w:after="0"/>
              <w:rPr>
                <w:sz w:val="20"/>
                <w:szCs w:val="20"/>
                <w:color w:val="auto"/>
              </w:rPr>
            </w:pPr>
            <w:r>
              <w:rPr>
                <w:rFonts w:ascii="Arial Narrow" w:cs="Arial Narrow" w:eastAsia="Arial Narrow" w:hAnsi="Arial Narrow"/>
                <w:sz w:val="20"/>
                <w:szCs w:val="20"/>
                <w:color w:val="auto"/>
              </w:rPr>
              <w:t>236,250</w:t>
            </w:r>
          </w:p>
        </w:tc>
      </w:tr>
      <w:tr>
        <w:trPr>
          <w:trHeight w:val="65"/>
        </w:trPr>
        <w:tc>
          <w:tcPr>
            <w:tcW w:w="7360" w:type="dxa"/>
            <w:vAlign w:val="bottom"/>
            <w:tcBorders>
              <w:bottom w:val="single" w:sz="8" w:color="A6A6A6"/>
            </w:tcBorders>
          </w:tcPr>
          <w:p>
            <w:pPr>
              <w:spacing w:after="0"/>
              <w:rPr>
                <w:sz w:val="5"/>
                <w:szCs w:val="5"/>
                <w:color w:val="auto"/>
              </w:rPr>
            </w:pPr>
          </w:p>
        </w:tc>
        <w:tc>
          <w:tcPr>
            <w:tcW w:w="380" w:type="dxa"/>
            <w:vAlign w:val="bottom"/>
            <w:tcBorders>
              <w:bottom w:val="single" w:sz="8" w:color="A6A6A6"/>
            </w:tcBorders>
          </w:tcPr>
          <w:p>
            <w:pPr>
              <w:spacing w:after="0"/>
              <w:rPr>
                <w:sz w:val="5"/>
                <w:szCs w:val="5"/>
                <w:color w:val="auto"/>
              </w:rPr>
            </w:pPr>
          </w:p>
        </w:tc>
        <w:tc>
          <w:tcPr>
            <w:tcW w:w="1620" w:type="dxa"/>
            <w:vAlign w:val="bottom"/>
            <w:tcBorders>
              <w:bottom w:val="single" w:sz="8" w:color="A6A6A6"/>
            </w:tcBorders>
          </w:tcPr>
          <w:p>
            <w:pPr>
              <w:spacing w:after="0"/>
              <w:rPr>
                <w:sz w:val="5"/>
                <w:szCs w:val="5"/>
                <w:color w:val="auto"/>
              </w:rPr>
            </w:pPr>
          </w:p>
        </w:tc>
      </w:tr>
      <w:tr>
        <w:trPr>
          <w:trHeight w:val="339"/>
        </w:trPr>
        <w:tc>
          <w:tcPr>
            <w:tcW w:w="7360" w:type="dxa"/>
            <w:vAlign w:val="bottom"/>
          </w:tcPr>
          <w:p>
            <w:pPr>
              <w:spacing w:after="0"/>
              <w:rPr>
                <w:sz w:val="20"/>
                <w:szCs w:val="20"/>
                <w:color w:val="auto"/>
              </w:rPr>
            </w:pPr>
            <w:r>
              <w:rPr>
                <w:rFonts w:ascii="Arial Narrow" w:cs="Arial Narrow" w:eastAsia="Arial Narrow" w:hAnsi="Arial Narrow"/>
                <w:sz w:val="20"/>
                <w:szCs w:val="20"/>
                <w:b w:val="1"/>
                <w:bCs w:val="1"/>
                <w:color w:val="00085E"/>
              </w:rPr>
              <w:t>2031</w:t>
            </w:r>
          </w:p>
        </w:tc>
        <w:tc>
          <w:tcPr>
            <w:tcW w:w="380" w:type="dxa"/>
            <w:vAlign w:val="bottom"/>
          </w:tcPr>
          <w:p>
            <w:pPr>
              <w:spacing w:after="0"/>
              <w:rPr>
                <w:sz w:val="24"/>
                <w:szCs w:val="24"/>
                <w:color w:val="auto"/>
              </w:rPr>
            </w:pPr>
          </w:p>
        </w:tc>
        <w:tc>
          <w:tcPr>
            <w:tcW w:w="1620" w:type="dxa"/>
            <w:vAlign w:val="bottom"/>
          </w:tcPr>
          <w:p>
            <w:pPr>
              <w:jc w:val="right"/>
              <w:ind w:right="3"/>
              <w:spacing w:after="0"/>
              <w:rPr>
                <w:sz w:val="20"/>
                <w:szCs w:val="20"/>
                <w:color w:val="auto"/>
              </w:rPr>
            </w:pPr>
            <w:r>
              <w:rPr>
                <w:rFonts w:ascii="Arial Narrow" w:cs="Arial Narrow" w:eastAsia="Arial Narrow" w:hAnsi="Arial Narrow"/>
                <w:sz w:val="20"/>
                <w:szCs w:val="20"/>
                <w:color w:val="auto"/>
              </w:rPr>
              <w:t>—</w:t>
            </w:r>
          </w:p>
        </w:tc>
      </w:tr>
      <w:tr>
        <w:trPr>
          <w:trHeight w:val="65"/>
        </w:trPr>
        <w:tc>
          <w:tcPr>
            <w:tcW w:w="7360" w:type="dxa"/>
            <w:vAlign w:val="bottom"/>
            <w:tcBorders>
              <w:bottom w:val="single" w:sz="8" w:color="A6A6A6"/>
            </w:tcBorders>
          </w:tcPr>
          <w:p>
            <w:pPr>
              <w:spacing w:after="0"/>
              <w:rPr>
                <w:sz w:val="5"/>
                <w:szCs w:val="5"/>
                <w:color w:val="auto"/>
              </w:rPr>
            </w:pPr>
          </w:p>
        </w:tc>
        <w:tc>
          <w:tcPr>
            <w:tcW w:w="380" w:type="dxa"/>
            <w:vAlign w:val="bottom"/>
            <w:tcBorders>
              <w:bottom w:val="single" w:sz="8" w:color="A6A6A6"/>
            </w:tcBorders>
          </w:tcPr>
          <w:p>
            <w:pPr>
              <w:spacing w:after="0"/>
              <w:rPr>
                <w:sz w:val="5"/>
                <w:szCs w:val="5"/>
                <w:color w:val="auto"/>
              </w:rPr>
            </w:pPr>
          </w:p>
        </w:tc>
        <w:tc>
          <w:tcPr>
            <w:tcW w:w="1620" w:type="dxa"/>
            <w:vAlign w:val="bottom"/>
            <w:tcBorders>
              <w:bottom w:val="single" w:sz="8" w:color="A6A6A6"/>
            </w:tcBorders>
          </w:tcPr>
          <w:p>
            <w:pPr>
              <w:spacing w:after="0"/>
              <w:rPr>
                <w:sz w:val="5"/>
                <w:szCs w:val="5"/>
                <w:color w:val="auto"/>
              </w:rPr>
            </w:pPr>
          </w:p>
        </w:tc>
      </w:tr>
      <w:tr>
        <w:trPr>
          <w:trHeight w:val="339"/>
        </w:trPr>
        <w:tc>
          <w:tcPr>
            <w:tcW w:w="7360" w:type="dxa"/>
            <w:vAlign w:val="bottom"/>
          </w:tcPr>
          <w:p>
            <w:pPr>
              <w:spacing w:after="0"/>
              <w:rPr>
                <w:sz w:val="20"/>
                <w:szCs w:val="20"/>
                <w:color w:val="auto"/>
              </w:rPr>
            </w:pPr>
            <w:r>
              <w:rPr>
                <w:rFonts w:ascii="Arial Narrow" w:cs="Arial Narrow" w:eastAsia="Arial Narrow" w:hAnsi="Arial Narrow"/>
                <w:sz w:val="20"/>
                <w:szCs w:val="20"/>
                <w:b w:val="1"/>
                <w:bCs w:val="1"/>
                <w:color w:val="00085E"/>
              </w:rPr>
              <w:t>Thereafter</w:t>
            </w:r>
          </w:p>
        </w:tc>
        <w:tc>
          <w:tcPr>
            <w:tcW w:w="380" w:type="dxa"/>
            <w:vAlign w:val="bottom"/>
          </w:tcPr>
          <w:p>
            <w:pPr>
              <w:spacing w:after="0"/>
              <w:rPr>
                <w:sz w:val="24"/>
                <w:szCs w:val="24"/>
                <w:color w:val="auto"/>
              </w:rPr>
            </w:pPr>
          </w:p>
        </w:tc>
        <w:tc>
          <w:tcPr>
            <w:tcW w:w="1620" w:type="dxa"/>
            <w:vAlign w:val="bottom"/>
          </w:tcPr>
          <w:p>
            <w:pPr>
              <w:jc w:val="right"/>
              <w:ind w:right="3"/>
              <w:spacing w:after="0"/>
              <w:rPr>
                <w:sz w:val="20"/>
                <w:szCs w:val="20"/>
                <w:color w:val="auto"/>
              </w:rPr>
            </w:pPr>
            <w:r>
              <w:rPr>
                <w:rFonts w:ascii="Arial Narrow" w:cs="Arial Narrow" w:eastAsia="Arial Narrow" w:hAnsi="Arial Narrow"/>
                <w:sz w:val="20"/>
                <w:szCs w:val="20"/>
                <w:color w:val="auto"/>
              </w:rPr>
              <w:t>1,500,000</w:t>
            </w:r>
          </w:p>
        </w:tc>
      </w:tr>
      <w:tr>
        <w:trPr>
          <w:trHeight w:val="90"/>
        </w:trPr>
        <w:tc>
          <w:tcPr>
            <w:tcW w:w="7360" w:type="dxa"/>
            <w:vAlign w:val="bottom"/>
            <w:tcBorders>
              <w:bottom w:val="single" w:sz="8" w:color="A6A6A6"/>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r>
      <w:tr>
        <w:trPr>
          <w:trHeight w:val="344"/>
        </w:trPr>
        <w:tc>
          <w:tcPr>
            <w:tcW w:w="7360" w:type="dxa"/>
            <w:vAlign w:val="bottom"/>
          </w:tcPr>
          <w:p>
            <w:pPr>
              <w:spacing w:after="0"/>
              <w:rPr>
                <w:sz w:val="20"/>
                <w:szCs w:val="20"/>
                <w:color w:val="auto"/>
              </w:rPr>
            </w:pPr>
            <w:r>
              <w:rPr>
                <w:rFonts w:ascii="Arial Narrow" w:cs="Arial Narrow" w:eastAsia="Arial Narrow" w:hAnsi="Arial Narrow"/>
                <w:sz w:val="20"/>
                <w:szCs w:val="20"/>
                <w:b w:val="1"/>
                <w:bCs w:val="1"/>
                <w:color w:val="auto"/>
              </w:rPr>
              <w:t>Total</w:t>
            </w:r>
          </w:p>
        </w:tc>
        <w:tc>
          <w:tcPr>
            <w:tcW w:w="380" w:type="dxa"/>
            <w:vAlign w:val="bottom"/>
          </w:tcPr>
          <w:p>
            <w:pPr>
              <w:jc w:val="right"/>
              <w:ind w:right="180"/>
              <w:spacing w:after="0"/>
              <w:rPr>
                <w:sz w:val="20"/>
                <w:szCs w:val="20"/>
                <w:color w:val="auto"/>
              </w:rPr>
            </w:pPr>
            <w:r>
              <w:rPr>
                <w:rFonts w:ascii="Arial Narrow" w:cs="Arial Narrow" w:eastAsia="Arial Narrow" w:hAnsi="Arial Narrow"/>
                <w:sz w:val="20"/>
                <w:szCs w:val="20"/>
                <w:b w:val="1"/>
                <w:bCs w:val="1"/>
                <w:color w:val="auto"/>
                <w:w w:val="87"/>
              </w:rPr>
              <w:t>$</w:t>
            </w:r>
          </w:p>
        </w:tc>
        <w:tc>
          <w:tcPr>
            <w:tcW w:w="1620" w:type="dxa"/>
            <w:vAlign w:val="bottom"/>
          </w:tcPr>
          <w:p>
            <w:pPr>
              <w:jc w:val="right"/>
              <w:ind w:right="3"/>
              <w:spacing w:after="0"/>
              <w:rPr>
                <w:sz w:val="20"/>
                <w:szCs w:val="20"/>
                <w:color w:val="auto"/>
              </w:rPr>
            </w:pPr>
            <w:r>
              <w:rPr>
                <w:rFonts w:ascii="Arial Narrow" w:cs="Arial Narrow" w:eastAsia="Arial Narrow" w:hAnsi="Arial Narrow"/>
                <w:sz w:val="20"/>
                <w:szCs w:val="20"/>
                <w:b w:val="1"/>
                <w:bCs w:val="1"/>
                <w:color w:val="auto"/>
              </w:rPr>
              <w:t>1,781,250</w:t>
            </w:r>
          </w:p>
        </w:tc>
      </w:tr>
      <w:tr>
        <w:trPr>
          <w:trHeight w:val="65"/>
        </w:trPr>
        <w:tc>
          <w:tcPr>
            <w:tcW w:w="736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r>
      <w:tr>
        <w:trPr>
          <w:trHeight w:val="20"/>
        </w:trPr>
        <w:tc>
          <w:tcPr>
            <w:tcW w:w="7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00085E"/>
        </w:rPr>
        <w:t>(G) FAIR VALUE OF FINANCIAL INSTRUMENTS</w:t>
      </w:r>
    </w:p>
    <w:p>
      <w:pPr>
        <w:spacing w:after="0" w:line="161" w:lineRule="exact"/>
        <w:rPr>
          <w:sz w:val="20"/>
          <w:szCs w:val="20"/>
          <w:color w:val="auto"/>
        </w:rPr>
      </w:pPr>
    </w:p>
    <w:p>
      <w:pPr>
        <w:ind w:right="60"/>
        <w:spacing w:after="0" w:line="303" w:lineRule="auto"/>
        <w:rPr>
          <w:sz w:val="20"/>
          <w:szCs w:val="20"/>
          <w:color w:val="auto"/>
        </w:rPr>
      </w:pPr>
      <w:r>
        <w:rPr>
          <w:rFonts w:ascii="Arial" w:cs="Arial" w:eastAsia="Arial" w:hAnsi="Arial"/>
          <w:sz w:val="20"/>
          <w:szCs w:val="20"/>
          <w:color w:val="auto"/>
        </w:rPr>
        <w:t>The fair value of our senior notes has been estimated based upon our current incremental borrowing rates for similar types of borrowing arrangements. The fair value of our Senior Unsecured Notes at March 31, 2026, is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542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1520" w:type="dxa"/>
            <w:vAlign w:val="bottom"/>
          </w:tcPr>
          <w:p>
            <w:pPr>
              <w:jc w:val="right"/>
              <w:ind w:right="8"/>
              <w:spacing w:after="0"/>
              <w:rPr>
                <w:sz w:val="20"/>
                <w:szCs w:val="20"/>
                <w:color w:val="auto"/>
              </w:rPr>
            </w:pPr>
            <w:r>
              <w:rPr>
                <w:rFonts w:ascii="Arial Narrow" w:cs="Arial Narrow" w:eastAsia="Arial Narrow" w:hAnsi="Arial Narrow"/>
                <w:sz w:val="18"/>
                <w:szCs w:val="18"/>
                <w:b w:val="1"/>
                <w:bCs w:val="1"/>
                <w:color w:val="auto"/>
              </w:rPr>
              <w:t>Fair Value</w:t>
            </w:r>
          </w:p>
        </w:tc>
      </w:tr>
      <w:tr>
        <w:trPr>
          <w:trHeight w:val="233"/>
        </w:trPr>
        <w:tc>
          <w:tcPr>
            <w:tcW w:w="54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520" w:type="dxa"/>
            <w:vAlign w:val="bottom"/>
          </w:tcPr>
          <w:p>
            <w:pPr>
              <w:jc w:val="right"/>
              <w:ind w:right="8"/>
              <w:spacing w:after="0"/>
              <w:rPr>
                <w:sz w:val="20"/>
                <w:szCs w:val="20"/>
                <w:color w:val="auto"/>
              </w:rPr>
            </w:pPr>
            <w:r>
              <w:rPr>
                <w:rFonts w:ascii="Arial Narrow" w:cs="Arial Narrow" w:eastAsia="Arial Narrow" w:hAnsi="Arial Narrow"/>
                <w:sz w:val="16"/>
                <w:szCs w:val="16"/>
                <w:color w:val="auto"/>
              </w:rPr>
              <w:t>(dollars in thousands)</w:t>
            </w:r>
          </w:p>
        </w:tc>
      </w:tr>
      <w:tr>
        <w:trPr>
          <w:trHeight w:val="48"/>
        </w:trPr>
        <w:tc>
          <w:tcPr>
            <w:tcW w:w="5420" w:type="dxa"/>
            <w:vAlign w:val="bottom"/>
            <w:tcBorders>
              <w:bottom w:val="single" w:sz="8" w:color="auto"/>
            </w:tcBorders>
          </w:tcPr>
          <w:p>
            <w:pPr>
              <w:spacing w:after="0"/>
              <w:rPr>
                <w:sz w:val="4"/>
                <w:szCs w:val="4"/>
                <w:color w:val="auto"/>
              </w:rPr>
            </w:pPr>
          </w:p>
        </w:tc>
        <w:tc>
          <w:tcPr>
            <w:tcW w:w="242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r>
      <w:tr>
        <w:trPr>
          <w:trHeight w:val="344"/>
        </w:trPr>
        <w:tc>
          <w:tcPr>
            <w:tcW w:w="5420" w:type="dxa"/>
            <w:vAlign w:val="bottom"/>
          </w:tcPr>
          <w:p>
            <w:pPr>
              <w:spacing w:after="0"/>
              <w:rPr>
                <w:sz w:val="20"/>
                <w:szCs w:val="20"/>
                <w:color w:val="auto"/>
              </w:rPr>
            </w:pPr>
            <w:r>
              <w:rPr>
                <w:rFonts w:ascii="Arial Narrow" w:cs="Arial Narrow" w:eastAsia="Arial Narrow" w:hAnsi="Arial Narrow"/>
                <w:sz w:val="20"/>
                <w:szCs w:val="20"/>
                <w:b w:val="1"/>
                <w:bCs w:val="1"/>
                <w:color w:val="00085E"/>
              </w:rPr>
              <w:t>2.500% Senior Unsecured Notes Due 2031</w:t>
            </w:r>
          </w:p>
        </w:tc>
        <w:tc>
          <w:tcPr>
            <w:tcW w:w="2420" w:type="dxa"/>
            <w:vAlign w:val="bottom"/>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520" w:type="dxa"/>
            <w:vAlign w:val="bottom"/>
          </w:tcPr>
          <w:p>
            <w:pPr>
              <w:jc w:val="right"/>
              <w:ind w:right="8"/>
              <w:spacing w:after="0"/>
              <w:rPr>
                <w:sz w:val="20"/>
                <w:szCs w:val="20"/>
                <w:color w:val="auto"/>
              </w:rPr>
            </w:pPr>
            <w:r>
              <w:rPr>
                <w:rFonts w:ascii="Arial Narrow" w:cs="Arial Narrow" w:eastAsia="Arial Narrow" w:hAnsi="Arial Narrow"/>
                <w:sz w:val="20"/>
                <w:szCs w:val="20"/>
                <w:color w:val="auto"/>
              </w:rPr>
              <w:t>667,000</w:t>
            </w:r>
          </w:p>
        </w:tc>
      </w:tr>
      <w:tr>
        <w:trPr>
          <w:trHeight w:val="65"/>
        </w:trPr>
        <w:tc>
          <w:tcPr>
            <w:tcW w:w="5420" w:type="dxa"/>
            <w:vAlign w:val="bottom"/>
            <w:tcBorders>
              <w:bottom w:val="single" w:sz="8" w:color="A6A6A6"/>
            </w:tcBorders>
          </w:tcPr>
          <w:p>
            <w:pPr>
              <w:spacing w:after="0"/>
              <w:rPr>
                <w:sz w:val="5"/>
                <w:szCs w:val="5"/>
                <w:color w:val="auto"/>
              </w:rPr>
            </w:pPr>
          </w:p>
        </w:tc>
        <w:tc>
          <w:tcPr>
            <w:tcW w:w="2420" w:type="dxa"/>
            <w:vAlign w:val="bottom"/>
            <w:tcBorders>
              <w:bottom w:val="single" w:sz="8" w:color="A6A6A6"/>
            </w:tcBorders>
          </w:tcPr>
          <w:p>
            <w:pPr>
              <w:spacing w:after="0"/>
              <w:rPr>
                <w:sz w:val="5"/>
                <w:szCs w:val="5"/>
                <w:color w:val="auto"/>
              </w:rPr>
            </w:pPr>
          </w:p>
        </w:tc>
        <w:tc>
          <w:tcPr>
            <w:tcW w:w="1520" w:type="dxa"/>
            <w:vAlign w:val="bottom"/>
            <w:tcBorders>
              <w:bottom w:val="single" w:sz="8" w:color="A6A6A6"/>
            </w:tcBorders>
          </w:tcPr>
          <w:p>
            <w:pPr>
              <w:spacing w:after="0"/>
              <w:rPr>
                <w:sz w:val="5"/>
                <w:szCs w:val="5"/>
                <w:color w:val="auto"/>
              </w:rPr>
            </w:pPr>
          </w:p>
        </w:tc>
      </w:tr>
      <w:tr>
        <w:trPr>
          <w:trHeight w:val="339"/>
        </w:trPr>
        <w:tc>
          <w:tcPr>
            <w:tcW w:w="5420" w:type="dxa"/>
            <w:vAlign w:val="bottom"/>
          </w:tcPr>
          <w:p>
            <w:pPr>
              <w:spacing w:after="0"/>
              <w:rPr>
                <w:sz w:val="20"/>
                <w:szCs w:val="20"/>
                <w:color w:val="auto"/>
              </w:rPr>
            </w:pPr>
            <w:r>
              <w:rPr>
                <w:rFonts w:ascii="Arial Narrow" w:cs="Arial Narrow" w:eastAsia="Arial Narrow" w:hAnsi="Arial Narrow"/>
                <w:sz w:val="20"/>
                <w:szCs w:val="20"/>
                <w:b w:val="1"/>
                <w:bCs w:val="1"/>
                <w:color w:val="00085E"/>
              </w:rPr>
              <w:t>5.000% Senior Unsecured Notes Due 2036</w:t>
            </w:r>
          </w:p>
        </w:tc>
        <w:tc>
          <w:tcPr>
            <w:tcW w:w="2420" w:type="dxa"/>
            <w:vAlign w:val="bottom"/>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1520" w:type="dxa"/>
            <w:vAlign w:val="bottom"/>
          </w:tcPr>
          <w:p>
            <w:pPr>
              <w:jc w:val="right"/>
              <w:ind w:right="8"/>
              <w:spacing w:after="0"/>
              <w:rPr>
                <w:sz w:val="20"/>
                <w:szCs w:val="20"/>
                <w:color w:val="auto"/>
              </w:rPr>
            </w:pPr>
            <w:r>
              <w:rPr>
                <w:rFonts w:ascii="Arial Narrow" w:cs="Arial Narrow" w:eastAsia="Arial Narrow" w:hAnsi="Arial Narrow"/>
                <w:sz w:val="20"/>
                <w:szCs w:val="20"/>
                <w:color w:val="auto"/>
              </w:rPr>
              <w:t>718,000</w:t>
            </w:r>
          </w:p>
        </w:tc>
      </w:tr>
      <w:tr>
        <w:trPr>
          <w:trHeight w:val="65"/>
        </w:trPr>
        <w:tc>
          <w:tcPr>
            <w:tcW w:w="5420" w:type="dxa"/>
            <w:vAlign w:val="bottom"/>
            <w:tcBorders>
              <w:bottom w:val="single" w:sz="8" w:color="A6A6A6"/>
            </w:tcBorders>
          </w:tcPr>
          <w:p>
            <w:pPr>
              <w:spacing w:after="0"/>
              <w:rPr>
                <w:sz w:val="5"/>
                <w:szCs w:val="5"/>
                <w:color w:val="auto"/>
              </w:rPr>
            </w:pPr>
          </w:p>
        </w:tc>
        <w:tc>
          <w:tcPr>
            <w:tcW w:w="2420" w:type="dxa"/>
            <w:vAlign w:val="bottom"/>
            <w:tcBorders>
              <w:bottom w:val="single" w:sz="8" w:color="A6A6A6"/>
            </w:tcBorders>
          </w:tcPr>
          <w:p>
            <w:pPr>
              <w:spacing w:after="0"/>
              <w:rPr>
                <w:sz w:val="5"/>
                <w:szCs w:val="5"/>
                <w:color w:val="auto"/>
              </w:rPr>
            </w:pPr>
          </w:p>
        </w:tc>
        <w:tc>
          <w:tcPr>
            <w:tcW w:w="1520" w:type="dxa"/>
            <w:vAlign w:val="bottom"/>
            <w:tcBorders>
              <w:bottom w:val="single" w:sz="8" w:color="A6A6A6"/>
            </w:tcBorders>
          </w:tcPr>
          <w:p>
            <w:pPr>
              <w:spacing w:after="0"/>
              <w:rPr>
                <w:sz w:val="5"/>
                <w:szCs w:val="5"/>
                <w:color w:val="auto"/>
              </w:rPr>
            </w:pPr>
          </w:p>
        </w:tc>
      </w:tr>
    </w:tbl>
    <w:p>
      <w:pPr>
        <w:spacing w:after="0" w:line="200" w:lineRule="exact"/>
        <w:rPr>
          <w:sz w:val="20"/>
          <w:szCs w:val="20"/>
          <w:color w:val="auto"/>
        </w:rPr>
      </w:pPr>
    </w:p>
    <w:p>
      <w:pPr>
        <w:sectPr>
          <w:pgSz w:w="11880" w:h="15480" w:orient="portrait"/>
          <w:cols w:equalWidth="0" w:num="1">
            <w:col w:w="9360"/>
          </w:cols>
          <w:pgMar w:left="1260" w:top="1267"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92</w:t>
      </w:r>
    </w:p>
    <w:p>
      <w:pPr>
        <w:sectPr>
          <w:pgSz w:w="11880" w:h="15480" w:orient="portrait"/>
          <w:cols w:equalWidth="0" w:num="1">
            <w:col w:w="9360"/>
          </w:cols>
          <w:pgMar w:left="1260" w:top="1267" w:right="1260" w:bottom="0" w:gutter="0" w:footer="0" w:header="0"/>
          <w:type w:val="continuous"/>
        </w:sectPr>
      </w:pPr>
    </w:p>
    <w:bookmarkStart w:id="100" w:name="page101"/>
    <w:bookmarkEnd w:id="100"/>
    <w:p>
      <w:pPr>
        <w:ind w:right="40"/>
        <w:spacing w:after="0" w:line="292" w:lineRule="auto"/>
        <w:rPr>
          <w:sz w:val="20"/>
          <w:szCs w:val="20"/>
          <w:color w:val="auto"/>
        </w:rPr>
      </w:pPr>
      <w:r>
        <w:rPr>
          <w:rFonts w:ascii="Arial" w:cs="Arial" w:eastAsia="Arial" w:hAnsi="Arial"/>
          <w:sz w:val="20"/>
          <w:szCs w:val="20"/>
          <w:color w:val="auto"/>
        </w:rPr>
        <w:t>The estimated fair value of our long-term debt was based on publicly quoted prices of these debt instruments (level 1 input). The carrying values of cash and cash equivalents, accounts receivable, accounts payable, and accrued liabilities approximate their fair values at March 31, 2026, due to the short-term maturities of these assets and liabilities. The fair value of our Term Loan also approximates its carrying values at March 31, 2026.</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00085E"/>
        </w:rPr>
        <w:t>(H) BUSINESS SEGMENTS</w:t>
      </w:r>
    </w:p>
    <w:p>
      <w:pPr>
        <w:spacing w:after="0" w:line="161" w:lineRule="exact"/>
        <w:rPr>
          <w:sz w:val="20"/>
          <w:szCs w:val="20"/>
          <w:color w:val="auto"/>
        </w:rPr>
      </w:pPr>
    </w:p>
    <w:p>
      <w:pPr>
        <w:spacing w:after="0" w:line="287" w:lineRule="auto"/>
        <w:rPr>
          <w:sz w:val="20"/>
          <w:szCs w:val="20"/>
          <w:color w:val="auto"/>
        </w:rPr>
      </w:pPr>
      <w:r>
        <w:rPr>
          <w:rFonts w:ascii="Arial" w:cs="Arial" w:eastAsia="Arial" w:hAnsi="Arial"/>
          <w:sz w:val="20"/>
          <w:szCs w:val="20"/>
          <w:color w:val="auto"/>
        </w:rPr>
        <w:t>Operating segments are defined as components of an enterprise that engage in business activities that earn revenue, incur expenses, and prepare separate financial information that is evaluated regularly by our chief operating decision maker (CODM), who is our President and Chief Executive Officer, to assist in allocating resources and assessing performance. This assessment is primarily based on segment earnings from operations, as management believes this is the best metric for segment operating performance. The CODM uses segment operating earnings as part of their review of the monthly operating results on a segment basis. The actual monthly results are reviewed against budgeted amounts as well as the current year reforecast and prior year actual amounts. Interest and taxes are managed on a centralized basis, and not included in segment operating information.</w:t>
      </w:r>
    </w:p>
    <w:p>
      <w:pPr>
        <w:spacing w:after="0" w:line="75" w:lineRule="exact"/>
        <w:rPr>
          <w:sz w:val="20"/>
          <w:szCs w:val="20"/>
          <w:color w:val="auto"/>
        </w:rPr>
      </w:pPr>
    </w:p>
    <w:p>
      <w:pPr>
        <w:spacing w:after="0" w:line="296" w:lineRule="auto"/>
        <w:rPr>
          <w:sz w:val="20"/>
          <w:szCs w:val="20"/>
          <w:color w:val="auto"/>
        </w:rPr>
      </w:pPr>
      <w:r>
        <w:rPr>
          <w:rFonts w:ascii="Arial" w:cs="Arial" w:eastAsia="Arial" w:hAnsi="Arial"/>
          <w:sz w:val="20"/>
          <w:szCs w:val="20"/>
          <w:color w:val="auto"/>
        </w:rPr>
        <w:t>Our business is organized into two sectors within which there are four reportable business segments. The Heavy Materials sector includes the Cement and Concrete and Aggregates segments. The Light Materials sector includes the Gypsum Wallboard and Recycled Paperboard segments. The Company's operating segments are the same as the Company's reporting segments.</w:t>
      </w:r>
    </w:p>
    <w:p>
      <w:pPr>
        <w:spacing w:after="0" w:line="65" w:lineRule="exact"/>
        <w:rPr>
          <w:sz w:val="20"/>
          <w:szCs w:val="20"/>
          <w:color w:val="auto"/>
        </w:rPr>
      </w:pPr>
    </w:p>
    <w:p>
      <w:pPr>
        <w:spacing w:after="0" w:line="286" w:lineRule="auto"/>
        <w:rPr>
          <w:sz w:val="20"/>
          <w:szCs w:val="20"/>
          <w:color w:val="auto"/>
        </w:rPr>
      </w:pPr>
      <w:r>
        <w:rPr>
          <w:rFonts w:ascii="Arial" w:cs="Arial" w:eastAsia="Arial" w:hAnsi="Arial"/>
          <w:sz w:val="20"/>
          <w:szCs w:val="20"/>
          <w:color w:val="auto"/>
        </w:rPr>
        <w:t>Our primary products, cement and gypsum wallboard, are essential for building, expanding and repairing roads, highways, and residential, commercial and industrial structures across America. We manufacture and sell our products through a network of more than 70 facilities spanning 21 states. Demand for our products is generally cyclical and seasonal, depending on economic and geographic conditions. Our operations are conducted in the U.S. and include the mining of limestone for the manufacture, production, distribution, and sale of cement (a basic construction material that is the essential binding ingredient in concrete); the grinding and sale of slag; the mining of gypsum for the manufacture and sale of gypsum wallboard; the manufacture and sale of recycled paperboard to the gypsum wallboard industry and other paperboard converters; the sale of readymix concrete; and the mining and sale of aggregates (crushed stone, sand, and gravel).</w:t>
      </w:r>
    </w:p>
    <w:p>
      <w:pPr>
        <w:spacing w:after="0" w:line="79" w:lineRule="exact"/>
        <w:rPr>
          <w:sz w:val="20"/>
          <w:szCs w:val="20"/>
          <w:color w:val="auto"/>
        </w:rPr>
      </w:pPr>
    </w:p>
    <w:p>
      <w:pPr>
        <w:ind w:right="120"/>
        <w:spacing w:after="0" w:line="290" w:lineRule="auto"/>
        <w:rPr>
          <w:sz w:val="20"/>
          <w:szCs w:val="20"/>
          <w:color w:val="auto"/>
        </w:rPr>
      </w:pPr>
      <w:r>
        <w:rPr>
          <w:rFonts w:ascii="Arial" w:cs="Arial" w:eastAsia="Arial" w:hAnsi="Arial"/>
          <w:sz w:val="20"/>
          <w:szCs w:val="20"/>
          <w:color w:val="auto"/>
        </w:rPr>
        <w:t>We operate eight modern cement plants, two slag grinding facilities, and over 30 cement distribution terminals. One cement plant and one slag plant is operated though our joint venture located in Buda, Texas. Our cement companies focus on the U.S. heartland and operate as an integrated network selling product primarily in California, Colorado, Illinois, Indiana, Iowa, Kansas, Kentucky, Missouri, Nebraska, Nevada, Ohio, Oklahoma, Tennessee, and Texas. We operate over 25 readymix concrete batch plants and seven aggregates processing plants in markets that are complementary to our cement network.</w:t>
      </w:r>
    </w:p>
    <w:p>
      <w:pPr>
        <w:spacing w:after="0" w:line="73" w:lineRule="exact"/>
        <w:rPr>
          <w:sz w:val="20"/>
          <w:szCs w:val="20"/>
          <w:color w:val="auto"/>
        </w:rPr>
      </w:pPr>
    </w:p>
    <w:p>
      <w:pPr>
        <w:ind w:right="140"/>
        <w:spacing w:after="0" w:line="355" w:lineRule="auto"/>
        <w:rPr>
          <w:sz w:val="20"/>
          <w:szCs w:val="20"/>
          <w:color w:val="auto"/>
        </w:rPr>
      </w:pPr>
      <w:r>
        <w:rPr>
          <w:rFonts w:ascii="Arial" w:cs="Arial" w:eastAsia="Arial" w:hAnsi="Arial"/>
          <w:sz w:val="19"/>
          <w:szCs w:val="19"/>
          <w:color w:val="auto"/>
        </w:rPr>
        <w:t>We operate five gypsum wallboard plants and a recycled paperboard mill. We distribute gypsum wallboard and recycled paperboard throughout the continental U.S., with the exception of the Northeast.</w:t>
      </w:r>
    </w:p>
    <w:p>
      <w:pPr>
        <w:spacing w:after="0" w:line="14" w:lineRule="exact"/>
        <w:rPr>
          <w:sz w:val="20"/>
          <w:szCs w:val="20"/>
          <w:color w:val="auto"/>
        </w:rPr>
      </w:pPr>
    </w:p>
    <w:p>
      <w:pPr>
        <w:ind w:right="420"/>
        <w:spacing w:after="0" w:line="296" w:lineRule="auto"/>
        <w:rPr>
          <w:sz w:val="20"/>
          <w:szCs w:val="20"/>
          <w:color w:val="auto"/>
        </w:rPr>
      </w:pPr>
      <w:r>
        <w:rPr>
          <w:rFonts w:ascii="Arial" w:cs="Arial" w:eastAsia="Arial" w:hAnsi="Arial"/>
          <w:sz w:val="20"/>
          <w:szCs w:val="20"/>
          <w:color w:val="auto"/>
        </w:rPr>
        <w:t>We account for intersegment sales at market prices. For segment reporting purposes only, we proportionately consolidate our 50% share of the Joint Venture Revenue and Operating Earnings, consistent with the way management reports the segments within the Company for making operating decisions and assessing performance.</w:t>
      </w:r>
    </w:p>
    <w:p>
      <w:pPr>
        <w:sectPr>
          <w:pgSz w:w="11880" w:h="15480" w:orient="portrait"/>
          <w:cols w:equalWidth="0" w:num="1">
            <w:col w:w="9320"/>
          </w:cols>
          <w:pgMar w:left="1260" w:top="1267"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93</w:t>
      </w:r>
    </w:p>
    <w:p>
      <w:pPr>
        <w:sectPr>
          <w:pgSz w:w="11880" w:h="15480" w:orient="portrait"/>
          <w:cols w:equalWidth="0" w:num="1">
            <w:col w:w="9320"/>
          </w:cols>
          <w:pgMar w:left="1260" w:top="1267" w:right="1300" w:bottom="0" w:gutter="0" w:footer="0" w:header="0"/>
          <w:type w:val="continuous"/>
        </w:sectPr>
      </w:pPr>
    </w:p>
    <w:bookmarkStart w:id="101" w:name="page102"/>
    <w:bookmarkEnd w:id="101"/>
    <w:p>
      <w:pPr>
        <w:ind w:right="280"/>
        <w:spacing w:after="0" w:line="325" w:lineRule="auto"/>
        <w:rPr>
          <w:sz w:val="20"/>
          <w:szCs w:val="20"/>
          <w:color w:val="auto"/>
        </w:rPr>
      </w:pPr>
      <w:r>
        <w:rPr>
          <w:rFonts w:ascii="Arial" w:cs="Arial" w:eastAsia="Arial" w:hAnsi="Arial"/>
          <w:sz w:val="20"/>
          <w:szCs w:val="20"/>
          <w:color w:val="auto"/>
        </w:rPr>
        <w:t>The following tables set forth certain financial information relating to our operations by segment. We do not allocate interest or taxes at the segment level, only at the consolidated company level.</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18"/>
                <w:szCs w:val="18"/>
                <w:b w:val="1"/>
                <w:bCs w:val="1"/>
                <w:color w:val="auto"/>
              </w:rPr>
              <w:t>Concrete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820" w:type="dxa"/>
            <w:vAlign w:val="bottom"/>
          </w:tcPr>
          <w:p>
            <w:pPr>
              <w:spacing w:after="0"/>
              <w:rPr>
                <w:sz w:val="20"/>
                <w:szCs w:val="20"/>
                <w:color w:val="auto"/>
              </w:rPr>
            </w:pPr>
            <w:r>
              <w:rPr>
                <w:rFonts w:ascii="Arial Narrow" w:cs="Arial Narrow" w:eastAsia="Arial Narrow" w:hAnsi="Arial Narrow"/>
                <w:sz w:val="18"/>
                <w:szCs w:val="18"/>
                <w:b w:val="1"/>
                <w:bCs w:val="1"/>
                <w:color w:val="auto"/>
              </w:rPr>
              <w:t>Year Ended March 31, 2026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Narrow" w:cs="Arial Narrow" w:eastAsia="Arial Narrow" w:hAnsi="Arial Narrow"/>
                <w:sz w:val="18"/>
                <w:szCs w:val="18"/>
                <w:b w:val="1"/>
                <w:bCs w:val="1"/>
                <w:color w:val="auto"/>
              </w:rPr>
              <w:t>Cement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18"/>
                <w:szCs w:val="18"/>
                <w:b w:val="1"/>
                <w:bCs w:val="1"/>
                <w:color w:val="auto"/>
              </w:rPr>
              <w:t>and</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18"/>
                <w:szCs w:val="18"/>
                <w:b w:val="1"/>
                <w:bCs w:val="1"/>
                <w:color w:val="auto"/>
              </w:rPr>
              <w:t>Gypsum</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18"/>
                <w:szCs w:val="18"/>
                <w:b w:val="1"/>
                <w:bCs w:val="1"/>
                <w:color w:val="auto"/>
              </w:rPr>
              <w:t>Recycled</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vMerge w:val="restart"/>
          </w:tcPr>
          <w:p>
            <w:pPr>
              <w:ind w:left="420"/>
              <w:spacing w:after="0"/>
              <w:rPr>
                <w:sz w:val="20"/>
                <w:szCs w:val="20"/>
                <w:color w:val="auto"/>
              </w:rPr>
            </w:pPr>
            <w:r>
              <w:rPr>
                <w:rFonts w:ascii="Arial Narrow" w:cs="Arial Narrow" w:eastAsia="Arial Narrow" w:hAnsi="Arial Narrow"/>
                <w:sz w:val="18"/>
                <w:szCs w:val="18"/>
                <w:b w:val="1"/>
                <w:bCs w:val="1"/>
                <w:color w:val="auto"/>
              </w:rPr>
              <w:t>Total</w:t>
            </w:r>
          </w:p>
        </w:tc>
        <w:tc>
          <w:tcPr>
            <w:tcW w:w="0" w:type="dxa"/>
            <w:vAlign w:val="bottom"/>
          </w:tcPr>
          <w:p>
            <w:pPr>
              <w:spacing w:after="0"/>
              <w:rPr>
                <w:sz w:val="1"/>
                <w:szCs w:val="1"/>
                <w:color w:val="auto"/>
              </w:rPr>
            </w:pPr>
          </w:p>
        </w:tc>
      </w:tr>
      <w:tr>
        <w:trPr>
          <w:trHeight w:val="283"/>
        </w:trPr>
        <w:tc>
          <w:tcPr>
            <w:tcW w:w="3820" w:type="dxa"/>
            <w:vAlign w:val="bottom"/>
            <w:tcBorders>
              <w:bottom w:val="single" w:sz="8" w:color="auto"/>
            </w:tcBorders>
          </w:tcPr>
          <w:p>
            <w:pPr>
              <w:spacing w:after="0"/>
              <w:rPr>
                <w:sz w:val="20"/>
                <w:szCs w:val="20"/>
                <w:color w:val="auto"/>
              </w:rPr>
            </w:pPr>
            <w:r>
              <w:rPr>
                <w:rFonts w:ascii="Arial Narrow" w:cs="Arial Narrow" w:eastAsia="Arial Narrow" w:hAnsi="Arial Narrow"/>
                <w:sz w:val="16"/>
                <w:szCs w:val="16"/>
                <w:color w:val="auto"/>
              </w:rPr>
              <w:t>(dollars in thousands)</w:t>
            </w: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Narrow" w:cs="Arial Narrow" w:eastAsia="Arial Narrow" w:hAnsi="Arial Narrow"/>
                <w:sz w:val="18"/>
                <w:szCs w:val="18"/>
                <w:b w:val="1"/>
                <w:bCs w:val="1"/>
                <w:color w:val="auto"/>
              </w:rPr>
              <w:t>Aggregates</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18"/>
                <w:szCs w:val="18"/>
                <w:b w:val="1"/>
                <w:bCs w:val="1"/>
                <w:color w:val="auto"/>
              </w:rPr>
              <w:t>Wallboard</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Narrow" w:cs="Arial Narrow" w:eastAsia="Arial Narrow" w:hAnsi="Arial Narrow"/>
                <w:sz w:val="18"/>
                <w:szCs w:val="18"/>
                <w:b w:val="1"/>
                <w:bCs w:val="1"/>
                <w:color w:val="auto"/>
              </w:rPr>
              <w:t>Paperboard</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3820" w:type="dxa"/>
            <w:vAlign w:val="bottom"/>
          </w:tcPr>
          <w:p>
            <w:pPr>
              <w:spacing w:after="0"/>
              <w:rPr>
                <w:sz w:val="20"/>
                <w:szCs w:val="20"/>
                <w:color w:val="auto"/>
              </w:rPr>
            </w:pPr>
            <w:r>
              <w:rPr>
                <w:rFonts w:ascii="Arial Narrow" w:cs="Arial Narrow" w:eastAsia="Arial Narrow" w:hAnsi="Arial Narrow"/>
                <w:sz w:val="20"/>
                <w:szCs w:val="20"/>
                <w:b w:val="1"/>
                <w:bCs w:val="1"/>
                <w:color w:val="00085E"/>
              </w:rPr>
              <w:t>Revenue from External Customers</w:t>
            </w:r>
          </w:p>
        </w:tc>
        <w:tc>
          <w:tcPr>
            <w:tcW w:w="280" w:type="dxa"/>
            <w:vAlign w:val="bottom"/>
            <w:gridSpan w:val="2"/>
          </w:tcPr>
          <w:p>
            <w:pPr>
              <w:jc w:val="right"/>
              <w:ind w:right="40"/>
              <w:spacing w:after="0"/>
              <w:rPr>
                <w:sz w:val="20"/>
                <w:szCs w:val="20"/>
                <w:color w:val="auto"/>
              </w:rPr>
            </w:pPr>
            <w:r>
              <w:rPr>
                <w:rFonts w:ascii="Arial Narrow" w:cs="Arial Narrow" w:eastAsia="Arial Narrow" w:hAnsi="Arial Narrow"/>
                <w:sz w:val="20"/>
                <w:szCs w:val="20"/>
                <w:color w:val="auto"/>
              </w:rPr>
              <w:t>$</w:t>
            </w: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1,144,031</w:t>
            </w:r>
          </w:p>
        </w:tc>
        <w:tc>
          <w:tcPr>
            <w:tcW w:w="380" w:type="dxa"/>
            <w:vAlign w:val="bottom"/>
            <w:gridSpan w:val="3"/>
          </w:tcPr>
          <w:p>
            <w:pPr>
              <w:jc w:val="right"/>
              <w:spacing w:after="0"/>
              <w:rPr>
                <w:sz w:val="20"/>
                <w:szCs w:val="20"/>
                <w:color w:val="auto"/>
              </w:rPr>
            </w:pPr>
            <w:r>
              <w:rPr>
                <w:rFonts w:ascii="Arial Narrow" w:cs="Arial Narrow" w:eastAsia="Arial Narrow" w:hAnsi="Arial Narrow"/>
                <w:sz w:val="20"/>
                <w:szCs w:val="20"/>
                <w:color w:val="auto"/>
              </w:rPr>
              <w:t>$</w:t>
            </w: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283,275</w:t>
            </w:r>
          </w:p>
        </w:tc>
        <w:tc>
          <w:tcPr>
            <w:tcW w:w="320" w:type="dxa"/>
            <w:vAlign w:val="bottom"/>
            <w:gridSpan w:val="3"/>
          </w:tcPr>
          <w:p>
            <w:pPr>
              <w:jc w:val="right"/>
              <w:ind w:right="40"/>
              <w:spacing w:after="0"/>
              <w:rPr>
                <w:sz w:val="20"/>
                <w:szCs w:val="20"/>
                <w:color w:val="auto"/>
              </w:rPr>
            </w:pPr>
            <w:r>
              <w:rPr>
                <w:rFonts w:ascii="Arial Narrow" w:cs="Arial Narrow" w:eastAsia="Arial Narrow" w:hAnsi="Arial Narrow"/>
                <w:sz w:val="20"/>
                <w:szCs w:val="20"/>
                <w:color w:val="auto"/>
              </w:rPr>
              <w:t>$</w:t>
            </w: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764,493</w:t>
            </w:r>
          </w:p>
        </w:tc>
        <w:tc>
          <w:tcPr>
            <w:tcW w:w="360" w:type="dxa"/>
            <w:vAlign w:val="bottom"/>
            <w:gridSpan w:val="3"/>
          </w:tcPr>
          <w:p>
            <w:pPr>
              <w:jc w:val="right"/>
              <w:spacing w:after="0"/>
              <w:rPr>
                <w:sz w:val="20"/>
                <w:szCs w:val="20"/>
                <w:color w:val="auto"/>
              </w:rPr>
            </w:pPr>
            <w:r>
              <w:rPr>
                <w:rFonts w:ascii="Arial Narrow" w:cs="Arial Narrow" w:eastAsia="Arial Narrow" w:hAnsi="Arial Narrow"/>
                <w:sz w:val="20"/>
                <w:szCs w:val="20"/>
                <w:color w:val="auto"/>
              </w:rPr>
              <w:t>$</w:t>
            </w: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116,859</w:t>
            </w:r>
          </w:p>
        </w:tc>
        <w:tc>
          <w:tcPr>
            <w:tcW w:w="320" w:type="dxa"/>
            <w:vAlign w:val="bottom"/>
            <w:gridSpan w:val="4"/>
          </w:tcPr>
          <w:p>
            <w:pPr>
              <w:jc w:val="right"/>
              <w:ind w:right="40"/>
              <w:spacing w:after="0"/>
              <w:rPr>
                <w:sz w:val="20"/>
                <w:szCs w:val="20"/>
                <w:color w:val="auto"/>
              </w:rPr>
            </w:pPr>
            <w:r>
              <w:rPr>
                <w:rFonts w:ascii="Arial Narrow" w:cs="Arial Narrow" w:eastAsia="Arial Narrow" w:hAnsi="Arial Narrow"/>
                <w:sz w:val="20"/>
                <w:szCs w:val="20"/>
                <w:color w:val="auto"/>
              </w:rPr>
              <w:t>$</w:t>
            </w: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2,308,658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382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2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6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3820" w:type="dxa"/>
            <w:vAlign w:val="bottom"/>
          </w:tcPr>
          <w:p>
            <w:pPr>
              <w:spacing w:after="0"/>
              <w:rPr>
                <w:sz w:val="20"/>
                <w:szCs w:val="20"/>
                <w:color w:val="auto"/>
              </w:rPr>
            </w:pPr>
            <w:r>
              <w:rPr>
                <w:rFonts w:ascii="Arial Narrow" w:cs="Arial Narrow" w:eastAsia="Arial Narrow" w:hAnsi="Arial Narrow"/>
                <w:sz w:val="20"/>
                <w:szCs w:val="20"/>
                <w:b w:val="1"/>
                <w:bCs w:val="1"/>
                <w:color w:val="00085E"/>
              </w:rPr>
              <w:t>Intersegment Revenue</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36,011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16,229</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82,356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134,596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382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2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6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3820" w:type="dxa"/>
            <w:vAlign w:val="bottom"/>
          </w:tcPr>
          <w:p>
            <w:pPr>
              <w:spacing w:after="0"/>
              <w:rPr>
                <w:sz w:val="20"/>
                <w:szCs w:val="20"/>
                <w:color w:val="auto"/>
              </w:rPr>
            </w:pPr>
            <w:r>
              <w:rPr>
                <w:rFonts w:ascii="Arial Narrow" w:cs="Arial Narrow" w:eastAsia="Arial Narrow" w:hAnsi="Arial Narrow"/>
                <w:sz w:val="20"/>
                <w:szCs w:val="20"/>
                <w:b w:val="1"/>
                <w:bCs w:val="1"/>
                <w:color w:val="00085E"/>
              </w:rPr>
              <w:t>Revenue from Joint Venture</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119,341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119,341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3820" w:type="dxa"/>
            <w:vAlign w:val="bottom"/>
            <w:tcBorders>
              <w:bottom w:val="single" w:sz="8" w:color="A6A6A6"/>
            </w:tcBorders>
          </w:tcPr>
          <w:p>
            <w:pPr>
              <w:spacing w:after="0"/>
              <w:rPr>
                <w:sz w:val="7"/>
                <w:szCs w:val="7"/>
                <w:color w:val="auto"/>
              </w:rPr>
            </w:pPr>
          </w:p>
        </w:tc>
        <w:tc>
          <w:tcPr>
            <w:tcW w:w="160" w:type="dxa"/>
            <w:vAlign w:val="bottom"/>
            <w:tcBorders>
              <w:bottom w:val="single" w:sz="8" w:color="A6A6A6"/>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4"/>
        </w:trPr>
        <w:tc>
          <w:tcPr>
            <w:tcW w:w="3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1,299,383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299,504</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764,493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199,215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2,562,595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382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2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6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3820" w:type="dxa"/>
            <w:vAlign w:val="bottom"/>
          </w:tcPr>
          <w:p>
            <w:pPr>
              <w:spacing w:after="0"/>
              <w:rPr>
                <w:sz w:val="20"/>
                <w:szCs w:val="20"/>
                <w:color w:val="auto"/>
              </w:rPr>
            </w:pPr>
            <w:r>
              <w:rPr>
                <w:rFonts w:ascii="Arial Narrow" w:cs="Arial Narrow" w:eastAsia="Arial Narrow" w:hAnsi="Arial Narrow"/>
                <w:sz w:val="20"/>
                <w:szCs w:val="20"/>
                <w:b w:val="1"/>
                <w:bCs w:val="1"/>
                <w:color w:val="00085E"/>
              </w:rPr>
              <w:t>Reconciliation of Revenue</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382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2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6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3820" w:type="dxa"/>
            <w:vAlign w:val="bottom"/>
          </w:tcPr>
          <w:p>
            <w:pPr>
              <w:spacing w:after="0"/>
              <w:rPr>
                <w:sz w:val="20"/>
                <w:szCs w:val="20"/>
                <w:color w:val="auto"/>
              </w:rPr>
            </w:pPr>
            <w:r>
              <w:rPr>
                <w:rFonts w:ascii="Arial Narrow" w:cs="Arial Narrow" w:eastAsia="Arial Narrow" w:hAnsi="Arial Narrow"/>
                <w:sz w:val="20"/>
                <w:szCs w:val="20"/>
                <w:b w:val="1"/>
                <w:bCs w:val="1"/>
                <w:color w:val="00085E"/>
              </w:rPr>
              <w:t>Intersegment Revenue</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(134,596)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382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2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6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3820" w:type="dxa"/>
            <w:vAlign w:val="bottom"/>
          </w:tcPr>
          <w:p>
            <w:pPr>
              <w:spacing w:after="0"/>
              <w:rPr>
                <w:sz w:val="20"/>
                <w:szCs w:val="20"/>
                <w:color w:val="auto"/>
              </w:rPr>
            </w:pPr>
            <w:r>
              <w:rPr>
                <w:rFonts w:ascii="Arial Narrow" w:cs="Arial Narrow" w:eastAsia="Arial Narrow" w:hAnsi="Arial Narrow"/>
                <w:sz w:val="20"/>
                <w:szCs w:val="20"/>
                <w:b w:val="1"/>
                <w:bCs w:val="1"/>
                <w:color w:val="00085E"/>
              </w:rPr>
              <w:t>Revenue from Joint Venture</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(119,341)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3820" w:type="dxa"/>
            <w:vAlign w:val="bottom"/>
            <w:tcBorders>
              <w:bottom w:val="single" w:sz="8" w:color="A6A6A6"/>
            </w:tcBorders>
          </w:tcPr>
          <w:p>
            <w:pPr>
              <w:spacing w:after="0"/>
              <w:rPr>
                <w:sz w:val="7"/>
                <w:szCs w:val="7"/>
                <w:color w:val="auto"/>
              </w:rPr>
            </w:pPr>
          </w:p>
        </w:tc>
        <w:tc>
          <w:tcPr>
            <w:tcW w:w="160" w:type="dxa"/>
            <w:vAlign w:val="bottom"/>
            <w:tcBorders>
              <w:bottom w:val="single" w:sz="8" w:color="A6A6A6"/>
            </w:tcBorders>
          </w:tcPr>
          <w:p>
            <w:pPr>
              <w:spacing w:after="0"/>
              <w:rPr>
                <w:sz w:val="7"/>
                <w:szCs w:val="7"/>
                <w:color w:val="auto"/>
              </w:rPr>
            </w:pPr>
          </w:p>
        </w:tc>
        <w:tc>
          <w:tcPr>
            <w:tcW w:w="120" w:type="dxa"/>
            <w:vAlign w:val="bottom"/>
            <w:tcBorders>
              <w:bottom w:val="single" w:sz="8" w:color="A6A6A6"/>
            </w:tcBorders>
          </w:tcPr>
          <w:p>
            <w:pPr>
              <w:spacing w:after="0"/>
              <w:rPr>
                <w:sz w:val="7"/>
                <w:szCs w:val="7"/>
                <w:color w:val="auto"/>
              </w:rPr>
            </w:pPr>
          </w:p>
        </w:tc>
        <w:tc>
          <w:tcPr>
            <w:tcW w:w="780" w:type="dxa"/>
            <w:vAlign w:val="bottom"/>
            <w:tcBorders>
              <w:bottom w:val="single" w:sz="8" w:color="A6A6A6"/>
            </w:tcBorders>
          </w:tcPr>
          <w:p>
            <w:pPr>
              <w:spacing w:after="0"/>
              <w:rPr>
                <w:sz w:val="7"/>
                <w:szCs w:val="7"/>
                <w:color w:val="auto"/>
              </w:rPr>
            </w:pPr>
          </w:p>
        </w:tc>
        <w:tc>
          <w:tcPr>
            <w:tcW w:w="100" w:type="dxa"/>
            <w:vAlign w:val="bottom"/>
            <w:tcBorders>
              <w:bottom w:val="single" w:sz="8" w:color="A6A6A6"/>
            </w:tcBorders>
          </w:tcPr>
          <w:p>
            <w:pPr>
              <w:spacing w:after="0"/>
              <w:rPr>
                <w:sz w:val="7"/>
                <w:szCs w:val="7"/>
                <w:color w:val="auto"/>
              </w:rPr>
            </w:pPr>
          </w:p>
        </w:tc>
        <w:tc>
          <w:tcPr>
            <w:tcW w:w="100" w:type="dxa"/>
            <w:vAlign w:val="bottom"/>
            <w:tcBorders>
              <w:bottom w:val="single" w:sz="8" w:color="A6A6A6"/>
            </w:tcBorders>
          </w:tcPr>
          <w:p>
            <w:pPr>
              <w:spacing w:after="0"/>
              <w:rPr>
                <w:sz w:val="7"/>
                <w:szCs w:val="7"/>
                <w:color w:val="auto"/>
              </w:rPr>
            </w:pPr>
          </w:p>
        </w:tc>
        <w:tc>
          <w:tcPr>
            <w:tcW w:w="180" w:type="dxa"/>
            <w:vAlign w:val="bottom"/>
            <w:tcBorders>
              <w:bottom w:val="single" w:sz="8" w:color="A6A6A6"/>
            </w:tcBorders>
          </w:tcPr>
          <w:p>
            <w:pPr>
              <w:spacing w:after="0"/>
              <w:rPr>
                <w:sz w:val="7"/>
                <w:szCs w:val="7"/>
                <w:color w:val="auto"/>
              </w:rPr>
            </w:pPr>
          </w:p>
        </w:tc>
        <w:tc>
          <w:tcPr>
            <w:tcW w:w="740" w:type="dxa"/>
            <w:vAlign w:val="bottom"/>
            <w:tcBorders>
              <w:bottom w:val="single" w:sz="8" w:color="A6A6A6"/>
            </w:tcBorders>
          </w:tcPr>
          <w:p>
            <w:pPr>
              <w:spacing w:after="0"/>
              <w:rPr>
                <w:sz w:val="7"/>
                <w:szCs w:val="7"/>
                <w:color w:val="auto"/>
              </w:rPr>
            </w:pPr>
          </w:p>
        </w:tc>
        <w:tc>
          <w:tcPr>
            <w:tcW w:w="80" w:type="dxa"/>
            <w:vAlign w:val="bottom"/>
            <w:tcBorders>
              <w:bottom w:val="single" w:sz="8" w:color="A6A6A6"/>
            </w:tcBorders>
          </w:tcPr>
          <w:p>
            <w:pPr>
              <w:spacing w:after="0"/>
              <w:rPr>
                <w:sz w:val="7"/>
                <w:szCs w:val="7"/>
                <w:color w:val="auto"/>
              </w:rPr>
            </w:pPr>
          </w:p>
        </w:tc>
        <w:tc>
          <w:tcPr>
            <w:tcW w:w="100" w:type="dxa"/>
            <w:vAlign w:val="bottom"/>
            <w:tcBorders>
              <w:bottom w:val="single" w:sz="8" w:color="A6A6A6"/>
            </w:tcBorders>
          </w:tcPr>
          <w:p>
            <w:pPr>
              <w:spacing w:after="0"/>
              <w:rPr>
                <w:sz w:val="7"/>
                <w:szCs w:val="7"/>
                <w:color w:val="auto"/>
              </w:rPr>
            </w:pPr>
          </w:p>
        </w:tc>
        <w:tc>
          <w:tcPr>
            <w:tcW w:w="140" w:type="dxa"/>
            <w:vAlign w:val="bottom"/>
            <w:tcBorders>
              <w:bottom w:val="single" w:sz="8" w:color="A6A6A6"/>
            </w:tcBorders>
          </w:tcPr>
          <w:p>
            <w:pPr>
              <w:spacing w:after="0"/>
              <w:rPr>
                <w:sz w:val="7"/>
                <w:szCs w:val="7"/>
                <w:color w:val="auto"/>
              </w:rPr>
            </w:pPr>
          </w:p>
        </w:tc>
        <w:tc>
          <w:tcPr>
            <w:tcW w:w="780" w:type="dxa"/>
            <w:vAlign w:val="bottom"/>
            <w:tcBorders>
              <w:bottom w:val="single" w:sz="8" w:color="A6A6A6"/>
            </w:tcBorders>
          </w:tcPr>
          <w:p>
            <w:pPr>
              <w:spacing w:after="0"/>
              <w:rPr>
                <w:sz w:val="7"/>
                <w:szCs w:val="7"/>
                <w:color w:val="auto"/>
              </w:rPr>
            </w:pPr>
          </w:p>
        </w:tc>
        <w:tc>
          <w:tcPr>
            <w:tcW w:w="80" w:type="dxa"/>
            <w:vAlign w:val="bottom"/>
            <w:tcBorders>
              <w:bottom w:val="single" w:sz="8" w:color="A6A6A6"/>
            </w:tcBorders>
          </w:tcPr>
          <w:p>
            <w:pPr>
              <w:spacing w:after="0"/>
              <w:rPr>
                <w:sz w:val="7"/>
                <w:szCs w:val="7"/>
                <w:color w:val="auto"/>
              </w:rPr>
            </w:pPr>
          </w:p>
        </w:tc>
        <w:tc>
          <w:tcPr>
            <w:tcW w:w="100" w:type="dxa"/>
            <w:vAlign w:val="bottom"/>
            <w:tcBorders>
              <w:bottom w:val="single" w:sz="8" w:color="A6A6A6"/>
            </w:tcBorders>
          </w:tcPr>
          <w:p>
            <w:pPr>
              <w:spacing w:after="0"/>
              <w:rPr>
                <w:sz w:val="7"/>
                <w:szCs w:val="7"/>
                <w:color w:val="auto"/>
              </w:rPr>
            </w:pPr>
          </w:p>
        </w:tc>
        <w:tc>
          <w:tcPr>
            <w:tcW w:w="180" w:type="dxa"/>
            <w:vAlign w:val="bottom"/>
            <w:tcBorders>
              <w:bottom w:val="single" w:sz="8" w:color="A6A6A6"/>
            </w:tcBorders>
          </w:tcPr>
          <w:p>
            <w:pPr>
              <w:spacing w:after="0"/>
              <w:rPr>
                <w:sz w:val="7"/>
                <w:szCs w:val="7"/>
                <w:color w:val="auto"/>
              </w:rPr>
            </w:pPr>
          </w:p>
        </w:tc>
        <w:tc>
          <w:tcPr>
            <w:tcW w:w="740" w:type="dxa"/>
            <w:vAlign w:val="bottom"/>
            <w:tcBorders>
              <w:bottom w:val="single" w:sz="8" w:color="A6A6A6"/>
            </w:tcBorders>
          </w:tcPr>
          <w:p>
            <w:pPr>
              <w:spacing w:after="0"/>
              <w:rPr>
                <w:sz w:val="7"/>
                <w:szCs w:val="7"/>
                <w:color w:val="auto"/>
              </w:rPr>
            </w:pPr>
          </w:p>
        </w:tc>
        <w:tc>
          <w:tcPr>
            <w:tcW w:w="100" w:type="dxa"/>
            <w:vAlign w:val="bottom"/>
            <w:tcBorders>
              <w:bottom w:val="single" w:sz="8" w:color="A6A6A6"/>
            </w:tcBorders>
          </w:tcPr>
          <w:p>
            <w:pPr>
              <w:spacing w:after="0"/>
              <w:rPr>
                <w:sz w:val="7"/>
                <w:szCs w:val="7"/>
                <w:color w:val="auto"/>
              </w:rPr>
            </w:pPr>
          </w:p>
        </w:tc>
        <w:tc>
          <w:tcPr>
            <w:tcW w:w="100" w:type="dxa"/>
            <w:vAlign w:val="bottom"/>
            <w:tcBorders>
              <w:bottom w:val="single" w:sz="8" w:color="A6A6A6"/>
            </w:tcBorders>
          </w:tcPr>
          <w:p>
            <w:pPr>
              <w:spacing w:after="0"/>
              <w:rPr>
                <w:sz w:val="7"/>
                <w:szCs w:val="7"/>
                <w:color w:val="auto"/>
              </w:rPr>
            </w:pPr>
          </w:p>
        </w:tc>
        <w:tc>
          <w:tcPr>
            <w:tcW w:w="20" w:type="dxa"/>
            <w:vAlign w:val="bottom"/>
            <w:tcBorders>
              <w:bottom w:val="single" w:sz="8" w:color="A6A6A6"/>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4"/>
        </w:trPr>
        <w:tc>
          <w:tcPr>
            <w:tcW w:w="3820" w:type="dxa"/>
            <w:vAlign w:val="bottom"/>
          </w:tcPr>
          <w:p>
            <w:pPr>
              <w:spacing w:after="0"/>
              <w:rPr>
                <w:sz w:val="20"/>
                <w:szCs w:val="20"/>
                <w:color w:val="auto"/>
              </w:rPr>
            </w:pPr>
            <w:r>
              <w:rPr>
                <w:rFonts w:ascii="Arial Narrow" w:cs="Arial Narrow" w:eastAsia="Arial Narrow" w:hAnsi="Arial Narrow"/>
                <w:sz w:val="20"/>
                <w:szCs w:val="20"/>
                <w:b w:val="1"/>
                <w:bCs w:val="1"/>
                <w:color w:val="auto"/>
              </w:rPr>
              <w:t>Total Consolidated Revenue</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gridSpan w:val="4"/>
          </w:tcPr>
          <w:p>
            <w:pPr>
              <w:jc w:val="right"/>
              <w:ind w:right="40"/>
              <w:spacing w:after="0"/>
              <w:rPr>
                <w:sz w:val="20"/>
                <w:szCs w:val="20"/>
                <w:color w:val="auto"/>
              </w:rPr>
            </w:pPr>
            <w:r>
              <w:rPr>
                <w:rFonts w:ascii="Arial Narrow" w:cs="Arial Narrow" w:eastAsia="Arial Narrow" w:hAnsi="Arial Narrow"/>
                <w:sz w:val="20"/>
                <w:szCs w:val="20"/>
                <w:color w:val="auto"/>
              </w:rPr>
              <w:t>$</w:t>
            </w: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2,308,658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382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2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6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583"/>
        </w:trPr>
        <w:tc>
          <w:tcPr>
            <w:tcW w:w="3820" w:type="dxa"/>
            <w:vAlign w:val="bottom"/>
          </w:tcPr>
          <w:p>
            <w:pPr>
              <w:spacing w:after="0"/>
              <w:rPr>
                <w:sz w:val="20"/>
                <w:szCs w:val="20"/>
                <w:color w:val="auto"/>
              </w:rPr>
            </w:pPr>
            <w:r>
              <w:rPr>
                <w:rFonts w:ascii="Arial Narrow" w:cs="Arial Narrow" w:eastAsia="Arial Narrow" w:hAnsi="Arial Narrow"/>
                <w:sz w:val="20"/>
                <w:szCs w:val="20"/>
                <w:b w:val="1"/>
                <w:bCs w:val="1"/>
                <w:color w:val="00085E"/>
              </w:rPr>
              <w:t>Less: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3820" w:type="dxa"/>
            <w:vAlign w:val="bottom"/>
            <w:tcBorders>
              <w:bottom w:val="single" w:sz="8" w:color="A6A6A6"/>
            </w:tcBorders>
          </w:tcPr>
          <w:p>
            <w:pPr>
              <w:spacing w:after="0"/>
              <w:rPr>
                <w:sz w:val="5"/>
                <w:szCs w:val="5"/>
                <w:color w:val="auto"/>
              </w:rPr>
            </w:pPr>
          </w:p>
        </w:tc>
        <w:tc>
          <w:tcPr>
            <w:tcW w:w="280" w:type="dxa"/>
            <w:vAlign w:val="bottom"/>
            <w:tcBorders>
              <w:bottom w:val="single" w:sz="8" w:color="A6A6A6"/>
            </w:tcBorders>
            <w:gridSpan w:val="2"/>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280" w:type="dxa"/>
            <w:vAlign w:val="bottom"/>
            <w:tcBorders>
              <w:bottom w:val="single" w:sz="8" w:color="A6A6A6"/>
            </w:tcBorders>
            <w:gridSpan w:val="2"/>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240" w:type="dxa"/>
            <w:vAlign w:val="bottom"/>
            <w:tcBorders>
              <w:bottom w:val="single" w:sz="8" w:color="A6A6A6"/>
            </w:tcBorders>
            <w:gridSpan w:val="2"/>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280" w:type="dxa"/>
            <w:vAlign w:val="bottom"/>
            <w:tcBorders>
              <w:bottom w:val="single" w:sz="8" w:color="A6A6A6"/>
            </w:tcBorders>
            <w:gridSpan w:val="2"/>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gridSpan w:val="2"/>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6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3820" w:type="dxa"/>
            <w:vAlign w:val="bottom"/>
          </w:tcPr>
          <w:p>
            <w:pPr>
              <w:spacing w:after="0"/>
              <w:rPr>
                <w:sz w:val="20"/>
                <w:szCs w:val="20"/>
                <w:color w:val="auto"/>
              </w:rPr>
            </w:pPr>
            <w:r>
              <w:rPr>
                <w:rFonts w:ascii="Arial Narrow" w:cs="Arial Narrow" w:eastAsia="Arial Narrow" w:hAnsi="Arial Narrow"/>
                <w:sz w:val="20"/>
                <w:szCs w:val="20"/>
                <w:b w:val="1"/>
                <w:bCs w:val="1"/>
                <w:color w:val="00085E"/>
              </w:rPr>
              <w:t>Freight and Delivery</w:t>
            </w:r>
          </w:p>
        </w:tc>
        <w:tc>
          <w:tcPr>
            <w:tcW w:w="280" w:type="dxa"/>
            <w:vAlign w:val="bottom"/>
            <w:gridSpan w:val="2"/>
          </w:tcPr>
          <w:p>
            <w:pPr>
              <w:jc w:val="right"/>
              <w:ind w:right="40"/>
              <w:spacing w:after="0"/>
              <w:rPr>
                <w:sz w:val="20"/>
                <w:szCs w:val="20"/>
                <w:color w:val="auto"/>
              </w:rPr>
            </w:pPr>
            <w:r>
              <w:rPr>
                <w:rFonts w:ascii="Arial Narrow" w:cs="Arial Narrow" w:eastAsia="Arial Narrow" w:hAnsi="Arial Narrow"/>
                <w:sz w:val="20"/>
                <w:szCs w:val="20"/>
                <w:color w:val="auto"/>
              </w:rPr>
              <w:t>$</w:t>
            </w: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104,342</w:t>
            </w:r>
          </w:p>
        </w:tc>
        <w:tc>
          <w:tcPr>
            <w:tcW w:w="380" w:type="dxa"/>
            <w:vAlign w:val="bottom"/>
            <w:gridSpan w:val="3"/>
          </w:tcPr>
          <w:p>
            <w:pPr>
              <w:jc w:val="right"/>
              <w:spacing w:after="0"/>
              <w:rPr>
                <w:sz w:val="20"/>
                <w:szCs w:val="20"/>
                <w:color w:val="auto"/>
              </w:rPr>
            </w:pPr>
            <w:r>
              <w:rPr>
                <w:rFonts w:ascii="Arial Narrow" w:cs="Arial Narrow" w:eastAsia="Arial Narrow" w:hAnsi="Arial Narrow"/>
                <w:sz w:val="20"/>
                <w:szCs w:val="20"/>
                <w:color w:val="auto"/>
              </w:rPr>
              <w:t>$</w:t>
            </w: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28,664</w:t>
            </w:r>
          </w:p>
        </w:tc>
        <w:tc>
          <w:tcPr>
            <w:tcW w:w="320" w:type="dxa"/>
            <w:vAlign w:val="bottom"/>
            <w:gridSpan w:val="3"/>
          </w:tcPr>
          <w:p>
            <w:pPr>
              <w:jc w:val="right"/>
              <w:ind w:right="40"/>
              <w:spacing w:after="0"/>
              <w:rPr>
                <w:sz w:val="20"/>
                <w:szCs w:val="20"/>
                <w:color w:val="auto"/>
              </w:rPr>
            </w:pPr>
            <w:r>
              <w:rPr>
                <w:rFonts w:ascii="Arial Narrow" w:cs="Arial Narrow" w:eastAsia="Arial Narrow" w:hAnsi="Arial Narrow"/>
                <w:sz w:val="20"/>
                <w:szCs w:val="20"/>
                <w:color w:val="auto"/>
              </w:rPr>
              <w:t>$</w:t>
            </w: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140,719</w:t>
            </w:r>
          </w:p>
        </w:tc>
        <w:tc>
          <w:tcPr>
            <w:tcW w:w="360" w:type="dxa"/>
            <w:vAlign w:val="bottom"/>
            <w:gridSpan w:val="3"/>
          </w:tcPr>
          <w:p>
            <w:pPr>
              <w:jc w:val="right"/>
              <w:spacing w:after="0"/>
              <w:rPr>
                <w:sz w:val="20"/>
                <w:szCs w:val="20"/>
                <w:color w:val="auto"/>
              </w:rPr>
            </w:pPr>
            <w:r>
              <w:rPr>
                <w:rFonts w:ascii="Arial Narrow" w:cs="Arial Narrow" w:eastAsia="Arial Narrow" w:hAnsi="Arial Narrow"/>
                <w:sz w:val="20"/>
                <w:szCs w:val="20"/>
                <w:color w:val="auto"/>
              </w:rPr>
              <w:t>$</w:t>
            </w: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57</w:t>
            </w:r>
          </w:p>
        </w:tc>
        <w:tc>
          <w:tcPr>
            <w:tcW w:w="320" w:type="dxa"/>
            <w:vAlign w:val="bottom"/>
            <w:gridSpan w:val="4"/>
          </w:tcPr>
          <w:p>
            <w:pPr>
              <w:jc w:val="right"/>
              <w:ind w:right="40"/>
              <w:spacing w:after="0"/>
              <w:rPr>
                <w:sz w:val="20"/>
                <w:szCs w:val="20"/>
                <w:color w:val="auto"/>
              </w:rPr>
            </w:pPr>
            <w:r>
              <w:rPr>
                <w:rFonts w:ascii="Arial Narrow" w:cs="Arial Narrow" w:eastAsia="Arial Narrow" w:hAnsi="Arial Narrow"/>
                <w:sz w:val="20"/>
                <w:szCs w:val="20"/>
                <w:color w:val="auto"/>
              </w:rPr>
              <w:t>$</w:t>
            </w: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273,782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382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2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6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287"/>
        </w:trPr>
        <w:tc>
          <w:tcPr>
            <w:tcW w:w="3820" w:type="dxa"/>
            <w:vAlign w:val="bottom"/>
          </w:tcPr>
          <w:p>
            <w:pPr>
              <w:spacing w:after="0"/>
              <w:rPr>
                <w:sz w:val="20"/>
                <w:szCs w:val="20"/>
                <w:color w:val="auto"/>
              </w:rPr>
            </w:pPr>
            <w:r>
              <w:rPr>
                <w:rFonts w:ascii="Arial Narrow" w:cs="Arial Narrow" w:eastAsia="Arial Narrow" w:hAnsi="Arial Narrow"/>
                <w:sz w:val="20"/>
                <w:szCs w:val="20"/>
                <w:b w:val="1"/>
                <w:bCs w:val="1"/>
                <w:color w:val="00085E"/>
              </w:rPr>
              <w:t>Parts, Supplies, and Services (Includes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223,964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51,781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21,472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5,552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302,769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3820" w:type="dxa"/>
            <w:vAlign w:val="bottom"/>
            <w:vMerge w:val="restart"/>
          </w:tcPr>
          <w:p>
            <w:pPr>
              <w:spacing w:after="0"/>
              <w:rPr>
                <w:sz w:val="20"/>
                <w:szCs w:val="20"/>
                <w:color w:val="auto"/>
              </w:rPr>
            </w:pPr>
            <w:r>
              <w:rPr>
                <w:rFonts w:ascii="Arial Narrow" w:cs="Arial Narrow" w:eastAsia="Arial Narrow" w:hAnsi="Arial Narrow"/>
                <w:sz w:val="20"/>
                <w:szCs w:val="20"/>
                <w:b w:val="1"/>
                <w:bCs w:val="1"/>
                <w:color w:val="00085E"/>
              </w:rPr>
              <w:t>Maintenance)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38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382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2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6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3820" w:type="dxa"/>
            <w:vAlign w:val="bottom"/>
          </w:tcPr>
          <w:p>
            <w:pPr>
              <w:spacing w:after="0"/>
              <w:rPr>
                <w:sz w:val="20"/>
                <w:szCs w:val="20"/>
                <w:color w:val="auto"/>
              </w:rPr>
            </w:pPr>
            <w:r>
              <w:rPr>
                <w:rFonts w:ascii="Arial Narrow" w:cs="Arial Narrow" w:eastAsia="Arial Narrow" w:hAnsi="Arial Narrow"/>
                <w:sz w:val="20"/>
                <w:szCs w:val="20"/>
                <w:b w:val="1"/>
                <w:bCs w:val="1"/>
                <w:color w:val="00085E"/>
              </w:rPr>
              <w:t>Energy</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141,867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9,663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32,338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17,021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200,889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382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2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6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3820" w:type="dxa"/>
            <w:vAlign w:val="bottom"/>
          </w:tcPr>
          <w:p>
            <w:pPr>
              <w:spacing w:after="0"/>
              <w:rPr>
                <w:sz w:val="20"/>
                <w:szCs w:val="20"/>
                <w:color w:val="auto"/>
              </w:rPr>
            </w:pPr>
            <w:r>
              <w:rPr>
                <w:rFonts w:ascii="Arial Narrow" w:cs="Arial Narrow" w:eastAsia="Arial Narrow" w:hAnsi="Arial Narrow"/>
                <w:sz w:val="20"/>
                <w:szCs w:val="20"/>
                <w:b w:val="1"/>
                <w:bCs w:val="1"/>
                <w:color w:val="00085E"/>
              </w:rPr>
              <w:t>Raw Materials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99,956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109,946</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172,058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79,713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461,673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382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2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6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3820" w:type="dxa"/>
            <w:vAlign w:val="bottom"/>
          </w:tcPr>
          <w:p>
            <w:pPr>
              <w:spacing w:after="0"/>
              <w:rPr>
                <w:sz w:val="20"/>
                <w:szCs w:val="20"/>
                <w:color w:val="auto"/>
              </w:rPr>
            </w:pPr>
            <w:r>
              <w:rPr>
                <w:rFonts w:ascii="Arial Narrow" w:cs="Arial Narrow" w:eastAsia="Arial Narrow" w:hAnsi="Arial Narrow"/>
                <w:sz w:val="20"/>
                <w:szCs w:val="20"/>
                <w:b w:val="1"/>
                <w:bCs w:val="1"/>
                <w:color w:val="00085E"/>
              </w:rPr>
              <w:t>Labor and Fixed Costs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173,562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38,394</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62,813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26,261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301,030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382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2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6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3820" w:type="dxa"/>
            <w:vAlign w:val="bottom"/>
          </w:tcPr>
          <w:p>
            <w:pPr>
              <w:spacing w:after="0"/>
              <w:rPr>
                <w:sz w:val="20"/>
                <w:szCs w:val="20"/>
                <w:color w:val="auto"/>
              </w:rPr>
            </w:pPr>
            <w:r>
              <w:rPr>
                <w:rFonts w:ascii="Arial Narrow" w:cs="Arial Narrow" w:eastAsia="Arial Narrow" w:hAnsi="Arial Narrow"/>
                <w:sz w:val="20"/>
                <w:szCs w:val="20"/>
                <w:b w:val="1"/>
                <w:bCs w:val="1"/>
                <w:color w:val="00085E"/>
              </w:rPr>
              <w:t xml:space="preserve">Depreciation, Depletion, and Amortization </w:t>
            </w:r>
            <w:r>
              <w:rPr>
                <w:rFonts w:ascii="Arial Narrow" w:cs="Arial Narrow" w:eastAsia="Arial Narrow" w:hAnsi="Arial Narrow"/>
                <w:sz w:val="13"/>
                <w:szCs w:val="13"/>
                <w:b w:val="1"/>
                <w:bCs w:val="1"/>
                <w:color w:val="00085E"/>
              </w:rPr>
              <w:t>(1)</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94,380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28,159</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23,890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13,210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159,639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382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2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6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3820" w:type="dxa"/>
            <w:vAlign w:val="bottom"/>
          </w:tcPr>
          <w:p>
            <w:pPr>
              <w:spacing w:after="0"/>
              <w:rPr>
                <w:sz w:val="20"/>
                <w:szCs w:val="20"/>
                <w:color w:val="auto"/>
              </w:rPr>
            </w:pPr>
            <w:r>
              <w:rPr>
                <w:rFonts w:ascii="Arial Narrow" w:cs="Arial Narrow" w:eastAsia="Arial Narrow" w:hAnsi="Arial Narrow"/>
                <w:sz w:val="20"/>
                <w:szCs w:val="20"/>
                <w:b w:val="1"/>
                <w:bCs w:val="1"/>
                <w:color w:val="00085E"/>
              </w:rPr>
              <w:t>Purchased Cement</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79,365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79,365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382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2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6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3820" w:type="dxa"/>
            <w:vAlign w:val="bottom"/>
          </w:tcPr>
          <w:p>
            <w:pPr>
              <w:spacing w:after="0"/>
              <w:rPr>
                <w:sz w:val="20"/>
                <w:szCs w:val="20"/>
                <w:color w:val="auto"/>
              </w:rPr>
            </w:pPr>
            <w:r>
              <w:rPr>
                <w:rFonts w:ascii="Arial Narrow" w:cs="Arial Narrow" w:eastAsia="Arial Narrow" w:hAnsi="Arial Narrow"/>
                <w:sz w:val="20"/>
                <w:szCs w:val="20"/>
                <w:b w:val="1"/>
                <w:bCs w:val="1"/>
                <w:color w:val="00085E"/>
              </w:rPr>
              <w:t>Other Segment Items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53,641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20,033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24,372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12,870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110,916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3820" w:type="dxa"/>
            <w:vAlign w:val="bottom"/>
            <w:tcBorders>
              <w:bottom w:val="single" w:sz="8" w:color="A6A6A6"/>
            </w:tcBorders>
          </w:tcPr>
          <w:p>
            <w:pPr>
              <w:spacing w:after="0"/>
              <w:rPr>
                <w:sz w:val="7"/>
                <w:szCs w:val="7"/>
                <w:color w:val="auto"/>
              </w:rPr>
            </w:pPr>
          </w:p>
        </w:tc>
        <w:tc>
          <w:tcPr>
            <w:tcW w:w="160" w:type="dxa"/>
            <w:vAlign w:val="bottom"/>
            <w:tcBorders>
              <w:bottom w:val="single" w:sz="8" w:color="A6A6A6"/>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00" w:type="dxa"/>
            <w:vAlign w:val="bottom"/>
            <w:tcBorders>
              <w:bottom w:val="single" w:sz="8" w:color="A6A6A6"/>
            </w:tcBorders>
          </w:tcPr>
          <w:p>
            <w:pPr>
              <w:spacing w:after="0"/>
              <w:rPr>
                <w:sz w:val="7"/>
                <w:szCs w:val="7"/>
                <w:color w:val="auto"/>
              </w:rPr>
            </w:pPr>
          </w:p>
        </w:tc>
        <w:tc>
          <w:tcPr>
            <w:tcW w:w="100" w:type="dxa"/>
            <w:vAlign w:val="bottom"/>
            <w:tcBorders>
              <w:bottom w:val="single" w:sz="8" w:color="A6A6A6"/>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80" w:type="dxa"/>
            <w:vAlign w:val="bottom"/>
            <w:tcBorders>
              <w:bottom w:val="single" w:sz="8" w:color="A6A6A6"/>
            </w:tcBorders>
          </w:tcPr>
          <w:p>
            <w:pPr>
              <w:spacing w:after="0"/>
              <w:rPr>
                <w:sz w:val="7"/>
                <w:szCs w:val="7"/>
                <w:color w:val="auto"/>
              </w:rPr>
            </w:pPr>
          </w:p>
        </w:tc>
        <w:tc>
          <w:tcPr>
            <w:tcW w:w="100" w:type="dxa"/>
            <w:vAlign w:val="bottom"/>
            <w:tcBorders>
              <w:bottom w:val="single" w:sz="8" w:color="A6A6A6"/>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80" w:type="dxa"/>
            <w:vAlign w:val="bottom"/>
            <w:tcBorders>
              <w:bottom w:val="single" w:sz="8" w:color="A6A6A6"/>
            </w:tcBorders>
          </w:tcPr>
          <w:p>
            <w:pPr>
              <w:spacing w:after="0"/>
              <w:rPr>
                <w:sz w:val="7"/>
                <w:szCs w:val="7"/>
                <w:color w:val="auto"/>
              </w:rPr>
            </w:pPr>
          </w:p>
        </w:tc>
        <w:tc>
          <w:tcPr>
            <w:tcW w:w="100" w:type="dxa"/>
            <w:vAlign w:val="bottom"/>
            <w:tcBorders>
              <w:bottom w:val="single" w:sz="8" w:color="A6A6A6"/>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00" w:type="dxa"/>
            <w:vAlign w:val="bottom"/>
            <w:tcBorders>
              <w:bottom w:val="single" w:sz="8" w:color="A6A6A6"/>
            </w:tcBorders>
          </w:tcPr>
          <w:p>
            <w:pPr>
              <w:spacing w:after="0"/>
              <w:rPr>
                <w:sz w:val="7"/>
                <w:szCs w:val="7"/>
                <w:color w:val="auto"/>
              </w:rPr>
            </w:pPr>
          </w:p>
        </w:tc>
        <w:tc>
          <w:tcPr>
            <w:tcW w:w="100" w:type="dxa"/>
            <w:vAlign w:val="bottom"/>
            <w:tcBorders>
              <w:bottom w:val="single" w:sz="8" w:color="A6A6A6"/>
            </w:tcBorders>
          </w:tcPr>
          <w:p>
            <w:pPr>
              <w:spacing w:after="0"/>
              <w:rPr>
                <w:sz w:val="7"/>
                <w:szCs w:val="7"/>
                <w:color w:val="auto"/>
              </w:rPr>
            </w:pPr>
          </w:p>
        </w:tc>
        <w:tc>
          <w:tcPr>
            <w:tcW w:w="20" w:type="dxa"/>
            <w:vAlign w:val="bottom"/>
            <w:tcBorders>
              <w:bottom w:val="single" w:sz="8" w:color="A6A6A6"/>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44"/>
        </w:trPr>
        <w:tc>
          <w:tcPr>
            <w:tcW w:w="3820" w:type="dxa"/>
            <w:vAlign w:val="bottom"/>
          </w:tcPr>
          <w:p>
            <w:pPr>
              <w:spacing w:after="0"/>
              <w:rPr>
                <w:sz w:val="20"/>
                <w:szCs w:val="20"/>
                <w:color w:val="auto"/>
              </w:rPr>
            </w:pPr>
            <w:r>
              <w:rPr>
                <w:rFonts w:ascii="Arial Narrow" w:cs="Arial Narrow" w:eastAsia="Arial Narrow" w:hAnsi="Arial Narrow"/>
                <w:sz w:val="20"/>
                <w:szCs w:val="20"/>
                <w:b w:val="1"/>
                <w:bCs w:val="1"/>
                <w:color w:val="auto"/>
              </w:rPr>
              <w:t>Segment Operating Earnings</w:t>
            </w:r>
          </w:p>
        </w:tc>
        <w:tc>
          <w:tcPr>
            <w:tcW w:w="280" w:type="dxa"/>
            <w:vAlign w:val="bottom"/>
            <w:gridSpan w:val="2"/>
          </w:tcPr>
          <w:p>
            <w:pPr>
              <w:jc w:val="right"/>
              <w:ind w:right="40"/>
              <w:spacing w:after="0"/>
              <w:rPr>
                <w:sz w:val="20"/>
                <w:szCs w:val="20"/>
                <w:color w:val="auto"/>
              </w:rPr>
            </w:pPr>
            <w:r>
              <w:rPr>
                <w:rFonts w:ascii="Arial Narrow" w:cs="Arial Narrow" w:eastAsia="Arial Narrow" w:hAnsi="Arial Narrow"/>
                <w:sz w:val="20"/>
                <w:szCs w:val="20"/>
                <w:color w:val="auto"/>
              </w:rPr>
              <w:t>$</w:t>
            </w: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328,306</w:t>
            </w:r>
          </w:p>
        </w:tc>
        <w:tc>
          <w:tcPr>
            <w:tcW w:w="380" w:type="dxa"/>
            <w:vAlign w:val="bottom"/>
            <w:gridSpan w:val="3"/>
          </w:tcPr>
          <w:p>
            <w:pPr>
              <w:jc w:val="right"/>
              <w:spacing w:after="0"/>
              <w:rPr>
                <w:sz w:val="20"/>
                <w:szCs w:val="20"/>
                <w:color w:val="auto"/>
              </w:rPr>
            </w:pPr>
            <w:r>
              <w:rPr>
                <w:rFonts w:ascii="Arial Narrow" w:cs="Arial Narrow" w:eastAsia="Arial Narrow" w:hAnsi="Arial Narrow"/>
                <w:sz w:val="20"/>
                <w:szCs w:val="20"/>
                <w:color w:val="auto"/>
              </w:rPr>
              <w:t>$</w:t>
            </w: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12,864</w:t>
            </w:r>
          </w:p>
        </w:tc>
        <w:tc>
          <w:tcPr>
            <w:tcW w:w="320" w:type="dxa"/>
            <w:vAlign w:val="bottom"/>
            <w:gridSpan w:val="3"/>
          </w:tcPr>
          <w:p>
            <w:pPr>
              <w:jc w:val="right"/>
              <w:ind w:right="40"/>
              <w:spacing w:after="0"/>
              <w:rPr>
                <w:sz w:val="20"/>
                <w:szCs w:val="20"/>
                <w:color w:val="auto"/>
              </w:rPr>
            </w:pPr>
            <w:r>
              <w:rPr>
                <w:rFonts w:ascii="Arial Narrow" w:cs="Arial Narrow" w:eastAsia="Arial Narrow" w:hAnsi="Arial Narrow"/>
                <w:sz w:val="20"/>
                <w:szCs w:val="20"/>
                <w:color w:val="auto"/>
              </w:rPr>
              <w:t>$</w:t>
            </w: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286,831</w:t>
            </w:r>
          </w:p>
        </w:tc>
        <w:tc>
          <w:tcPr>
            <w:tcW w:w="360" w:type="dxa"/>
            <w:vAlign w:val="bottom"/>
            <w:gridSpan w:val="3"/>
          </w:tcPr>
          <w:p>
            <w:pPr>
              <w:jc w:val="right"/>
              <w:spacing w:after="0"/>
              <w:rPr>
                <w:sz w:val="20"/>
                <w:szCs w:val="20"/>
                <w:color w:val="auto"/>
              </w:rPr>
            </w:pPr>
            <w:r>
              <w:rPr>
                <w:rFonts w:ascii="Arial Narrow" w:cs="Arial Narrow" w:eastAsia="Arial Narrow" w:hAnsi="Arial Narrow"/>
                <w:sz w:val="20"/>
                <w:szCs w:val="20"/>
                <w:color w:val="auto"/>
              </w:rPr>
              <w:t>$</w:t>
            </w: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44,531</w:t>
            </w:r>
          </w:p>
        </w:tc>
        <w:tc>
          <w:tcPr>
            <w:tcW w:w="320" w:type="dxa"/>
            <w:vAlign w:val="bottom"/>
            <w:gridSpan w:val="4"/>
          </w:tcPr>
          <w:p>
            <w:pPr>
              <w:jc w:val="right"/>
              <w:ind w:right="40"/>
              <w:spacing w:after="0"/>
              <w:rPr>
                <w:sz w:val="20"/>
                <w:szCs w:val="20"/>
                <w:color w:val="auto"/>
              </w:rPr>
            </w:pPr>
            <w:r>
              <w:rPr>
                <w:rFonts w:ascii="Arial Narrow" w:cs="Arial Narrow" w:eastAsia="Arial Narrow" w:hAnsi="Arial Narrow"/>
                <w:sz w:val="20"/>
                <w:szCs w:val="20"/>
                <w:color w:val="auto"/>
              </w:rPr>
              <w:t>$</w:t>
            </w: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672,532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382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20" w:type="dxa"/>
            <w:vAlign w:val="bottom"/>
            <w:tcBorders>
              <w:bottom w:val="single" w:sz="8" w:color="A6A6A6"/>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Arial Narrow" w:cs="Arial Narrow" w:eastAsia="Arial Narrow" w:hAnsi="Arial Narrow"/>
                <w:sz w:val="20"/>
                <w:szCs w:val="20"/>
                <w:b w:val="1"/>
                <w:bCs w:val="1"/>
                <w:color w:val="00085E"/>
              </w:rPr>
              <w:t>Reconciliation of Segment Operating Earnings</w:t>
            </w: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3"/>
        </w:trPr>
        <w:tc>
          <w:tcPr>
            <w:tcW w:w="38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382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2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6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3820" w:type="dxa"/>
            <w:vAlign w:val="bottom"/>
          </w:tcPr>
          <w:p>
            <w:pPr>
              <w:spacing w:after="0"/>
              <w:rPr>
                <w:sz w:val="20"/>
                <w:szCs w:val="20"/>
                <w:color w:val="auto"/>
              </w:rPr>
            </w:pPr>
            <w:r>
              <w:rPr>
                <w:rFonts w:ascii="Arial Narrow" w:cs="Arial Narrow" w:eastAsia="Arial Narrow" w:hAnsi="Arial Narrow"/>
                <w:sz w:val="20"/>
                <w:szCs w:val="20"/>
                <w:b w:val="1"/>
                <w:bCs w:val="1"/>
                <w:color w:val="00085E"/>
              </w:rPr>
              <w:t>Corporate General and Administrative Expense</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(89,182)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382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2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6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3820" w:type="dxa"/>
            <w:vAlign w:val="bottom"/>
          </w:tcPr>
          <w:p>
            <w:pPr>
              <w:spacing w:after="0"/>
              <w:rPr>
                <w:sz w:val="20"/>
                <w:szCs w:val="20"/>
                <w:color w:val="auto"/>
              </w:rPr>
            </w:pPr>
            <w:r>
              <w:rPr>
                <w:rFonts w:ascii="Arial Narrow" w:cs="Arial Narrow" w:eastAsia="Arial Narrow" w:hAnsi="Arial Narrow"/>
                <w:sz w:val="20"/>
                <w:szCs w:val="20"/>
                <w:b w:val="1"/>
                <w:bCs w:val="1"/>
                <w:color w:val="00085E"/>
              </w:rPr>
              <w:t>Other Non-Operating Earnings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5,108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382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2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6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3820" w:type="dxa"/>
            <w:vAlign w:val="bottom"/>
          </w:tcPr>
          <w:p>
            <w:pPr>
              <w:spacing w:after="0"/>
              <w:rPr>
                <w:sz w:val="20"/>
                <w:szCs w:val="20"/>
                <w:color w:val="auto"/>
              </w:rPr>
            </w:pPr>
            <w:r>
              <w:rPr>
                <w:rFonts w:ascii="Arial Narrow" w:cs="Arial Narrow" w:eastAsia="Arial Narrow" w:hAnsi="Arial Narrow"/>
                <w:sz w:val="20"/>
                <w:szCs w:val="20"/>
                <w:b w:val="1"/>
                <w:bCs w:val="1"/>
                <w:color w:val="00085E"/>
              </w:rPr>
              <w:t>Interest Expense</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(46,482)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3820" w:type="dxa"/>
            <w:vAlign w:val="bottom"/>
            <w:tcBorders>
              <w:bottom w:val="single" w:sz="8" w:color="A6A6A6"/>
            </w:tcBorders>
          </w:tcPr>
          <w:p>
            <w:pPr>
              <w:spacing w:after="0"/>
              <w:rPr>
                <w:sz w:val="7"/>
                <w:szCs w:val="7"/>
                <w:color w:val="auto"/>
              </w:rPr>
            </w:pPr>
          </w:p>
        </w:tc>
        <w:tc>
          <w:tcPr>
            <w:tcW w:w="160" w:type="dxa"/>
            <w:vAlign w:val="bottom"/>
            <w:tcBorders>
              <w:bottom w:val="single" w:sz="8" w:color="A6A6A6"/>
            </w:tcBorders>
          </w:tcPr>
          <w:p>
            <w:pPr>
              <w:spacing w:after="0"/>
              <w:rPr>
                <w:sz w:val="7"/>
                <w:szCs w:val="7"/>
                <w:color w:val="auto"/>
              </w:rPr>
            </w:pPr>
          </w:p>
        </w:tc>
        <w:tc>
          <w:tcPr>
            <w:tcW w:w="120" w:type="dxa"/>
            <w:vAlign w:val="bottom"/>
            <w:tcBorders>
              <w:bottom w:val="single" w:sz="8" w:color="A6A6A6"/>
            </w:tcBorders>
          </w:tcPr>
          <w:p>
            <w:pPr>
              <w:spacing w:after="0"/>
              <w:rPr>
                <w:sz w:val="7"/>
                <w:szCs w:val="7"/>
                <w:color w:val="auto"/>
              </w:rPr>
            </w:pPr>
          </w:p>
        </w:tc>
        <w:tc>
          <w:tcPr>
            <w:tcW w:w="780" w:type="dxa"/>
            <w:vAlign w:val="bottom"/>
            <w:tcBorders>
              <w:bottom w:val="single" w:sz="8" w:color="A6A6A6"/>
            </w:tcBorders>
          </w:tcPr>
          <w:p>
            <w:pPr>
              <w:spacing w:after="0"/>
              <w:rPr>
                <w:sz w:val="7"/>
                <w:szCs w:val="7"/>
                <w:color w:val="auto"/>
              </w:rPr>
            </w:pPr>
          </w:p>
        </w:tc>
        <w:tc>
          <w:tcPr>
            <w:tcW w:w="100" w:type="dxa"/>
            <w:vAlign w:val="bottom"/>
            <w:tcBorders>
              <w:bottom w:val="single" w:sz="8" w:color="A6A6A6"/>
            </w:tcBorders>
          </w:tcPr>
          <w:p>
            <w:pPr>
              <w:spacing w:after="0"/>
              <w:rPr>
                <w:sz w:val="7"/>
                <w:szCs w:val="7"/>
                <w:color w:val="auto"/>
              </w:rPr>
            </w:pPr>
          </w:p>
        </w:tc>
        <w:tc>
          <w:tcPr>
            <w:tcW w:w="100" w:type="dxa"/>
            <w:vAlign w:val="bottom"/>
            <w:tcBorders>
              <w:bottom w:val="single" w:sz="8" w:color="A6A6A6"/>
            </w:tcBorders>
          </w:tcPr>
          <w:p>
            <w:pPr>
              <w:spacing w:after="0"/>
              <w:rPr>
                <w:sz w:val="7"/>
                <w:szCs w:val="7"/>
                <w:color w:val="auto"/>
              </w:rPr>
            </w:pPr>
          </w:p>
        </w:tc>
        <w:tc>
          <w:tcPr>
            <w:tcW w:w="180" w:type="dxa"/>
            <w:vAlign w:val="bottom"/>
            <w:tcBorders>
              <w:bottom w:val="single" w:sz="8" w:color="A6A6A6"/>
            </w:tcBorders>
          </w:tcPr>
          <w:p>
            <w:pPr>
              <w:spacing w:after="0"/>
              <w:rPr>
                <w:sz w:val="7"/>
                <w:szCs w:val="7"/>
                <w:color w:val="auto"/>
              </w:rPr>
            </w:pPr>
          </w:p>
        </w:tc>
        <w:tc>
          <w:tcPr>
            <w:tcW w:w="740" w:type="dxa"/>
            <w:vAlign w:val="bottom"/>
            <w:tcBorders>
              <w:bottom w:val="single" w:sz="8" w:color="A6A6A6"/>
            </w:tcBorders>
          </w:tcPr>
          <w:p>
            <w:pPr>
              <w:spacing w:after="0"/>
              <w:rPr>
                <w:sz w:val="7"/>
                <w:szCs w:val="7"/>
                <w:color w:val="auto"/>
              </w:rPr>
            </w:pPr>
          </w:p>
        </w:tc>
        <w:tc>
          <w:tcPr>
            <w:tcW w:w="80" w:type="dxa"/>
            <w:vAlign w:val="bottom"/>
            <w:tcBorders>
              <w:bottom w:val="single" w:sz="8" w:color="A6A6A6"/>
            </w:tcBorders>
          </w:tcPr>
          <w:p>
            <w:pPr>
              <w:spacing w:after="0"/>
              <w:rPr>
                <w:sz w:val="7"/>
                <w:szCs w:val="7"/>
                <w:color w:val="auto"/>
              </w:rPr>
            </w:pPr>
          </w:p>
        </w:tc>
        <w:tc>
          <w:tcPr>
            <w:tcW w:w="100" w:type="dxa"/>
            <w:vAlign w:val="bottom"/>
            <w:tcBorders>
              <w:bottom w:val="single" w:sz="8" w:color="A6A6A6"/>
            </w:tcBorders>
          </w:tcPr>
          <w:p>
            <w:pPr>
              <w:spacing w:after="0"/>
              <w:rPr>
                <w:sz w:val="7"/>
                <w:szCs w:val="7"/>
                <w:color w:val="auto"/>
              </w:rPr>
            </w:pPr>
          </w:p>
        </w:tc>
        <w:tc>
          <w:tcPr>
            <w:tcW w:w="140" w:type="dxa"/>
            <w:vAlign w:val="bottom"/>
            <w:tcBorders>
              <w:bottom w:val="single" w:sz="8" w:color="A6A6A6"/>
            </w:tcBorders>
          </w:tcPr>
          <w:p>
            <w:pPr>
              <w:spacing w:after="0"/>
              <w:rPr>
                <w:sz w:val="7"/>
                <w:szCs w:val="7"/>
                <w:color w:val="auto"/>
              </w:rPr>
            </w:pPr>
          </w:p>
        </w:tc>
        <w:tc>
          <w:tcPr>
            <w:tcW w:w="780" w:type="dxa"/>
            <w:vAlign w:val="bottom"/>
            <w:tcBorders>
              <w:bottom w:val="single" w:sz="8" w:color="A6A6A6"/>
            </w:tcBorders>
          </w:tcPr>
          <w:p>
            <w:pPr>
              <w:spacing w:after="0"/>
              <w:rPr>
                <w:sz w:val="7"/>
                <w:szCs w:val="7"/>
                <w:color w:val="auto"/>
              </w:rPr>
            </w:pPr>
          </w:p>
        </w:tc>
        <w:tc>
          <w:tcPr>
            <w:tcW w:w="80" w:type="dxa"/>
            <w:vAlign w:val="bottom"/>
            <w:tcBorders>
              <w:bottom w:val="single" w:sz="8" w:color="A6A6A6"/>
            </w:tcBorders>
          </w:tcPr>
          <w:p>
            <w:pPr>
              <w:spacing w:after="0"/>
              <w:rPr>
                <w:sz w:val="7"/>
                <w:szCs w:val="7"/>
                <w:color w:val="auto"/>
              </w:rPr>
            </w:pPr>
          </w:p>
        </w:tc>
        <w:tc>
          <w:tcPr>
            <w:tcW w:w="100" w:type="dxa"/>
            <w:vAlign w:val="bottom"/>
            <w:tcBorders>
              <w:bottom w:val="single" w:sz="8" w:color="A6A6A6"/>
            </w:tcBorders>
          </w:tcPr>
          <w:p>
            <w:pPr>
              <w:spacing w:after="0"/>
              <w:rPr>
                <w:sz w:val="7"/>
                <w:szCs w:val="7"/>
                <w:color w:val="auto"/>
              </w:rPr>
            </w:pPr>
          </w:p>
        </w:tc>
        <w:tc>
          <w:tcPr>
            <w:tcW w:w="180" w:type="dxa"/>
            <w:vAlign w:val="bottom"/>
            <w:tcBorders>
              <w:bottom w:val="single" w:sz="8" w:color="A6A6A6"/>
            </w:tcBorders>
          </w:tcPr>
          <w:p>
            <w:pPr>
              <w:spacing w:after="0"/>
              <w:rPr>
                <w:sz w:val="7"/>
                <w:szCs w:val="7"/>
                <w:color w:val="auto"/>
              </w:rPr>
            </w:pPr>
          </w:p>
        </w:tc>
        <w:tc>
          <w:tcPr>
            <w:tcW w:w="740" w:type="dxa"/>
            <w:vAlign w:val="bottom"/>
            <w:tcBorders>
              <w:bottom w:val="single" w:sz="8" w:color="A6A6A6"/>
            </w:tcBorders>
          </w:tcPr>
          <w:p>
            <w:pPr>
              <w:spacing w:after="0"/>
              <w:rPr>
                <w:sz w:val="7"/>
                <w:szCs w:val="7"/>
                <w:color w:val="auto"/>
              </w:rPr>
            </w:pPr>
          </w:p>
        </w:tc>
        <w:tc>
          <w:tcPr>
            <w:tcW w:w="100" w:type="dxa"/>
            <w:vAlign w:val="bottom"/>
            <w:tcBorders>
              <w:bottom w:val="single" w:sz="8" w:color="A6A6A6"/>
            </w:tcBorders>
          </w:tcPr>
          <w:p>
            <w:pPr>
              <w:spacing w:after="0"/>
              <w:rPr>
                <w:sz w:val="7"/>
                <w:szCs w:val="7"/>
                <w:color w:val="auto"/>
              </w:rPr>
            </w:pPr>
          </w:p>
        </w:tc>
        <w:tc>
          <w:tcPr>
            <w:tcW w:w="100" w:type="dxa"/>
            <w:vAlign w:val="bottom"/>
            <w:tcBorders>
              <w:bottom w:val="single" w:sz="8" w:color="A6A6A6"/>
            </w:tcBorders>
          </w:tcPr>
          <w:p>
            <w:pPr>
              <w:spacing w:after="0"/>
              <w:rPr>
                <w:sz w:val="7"/>
                <w:szCs w:val="7"/>
                <w:color w:val="auto"/>
              </w:rPr>
            </w:pPr>
          </w:p>
        </w:tc>
        <w:tc>
          <w:tcPr>
            <w:tcW w:w="20" w:type="dxa"/>
            <w:vAlign w:val="bottom"/>
            <w:tcBorders>
              <w:bottom w:val="single" w:sz="8" w:color="A6A6A6"/>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4"/>
        </w:trPr>
        <w:tc>
          <w:tcPr>
            <w:tcW w:w="3820" w:type="dxa"/>
            <w:vAlign w:val="bottom"/>
          </w:tcPr>
          <w:p>
            <w:pPr>
              <w:spacing w:after="0"/>
              <w:rPr>
                <w:sz w:val="20"/>
                <w:szCs w:val="20"/>
                <w:color w:val="auto"/>
              </w:rPr>
            </w:pPr>
            <w:r>
              <w:rPr>
                <w:rFonts w:ascii="Arial Narrow" w:cs="Arial Narrow" w:eastAsia="Arial Narrow" w:hAnsi="Arial Narrow"/>
                <w:sz w:val="20"/>
                <w:szCs w:val="20"/>
                <w:b w:val="1"/>
                <w:bCs w:val="1"/>
                <w:color w:val="auto"/>
              </w:rPr>
              <w:t>Earnings Before Income Taxes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gridSpan w:val="4"/>
          </w:tcPr>
          <w:p>
            <w:pPr>
              <w:jc w:val="right"/>
              <w:ind w:right="40"/>
              <w:spacing w:after="0"/>
              <w:rPr>
                <w:sz w:val="20"/>
                <w:szCs w:val="20"/>
                <w:color w:val="auto"/>
              </w:rPr>
            </w:pPr>
            <w:r>
              <w:rPr>
                <w:rFonts w:ascii="Arial Narrow" w:cs="Arial Narrow" w:eastAsia="Arial Narrow" w:hAnsi="Arial Narrow"/>
                <w:sz w:val="20"/>
                <w:szCs w:val="20"/>
                <w:color w:val="auto"/>
              </w:rPr>
              <w:t>$</w:t>
            </w: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541,976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38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5908675</wp:posOffset>
            </wp:positionH>
            <wp:positionV relativeFrom="paragraph">
              <wp:posOffset>-1855470</wp:posOffset>
            </wp:positionV>
            <wp:extent cx="34925" cy="95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5">
                      <a:extLst>
                        <a:ext uri="{28A0092B-C50C-407E-A947-70E740481C1C}"/>
                      </a:extLst>
                    </a:blip>
                    <a:srcRect/>
                    <a:stretch>
                      <a:fillRect/>
                    </a:stretch>
                  </pic:blipFill>
                  <pic:spPr bwMode="auto">
                    <a:xfrm>
                      <a:off x="0" y="0"/>
                      <a:ext cx="34925" cy="9525"/>
                    </a:xfrm>
                    <a:prstGeom prst="rect">
                      <a:avLst/>
                    </a:prstGeom>
                    <a:noFill/>
                  </pic:spPr>
                </pic:pic>
              </a:graphicData>
            </a:graphic>
          </wp:anchor>
        </w:drawing>
        <w:drawing>
          <wp:anchor simplePos="0" relativeHeight="251657728" behindDoc="1" locked="0" layoutInCell="0" allowOverlap="1">
            <wp:simplePos x="0" y="0"/>
            <wp:positionH relativeFrom="column">
              <wp:posOffset>5908675</wp:posOffset>
            </wp:positionH>
            <wp:positionV relativeFrom="paragraph">
              <wp:posOffset>-1567180</wp:posOffset>
            </wp:positionV>
            <wp:extent cx="34925" cy="95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6">
                      <a:extLst>
                        <a:ext uri="{28A0092B-C50C-407E-A947-70E740481C1C}"/>
                      </a:extLst>
                    </a:blip>
                    <a:srcRect/>
                    <a:stretch>
                      <a:fillRect/>
                    </a:stretch>
                  </pic:blipFill>
                  <pic:spPr bwMode="auto">
                    <a:xfrm>
                      <a:off x="0" y="0"/>
                      <a:ext cx="34925" cy="9525"/>
                    </a:xfrm>
                    <a:prstGeom prst="rect">
                      <a:avLst/>
                    </a:prstGeom>
                    <a:noFill/>
                  </pic:spPr>
                </pic:pic>
              </a:graphicData>
            </a:graphic>
          </wp:anchor>
        </w:drawing>
      </w:r>
    </w:p>
    <w:p>
      <w:pPr>
        <w:sectPr>
          <w:pgSz w:w="11880" w:h="15480" w:orient="portrait"/>
          <w:cols w:equalWidth="0" w:num="1">
            <w:col w:w="9360"/>
          </w:cols>
          <w:pgMar w:left="1260" w:top="1267"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94</w:t>
      </w:r>
    </w:p>
    <w:p>
      <w:pPr>
        <w:sectPr>
          <w:pgSz w:w="11880" w:h="15480" w:orient="portrait"/>
          <w:cols w:equalWidth="0" w:num="1">
            <w:col w:w="9360"/>
          </w:cols>
          <w:pgMar w:left="1260" w:top="1267" w:right="1260" w:bottom="0" w:gutter="0" w:footer="0" w:header="0"/>
          <w:type w:val="continuous"/>
        </w:sectPr>
      </w:pPr>
    </w:p>
    <w:bookmarkStart w:id="102" w:name="page103"/>
    <w:bookmarkEnd w:id="102"/>
    <w:tbl>
      <w:tblPr>
        <w:tblLayout w:type="fixed"/>
        <w:tblInd w:w="0" w:type="dxa"/>
        <w:tblCellMar>
          <w:top w:w="0" w:type="dxa"/>
          <w:left w:w="0" w:type="dxa"/>
          <w:bottom w:w="0" w:type="dxa"/>
          <w:right w:w="0" w:type="dxa"/>
        </w:tblCellMar>
      </w:tblPr>
      <w:tr>
        <w:trPr>
          <w:trHeight w:val="207"/>
        </w:trPr>
        <w:tc>
          <w:tcPr>
            <w:tcW w:w="3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18"/>
                <w:szCs w:val="18"/>
                <w:b w:val="1"/>
                <w:bCs w:val="1"/>
                <w:color w:val="auto"/>
              </w:rPr>
              <w:t>Concrete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820" w:type="dxa"/>
            <w:vAlign w:val="bottom"/>
          </w:tcPr>
          <w:p>
            <w:pPr>
              <w:spacing w:after="0"/>
              <w:rPr>
                <w:sz w:val="20"/>
                <w:szCs w:val="20"/>
                <w:color w:val="auto"/>
              </w:rPr>
            </w:pPr>
            <w:r>
              <w:rPr>
                <w:rFonts w:ascii="Arial Narrow" w:cs="Arial Narrow" w:eastAsia="Arial Narrow" w:hAnsi="Arial Narrow"/>
                <w:sz w:val="18"/>
                <w:szCs w:val="18"/>
                <w:b w:val="1"/>
                <w:bCs w:val="1"/>
                <w:color w:val="auto"/>
              </w:rPr>
              <w:t>Year Ended March 31, 2025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Narrow" w:cs="Arial Narrow" w:eastAsia="Arial Narrow" w:hAnsi="Arial Narrow"/>
                <w:sz w:val="18"/>
                <w:szCs w:val="18"/>
                <w:b w:val="1"/>
                <w:bCs w:val="1"/>
                <w:color w:val="auto"/>
              </w:rPr>
              <w:t>Cement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18"/>
                <w:szCs w:val="18"/>
                <w:b w:val="1"/>
                <w:bCs w:val="1"/>
                <w:color w:val="auto"/>
              </w:rPr>
              <w:t>and</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18"/>
                <w:szCs w:val="18"/>
                <w:b w:val="1"/>
                <w:bCs w:val="1"/>
                <w:color w:val="auto"/>
              </w:rPr>
              <w:t>Gypsum</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18"/>
                <w:szCs w:val="18"/>
                <w:b w:val="1"/>
                <w:bCs w:val="1"/>
                <w:color w:val="auto"/>
              </w:rPr>
              <w:t>Recycled</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vMerge w:val="restart"/>
          </w:tcPr>
          <w:p>
            <w:pPr>
              <w:ind w:left="420"/>
              <w:spacing w:after="0"/>
              <w:rPr>
                <w:sz w:val="20"/>
                <w:szCs w:val="20"/>
                <w:color w:val="auto"/>
              </w:rPr>
            </w:pPr>
            <w:r>
              <w:rPr>
                <w:rFonts w:ascii="Arial Narrow" w:cs="Arial Narrow" w:eastAsia="Arial Narrow" w:hAnsi="Arial Narrow"/>
                <w:sz w:val="18"/>
                <w:szCs w:val="18"/>
                <w:b w:val="1"/>
                <w:bCs w:val="1"/>
                <w:color w:val="auto"/>
              </w:rPr>
              <w:t>Total</w:t>
            </w:r>
          </w:p>
        </w:tc>
        <w:tc>
          <w:tcPr>
            <w:tcW w:w="0" w:type="dxa"/>
            <w:vAlign w:val="bottom"/>
          </w:tcPr>
          <w:p>
            <w:pPr>
              <w:spacing w:after="0"/>
              <w:rPr>
                <w:sz w:val="1"/>
                <w:szCs w:val="1"/>
                <w:color w:val="auto"/>
              </w:rPr>
            </w:pPr>
          </w:p>
        </w:tc>
      </w:tr>
      <w:tr>
        <w:trPr>
          <w:trHeight w:val="283"/>
        </w:trPr>
        <w:tc>
          <w:tcPr>
            <w:tcW w:w="3820" w:type="dxa"/>
            <w:vAlign w:val="bottom"/>
            <w:tcBorders>
              <w:bottom w:val="single" w:sz="8" w:color="auto"/>
            </w:tcBorders>
          </w:tcPr>
          <w:p>
            <w:pPr>
              <w:spacing w:after="0"/>
              <w:rPr>
                <w:sz w:val="20"/>
                <w:szCs w:val="20"/>
                <w:color w:val="auto"/>
              </w:rPr>
            </w:pPr>
            <w:r>
              <w:rPr>
                <w:rFonts w:ascii="Arial Narrow" w:cs="Arial Narrow" w:eastAsia="Arial Narrow" w:hAnsi="Arial Narrow"/>
                <w:sz w:val="16"/>
                <w:szCs w:val="16"/>
                <w:color w:val="auto"/>
              </w:rPr>
              <w:t>(dollars in thousands)</w:t>
            </w: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Narrow" w:cs="Arial Narrow" w:eastAsia="Arial Narrow" w:hAnsi="Arial Narrow"/>
                <w:sz w:val="18"/>
                <w:szCs w:val="18"/>
                <w:b w:val="1"/>
                <w:bCs w:val="1"/>
                <w:color w:val="auto"/>
              </w:rPr>
              <w:t>Aggregates</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18"/>
                <w:szCs w:val="18"/>
                <w:b w:val="1"/>
                <w:bCs w:val="1"/>
                <w:color w:val="auto"/>
              </w:rPr>
              <w:t>Wallboard</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Narrow" w:cs="Arial Narrow" w:eastAsia="Arial Narrow" w:hAnsi="Arial Narrow"/>
                <w:sz w:val="18"/>
                <w:szCs w:val="18"/>
                <w:b w:val="1"/>
                <w:bCs w:val="1"/>
                <w:color w:val="auto"/>
              </w:rPr>
              <w:t>Paperboard</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3820" w:type="dxa"/>
            <w:vAlign w:val="bottom"/>
          </w:tcPr>
          <w:p>
            <w:pPr>
              <w:spacing w:after="0"/>
              <w:rPr>
                <w:sz w:val="20"/>
                <w:szCs w:val="20"/>
                <w:color w:val="auto"/>
              </w:rPr>
            </w:pPr>
            <w:r>
              <w:rPr>
                <w:rFonts w:ascii="Arial Narrow" w:cs="Arial Narrow" w:eastAsia="Arial Narrow" w:hAnsi="Arial Narrow"/>
                <w:sz w:val="20"/>
                <w:szCs w:val="20"/>
                <w:b w:val="1"/>
                <w:bCs w:val="1"/>
                <w:color w:val="00085E"/>
              </w:rPr>
              <w:t>Revenue from External Customers</w:t>
            </w:r>
          </w:p>
        </w:tc>
        <w:tc>
          <w:tcPr>
            <w:tcW w:w="280" w:type="dxa"/>
            <w:vAlign w:val="bottom"/>
            <w:gridSpan w:val="2"/>
          </w:tcPr>
          <w:p>
            <w:pPr>
              <w:jc w:val="right"/>
              <w:ind w:right="40"/>
              <w:spacing w:after="0"/>
              <w:rPr>
                <w:sz w:val="20"/>
                <w:szCs w:val="20"/>
                <w:color w:val="auto"/>
              </w:rPr>
            </w:pPr>
            <w:r>
              <w:rPr>
                <w:rFonts w:ascii="Arial Narrow" w:cs="Arial Narrow" w:eastAsia="Arial Narrow" w:hAnsi="Arial Narrow"/>
                <w:sz w:val="20"/>
                <w:szCs w:val="20"/>
                <w:color w:val="auto"/>
              </w:rPr>
              <w:t>$</w:t>
            </w: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1,053,620</w:t>
            </w:r>
          </w:p>
        </w:tc>
        <w:tc>
          <w:tcPr>
            <w:tcW w:w="380" w:type="dxa"/>
            <w:vAlign w:val="bottom"/>
            <w:gridSpan w:val="3"/>
          </w:tcPr>
          <w:p>
            <w:pPr>
              <w:jc w:val="right"/>
              <w:spacing w:after="0"/>
              <w:rPr>
                <w:sz w:val="20"/>
                <w:szCs w:val="20"/>
                <w:color w:val="auto"/>
              </w:rPr>
            </w:pPr>
            <w:r>
              <w:rPr>
                <w:rFonts w:ascii="Arial Narrow" w:cs="Arial Narrow" w:eastAsia="Arial Narrow" w:hAnsi="Arial Narrow"/>
                <w:sz w:val="20"/>
                <w:szCs w:val="20"/>
                <w:color w:val="auto"/>
              </w:rPr>
              <w:t>$</w:t>
            </w: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237,723</w:t>
            </w:r>
          </w:p>
        </w:tc>
        <w:tc>
          <w:tcPr>
            <w:tcW w:w="320" w:type="dxa"/>
            <w:vAlign w:val="bottom"/>
            <w:gridSpan w:val="3"/>
          </w:tcPr>
          <w:p>
            <w:pPr>
              <w:jc w:val="right"/>
              <w:ind w:right="40"/>
              <w:spacing w:after="0"/>
              <w:rPr>
                <w:sz w:val="20"/>
                <w:szCs w:val="20"/>
                <w:color w:val="auto"/>
              </w:rPr>
            </w:pPr>
            <w:r>
              <w:rPr>
                <w:rFonts w:ascii="Arial Narrow" w:cs="Arial Narrow" w:eastAsia="Arial Narrow" w:hAnsi="Arial Narrow"/>
                <w:sz w:val="20"/>
                <w:szCs w:val="20"/>
                <w:color w:val="auto"/>
              </w:rPr>
              <w:t>$</w:t>
            </w: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846,499</w:t>
            </w:r>
          </w:p>
        </w:tc>
        <w:tc>
          <w:tcPr>
            <w:tcW w:w="360" w:type="dxa"/>
            <w:vAlign w:val="bottom"/>
            <w:gridSpan w:val="3"/>
          </w:tcPr>
          <w:p>
            <w:pPr>
              <w:jc w:val="right"/>
              <w:spacing w:after="0"/>
              <w:rPr>
                <w:sz w:val="20"/>
                <w:szCs w:val="20"/>
                <w:color w:val="auto"/>
              </w:rPr>
            </w:pPr>
            <w:r>
              <w:rPr>
                <w:rFonts w:ascii="Arial Narrow" w:cs="Arial Narrow" w:eastAsia="Arial Narrow" w:hAnsi="Arial Narrow"/>
                <w:sz w:val="20"/>
                <w:szCs w:val="20"/>
                <w:color w:val="auto"/>
              </w:rPr>
              <w:t>$</w:t>
            </w: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122,666</w:t>
            </w:r>
          </w:p>
        </w:tc>
        <w:tc>
          <w:tcPr>
            <w:tcW w:w="320" w:type="dxa"/>
            <w:vAlign w:val="bottom"/>
            <w:gridSpan w:val="4"/>
          </w:tcPr>
          <w:p>
            <w:pPr>
              <w:jc w:val="right"/>
              <w:ind w:right="40"/>
              <w:spacing w:after="0"/>
              <w:rPr>
                <w:sz w:val="20"/>
                <w:szCs w:val="20"/>
                <w:color w:val="auto"/>
              </w:rPr>
            </w:pPr>
            <w:r>
              <w:rPr>
                <w:rFonts w:ascii="Arial Narrow" w:cs="Arial Narrow" w:eastAsia="Arial Narrow" w:hAnsi="Arial Narrow"/>
                <w:sz w:val="20"/>
                <w:szCs w:val="20"/>
                <w:color w:val="auto"/>
              </w:rPr>
              <w:t>$</w:t>
            </w: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2,260,508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382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2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6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3820" w:type="dxa"/>
            <w:vAlign w:val="bottom"/>
          </w:tcPr>
          <w:p>
            <w:pPr>
              <w:spacing w:after="0"/>
              <w:rPr>
                <w:sz w:val="20"/>
                <w:szCs w:val="20"/>
                <w:color w:val="auto"/>
              </w:rPr>
            </w:pPr>
            <w:r>
              <w:rPr>
                <w:rFonts w:ascii="Arial Narrow" w:cs="Arial Narrow" w:eastAsia="Arial Narrow" w:hAnsi="Arial Narrow"/>
                <w:sz w:val="20"/>
                <w:szCs w:val="20"/>
                <w:b w:val="1"/>
                <w:bCs w:val="1"/>
                <w:color w:val="00085E"/>
              </w:rPr>
              <w:t>Intersegment Revenue</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36,799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13,913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89,058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139,770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382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2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6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3820" w:type="dxa"/>
            <w:vAlign w:val="bottom"/>
          </w:tcPr>
          <w:p>
            <w:pPr>
              <w:spacing w:after="0"/>
              <w:rPr>
                <w:sz w:val="20"/>
                <w:szCs w:val="20"/>
                <w:color w:val="auto"/>
              </w:rPr>
            </w:pPr>
            <w:r>
              <w:rPr>
                <w:rFonts w:ascii="Arial Narrow" w:cs="Arial Narrow" w:eastAsia="Arial Narrow" w:hAnsi="Arial Narrow"/>
                <w:sz w:val="20"/>
                <w:szCs w:val="20"/>
                <w:b w:val="1"/>
                <w:bCs w:val="1"/>
                <w:color w:val="00085E"/>
              </w:rPr>
              <w:t>Revenue from Joint Venture</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110,943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110,943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3820" w:type="dxa"/>
            <w:vAlign w:val="bottom"/>
            <w:tcBorders>
              <w:bottom w:val="single" w:sz="8" w:color="A6A6A6"/>
            </w:tcBorders>
          </w:tcPr>
          <w:p>
            <w:pPr>
              <w:spacing w:after="0"/>
              <w:rPr>
                <w:sz w:val="7"/>
                <w:szCs w:val="7"/>
                <w:color w:val="auto"/>
              </w:rPr>
            </w:pPr>
          </w:p>
        </w:tc>
        <w:tc>
          <w:tcPr>
            <w:tcW w:w="160" w:type="dxa"/>
            <w:vAlign w:val="bottom"/>
            <w:tcBorders>
              <w:bottom w:val="single" w:sz="8" w:color="A6A6A6"/>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4"/>
        </w:trPr>
        <w:tc>
          <w:tcPr>
            <w:tcW w:w="3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1,201,362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251,636</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846,499</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211,724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2,511,221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382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2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6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3820" w:type="dxa"/>
            <w:vAlign w:val="bottom"/>
          </w:tcPr>
          <w:p>
            <w:pPr>
              <w:spacing w:after="0"/>
              <w:rPr>
                <w:sz w:val="20"/>
                <w:szCs w:val="20"/>
                <w:color w:val="auto"/>
              </w:rPr>
            </w:pPr>
            <w:r>
              <w:rPr>
                <w:rFonts w:ascii="Arial Narrow" w:cs="Arial Narrow" w:eastAsia="Arial Narrow" w:hAnsi="Arial Narrow"/>
                <w:sz w:val="20"/>
                <w:szCs w:val="20"/>
                <w:b w:val="1"/>
                <w:bCs w:val="1"/>
                <w:color w:val="00085E"/>
              </w:rPr>
              <w:t>Reconciliation of Revenue</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382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2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6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3820" w:type="dxa"/>
            <w:vAlign w:val="bottom"/>
          </w:tcPr>
          <w:p>
            <w:pPr>
              <w:spacing w:after="0"/>
              <w:rPr>
                <w:sz w:val="20"/>
                <w:szCs w:val="20"/>
                <w:color w:val="auto"/>
              </w:rPr>
            </w:pPr>
            <w:r>
              <w:rPr>
                <w:rFonts w:ascii="Arial Narrow" w:cs="Arial Narrow" w:eastAsia="Arial Narrow" w:hAnsi="Arial Narrow"/>
                <w:sz w:val="20"/>
                <w:szCs w:val="20"/>
                <w:b w:val="1"/>
                <w:bCs w:val="1"/>
                <w:color w:val="00085E"/>
              </w:rPr>
              <w:t>Intersegment Revenue</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(139,770)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382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2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6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3820" w:type="dxa"/>
            <w:vAlign w:val="bottom"/>
          </w:tcPr>
          <w:p>
            <w:pPr>
              <w:spacing w:after="0"/>
              <w:rPr>
                <w:sz w:val="20"/>
                <w:szCs w:val="20"/>
                <w:color w:val="auto"/>
              </w:rPr>
            </w:pPr>
            <w:r>
              <w:rPr>
                <w:rFonts w:ascii="Arial Narrow" w:cs="Arial Narrow" w:eastAsia="Arial Narrow" w:hAnsi="Arial Narrow"/>
                <w:sz w:val="20"/>
                <w:szCs w:val="20"/>
                <w:b w:val="1"/>
                <w:bCs w:val="1"/>
                <w:color w:val="00085E"/>
              </w:rPr>
              <w:t>Revenue from Joint Venture</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(110,943)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3820" w:type="dxa"/>
            <w:vAlign w:val="bottom"/>
            <w:tcBorders>
              <w:bottom w:val="single" w:sz="8" w:color="A6A6A6"/>
            </w:tcBorders>
          </w:tcPr>
          <w:p>
            <w:pPr>
              <w:spacing w:after="0"/>
              <w:rPr>
                <w:sz w:val="7"/>
                <w:szCs w:val="7"/>
                <w:color w:val="auto"/>
              </w:rPr>
            </w:pPr>
          </w:p>
        </w:tc>
        <w:tc>
          <w:tcPr>
            <w:tcW w:w="160" w:type="dxa"/>
            <w:vAlign w:val="bottom"/>
            <w:tcBorders>
              <w:bottom w:val="single" w:sz="8" w:color="A6A6A6"/>
            </w:tcBorders>
          </w:tcPr>
          <w:p>
            <w:pPr>
              <w:spacing w:after="0"/>
              <w:rPr>
                <w:sz w:val="7"/>
                <w:szCs w:val="7"/>
                <w:color w:val="auto"/>
              </w:rPr>
            </w:pPr>
          </w:p>
        </w:tc>
        <w:tc>
          <w:tcPr>
            <w:tcW w:w="120" w:type="dxa"/>
            <w:vAlign w:val="bottom"/>
            <w:tcBorders>
              <w:bottom w:val="single" w:sz="8" w:color="A6A6A6"/>
            </w:tcBorders>
          </w:tcPr>
          <w:p>
            <w:pPr>
              <w:spacing w:after="0"/>
              <w:rPr>
                <w:sz w:val="7"/>
                <w:szCs w:val="7"/>
                <w:color w:val="auto"/>
              </w:rPr>
            </w:pPr>
          </w:p>
        </w:tc>
        <w:tc>
          <w:tcPr>
            <w:tcW w:w="780" w:type="dxa"/>
            <w:vAlign w:val="bottom"/>
            <w:tcBorders>
              <w:bottom w:val="single" w:sz="8" w:color="A6A6A6"/>
            </w:tcBorders>
          </w:tcPr>
          <w:p>
            <w:pPr>
              <w:spacing w:after="0"/>
              <w:rPr>
                <w:sz w:val="7"/>
                <w:szCs w:val="7"/>
                <w:color w:val="auto"/>
              </w:rPr>
            </w:pPr>
          </w:p>
        </w:tc>
        <w:tc>
          <w:tcPr>
            <w:tcW w:w="100" w:type="dxa"/>
            <w:vAlign w:val="bottom"/>
            <w:tcBorders>
              <w:bottom w:val="single" w:sz="8" w:color="A6A6A6"/>
            </w:tcBorders>
          </w:tcPr>
          <w:p>
            <w:pPr>
              <w:spacing w:after="0"/>
              <w:rPr>
                <w:sz w:val="7"/>
                <w:szCs w:val="7"/>
                <w:color w:val="auto"/>
              </w:rPr>
            </w:pPr>
          </w:p>
        </w:tc>
        <w:tc>
          <w:tcPr>
            <w:tcW w:w="100" w:type="dxa"/>
            <w:vAlign w:val="bottom"/>
            <w:tcBorders>
              <w:bottom w:val="single" w:sz="8" w:color="A6A6A6"/>
            </w:tcBorders>
          </w:tcPr>
          <w:p>
            <w:pPr>
              <w:spacing w:after="0"/>
              <w:rPr>
                <w:sz w:val="7"/>
                <w:szCs w:val="7"/>
                <w:color w:val="auto"/>
              </w:rPr>
            </w:pPr>
          </w:p>
        </w:tc>
        <w:tc>
          <w:tcPr>
            <w:tcW w:w="180" w:type="dxa"/>
            <w:vAlign w:val="bottom"/>
            <w:tcBorders>
              <w:bottom w:val="single" w:sz="8" w:color="A6A6A6"/>
            </w:tcBorders>
          </w:tcPr>
          <w:p>
            <w:pPr>
              <w:spacing w:after="0"/>
              <w:rPr>
                <w:sz w:val="7"/>
                <w:szCs w:val="7"/>
                <w:color w:val="auto"/>
              </w:rPr>
            </w:pPr>
          </w:p>
        </w:tc>
        <w:tc>
          <w:tcPr>
            <w:tcW w:w="740" w:type="dxa"/>
            <w:vAlign w:val="bottom"/>
            <w:tcBorders>
              <w:bottom w:val="single" w:sz="8" w:color="A6A6A6"/>
            </w:tcBorders>
          </w:tcPr>
          <w:p>
            <w:pPr>
              <w:spacing w:after="0"/>
              <w:rPr>
                <w:sz w:val="7"/>
                <w:szCs w:val="7"/>
                <w:color w:val="auto"/>
              </w:rPr>
            </w:pPr>
          </w:p>
        </w:tc>
        <w:tc>
          <w:tcPr>
            <w:tcW w:w="80" w:type="dxa"/>
            <w:vAlign w:val="bottom"/>
            <w:tcBorders>
              <w:bottom w:val="single" w:sz="8" w:color="A6A6A6"/>
            </w:tcBorders>
          </w:tcPr>
          <w:p>
            <w:pPr>
              <w:spacing w:after="0"/>
              <w:rPr>
                <w:sz w:val="7"/>
                <w:szCs w:val="7"/>
                <w:color w:val="auto"/>
              </w:rPr>
            </w:pPr>
          </w:p>
        </w:tc>
        <w:tc>
          <w:tcPr>
            <w:tcW w:w="100" w:type="dxa"/>
            <w:vAlign w:val="bottom"/>
            <w:tcBorders>
              <w:bottom w:val="single" w:sz="8" w:color="A6A6A6"/>
            </w:tcBorders>
          </w:tcPr>
          <w:p>
            <w:pPr>
              <w:spacing w:after="0"/>
              <w:rPr>
                <w:sz w:val="7"/>
                <w:szCs w:val="7"/>
                <w:color w:val="auto"/>
              </w:rPr>
            </w:pPr>
          </w:p>
        </w:tc>
        <w:tc>
          <w:tcPr>
            <w:tcW w:w="140" w:type="dxa"/>
            <w:vAlign w:val="bottom"/>
            <w:tcBorders>
              <w:bottom w:val="single" w:sz="8" w:color="A6A6A6"/>
            </w:tcBorders>
          </w:tcPr>
          <w:p>
            <w:pPr>
              <w:spacing w:after="0"/>
              <w:rPr>
                <w:sz w:val="7"/>
                <w:szCs w:val="7"/>
                <w:color w:val="auto"/>
              </w:rPr>
            </w:pPr>
          </w:p>
        </w:tc>
        <w:tc>
          <w:tcPr>
            <w:tcW w:w="780" w:type="dxa"/>
            <w:vAlign w:val="bottom"/>
            <w:tcBorders>
              <w:bottom w:val="single" w:sz="8" w:color="A6A6A6"/>
            </w:tcBorders>
          </w:tcPr>
          <w:p>
            <w:pPr>
              <w:spacing w:after="0"/>
              <w:rPr>
                <w:sz w:val="7"/>
                <w:szCs w:val="7"/>
                <w:color w:val="auto"/>
              </w:rPr>
            </w:pPr>
          </w:p>
        </w:tc>
        <w:tc>
          <w:tcPr>
            <w:tcW w:w="80" w:type="dxa"/>
            <w:vAlign w:val="bottom"/>
            <w:tcBorders>
              <w:bottom w:val="single" w:sz="8" w:color="A6A6A6"/>
            </w:tcBorders>
          </w:tcPr>
          <w:p>
            <w:pPr>
              <w:spacing w:after="0"/>
              <w:rPr>
                <w:sz w:val="7"/>
                <w:szCs w:val="7"/>
                <w:color w:val="auto"/>
              </w:rPr>
            </w:pPr>
          </w:p>
        </w:tc>
        <w:tc>
          <w:tcPr>
            <w:tcW w:w="100" w:type="dxa"/>
            <w:vAlign w:val="bottom"/>
            <w:tcBorders>
              <w:bottom w:val="single" w:sz="8" w:color="A6A6A6"/>
            </w:tcBorders>
          </w:tcPr>
          <w:p>
            <w:pPr>
              <w:spacing w:after="0"/>
              <w:rPr>
                <w:sz w:val="7"/>
                <w:szCs w:val="7"/>
                <w:color w:val="auto"/>
              </w:rPr>
            </w:pPr>
          </w:p>
        </w:tc>
        <w:tc>
          <w:tcPr>
            <w:tcW w:w="180" w:type="dxa"/>
            <w:vAlign w:val="bottom"/>
            <w:tcBorders>
              <w:bottom w:val="single" w:sz="8" w:color="A6A6A6"/>
            </w:tcBorders>
          </w:tcPr>
          <w:p>
            <w:pPr>
              <w:spacing w:after="0"/>
              <w:rPr>
                <w:sz w:val="7"/>
                <w:szCs w:val="7"/>
                <w:color w:val="auto"/>
              </w:rPr>
            </w:pPr>
          </w:p>
        </w:tc>
        <w:tc>
          <w:tcPr>
            <w:tcW w:w="740" w:type="dxa"/>
            <w:vAlign w:val="bottom"/>
            <w:tcBorders>
              <w:bottom w:val="single" w:sz="8" w:color="A6A6A6"/>
            </w:tcBorders>
          </w:tcPr>
          <w:p>
            <w:pPr>
              <w:spacing w:after="0"/>
              <w:rPr>
                <w:sz w:val="7"/>
                <w:szCs w:val="7"/>
                <w:color w:val="auto"/>
              </w:rPr>
            </w:pPr>
          </w:p>
        </w:tc>
        <w:tc>
          <w:tcPr>
            <w:tcW w:w="100" w:type="dxa"/>
            <w:vAlign w:val="bottom"/>
            <w:tcBorders>
              <w:bottom w:val="single" w:sz="8" w:color="A6A6A6"/>
            </w:tcBorders>
          </w:tcPr>
          <w:p>
            <w:pPr>
              <w:spacing w:after="0"/>
              <w:rPr>
                <w:sz w:val="7"/>
                <w:szCs w:val="7"/>
                <w:color w:val="auto"/>
              </w:rPr>
            </w:pPr>
          </w:p>
        </w:tc>
        <w:tc>
          <w:tcPr>
            <w:tcW w:w="100" w:type="dxa"/>
            <w:vAlign w:val="bottom"/>
            <w:tcBorders>
              <w:bottom w:val="single" w:sz="8" w:color="A6A6A6"/>
            </w:tcBorders>
          </w:tcPr>
          <w:p>
            <w:pPr>
              <w:spacing w:after="0"/>
              <w:rPr>
                <w:sz w:val="7"/>
                <w:szCs w:val="7"/>
                <w:color w:val="auto"/>
              </w:rPr>
            </w:pPr>
          </w:p>
        </w:tc>
        <w:tc>
          <w:tcPr>
            <w:tcW w:w="20" w:type="dxa"/>
            <w:vAlign w:val="bottom"/>
            <w:tcBorders>
              <w:bottom w:val="single" w:sz="8" w:color="A6A6A6"/>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4"/>
        </w:trPr>
        <w:tc>
          <w:tcPr>
            <w:tcW w:w="3820" w:type="dxa"/>
            <w:vAlign w:val="bottom"/>
          </w:tcPr>
          <w:p>
            <w:pPr>
              <w:spacing w:after="0"/>
              <w:rPr>
                <w:sz w:val="20"/>
                <w:szCs w:val="20"/>
                <w:color w:val="auto"/>
              </w:rPr>
            </w:pPr>
            <w:r>
              <w:rPr>
                <w:rFonts w:ascii="Arial Narrow" w:cs="Arial Narrow" w:eastAsia="Arial Narrow" w:hAnsi="Arial Narrow"/>
                <w:sz w:val="20"/>
                <w:szCs w:val="20"/>
                <w:b w:val="1"/>
                <w:bCs w:val="1"/>
                <w:color w:val="auto"/>
              </w:rPr>
              <w:t>Total Consolidated Revenue</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gridSpan w:val="4"/>
          </w:tcPr>
          <w:p>
            <w:pPr>
              <w:jc w:val="right"/>
              <w:ind w:right="40"/>
              <w:spacing w:after="0"/>
              <w:rPr>
                <w:sz w:val="20"/>
                <w:szCs w:val="20"/>
                <w:color w:val="auto"/>
              </w:rPr>
            </w:pPr>
            <w:r>
              <w:rPr>
                <w:rFonts w:ascii="Arial Narrow" w:cs="Arial Narrow" w:eastAsia="Arial Narrow" w:hAnsi="Arial Narrow"/>
                <w:sz w:val="20"/>
                <w:szCs w:val="20"/>
                <w:color w:val="auto"/>
              </w:rPr>
              <w:t>$</w:t>
            </w: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2,260,508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382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2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6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583"/>
        </w:trPr>
        <w:tc>
          <w:tcPr>
            <w:tcW w:w="3820" w:type="dxa"/>
            <w:vAlign w:val="bottom"/>
          </w:tcPr>
          <w:p>
            <w:pPr>
              <w:spacing w:after="0"/>
              <w:rPr>
                <w:sz w:val="20"/>
                <w:szCs w:val="20"/>
                <w:color w:val="auto"/>
              </w:rPr>
            </w:pPr>
            <w:r>
              <w:rPr>
                <w:rFonts w:ascii="Arial Narrow" w:cs="Arial Narrow" w:eastAsia="Arial Narrow" w:hAnsi="Arial Narrow"/>
                <w:sz w:val="20"/>
                <w:szCs w:val="20"/>
                <w:b w:val="1"/>
                <w:bCs w:val="1"/>
                <w:color w:val="00085E"/>
              </w:rPr>
              <w:t>Less: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3820" w:type="dxa"/>
            <w:vAlign w:val="bottom"/>
            <w:tcBorders>
              <w:bottom w:val="single" w:sz="8" w:color="A6A6A6"/>
            </w:tcBorders>
          </w:tcPr>
          <w:p>
            <w:pPr>
              <w:spacing w:after="0"/>
              <w:rPr>
                <w:sz w:val="5"/>
                <w:szCs w:val="5"/>
                <w:color w:val="auto"/>
              </w:rPr>
            </w:pPr>
          </w:p>
        </w:tc>
        <w:tc>
          <w:tcPr>
            <w:tcW w:w="280" w:type="dxa"/>
            <w:vAlign w:val="bottom"/>
            <w:tcBorders>
              <w:bottom w:val="single" w:sz="8" w:color="A6A6A6"/>
            </w:tcBorders>
            <w:gridSpan w:val="2"/>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280" w:type="dxa"/>
            <w:vAlign w:val="bottom"/>
            <w:tcBorders>
              <w:bottom w:val="single" w:sz="8" w:color="A6A6A6"/>
            </w:tcBorders>
            <w:gridSpan w:val="2"/>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240" w:type="dxa"/>
            <w:vAlign w:val="bottom"/>
            <w:tcBorders>
              <w:bottom w:val="single" w:sz="8" w:color="A6A6A6"/>
            </w:tcBorders>
            <w:gridSpan w:val="2"/>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280" w:type="dxa"/>
            <w:vAlign w:val="bottom"/>
            <w:tcBorders>
              <w:bottom w:val="single" w:sz="8" w:color="A6A6A6"/>
            </w:tcBorders>
            <w:gridSpan w:val="2"/>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gridSpan w:val="2"/>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6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3820" w:type="dxa"/>
            <w:vAlign w:val="bottom"/>
          </w:tcPr>
          <w:p>
            <w:pPr>
              <w:spacing w:after="0"/>
              <w:rPr>
                <w:sz w:val="20"/>
                <w:szCs w:val="20"/>
                <w:color w:val="auto"/>
              </w:rPr>
            </w:pPr>
            <w:r>
              <w:rPr>
                <w:rFonts w:ascii="Arial Narrow" w:cs="Arial Narrow" w:eastAsia="Arial Narrow" w:hAnsi="Arial Narrow"/>
                <w:sz w:val="20"/>
                <w:szCs w:val="20"/>
                <w:b w:val="1"/>
                <w:bCs w:val="1"/>
                <w:color w:val="00085E"/>
              </w:rPr>
              <w:t>Freight and Delivery</w:t>
            </w:r>
          </w:p>
        </w:tc>
        <w:tc>
          <w:tcPr>
            <w:tcW w:w="280" w:type="dxa"/>
            <w:vAlign w:val="bottom"/>
            <w:gridSpan w:val="2"/>
          </w:tcPr>
          <w:p>
            <w:pPr>
              <w:jc w:val="right"/>
              <w:ind w:right="40"/>
              <w:spacing w:after="0"/>
              <w:rPr>
                <w:sz w:val="20"/>
                <w:szCs w:val="20"/>
                <w:color w:val="auto"/>
              </w:rPr>
            </w:pPr>
            <w:r>
              <w:rPr>
                <w:rFonts w:ascii="Arial Narrow" w:cs="Arial Narrow" w:eastAsia="Arial Narrow" w:hAnsi="Arial Narrow"/>
                <w:sz w:val="20"/>
                <w:szCs w:val="20"/>
                <w:color w:val="auto"/>
              </w:rPr>
              <w:t>$</w:t>
            </w: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90,996</w:t>
            </w:r>
          </w:p>
        </w:tc>
        <w:tc>
          <w:tcPr>
            <w:tcW w:w="380" w:type="dxa"/>
            <w:vAlign w:val="bottom"/>
            <w:gridSpan w:val="3"/>
          </w:tcPr>
          <w:p>
            <w:pPr>
              <w:jc w:val="right"/>
              <w:spacing w:after="0"/>
              <w:rPr>
                <w:sz w:val="20"/>
                <w:szCs w:val="20"/>
                <w:color w:val="auto"/>
              </w:rPr>
            </w:pPr>
            <w:r>
              <w:rPr>
                <w:rFonts w:ascii="Arial Narrow" w:cs="Arial Narrow" w:eastAsia="Arial Narrow" w:hAnsi="Arial Narrow"/>
                <w:sz w:val="20"/>
                <w:szCs w:val="20"/>
                <w:color w:val="auto"/>
              </w:rPr>
              <w:t>$</w:t>
            </w: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32,593</w:t>
            </w:r>
          </w:p>
        </w:tc>
        <w:tc>
          <w:tcPr>
            <w:tcW w:w="320" w:type="dxa"/>
            <w:vAlign w:val="bottom"/>
            <w:gridSpan w:val="3"/>
          </w:tcPr>
          <w:p>
            <w:pPr>
              <w:jc w:val="right"/>
              <w:ind w:right="40"/>
              <w:spacing w:after="0"/>
              <w:rPr>
                <w:sz w:val="20"/>
                <w:szCs w:val="20"/>
                <w:color w:val="auto"/>
              </w:rPr>
            </w:pPr>
            <w:r>
              <w:rPr>
                <w:rFonts w:ascii="Arial Narrow" w:cs="Arial Narrow" w:eastAsia="Arial Narrow" w:hAnsi="Arial Narrow"/>
                <w:sz w:val="20"/>
                <w:szCs w:val="20"/>
                <w:color w:val="auto"/>
              </w:rPr>
              <w:t>$</w:t>
            </w: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146,000</w:t>
            </w:r>
          </w:p>
        </w:tc>
        <w:tc>
          <w:tcPr>
            <w:tcW w:w="360" w:type="dxa"/>
            <w:vAlign w:val="bottom"/>
            <w:gridSpan w:val="3"/>
          </w:tcPr>
          <w:p>
            <w:pPr>
              <w:jc w:val="right"/>
              <w:spacing w:after="0"/>
              <w:rPr>
                <w:sz w:val="20"/>
                <w:szCs w:val="20"/>
                <w:color w:val="auto"/>
              </w:rPr>
            </w:pPr>
            <w:r>
              <w:rPr>
                <w:rFonts w:ascii="Arial Narrow" w:cs="Arial Narrow" w:eastAsia="Arial Narrow" w:hAnsi="Arial Narrow"/>
                <w:sz w:val="20"/>
                <w:szCs w:val="20"/>
                <w:color w:val="auto"/>
              </w:rPr>
              <w:t>$</w:t>
            </w: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96</w:t>
            </w:r>
          </w:p>
        </w:tc>
        <w:tc>
          <w:tcPr>
            <w:tcW w:w="320" w:type="dxa"/>
            <w:vAlign w:val="bottom"/>
            <w:gridSpan w:val="4"/>
          </w:tcPr>
          <w:p>
            <w:pPr>
              <w:jc w:val="right"/>
              <w:ind w:right="40"/>
              <w:spacing w:after="0"/>
              <w:rPr>
                <w:sz w:val="20"/>
                <w:szCs w:val="20"/>
                <w:color w:val="auto"/>
              </w:rPr>
            </w:pPr>
            <w:r>
              <w:rPr>
                <w:rFonts w:ascii="Arial Narrow" w:cs="Arial Narrow" w:eastAsia="Arial Narrow" w:hAnsi="Arial Narrow"/>
                <w:sz w:val="20"/>
                <w:szCs w:val="20"/>
                <w:color w:val="auto"/>
              </w:rPr>
              <w:t>$</w:t>
            </w: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269,685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382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2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6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287"/>
        </w:trPr>
        <w:tc>
          <w:tcPr>
            <w:tcW w:w="3820" w:type="dxa"/>
            <w:vAlign w:val="bottom"/>
          </w:tcPr>
          <w:p>
            <w:pPr>
              <w:spacing w:after="0"/>
              <w:rPr>
                <w:sz w:val="20"/>
                <w:szCs w:val="20"/>
                <w:color w:val="auto"/>
              </w:rPr>
            </w:pPr>
            <w:r>
              <w:rPr>
                <w:rFonts w:ascii="Arial Narrow" w:cs="Arial Narrow" w:eastAsia="Arial Narrow" w:hAnsi="Arial Narrow"/>
                <w:sz w:val="20"/>
                <w:szCs w:val="20"/>
                <w:b w:val="1"/>
                <w:bCs w:val="1"/>
                <w:color w:val="00085E"/>
              </w:rPr>
              <w:t>Parts, Supplies, and Services (Includes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231,530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39,109</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19,032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12,598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302,269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3820" w:type="dxa"/>
            <w:vAlign w:val="bottom"/>
            <w:vMerge w:val="restart"/>
          </w:tcPr>
          <w:p>
            <w:pPr>
              <w:spacing w:after="0"/>
              <w:rPr>
                <w:sz w:val="20"/>
                <w:szCs w:val="20"/>
                <w:color w:val="auto"/>
              </w:rPr>
            </w:pPr>
            <w:r>
              <w:rPr>
                <w:rFonts w:ascii="Arial Narrow" w:cs="Arial Narrow" w:eastAsia="Arial Narrow" w:hAnsi="Arial Narrow"/>
                <w:sz w:val="20"/>
                <w:szCs w:val="20"/>
                <w:b w:val="1"/>
                <w:bCs w:val="1"/>
                <w:color w:val="00085E"/>
              </w:rPr>
              <w:t>Maintenance)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38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382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2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6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3820" w:type="dxa"/>
            <w:vAlign w:val="bottom"/>
          </w:tcPr>
          <w:p>
            <w:pPr>
              <w:spacing w:after="0"/>
              <w:rPr>
                <w:sz w:val="20"/>
                <w:szCs w:val="20"/>
                <w:color w:val="auto"/>
              </w:rPr>
            </w:pPr>
            <w:r>
              <w:rPr>
                <w:rFonts w:ascii="Arial Narrow" w:cs="Arial Narrow" w:eastAsia="Arial Narrow" w:hAnsi="Arial Narrow"/>
                <w:sz w:val="20"/>
                <w:szCs w:val="20"/>
                <w:b w:val="1"/>
                <w:bCs w:val="1"/>
                <w:color w:val="00085E"/>
              </w:rPr>
              <w:t>Energy</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140,754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7,562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33,978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14,035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196,329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382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2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6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3820" w:type="dxa"/>
            <w:vAlign w:val="bottom"/>
          </w:tcPr>
          <w:p>
            <w:pPr>
              <w:spacing w:after="0"/>
              <w:rPr>
                <w:sz w:val="20"/>
                <w:szCs w:val="20"/>
                <w:color w:val="auto"/>
              </w:rPr>
            </w:pPr>
            <w:r>
              <w:rPr>
                <w:rFonts w:ascii="Arial Narrow" w:cs="Arial Narrow" w:eastAsia="Arial Narrow" w:hAnsi="Arial Narrow"/>
                <w:sz w:val="20"/>
                <w:szCs w:val="20"/>
                <w:b w:val="1"/>
                <w:bCs w:val="1"/>
                <w:color w:val="00085E"/>
              </w:rPr>
              <w:t>Raw Materials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84,669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109,587</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179,142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94,769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468,167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382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2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6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3820" w:type="dxa"/>
            <w:vAlign w:val="bottom"/>
          </w:tcPr>
          <w:p>
            <w:pPr>
              <w:spacing w:after="0"/>
              <w:rPr>
                <w:sz w:val="20"/>
                <w:szCs w:val="20"/>
                <w:color w:val="auto"/>
              </w:rPr>
            </w:pPr>
            <w:r>
              <w:rPr>
                <w:rFonts w:ascii="Arial Narrow" w:cs="Arial Narrow" w:eastAsia="Arial Narrow" w:hAnsi="Arial Narrow"/>
                <w:sz w:val="20"/>
                <w:szCs w:val="20"/>
                <w:b w:val="1"/>
                <w:bCs w:val="1"/>
                <w:color w:val="00085E"/>
              </w:rPr>
              <w:t>Labor and Fixed Costs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162,741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36,722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61,968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21,431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282,862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382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2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6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3820" w:type="dxa"/>
            <w:vAlign w:val="bottom"/>
          </w:tcPr>
          <w:p>
            <w:pPr>
              <w:spacing w:after="0"/>
              <w:rPr>
                <w:sz w:val="20"/>
                <w:szCs w:val="20"/>
                <w:color w:val="auto"/>
              </w:rPr>
            </w:pPr>
            <w:r>
              <w:rPr>
                <w:rFonts w:ascii="Arial Narrow" w:cs="Arial Narrow" w:eastAsia="Arial Narrow" w:hAnsi="Arial Narrow"/>
                <w:sz w:val="20"/>
                <w:szCs w:val="20"/>
                <w:b w:val="1"/>
                <w:bCs w:val="1"/>
                <w:color w:val="00085E"/>
              </w:rPr>
              <w:t xml:space="preserve">Depreciation, Depletion, and Amortization </w:t>
            </w:r>
            <w:r>
              <w:rPr>
                <w:rFonts w:ascii="Arial Narrow" w:cs="Arial Narrow" w:eastAsia="Arial Narrow" w:hAnsi="Arial Narrow"/>
                <w:sz w:val="13"/>
                <w:szCs w:val="13"/>
                <w:b w:val="1"/>
                <w:bCs w:val="1"/>
                <w:color w:val="00085E"/>
              </w:rPr>
              <w:t>(1)</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91,817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23,247</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25,807</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14,782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155,653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382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2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6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3820" w:type="dxa"/>
            <w:vAlign w:val="bottom"/>
          </w:tcPr>
          <w:p>
            <w:pPr>
              <w:spacing w:after="0"/>
              <w:rPr>
                <w:sz w:val="20"/>
                <w:szCs w:val="20"/>
                <w:color w:val="auto"/>
              </w:rPr>
            </w:pPr>
            <w:r>
              <w:rPr>
                <w:rFonts w:ascii="Arial Narrow" w:cs="Arial Narrow" w:eastAsia="Arial Narrow" w:hAnsi="Arial Narrow"/>
                <w:sz w:val="20"/>
                <w:szCs w:val="20"/>
                <w:b w:val="1"/>
                <w:bCs w:val="1"/>
                <w:color w:val="00085E"/>
              </w:rPr>
              <w:t>Purchased Cement</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77,059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77,059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382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2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6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3820" w:type="dxa"/>
            <w:vAlign w:val="bottom"/>
          </w:tcPr>
          <w:p>
            <w:pPr>
              <w:spacing w:after="0"/>
              <w:rPr>
                <w:sz w:val="20"/>
                <w:szCs w:val="20"/>
                <w:color w:val="auto"/>
              </w:rPr>
            </w:pPr>
            <w:r>
              <w:rPr>
                <w:rFonts w:ascii="Arial Narrow" w:cs="Arial Narrow" w:eastAsia="Arial Narrow" w:hAnsi="Arial Narrow"/>
                <w:sz w:val="20"/>
                <w:szCs w:val="20"/>
                <w:b w:val="1"/>
                <w:bCs w:val="1"/>
                <w:color w:val="00085E"/>
              </w:rPr>
              <w:t>Other Segment Items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2,340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11,581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29,808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15,935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59,664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3820" w:type="dxa"/>
            <w:vAlign w:val="bottom"/>
            <w:tcBorders>
              <w:bottom w:val="single" w:sz="8" w:color="A6A6A6"/>
            </w:tcBorders>
          </w:tcPr>
          <w:p>
            <w:pPr>
              <w:spacing w:after="0"/>
              <w:rPr>
                <w:sz w:val="7"/>
                <w:szCs w:val="7"/>
                <w:color w:val="auto"/>
              </w:rPr>
            </w:pPr>
          </w:p>
        </w:tc>
        <w:tc>
          <w:tcPr>
            <w:tcW w:w="160" w:type="dxa"/>
            <w:vAlign w:val="bottom"/>
            <w:tcBorders>
              <w:bottom w:val="single" w:sz="8" w:color="A6A6A6"/>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00" w:type="dxa"/>
            <w:vAlign w:val="bottom"/>
            <w:tcBorders>
              <w:bottom w:val="single" w:sz="8" w:color="A6A6A6"/>
            </w:tcBorders>
          </w:tcPr>
          <w:p>
            <w:pPr>
              <w:spacing w:after="0"/>
              <w:rPr>
                <w:sz w:val="7"/>
                <w:szCs w:val="7"/>
                <w:color w:val="auto"/>
              </w:rPr>
            </w:pPr>
          </w:p>
        </w:tc>
        <w:tc>
          <w:tcPr>
            <w:tcW w:w="100" w:type="dxa"/>
            <w:vAlign w:val="bottom"/>
            <w:tcBorders>
              <w:bottom w:val="single" w:sz="8" w:color="A6A6A6"/>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80" w:type="dxa"/>
            <w:vAlign w:val="bottom"/>
            <w:tcBorders>
              <w:bottom w:val="single" w:sz="8" w:color="A6A6A6"/>
            </w:tcBorders>
          </w:tcPr>
          <w:p>
            <w:pPr>
              <w:spacing w:after="0"/>
              <w:rPr>
                <w:sz w:val="7"/>
                <w:szCs w:val="7"/>
                <w:color w:val="auto"/>
              </w:rPr>
            </w:pPr>
          </w:p>
        </w:tc>
        <w:tc>
          <w:tcPr>
            <w:tcW w:w="100" w:type="dxa"/>
            <w:vAlign w:val="bottom"/>
            <w:tcBorders>
              <w:bottom w:val="single" w:sz="8" w:color="A6A6A6"/>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80" w:type="dxa"/>
            <w:vAlign w:val="bottom"/>
            <w:tcBorders>
              <w:bottom w:val="single" w:sz="8" w:color="A6A6A6"/>
            </w:tcBorders>
          </w:tcPr>
          <w:p>
            <w:pPr>
              <w:spacing w:after="0"/>
              <w:rPr>
                <w:sz w:val="7"/>
                <w:szCs w:val="7"/>
                <w:color w:val="auto"/>
              </w:rPr>
            </w:pPr>
          </w:p>
        </w:tc>
        <w:tc>
          <w:tcPr>
            <w:tcW w:w="100" w:type="dxa"/>
            <w:vAlign w:val="bottom"/>
            <w:tcBorders>
              <w:bottom w:val="single" w:sz="8" w:color="A6A6A6"/>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00" w:type="dxa"/>
            <w:vAlign w:val="bottom"/>
            <w:tcBorders>
              <w:bottom w:val="single" w:sz="8" w:color="A6A6A6"/>
            </w:tcBorders>
          </w:tcPr>
          <w:p>
            <w:pPr>
              <w:spacing w:after="0"/>
              <w:rPr>
                <w:sz w:val="7"/>
                <w:szCs w:val="7"/>
                <w:color w:val="auto"/>
              </w:rPr>
            </w:pPr>
          </w:p>
        </w:tc>
        <w:tc>
          <w:tcPr>
            <w:tcW w:w="100" w:type="dxa"/>
            <w:vAlign w:val="bottom"/>
            <w:tcBorders>
              <w:bottom w:val="single" w:sz="8" w:color="A6A6A6"/>
            </w:tcBorders>
          </w:tcPr>
          <w:p>
            <w:pPr>
              <w:spacing w:after="0"/>
              <w:rPr>
                <w:sz w:val="7"/>
                <w:szCs w:val="7"/>
                <w:color w:val="auto"/>
              </w:rPr>
            </w:pPr>
          </w:p>
        </w:tc>
        <w:tc>
          <w:tcPr>
            <w:tcW w:w="20" w:type="dxa"/>
            <w:vAlign w:val="bottom"/>
            <w:tcBorders>
              <w:bottom w:val="single" w:sz="8" w:color="A6A6A6"/>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44"/>
        </w:trPr>
        <w:tc>
          <w:tcPr>
            <w:tcW w:w="3820" w:type="dxa"/>
            <w:vAlign w:val="bottom"/>
          </w:tcPr>
          <w:p>
            <w:pPr>
              <w:spacing w:after="0"/>
              <w:rPr>
                <w:sz w:val="20"/>
                <w:szCs w:val="20"/>
                <w:color w:val="auto"/>
              </w:rPr>
            </w:pPr>
            <w:r>
              <w:rPr>
                <w:rFonts w:ascii="Arial Narrow" w:cs="Arial Narrow" w:eastAsia="Arial Narrow" w:hAnsi="Arial Narrow"/>
                <w:sz w:val="20"/>
                <w:szCs w:val="20"/>
                <w:b w:val="1"/>
                <w:bCs w:val="1"/>
                <w:color w:val="auto"/>
              </w:rPr>
              <w:t>Segment Operating Earnings</w:t>
            </w:r>
          </w:p>
        </w:tc>
        <w:tc>
          <w:tcPr>
            <w:tcW w:w="280" w:type="dxa"/>
            <w:vAlign w:val="bottom"/>
            <w:gridSpan w:val="2"/>
          </w:tcPr>
          <w:p>
            <w:pPr>
              <w:jc w:val="right"/>
              <w:ind w:right="40"/>
              <w:spacing w:after="0"/>
              <w:rPr>
                <w:sz w:val="20"/>
                <w:szCs w:val="20"/>
                <w:color w:val="auto"/>
              </w:rPr>
            </w:pPr>
            <w:r>
              <w:rPr>
                <w:rFonts w:ascii="Arial Narrow" w:cs="Arial Narrow" w:eastAsia="Arial Narrow" w:hAnsi="Arial Narrow"/>
                <w:sz w:val="20"/>
                <w:szCs w:val="20"/>
                <w:color w:val="auto"/>
              </w:rPr>
              <w:t>$</w:t>
            </w: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319,456</w:t>
            </w:r>
          </w:p>
        </w:tc>
        <w:tc>
          <w:tcPr>
            <w:tcW w:w="380" w:type="dxa"/>
            <w:vAlign w:val="bottom"/>
            <w:gridSpan w:val="3"/>
          </w:tcPr>
          <w:p>
            <w:pPr>
              <w:jc w:val="right"/>
              <w:spacing w:after="0"/>
              <w:rPr>
                <w:sz w:val="20"/>
                <w:szCs w:val="20"/>
                <w:color w:val="auto"/>
              </w:rPr>
            </w:pPr>
            <w:r>
              <w:rPr>
                <w:rFonts w:ascii="Arial Narrow" w:cs="Arial Narrow" w:eastAsia="Arial Narrow" w:hAnsi="Arial Narrow"/>
                <w:sz w:val="20"/>
                <w:szCs w:val="20"/>
                <w:color w:val="auto"/>
              </w:rPr>
              <w:t>$</w:t>
            </w: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(8,765)</w:t>
            </w:r>
          </w:p>
        </w:tc>
        <w:tc>
          <w:tcPr>
            <w:tcW w:w="320" w:type="dxa"/>
            <w:vAlign w:val="bottom"/>
            <w:gridSpan w:val="3"/>
          </w:tcPr>
          <w:p>
            <w:pPr>
              <w:jc w:val="right"/>
              <w:ind w:right="40"/>
              <w:spacing w:after="0"/>
              <w:rPr>
                <w:sz w:val="20"/>
                <w:szCs w:val="20"/>
                <w:color w:val="auto"/>
              </w:rPr>
            </w:pPr>
            <w:r>
              <w:rPr>
                <w:rFonts w:ascii="Arial Narrow" w:cs="Arial Narrow" w:eastAsia="Arial Narrow" w:hAnsi="Arial Narrow"/>
                <w:sz w:val="20"/>
                <w:szCs w:val="20"/>
                <w:color w:val="auto"/>
              </w:rPr>
              <w:t>$</w:t>
            </w: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350,764</w:t>
            </w:r>
          </w:p>
        </w:tc>
        <w:tc>
          <w:tcPr>
            <w:tcW w:w="360" w:type="dxa"/>
            <w:vAlign w:val="bottom"/>
            <w:gridSpan w:val="3"/>
          </w:tcPr>
          <w:p>
            <w:pPr>
              <w:jc w:val="right"/>
              <w:spacing w:after="0"/>
              <w:rPr>
                <w:sz w:val="20"/>
                <w:szCs w:val="20"/>
                <w:color w:val="auto"/>
              </w:rPr>
            </w:pPr>
            <w:r>
              <w:rPr>
                <w:rFonts w:ascii="Arial Narrow" w:cs="Arial Narrow" w:eastAsia="Arial Narrow" w:hAnsi="Arial Narrow"/>
                <w:sz w:val="20"/>
                <w:szCs w:val="20"/>
                <w:color w:val="auto"/>
              </w:rPr>
              <w:t>$</w:t>
            </w: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38,078</w:t>
            </w:r>
          </w:p>
        </w:tc>
        <w:tc>
          <w:tcPr>
            <w:tcW w:w="320" w:type="dxa"/>
            <w:vAlign w:val="bottom"/>
            <w:gridSpan w:val="4"/>
          </w:tcPr>
          <w:p>
            <w:pPr>
              <w:jc w:val="right"/>
              <w:ind w:right="40"/>
              <w:spacing w:after="0"/>
              <w:rPr>
                <w:sz w:val="20"/>
                <w:szCs w:val="20"/>
                <w:color w:val="auto"/>
              </w:rPr>
            </w:pPr>
            <w:r>
              <w:rPr>
                <w:rFonts w:ascii="Arial Narrow" w:cs="Arial Narrow" w:eastAsia="Arial Narrow" w:hAnsi="Arial Narrow"/>
                <w:sz w:val="20"/>
                <w:szCs w:val="20"/>
                <w:color w:val="auto"/>
              </w:rPr>
              <w:t>$</w:t>
            </w: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699,533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382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20" w:type="dxa"/>
            <w:vAlign w:val="bottom"/>
            <w:tcBorders>
              <w:bottom w:val="single" w:sz="8" w:color="A6A6A6"/>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Arial Narrow" w:cs="Arial Narrow" w:eastAsia="Arial Narrow" w:hAnsi="Arial Narrow"/>
                <w:sz w:val="20"/>
                <w:szCs w:val="20"/>
                <w:b w:val="1"/>
                <w:bCs w:val="1"/>
                <w:color w:val="00085E"/>
              </w:rPr>
              <w:t>Reconciliation of Segment Operating Earnings</w:t>
            </w: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3"/>
        </w:trPr>
        <w:tc>
          <w:tcPr>
            <w:tcW w:w="38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382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2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6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3820" w:type="dxa"/>
            <w:vAlign w:val="bottom"/>
          </w:tcPr>
          <w:p>
            <w:pPr>
              <w:spacing w:after="0"/>
              <w:rPr>
                <w:sz w:val="20"/>
                <w:szCs w:val="20"/>
                <w:color w:val="auto"/>
              </w:rPr>
            </w:pPr>
            <w:r>
              <w:rPr>
                <w:rFonts w:ascii="Arial Narrow" w:cs="Arial Narrow" w:eastAsia="Arial Narrow" w:hAnsi="Arial Narrow"/>
                <w:sz w:val="20"/>
                <w:szCs w:val="20"/>
                <w:b w:val="1"/>
                <w:bCs w:val="1"/>
                <w:color w:val="00085E"/>
              </w:rPr>
              <w:t>Corporate General and Administrative Expense</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(73,942)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382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2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6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3820" w:type="dxa"/>
            <w:vAlign w:val="bottom"/>
          </w:tcPr>
          <w:p>
            <w:pPr>
              <w:spacing w:after="0"/>
              <w:rPr>
                <w:sz w:val="20"/>
                <w:szCs w:val="20"/>
                <w:color w:val="auto"/>
              </w:rPr>
            </w:pPr>
            <w:r>
              <w:rPr>
                <w:rFonts w:ascii="Arial Narrow" w:cs="Arial Narrow" w:eastAsia="Arial Narrow" w:hAnsi="Arial Narrow"/>
                <w:sz w:val="20"/>
                <w:szCs w:val="20"/>
                <w:b w:val="1"/>
                <w:bCs w:val="1"/>
                <w:color w:val="00085E"/>
              </w:rPr>
              <w:t>Other Non-Operating Earnings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6,420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382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2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6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3820" w:type="dxa"/>
            <w:vAlign w:val="bottom"/>
          </w:tcPr>
          <w:p>
            <w:pPr>
              <w:spacing w:after="0"/>
              <w:rPr>
                <w:sz w:val="20"/>
                <w:szCs w:val="20"/>
                <w:color w:val="auto"/>
              </w:rPr>
            </w:pPr>
            <w:r>
              <w:rPr>
                <w:rFonts w:ascii="Arial Narrow" w:cs="Arial Narrow" w:eastAsia="Arial Narrow" w:hAnsi="Arial Narrow"/>
                <w:sz w:val="20"/>
                <w:szCs w:val="20"/>
                <w:b w:val="1"/>
                <w:bCs w:val="1"/>
                <w:color w:val="00085E"/>
              </w:rPr>
              <w:t>Interest Expense</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(40,526)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3820" w:type="dxa"/>
            <w:vAlign w:val="bottom"/>
            <w:tcBorders>
              <w:bottom w:val="single" w:sz="8" w:color="A6A6A6"/>
            </w:tcBorders>
          </w:tcPr>
          <w:p>
            <w:pPr>
              <w:spacing w:after="0"/>
              <w:rPr>
                <w:sz w:val="7"/>
                <w:szCs w:val="7"/>
                <w:color w:val="auto"/>
              </w:rPr>
            </w:pPr>
          </w:p>
        </w:tc>
        <w:tc>
          <w:tcPr>
            <w:tcW w:w="160" w:type="dxa"/>
            <w:vAlign w:val="bottom"/>
            <w:tcBorders>
              <w:bottom w:val="single" w:sz="8" w:color="A6A6A6"/>
            </w:tcBorders>
          </w:tcPr>
          <w:p>
            <w:pPr>
              <w:spacing w:after="0"/>
              <w:rPr>
                <w:sz w:val="7"/>
                <w:szCs w:val="7"/>
                <w:color w:val="auto"/>
              </w:rPr>
            </w:pPr>
          </w:p>
        </w:tc>
        <w:tc>
          <w:tcPr>
            <w:tcW w:w="120" w:type="dxa"/>
            <w:vAlign w:val="bottom"/>
            <w:tcBorders>
              <w:bottom w:val="single" w:sz="8" w:color="A6A6A6"/>
            </w:tcBorders>
          </w:tcPr>
          <w:p>
            <w:pPr>
              <w:spacing w:after="0"/>
              <w:rPr>
                <w:sz w:val="7"/>
                <w:szCs w:val="7"/>
                <w:color w:val="auto"/>
              </w:rPr>
            </w:pPr>
          </w:p>
        </w:tc>
        <w:tc>
          <w:tcPr>
            <w:tcW w:w="780" w:type="dxa"/>
            <w:vAlign w:val="bottom"/>
            <w:tcBorders>
              <w:bottom w:val="single" w:sz="8" w:color="A6A6A6"/>
            </w:tcBorders>
          </w:tcPr>
          <w:p>
            <w:pPr>
              <w:spacing w:after="0"/>
              <w:rPr>
                <w:sz w:val="7"/>
                <w:szCs w:val="7"/>
                <w:color w:val="auto"/>
              </w:rPr>
            </w:pPr>
          </w:p>
        </w:tc>
        <w:tc>
          <w:tcPr>
            <w:tcW w:w="100" w:type="dxa"/>
            <w:vAlign w:val="bottom"/>
            <w:tcBorders>
              <w:bottom w:val="single" w:sz="8" w:color="A6A6A6"/>
            </w:tcBorders>
          </w:tcPr>
          <w:p>
            <w:pPr>
              <w:spacing w:after="0"/>
              <w:rPr>
                <w:sz w:val="7"/>
                <w:szCs w:val="7"/>
                <w:color w:val="auto"/>
              </w:rPr>
            </w:pPr>
          </w:p>
        </w:tc>
        <w:tc>
          <w:tcPr>
            <w:tcW w:w="100" w:type="dxa"/>
            <w:vAlign w:val="bottom"/>
            <w:tcBorders>
              <w:bottom w:val="single" w:sz="8" w:color="A6A6A6"/>
            </w:tcBorders>
          </w:tcPr>
          <w:p>
            <w:pPr>
              <w:spacing w:after="0"/>
              <w:rPr>
                <w:sz w:val="7"/>
                <w:szCs w:val="7"/>
                <w:color w:val="auto"/>
              </w:rPr>
            </w:pPr>
          </w:p>
        </w:tc>
        <w:tc>
          <w:tcPr>
            <w:tcW w:w="180" w:type="dxa"/>
            <w:vAlign w:val="bottom"/>
            <w:tcBorders>
              <w:bottom w:val="single" w:sz="8" w:color="A6A6A6"/>
            </w:tcBorders>
          </w:tcPr>
          <w:p>
            <w:pPr>
              <w:spacing w:after="0"/>
              <w:rPr>
                <w:sz w:val="7"/>
                <w:szCs w:val="7"/>
                <w:color w:val="auto"/>
              </w:rPr>
            </w:pPr>
          </w:p>
        </w:tc>
        <w:tc>
          <w:tcPr>
            <w:tcW w:w="740" w:type="dxa"/>
            <w:vAlign w:val="bottom"/>
            <w:tcBorders>
              <w:bottom w:val="single" w:sz="8" w:color="A6A6A6"/>
            </w:tcBorders>
          </w:tcPr>
          <w:p>
            <w:pPr>
              <w:spacing w:after="0"/>
              <w:rPr>
                <w:sz w:val="7"/>
                <w:szCs w:val="7"/>
                <w:color w:val="auto"/>
              </w:rPr>
            </w:pPr>
          </w:p>
        </w:tc>
        <w:tc>
          <w:tcPr>
            <w:tcW w:w="80" w:type="dxa"/>
            <w:vAlign w:val="bottom"/>
            <w:tcBorders>
              <w:bottom w:val="single" w:sz="8" w:color="A6A6A6"/>
            </w:tcBorders>
          </w:tcPr>
          <w:p>
            <w:pPr>
              <w:spacing w:after="0"/>
              <w:rPr>
                <w:sz w:val="7"/>
                <w:szCs w:val="7"/>
                <w:color w:val="auto"/>
              </w:rPr>
            </w:pPr>
          </w:p>
        </w:tc>
        <w:tc>
          <w:tcPr>
            <w:tcW w:w="100" w:type="dxa"/>
            <w:vAlign w:val="bottom"/>
            <w:tcBorders>
              <w:bottom w:val="single" w:sz="8" w:color="A6A6A6"/>
            </w:tcBorders>
          </w:tcPr>
          <w:p>
            <w:pPr>
              <w:spacing w:after="0"/>
              <w:rPr>
                <w:sz w:val="7"/>
                <w:szCs w:val="7"/>
                <w:color w:val="auto"/>
              </w:rPr>
            </w:pPr>
          </w:p>
        </w:tc>
        <w:tc>
          <w:tcPr>
            <w:tcW w:w="140" w:type="dxa"/>
            <w:vAlign w:val="bottom"/>
            <w:tcBorders>
              <w:bottom w:val="single" w:sz="8" w:color="A6A6A6"/>
            </w:tcBorders>
          </w:tcPr>
          <w:p>
            <w:pPr>
              <w:spacing w:after="0"/>
              <w:rPr>
                <w:sz w:val="7"/>
                <w:szCs w:val="7"/>
                <w:color w:val="auto"/>
              </w:rPr>
            </w:pPr>
          </w:p>
        </w:tc>
        <w:tc>
          <w:tcPr>
            <w:tcW w:w="780" w:type="dxa"/>
            <w:vAlign w:val="bottom"/>
            <w:tcBorders>
              <w:bottom w:val="single" w:sz="8" w:color="A6A6A6"/>
            </w:tcBorders>
          </w:tcPr>
          <w:p>
            <w:pPr>
              <w:spacing w:after="0"/>
              <w:rPr>
                <w:sz w:val="7"/>
                <w:szCs w:val="7"/>
                <w:color w:val="auto"/>
              </w:rPr>
            </w:pPr>
          </w:p>
        </w:tc>
        <w:tc>
          <w:tcPr>
            <w:tcW w:w="80" w:type="dxa"/>
            <w:vAlign w:val="bottom"/>
            <w:tcBorders>
              <w:bottom w:val="single" w:sz="8" w:color="A6A6A6"/>
            </w:tcBorders>
          </w:tcPr>
          <w:p>
            <w:pPr>
              <w:spacing w:after="0"/>
              <w:rPr>
                <w:sz w:val="7"/>
                <w:szCs w:val="7"/>
                <w:color w:val="auto"/>
              </w:rPr>
            </w:pPr>
          </w:p>
        </w:tc>
        <w:tc>
          <w:tcPr>
            <w:tcW w:w="100" w:type="dxa"/>
            <w:vAlign w:val="bottom"/>
            <w:tcBorders>
              <w:bottom w:val="single" w:sz="8" w:color="A6A6A6"/>
            </w:tcBorders>
          </w:tcPr>
          <w:p>
            <w:pPr>
              <w:spacing w:after="0"/>
              <w:rPr>
                <w:sz w:val="7"/>
                <w:szCs w:val="7"/>
                <w:color w:val="auto"/>
              </w:rPr>
            </w:pPr>
          </w:p>
        </w:tc>
        <w:tc>
          <w:tcPr>
            <w:tcW w:w="180" w:type="dxa"/>
            <w:vAlign w:val="bottom"/>
            <w:tcBorders>
              <w:bottom w:val="single" w:sz="8" w:color="A6A6A6"/>
            </w:tcBorders>
          </w:tcPr>
          <w:p>
            <w:pPr>
              <w:spacing w:after="0"/>
              <w:rPr>
                <w:sz w:val="7"/>
                <w:szCs w:val="7"/>
                <w:color w:val="auto"/>
              </w:rPr>
            </w:pPr>
          </w:p>
        </w:tc>
        <w:tc>
          <w:tcPr>
            <w:tcW w:w="740" w:type="dxa"/>
            <w:vAlign w:val="bottom"/>
            <w:tcBorders>
              <w:bottom w:val="single" w:sz="8" w:color="A6A6A6"/>
            </w:tcBorders>
          </w:tcPr>
          <w:p>
            <w:pPr>
              <w:spacing w:after="0"/>
              <w:rPr>
                <w:sz w:val="7"/>
                <w:szCs w:val="7"/>
                <w:color w:val="auto"/>
              </w:rPr>
            </w:pPr>
          </w:p>
        </w:tc>
        <w:tc>
          <w:tcPr>
            <w:tcW w:w="100" w:type="dxa"/>
            <w:vAlign w:val="bottom"/>
            <w:tcBorders>
              <w:bottom w:val="single" w:sz="8" w:color="A6A6A6"/>
            </w:tcBorders>
          </w:tcPr>
          <w:p>
            <w:pPr>
              <w:spacing w:after="0"/>
              <w:rPr>
                <w:sz w:val="7"/>
                <w:szCs w:val="7"/>
                <w:color w:val="auto"/>
              </w:rPr>
            </w:pPr>
          </w:p>
        </w:tc>
        <w:tc>
          <w:tcPr>
            <w:tcW w:w="100" w:type="dxa"/>
            <w:vAlign w:val="bottom"/>
            <w:tcBorders>
              <w:bottom w:val="single" w:sz="8" w:color="A6A6A6"/>
            </w:tcBorders>
          </w:tcPr>
          <w:p>
            <w:pPr>
              <w:spacing w:after="0"/>
              <w:rPr>
                <w:sz w:val="7"/>
                <w:szCs w:val="7"/>
                <w:color w:val="auto"/>
              </w:rPr>
            </w:pPr>
          </w:p>
        </w:tc>
        <w:tc>
          <w:tcPr>
            <w:tcW w:w="20" w:type="dxa"/>
            <w:vAlign w:val="bottom"/>
            <w:tcBorders>
              <w:bottom w:val="single" w:sz="8" w:color="A6A6A6"/>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4"/>
        </w:trPr>
        <w:tc>
          <w:tcPr>
            <w:tcW w:w="3820" w:type="dxa"/>
            <w:vAlign w:val="bottom"/>
          </w:tcPr>
          <w:p>
            <w:pPr>
              <w:spacing w:after="0"/>
              <w:rPr>
                <w:sz w:val="20"/>
                <w:szCs w:val="20"/>
                <w:color w:val="auto"/>
              </w:rPr>
            </w:pPr>
            <w:r>
              <w:rPr>
                <w:rFonts w:ascii="Arial Narrow" w:cs="Arial Narrow" w:eastAsia="Arial Narrow" w:hAnsi="Arial Narrow"/>
                <w:sz w:val="20"/>
                <w:szCs w:val="20"/>
                <w:b w:val="1"/>
                <w:bCs w:val="1"/>
                <w:color w:val="auto"/>
              </w:rPr>
              <w:t>Earnings Before Income Taxes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gridSpan w:val="4"/>
          </w:tcPr>
          <w:p>
            <w:pPr>
              <w:jc w:val="right"/>
              <w:ind w:right="40"/>
              <w:spacing w:after="0"/>
              <w:rPr>
                <w:sz w:val="20"/>
                <w:szCs w:val="20"/>
                <w:color w:val="auto"/>
              </w:rPr>
            </w:pPr>
            <w:r>
              <w:rPr>
                <w:rFonts w:ascii="Arial Narrow" w:cs="Arial Narrow" w:eastAsia="Arial Narrow" w:hAnsi="Arial Narrow"/>
                <w:sz w:val="20"/>
                <w:szCs w:val="20"/>
                <w:color w:val="auto"/>
              </w:rPr>
              <w:t>$</w:t>
            </w: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591,485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38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5908675</wp:posOffset>
            </wp:positionH>
            <wp:positionV relativeFrom="paragraph">
              <wp:posOffset>-1855470</wp:posOffset>
            </wp:positionV>
            <wp:extent cx="34925" cy="95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7">
                      <a:extLst>
                        <a:ext uri="{28A0092B-C50C-407E-A947-70E740481C1C}"/>
                      </a:extLst>
                    </a:blip>
                    <a:srcRect/>
                    <a:stretch>
                      <a:fillRect/>
                    </a:stretch>
                  </pic:blipFill>
                  <pic:spPr bwMode="auto">
                    <a:xfrm>
                      <a:off x="0" y="0"/>
                      <a:ext cx="34925" cy="9525"/>
                    </a:xfrm>
                    <a:prstGeom prst="rect">
                      <a:avLst/>
                    </a:prstGeom>
                    <a:noFill/>
                  </pic:spPr>
                </pic:pic>
              </a:graphicData>
            </a:graphic>
          </wp:anchor>
        </w:drawing>
        <w:drawing>
          <wp:anchor simplePos="0" relativeHeight="251657728" behindDoc="1" locked="0" layoutInCell="0" allowOverlap="1">
            <wp:simplePos x="0" y="0"/>
            <wp:positionH relativeFrom="column">
              <wp:posOffset>5908675</wp:posOffset>
            </wp:positionH>
            <wp:positionV relativeFrom="paragraph">
              <wp:posOffset>-1567180</wp:posOffset>
            </wp:positionV>
            <wp:extent cx="34925" cy="95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8">
                      <a:extLst>
                        <a:ext uri="{28A0092B-C50C-407E-A947-70E740481C1C}"/>
                      </a:extLst>
                    </a:blip>
                    <a:srcRect/>
                    <a:stretch>
                      <a:fillRect/>
                    </a:stretch>
                  </pic:blipFill>
                  <pic:spPr bwMode="auto">
                    <a:xfrm>
                      <a:off x="0" y="0"/>
                      <a:ext cx="34925" cy="9525"/>
                    </a:xfrm>
                    <a:prstGeom prst="rect">
                      <a:avLst/>
                    </a:prstGeom>
                    <a:noFill/>
                  </pic:spPr>
                </pic:pic>
              </a:graphicData>
            </a:graphic>
          </wp:anchor>
        </w:drawing>
      </w:r>
    </w:p>
    <w:p>
      <w:pPr>
        <w:sectPr>
          <w:pgSz w:w="11880" w:h="15480" w:orient="portrait"/>
          <w:cols w:equalWidth="0" w:num="1">
            <w:col w:w="9360"/>
          </w:cols>
          <w:pgMar w:left="1260" w:top="1279"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95</w:t>
      </w:r>
    </w:p>
    <w:p>
      <w:pPr>
        <w:sectPr>
          <w:pgSz w:w="11880" w:h="15480" w:orient="portrait"/>
          <w:cols w:equalWidth="0" w:num="1">
            <w:col w:w="9360"/>
          </w:cols>
          <w:pgMar w:left="1260" w:top="1279" w:right="1260" w:bottom="0" w:gutter="0" w:footer="0" w:header="0"/>
          <w:type w:val="continuous"/>
        </w:sectPr>
      </w:pPr>
    </w:p>
    <w:bookmarkStart w:id="103" w:name="page104"/>
    <w:bookmarkEnd w:id="103"/>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18"/>
                <w:szCs w:val="18"/>
                <w:b w:val="1"/>
                <w:bCs w:val="1"/>
                <w:color w:val="auto"/>
              </w:rPr>
              <w:t>Concrete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820" w:type="dxa"/>
            <w:vAlign w:val="bottom"/>
          </w:tcPr>
          <w:p>
            <w:pPr>
              <w:spacing w:after="0"/>
              <w:rPr>
                <w:sz w:val="20"/>
                <w:szCs w:val="20"/>
                <w:color w:val="auto"/>
              </w:rPr>
            </w:pPr>
            <w:r>
              <w:rPr>
                <w:rFonts w:ascii="Arial Narrow" w:cs="Arial Narrow" w:eastAsia="Arial Narrow" w:hAnsi="Arial Narrow"/>
                <w:sz w:val="18"/>
                <w:szCs w:val="18"/>
                <w:b w:val="1"/>
                <w:bCs w:val="1"/>
                <w:color w:val="auto"/>
              </w:rPr>
              <w:t>Year Ended March 31, 2024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Narrow" w:cs="Arial Narrow" w:eastAsia="Arial Narrow" w:hAnsi="Arial Narrow"/>
                <w:sz w:val="18"/>
                <w:szCs w:val="18"/>
                <w:b w:val="1"/>
                <w:bCs w:val="1"/>
                <w:color w:val="auto"/>
              </w:rPr>
              <w:t>Cement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18"/>
                <w:szCs w:val="18"/>
                <w:b w:val="1"/>
                <w:bCs w:val="1"/>
                <w:color w:val="auto"/>
              </w:rPr>
              <w:t>and</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18"/>
                <w:szCs w:val="18"/>
                <w:b w:val="1"/>
                <w:bCs w:val="1"/>
                <w:color w:val="auto"/>
              </w:rPr>
              <w:t>Gypsum</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18"/>
                <w:szCs w:val="18"/>
                <w:b w:val="1"/>
                <w:bCs w:val="1"/>
                <w:color w:val="auto"/>
              </w:rPr>
              <w:t>Recycled</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vMerge w:val="restart"/>
          </w:tcPr>
          <w:p>
            <w:pPr>
              <w:ind w:left="420"/>
              <w:spacing w:after="0"/>
              <w:rPr>
                <w:sz w:val="20"/>
                <w:szCs w:val="20"/>
                <w:color w:val="auto"/>
              </w:rPr>
            </w:pPr>
            <w:r>
              <w:rPr>
                <w:rFonts w:ascii="Arial Narrow" w:cs="Arial Narrow" w:eastAsia="Arial Narrow" w:hAnsi="Arial Narrow"/>
                <w:sz w:val="18"/>
                <w:szCs w:val="18"/>
                <w:b w:val="1"/>
                <w:bCs w:val="1"/>
                <w:color w:val="auto"/>
              </w:rPr>
              <w:t>Total</w:t>
            </w:r>
          </w:p>
        </w:tc>
        <w:tc>
          <w:tcPr>
            <w:tcW w:w="0" w:type="dxa"/>
            <w:vAlign w:val="bottom"/>
          </w:tcPr>
          <w:p>
            <w:pPr>
              <w:spacing w:after="0"/>
              <w:rPr>
                <w:sz w:val="1"/>
                <w:szCs w:val="1"/>
                <w:color w:val="auto"/>
              </w:rPr>
            </w:pPr>
          </w:p>
        </w:tc>
      </w:tr>
      <w:tr>
        <w:trPr>
          <w:trHeight w:val="283"/>
        </w:trPr>
        <w:tc>
          <w:tcPr>
            <w:tcW w:w="3820" w:type="dxa"/>
            <w:vAlign w:val="bottom"/>
            <w:tcBorders>
              <w:bottom w:val="single" w:sz="8" w:color="auto"/>
            </w:tcBorders>
          </w:tcPr>
          <w:p>
            <w:pPr>
              <w:spacing w:after="0"/>
              <w:rPr>
                <w:sz w:val="20"/>
                <w:szCs w:val="20"/>
                <w:color w:val="auto"/>
              </w:rPr>
            </w:pPr>
            <w:r>
              <w:rPr>
                <w:rFonts w:ascii="Arial Narrow" w:cs="Arial Narrow" w:eastAsia="Arial Narrow" w:hAnsi="Arial Narrow"/>
                <w:sz w:val="16"/>
                <w:szCs w:val="16"/>
                <w:color w:val="auto"/>
              </w:rPr>
              <w:t>(dollars in thousands)</w:t>
            </w: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Narrow" w:cs="Arial Narrow" w:eastAsia="Arial Narrow" w:hAnsi="Arial Narrow"/>
                <w:sz w:val="18"/>
                <w:szCs w:val="18"/>
                <w:b w:val="1"/>
                <w:bCs w:val="1"/>
                <w:color w:val="auto"/>
              </w:rPr>
              <w:t>Aggregates</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18"/>
                <w:szCs w:val="18"/>
                <w:b w:val="1"/>
                <w:bCs w:val="1"/>
                <w:color w:val="auto"/>
              </w:rPr>
              <w:t>Wallboard</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Narrow" w:cs="Arial Narrow" w:eastAsia="Arial Narrow" w:hAnsi="Arial Narrow"/>
                <w:sz w:val="18"/>
                <w:szCs w:val="18"/>
                <w:b w:val="1"/>
                <w:bCs w:val="1"/>
                <w:color w:val="auto"/>
              </w:rPr>
              <w:t>Paperboard</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3820" w:type="dxa"/>
            <w:vAlign w:val="bottom"/>
          </w:tcPr>
          <w:p>
            <w:pPr>
              <w:spacing w:after="0"/>
              <w:rPr>
                <w:sz w:val="20"/>
                <w:szCs w:val="20"/>
                <w:color w:val="auto"/>
              </w:rPr>
            </w:pPr>
            <w:r>
              <w:rPr>
                <w:rFonts w:ascii="Arial Narrow" w:cs="Arial Narrow" w:eastAsia="Arial Narrow" w:hAnsi="Arial Narrow"/>
                <w:sz w:val="20"/>
                <w:szCs w:val="20"/>
                <w:b w:val="1"/>
                <w:bCs w:val="1"/>
                <w:color w:val="00085E"/>
              </w:rPr>
              <w:t>Revenue from External Customers</w:t>
            </w:r>
          </w:p>
        </w:tc>
        <w:tc>
          <w:tcPr>
            <w:tcW w:w="280" w:type="dxa"/>
            <w:vAlign w:val="bottom"/>
            <w:gridSpan w:val="2"/>
          </w:tcPr>
          <w:p>
            <w:pPr>
              <w:jc w:val="right"/>
              <w:ind w:right="40"/>
              <w:spacing w:after="0"/>
              <w:rPr>
                <w:sz w:val="20"/>
                <w:szCs w:val="20"/>
                <w:color w:val="auto"/>
              </w:rPr>
            </w:pPr>
            <w:r>
              <w:rPr>
                <w:rFonts w:ascii="Arial Narrow" w:cs="Arial Narrow" w:eastAsia="Arial Narrow" w:hAnsi="Arial Narrow"/>
                <w:sz w:val="20"/>
                <w:szCs w:val="20"/>
                <w:color w:val="auto"/>
              </w:rPr>
              <w:t>$</w:t>
            </w: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1,077,918</w:t>
            </w:r>
          </w:p>
        </w:tc>
        <w:tc>
          <w:tcPr>
            <w:tcW w:w="380" w:type="dxa"/>
            <w:vAlign w:val="bottom"/>
            <w:gridSpan w:val="3"/>
          </w:tcPr>
          <w:p>
            <w:pPr>
              <w:jc w:val="right"/>
              <w:spacing w:after="0"/>
              <w:rPr>
                <w:sz w:val="20"/>
                <w:szCs w:val="20"/>
                <w:color w:val="auto"/>
              </w:rPr>
            </w:pPr>
            <w:r>
              <w:rPr>
                <w:rFonts w:ascii="Arial Narrow" w:cs="Arial Narrow" w:eastAsia="Arial Narrow" w:hAnsi="Arial Narrow"/>
                <w:sz w:val="20"/>
                <w:szCs w:val="20"/>
                <w:color w:val="auto"/>
              </w:rPr>
              <w:t>$</w:t>
            </w: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240,012</w:t>
            </w:r>
          </w:p>
        </w:tc>
        <w:tc>
          <w:tcPr>
            <w:tcW w:w="320" w:type="dxa"/>
            <w:vAlign w:val="bottom"/>
            <w:gridSpan w:val="3"/>
          </w:tcPr>
          <w:p>
            <w:pPr>
              <w:jc w:val="right"/>
              <w:ind w:right="40"/>
              <w:spacing w:after="0"/>
              <w:rPr>
                <w:sz w:val="20"/>
                <w:szCs w:val="20"/>
                <w:color w:val="auto"/>
              </w:rPr>
            </w:pPr>
            <w:r>
              <w:rPr>
                <w:rFonts w:ascii="Arial Narrow" w:cs="Arial Narrow" w:eastAsia="Arial Narrow" w:hAnsi="Arial Narrow"/>
                <w:sz w:val="20"/>
                <w:szCs w:val="20"/>
                <w:color w:val="auto"/>
              </w:rPr>
              <w:t>$</w:t>
            </w: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839,530</w:t>
            </w:r>
          </w:p>
        </w:tc>
        <w:tc>
          <w:tcPr>
            <w:tcW w:w="360" w:type="dxa"/>
            <w:vAlign w:val="bottom"/>
            <w:gridSpan w:val="3"/>
          </w:tcPr>
          <w:p>
            <w:pPr>
              <w:jc w:val="right"/>
              <w:spacing w:after="0"/>
              <w:rPr>
                <w:sz w:val="20"/>
                <w:szCs w:val="20"/>
                <w:color w:val="auto"/>
              </w:rPr>
            </w:pPr>
            <w:r>
              <w:rPr>
                <w:rFonts w:ascii="Arial Narrow" w:cs="Arial Narrow" w:eastAsia="Arial Narrow" w:hAnsi="Arial Narrow"/>
                <w:sz w:val="20"/>
                <w:szCs w:val="20"/>
                <w:color w:val="auto"/>
              </w:rPr>
              <w:t>$</w:t>
            </w: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101,837</w:t>
            </w:r>
          </w:p>
        </w:tc>
        <w:tc>
          <w:tcPr>
            <w:tcW w:w="320" w:type="dxa"/>
            <w:vAlign w:val="bottom"/>
            <w:gridSpan w:val="4"/>
          </w:tcPr>
          <w:p>
            <w:pPr>
              <w:jc w:val="right"/>
              <w:ind w:right="40"/>
              <w:spacing w:after="0"/>
              <w:rPr>
                <w:sz w:val="20"/>
                <w:szCs w:val="20"/>
                <w:color w:val="auto"/>
              </w:rPr>
            </w:pPr>
            <w:r>
              <w:rPr>
                <w:rFonts w:ascii="Arial Narrow" w:cs="Arial Narrow" w:eastAsia="Arial Narrow" w:hAnsi="Arial Narrow"/>
                <w:sz w:val="20"/>
                <w:szCs w:val="20"/>
                <w:color w:val="auto"/>
              </w:rPr>
              <w:t>$</w:t>
            </w: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2,259,297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382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2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6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3820" w:type="dxa"/>
            <w:vAlign w:val="bottom"/>
          </w:tcPr>
          <w:p>
            <w:pPr>
              <w:spacing w:after="0"/>
              <w:rPr>
                <w:sz w:val="20"/>
                <w:szCs w:val="20"/>
                <w:color w:val="auto"/>
              </w:rPr>
            </w:pPr>
            <w:r>
              <w:rPr>
                <w:rFonts w:ascii="Arial Narrow" w:cs="Arial Narrow" w:eastAsia="Arial Narrow" w:hAnsi="Arial Narrow"/>
                <w:sz w:val="20"/>
                <w:szCs w:val="20"/>
                <w:b w:val="1"/>
                <w:bCs w:val="1"/>
                <w:color w:val="00085E"/>
              </w:rPr>
              <w:t>Intersegment Revenue</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35,363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12,940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82,351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130,654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382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2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6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3820" w:type="dxa"/>
            <w:vAlign w:val="bottom"/>
          </w:tcPr>
          <w:p>
            <w:pPr>
              <w:spacing w:after="0"/>
              <w:rPr>
                <w:sz w:val="20"/>
                <w:szCs w:val="20"/>
                <w:color w:val="auto"/>
              </w:rPr>
            </w:pPr>
            <w:r>
              <w:rPr>
                <w:rFonts w:ascii="Arial Narrow" w:cs="Arial Narrow" w:eastAsia="Arial Narrow" w:hAnsi="Arial Narrow"/>
                <w:sz w:val="20"/>
                <w:szCs w:val="20"/>
                <w:b w:val="1"/>
                <w:bCs w:val="1"/>
                <w:color w:val="00085E"/>
              </w:rPr>
              <w:t>Revenue from Joint Venture</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112,736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112,736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3820" w:type="dxa"/>
            <w:vAlign w:val="bottom"/>
            <w:tcBorders>
              <w:bottom w:val="single" w:sz="8" w:color="A6A6A6"/>
            </w:tcBorders>
          </w:tcPr>
          <w:p>
            <w:pPr>
              <w:spacing w:after="0"/>
              <w:rPr>
                <w:sz w:val="7"/>
                <w:szCs w:val="7"/>
                <w:color w:val="auto"/>
              </w:rPr>
            </w:pPr>
          </w:p>
        </w:tc>
        <w:tc>
          <w:tcPr>
            <w:tcW w:w="160" w:type="dxa"/>
            <w:vAlign w:val="bottom"/>
            <w:tcBorders>
              <w:bottom w:val="single" w:sz="8" w:color="A6A6A6"/>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4"/>
        </w:trPr>
        <w:tc>
          <w:tcPr>
            <w:tcW w:w="3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1,226,017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252,952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839,530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184,188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2,502,687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382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2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6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3820" w:type="dxa"/>
            <w:vAlign w:val="bottom"/>
          </w:tcPr>
          <w:p>
            <w:pPr>
              <w:spacing w:after="0"/>
              <w:rPr>
                <w:sz w:val="20"/>
                <w:szCs w:val="20"/>
                <w:color w:val="auto"/>
              </w:rPr>
            </w:pPr>
            <w:r>
              <w:rPr>
                <w:rFonts w:ascii="Arial Narrow" w:cs="Arial Narrow" w:eastAsia="Arial Narrow" w:hAnsi="Arial Narrow"/>
                <w:sz w:val="20"/>
                <w:szCs w:val="20"/>
                <w:b w:val="1"/>
                <w:bCs w:val="1"/>
                <w:color w:val="00085E"/>
              </w:rPr>
              <w:t>Reconciliation of Revenue</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382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2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6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3820" w:type="dxa"/>
            <w:vAlign w:val="bottom"/>
          </w:tcPr>
          <w:p>
            <w:pPr>
              <w:spacing w:after="0"/>
              <w:rPr>
                <w:sz w:val="20"/>
                <w:szCs w:val="20"/>
                <w:color w:val="auto"/>
              </w:rPr>
            </w:pPr>
            <w:r>
              <w:rPr>
                <w:rFonts w:ascii="Arial Narrow" w:cs="Arial Narrow" w:eastAsia="Arial Narrow" w:hAnsi="Arial Narrow"/>
                <w:sz w:val="20"/>
                <w:szCs w:val="20"/>
                <w:b w:val="1"/>
                <w:bCs w:val="1"/>
                <w:color w:val="00085E"/>
              </w:rPr>
              <w:t>Intersegment Revenue</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(130,654)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382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2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6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3820" w:type="dxa"/>
            <w:vAlign w:val="bottom"/>
          </w:tcPr>
          <w:p>
            <w:pPr>
              <w:spacing w:after="0"/>
              <w:rPr>
                <w:sz w:val="20"/>
                <w:szCs w:val="20"/>
                <w:color w:val="auto"/>
              </w:rPr>
            </w:pPr>
            <w:r>
              <w:rPr>
                <w:rFonts w:ascii="Arial Narrow" w:cs="Arial Narrow" w:eastAsia="Arial Narrow" w:hAnsi="Arial Narrow"/>
                <w:sz w:val="20"/>
                <w:szCs w:val="20"/>
                <w:b w:val="1"/>
                <w:bCs w:val="1"/>
                <w:color w:val="00085E"/>
              </w:rPr>
              <w:t>Revenue from Joint Venture</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(112,736)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3820" w:type="dxa"/>
            <w:vAlign w:val="bottom"/>
            <w:tcBorders>
              <w:bottom w:val="single" w:sz="8" w:color="A6A6A6"/>
            </w:tcBorders>
          </w:tcPr>
          <w:p>
            <w:pPr>
              <w:spacing w:after="0"/>
              <w:rPr>
                <w:sz w:val="7"/>
                <w:szCs w:val="7"/>
                <w:color w:val="auto"/>
              </w:rPr>
            </w:pPr>
          </w:p>
        </w:tc>
        <w:tc>
          <w:tcPr>
            <w:tcW w:w="160" w:type="dxa"/>
            <w:vAlign w:val="bottom"/>
            <w:tcBorders>
              <w:bottom w:val="single" w:sz="8" w:color="A6A6A6"/>
            </w:tcBorders>
          </w:tcPr>
          <w:p>
            <w:pPr>
              <w:spacing w:after="0"/>
              <w:rPr>
                <w:sz w:val="7"/>
                <w:szCs w:val="7"/>
                <w:color w:val="auto"/>
              </w:rPr>
            </w:pPr>
          </w:p>
        </w:tc>
        <w:tc>
          <w:tcPr>
            <w:tcW w:w="120" w:type="dxa"/>
            <w:vAlign w:val="bottom"/>
            <w:tcBorders>
              <w:bottom w:val="single" w:sz="8" w:color="A6A6A6"/>
            </w:tcBorders>
          </w:tcPr>
          <w:p>
            <w:pPr>
              <w:spacing w:after="0"/>
              <w:rPr>
                <w:sz w:val="7"/>
                <w:szCs w:val="7"/>
                <w:color w:val="auto"/>
              </w:rPr>
            </w:pPr>
          </w:p>
        </w:tc>
        <w:tc>
          <w:tcPr>
            <w:tcW w:w="780" w:type="dxa"/>
            <w:vAlign w:val="bottom"/>
            <w:tcBorders>
              <w:bottom w:val="single" w:sz="8" w:color="A6A6A6"/>
            </w:tcBorders>
          </w:tcPr>
          <w:p>
            <w:pPr>
              <w:spacing w:after="0"/>
              <w:rPr>
                <w:sz w:val="7"/>
                <w:szCs w:val="7"/>
                <w:color w:val="auto"/>
              </w:rPr>
            </w:pPr>
          </w:p>
        </w:tc>
        <w:tc>
          <w:tcPr>
            <w:tcW w:w="100" w:type="dxa"/>
            <w:vAlign w:val="bottom"/>
            <w:tcBorders>
              <w:bottom w:val="single" w:sz="8" w:color="A6A6A6"/>
            </w:tcBorders>
          </w:tcPr>
          <w:p>
            <w:pPr>
              <w:spacing w:after="0"/>
              <w:rPr>
                <w:sz w:val="7"/>
                <w:szCs w:val="7"/>
                <w:color w:val="auto"/>
              </w:rPr>
            </w:pPr>
          </w:p>
        </w:tc>
        <w:tc>
          <w:tcPr>
            <w:tcW w:w="100" w:type="dxa"/>
            <w:vAlign w:val="bottom"/>
            <w:tcBorders>
              <w:bottom w:val="single" w:sz="8" w:color="A6A6A6"/>
            </w:tcBorders>
          </w:tcPr>
          <w:p>
            <w:pPr>
              <w:spacing w:after="0"/>
              <w:rPr>
                <w:sz w:val="7"/>
                <w:szCs w:val="7"/>
                <w:color w:val="auto"/>
              </w:rPr>
            </w:pPr>
          </w:p>
        </w:tc>
        <w:tc>
          <w:tcPr>
            <w:tcW w:w="180" w:type="dxa"/>
            <w:vAlign w:val="bottom"/>
            <w:tcBorders>
              <w:bottom w:val="single" w:sz="8" w:color="A6A6A6"/>
            </w:tcBorders>
          </w:tcPr>
          <w:p>
            <w:pPr>
              <w:spacing w:after="0"/>
              <w:rPr>
                <w:sz w:val="7"/>
                <w:szCs w:val="7"/>
                <w:color w:val="auto"/>
              </w:rPr>
            </w:pPr>
          </w:p>
        </w:tc>
        <w:tc>
          <w:tcPr>
            <w:tcW w:w="740" w:type="dxa"/>
            <w:vAlign w:val="bottom"/>
            <w:tcBorders>
              <w:bottom w:val="single" w:sz="8" w:color="A6A6A6"/>
            </w:tcBorders>
          </w:tcPr>
          <w:p>
            <w:pPr>
              <w:spacing w:after="0"/>
              <w:rPr>
                <w:sz w:val="7"/>
                <w:szCs w:val="7"/>
                <w:color w:val="auto"/>
              </w:rPr>
            </w:pPr>
          </w:p>
        </w:tc>
        <w:tc>
          <w:tcPr>
            <w:tcW w:w="80" w:type="dxa"/>
            <w:vAlign w:val="bottom"/>
            <w:tcBorders>
              <w:bottom w:val="single" w:sz="8" w:color="A6A6A6"/>
            </w:tcBorders>
          </w:tcPr>
          <w:p>
            <w:pPr>
              <w:spacing w:after="0"/>
              <w:rPr>
                <w:sz w:val="7"/>
                <w:szCs w:val="7"/>
                <w:color w:val="auto"/>
              </w:rPr>
            </w:pPr>
          </w:p>
        </w:tc>
        <w:tc>
          <w:tcPr>
            <w:tcW w:w="100" w:type="dxa"/>
            <w:vAlign w:val="bottom"/>
            <w:tcBorders>
              <w:bottom w:val="single" w:sz="8" w:color="A6A6A6"/>
            </w:tcBorders>
          </w:tcPr>
          <w:p>
            <w:pPr>
              <w:spacing w:after="0"/>
              <w:rPr>
                <w:sz w:val="7"/>
                <w:szCs w:val="7"/>
                <w:color w:val="auto"/>
              </w:rPr>
            </w:pPr>
          </w:p>
        </w:tc>
        <w:tc>
          <w:tcPr>
            <w:tcW w:w="140" w:type="dxa"/>
            <w:vAlign w:val="bottom"/>
            <w:tcBorders>
              <w:bottom w:val="single" w:sz="8" w:color="A6A6A6"/>
            </w:tcBorders>
          </w:tcPr>
          <w:p>
            <w:pPr>
              <w:spacing w:after="0"/>
              <w:rPr>
                <w:sz w:val="7"/>
                <w:szCs w:val="7"/>
                <w:color w:val="auto"/>
              </w:rPr>
            </w:pPr>
          </w:p>
        </w:tc>
        <w:tc>
          <w:tcPr>
            <w:tcW w:w="780" w:type="dxa"/>
            <w:vAlign w:val="bottom"/>
            <w:tcBorders>
              <w:bottom w:val="single" w:sz="8" w:color="A6A6A6"/>
            </w:tcBorders>
          </w:tcPr>
          <w:p>
            <w:pPr>
              <w:spacing w:after="0"/>
              <w:rPr>
                <w:sz w:val="7"/>
                <w:szCs w:val="7"/>
                <w:color w:val="auto"/>
              </w:rPr>
            </w:pPr>
          </w:p>
        </w:tc>
        <w:tc>
          <w:tcPr>
            <w:tcW w:w="80" w:type="dxa"/>
            <w:vAlign w:val="bottom"/>
            <w:tcBorders>
              <w:bottom w:val="single" w:sz="8" w:color="A6A6A6"/>
            </w:tcBorders>
          </w:tcPr>
          <w:p>
            <w:pPr>
              <w:spacing w:after="0"/>
              <w:rPr>
                <w:sz w:val="7"/>
                <w:szCs w:val="7"/>
                <w:color w:val="auto"/>
              </w:rPr>
            </w:pPr>
          </w:p>
        </w:tc>
        <w:tc>
          <w:tcPr>
            <w:tcW w:w="100" w:type="dxa"/>
            <w:vAlign w:val="bottom"/>
            <w:tcBorders>
              <w:bottom w:val="single" w:sz="8" w:color="A6A6A6"/>
            </w:tcBorders>
          </w:tcPr>
          <w:p>
            <w:pPr>
              <w:spacing w:after="0"/>
              <w:rPr>
                <w:sz w:val="7"/>
                <w:szCs w:val="7"/>
                <w:color w:val="auto"/>
              </w:rPr>
            </w:pPr>
          </w:p>
        </w:tc>
        <w:tc>
          <w:tcPr>
            <w:tcW w:w="180" w:type="dxa"/>
            <w:vAlign w:val="bottom"/>
            <w:tcBorders>
              <w:bottom w:val="single" w:sz="8" w:color="A6A6A6"/>
            </w:tcBorders>
          </w:tcPr>
          <w:p>
            <w:pPr>
              <w:spacing w:after="0"/>
              <w:rPr>
                <w:sz w:val="7"/>
                <w:szCs w:val="7"/>
                <w:color w:val="auto"/>
              </w:rPr>
            </w:pPr>
          </w:p>
        </w:tc>
        <w:tc>
          <w:tcPr>
            <w:tcW w:w="740" w:type="dxa"/>
            <w:vAlign w:val="bottom"/>
            <w:tcBorders>
              <w:bottom w:val="single" w:sz="8" w:color="A6A6A6"/>
            </w:tcBorders>
          </w:tcPr>
          <w:p>
            <w:pPr>
              <w:spacing w:after="0"/>
              <w:rPr>
                <w:sz w:val="7"/>
                <w:szCs w:val="7"/>
                <w:color w:val="auto"/>
              </w:rPr>
            </w:pPr>
          </w:p>
        </w:tc>
        <w:tc>
          <w:tcPr>
            <w:tcW w:w="100" w:type="dxa"/>
            <w:vAlign w:val="bottom"/>
            <w:tcBorders>
              <w:bottom w:val="single" w:sz="8" w:color="A6A6A6"/>
            </w:tcBorders>
          </w:tcPr>
          <w:p>
            <w:pPr>
              <w:spacing w:after="0"/>
              <w:rPr>
                <w:sz w:val="7"/>
                <w:szCs w:val="7"/>
                <w:color w:val="auto"/>
              </w:rPr>
            </w:pPr>
          </w:p>
        </w:tc>
        <w:tc>
          <w:tcPr>
            <w:tcW w:w="100" w:type="dxa"/>
            <w:vAlign w:val="bottom"/>
            <w:tcBorders>
              <w:bottom w:val="single" w:sz="8" w:color="A6A6A6"/>
            </w:tcBorders>
          </w:tcPr>
          <w:p>
            <w:pPr>
              <w:spacing w:after="0"/>
              <w:rPr>
                <w:sz w:val="7"/>
                <w:szCs w:val="7"/>
                <w:color w:val="auto"/>
              </w:rPr>
            </w:pPr>
          </w:p>
        </w:tc>
        <w:tc>
          <w:tcPr>
            <w:tcW w:w="20" w:type="dxa"/>
            <w:vAlign w:val="bottom"/>
            <w:tcBorders>
              <w:bottom w:val="single" w:sz="8" w:color="A6A6A6"/>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4"/>
        </w:trPr>
        <w:tc>
          <w:tcPr>
            <w:tcW w:w="3820" w:type="dxa"/>
            <w:vAlign w:val="bottom"/>
          </w:tcPr>
          <w:p>
            <w:pPr>
              <w:spacing w:after="0"/>
              <w:rPr>
                <w:sz w:val="20"/>
                <w:szCs w:val="20"/>
                <w:color w:val="auto"/>
              </w:rPr>
            </w:pPr>
            <w:r>
              <w:rPr>
                <w:rFonts w:ascii="Arial Narrow" w:cs="Arial Narrow" w:eastAsia="Arial Narrow" w:hAnsi="Arial Narrow"/>
                <w:sz w:val="20"/>
                <w:szCs w:val="20"/>
                <w:b w:val="1"/>
                <w:bCs w:val="1"/>
                <w:color w:val="auto"/>
              </w:rPr>
              <w:t>Total Consolidated Revenue</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gridSpan w:val="4"/>
          </w:tcPr>
          <w:p>
            <w:pPr>
              <w:jc w:val="right"/>
              <w:ind w:right="40"/>
              <w:spacing w:after="0"/>
              <w:rPr>
                <w:sz w:val="20"/>
                <w:szCs w:val="20"/>
                <w:color w:val="auto"/>
              </w:rPr>
            </w:pPr>
            <w:r>
              <w:rPr>
                <w:rFonts w:ascii="Arial Narrow" w:cs="Arial Narrow" w:eastAsia="Arial Narrow" w:hAnsi="Arial Narrow"/>
                <w:sz w:val="20"/>
                <w:szCs w:val="20"/>
                <w:color w:val="auto"/>
              </w:rPr>
              <w:t>$</w:t>
            </w: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2,259,297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382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2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6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583"/>
        </w:trPr>
        <w:tc>
          <w:tcPr>
            <w:tcW w:w="3820" w:type="dxa"/>
            <w:vAlign w:val="bottom"/>
          </w:tcPr>
          <w:p>
            <w:pPr>
              <w:spacing w:after="0"/>
              <w:rPr>
                <w:sz w:val="20"/>
                <w:szCs w:val="20"/>
                <w:color w:val="auto"/>
              </w:rPr>
            </w:pPr>
            <w:r>
              <w:rPr>
                <w:rFonts w:ascii="Arial Narrow" w:cs="Arial Narrow" w:eastAsia="Arial Narrow" w:hAnsi="Arial Narrow"/>
                <w:sz w:val="20"/>
                <w:szCs w:val="20"/>
                <w:b w:val="1"/>
                <w:bCs w:val="1"/>
                <w:color w:val="00085E"/>
              </w:rPr>
              <w:t>Less: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3820" w:type="dxa"/>
            <w:vAlign w:val="bottom"/>
            <w:tcBorders>
              <w:bottom w:val="single" w:sz="8" w:color="A6A6A6"/>
            </w:tcBorders>
          </w:tcPr>
          <w:p>
            <w:pPr>
              <w:spacing w:after="0"/>
              <w:rPr>
                <w:sz w:val="5"/>
                <w:szCs w:val="5"/>
                <w:color w:val="auto"/>
              </w:rPr>
            </w:pPr>
          </w:p>
        </w:tc>
        <w:tc>
          <w:tcPr>
            <w:tcW w:w="280" w:type="dxa"/>
            <w:vAlign w:val="bottom"/>
            <w:tcBorders>
              <w:bottom w:val="single" w:sz="8" w:color="A6A6A6"/>
            </w:tcBorders>
            <w:gridSpan w:val="2"/>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280" w:type="dxa"/>
            <w:vAlign w:val="bottom"/>
            <w:tcBorders>
              <w:bottom w:val="single" w:sz="8" w:color="A6A6A6"/>
            </w:tcBorders>
            <w:gridSpan w:val="2"/>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240" w:type="dxa"/>
            <w:vAlign w:val="bottom"/>
            <w:tcBorders>
              <w:bottom w:val="single" w:sz="8" w:color="A6A6A6"/>
            </w:tcBorders>
            <w:gridSpan w:val="2"/>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280" w:type="dxa"/>
            <w:vAlign w:val="bottom"/>
            <w:tcBorders>
              <w:bottom w:val="single" w:sz="8" w:color="A6A6A6"/>
            </w:tcBorders>
            <w:gridSpan w:val="2"/>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gridSpan w:val="2"/>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6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3820" w:type="dxa"/>
            <w:vAlign w:val="bottom"/>
          </w:tcPr>
          <w:p>
            <w:pPr>
              <w:spacing w:after="0"/>
              <w:rPr>
                <w:sz w:val="20"/>
                <w:szCs w:val="20"/>
                <w:color w:val="auto"/>
              </w:rPr>
            </w:pPr>
            <w:r>
              <w:rPr>
                <w:rFonts w:ascii="Arial Narrow" w:cs="Arial Narrow" w:eastAsia="Arial Narrow" w:hAnsi="Arial Narrow"/>
                <w:sz w:val="20"/>
                <w:szCs w:val="20"/>
                <w:b w:val="1"/>
                <w:bCs w:val="1"/>
                <w:color w:val="00085E"/>
              </w:rPr>
              <w:t>Freight and Delivery</w:t>
            </w:r>
          </w:p>
        </w:tc>
        <w:tc>
          <w:tcPr>
            <w:tcW w:w="280" w:type="dxa"/>
            <w:vAlign w:val="bottom"/>
            <w:gridSpan w:val="2"/>
          </w:tcPr>
          <w:p>
            <w:pPr>
              <w:jc w:val="right"/>
              <w:ind w:right="40"/>
              <w:spacing w:after="0"/>
              <w:rPr>
                <w:sz w:val="20"/>
                <w:szCs w:val="20"/>
                <w:color w:val="auto"/>
              </w:rPr>
            </w:pPr>
            <w:r>
              <w:rPr>
                <w:rFonts w:ascii="Arial Narrow" w:cs="Arial Narrow" w:eastAsia="Arial Narrow" w:hAnsi="Arial Narrow"/>
                <w:sz w:val="20"/>
                <w:szCs w:val="20"/>
                <w:color w:val="auto"/>
              </w:rPr>
              <w:t>$</w:t>
            </w: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94,031</w:t>
            </w:r>
          </w:p>
        </w:tc>
        <w:tc>
          <w:tcPr>
            <w:tcW w:w="380" w:type="dxa"/>
            <w:vAlign w:val="bottom"/>
            <w:gridSpan w:val="3"/>
          </w:tcPr>
          <w:p>
            <w:pPr>
              <w:jc w:val="right"/>
              <w:spacing w:after="0"/>
              <w:rPr>
                <w:sz w:val="20"/>
                <w:szCs w:val="20"/>
                <w:color w:val="auto"/>
              </w:rPr>
            </w:pPr>
            <w:r>
              <w:rPr>
                <w:rFonts w:ascii="Arial Narrow" w:cs="Arial Narrow" w:eastAsia="Arial Narrow" w:hAnsi="Arial Narrow"/>
                <w:sz w:val="20"/>
                <w:szCs w:val="20"/>
                <w:color w:val="auto"/>
              </w:rPr>
              <w:t>$</w:t>
            </w: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33,976</w:t>
            </w:r>
          </w:p>
        </w:tc>
        <w:tc>
          <w:tcPr>
            <w:tcW w:w="320" w:type="dxa"/>
            <w:vAlign w:val="bottom"/>
            <w:gridSpan w:val="3"/>
          </w:tcPr>
          <w:p>
            <w:pPr>
              <w:jc w:val="right"/>
              <w:ind w:right="40"/>
              <w:spacing w:after="0"/>
              <w:rPr>
                <w:sz w:val="20"/>
                <w:szCs w:val="20"/>
                <w:color w:val="auto"/>
              </w:rPr>
            </w:pPr>
            <w:r>
              <w:rPr>
                <w:rFonts w:ascii="Arial Narrow" w:cs="Arial Narrow" w:eastAsia="Arial Narrow" w:hAnsi="Arial Narrow"/>
                <w:sz w:val="20"/>
                <w:szCs w:val="20"/>
                <w:color w:val="auto"/>
              </w:rPr>
              <w:t>$</w:t>
            </w: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149,441</w:t>
            </w:r>
          </w:p>
        </w:tc>
        <w:tc>
          <w:tcPr>
            <w:tcW w:w="360" w:type="dxa"/>
            <w:vAlign w:val="bottom"/>
            <w:gridSpan w:val="3"/>
          </w:tcPr>
          <w:p>
            <w:pPr>
              <w:jc w:val="right"/>
              <w:spacing w:after="0"/>
              <w:rPr>
                <w:sz w:val="20"/>
                <w:szCs w:val="20"/>
                <w:color w:val="auto"/>
              </w:rPr>
            </w:pPr>
            <w:r>
              <w:rPr>
                <w:rFonts w:ascii="Arial Narrow" w:cs="Arial Narrow" w:eastAsia="Arial Narrow" w:hAnsi="Arial Narrow"/>
                <w:sz w:val="20"/>
                <w:szCs w:val="20"/>
                <w:color w:val="auto"/>
              </w:rPr>
              <w:t>$</w:t>
            </w: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623</w:t>
            </w:r>
          </w:p>
        </w:tc>
        <w:tc>
          <w:tcPr>
            <w:tcW w:w="320" w:type="dxa"/>
            <w:vAlign w:val="bottom"/>
            <w:gridSpan w:val="4"/>
          </w:tcPr>
          <w:p>
            <w:pPr>
              <w:jc w:val="right"/>
              <w:ind w:right="40"/>
              <w:spacing w:after="0"/>
              <w:rPr>
                <w:sz w:val="20"/>
                <w:szCs w:val="20"/>
                <w:color w:val="auto"/>
              </w:rPr>
            </w:pPr>
            <w:r>
              <w:rPr>
                <w:rFonts w:ascii="Arial Narrow" w:cs="Arial Narrow" w:eastAsia="Arial Narrow" w:hAnsi="Arial Narrow"/>
                <w:sz w:val="20"/>
                <w:szCs w:val="20"/>
                <w:color w:val="auto"/>
              </w:rPr>
              <w:t>$</w:t>
            </w: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278,071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382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2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6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287"/>
        </w:trPr>
        <w:tc>
          <w:tcPr>
            <w:tcW w:w="3820" w:type="dxa"/>
            <w:vAlign w:val="bottom"/>
          </w:tcPr>
          <w:p>
            <w:pPr>
              <w:spacing w:after="0"/>
              <w:rPr>
                <w:sz w:val="20"/>
                <w:szCs w:val="20"/>
                <w:color w:val="auto"/>
              </w:rPr>
            </w:pPr>
            <w:r>
              <w:rPr>
                <w:rFonts w:ascii="Arial Narrow" w:cs="Arial Narrow" w:eastAsia="Arial Narrow" w:hAnsi="Arial Narrow"/>
                <w:sz w:val="20"/>
                <w:szCs w:val="20"/>
                <w:b w:val="1"/>
                <w:bCs w:val="1"/>
                <w:color w:val="00085E"/>
              </w:rPr>
              <w:t>Parts, Supplies, and Services (Includes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217,393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31,246</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22,337</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11,186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282,162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3820" w:type="dxa"/>
            <w:vAlign w:val="bottom"/>
            <w:vMerge w:val="restart"/>
          </w:tcPr>
          <w:p>
            <w:pPr>
              <w:spacing w:after="0"/>
              <w:rPr>
                <w:sz w:val="20"/>
                <w:szCs w:val="20"/>
                <w:color w:val="auto"/>
              </w:rPr>
            </w:pPr>
            <w:r>
              <w:rPr>
                <w:rFonts w:ascii="Arial Narrow" w:cs="Arial Narrow" w:eastAsia="Arial Narrow" w:hAnsi="Arial Narrow"/>
                <w:sz w:val="20"/>
                <w:szCs w:val="20"/>
                <w:b w:val="1"/>
                <w:bCs w:val="1"/>
                <w:color w:val="00085E"/>
              </w:rPr>
              <w:t>Maintenance)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38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382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2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6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3820" w:type="dxa"/>
            <w:vAlign w:val="bottom"/>
          </w:tcPr>
          <w:p>
            <w:pPr>
              <w:spacing w:after="0"/>
              <w:rPr>
                <w:sz w:val="20"/>
                <w:szCs w:val="20"/>
                <w:color w:val="auto"/>
              </w:rPr>
            </w:pPr>
            <w:r>
              <w:rPr>
                <w:rFonts w:ascii="Arial Narrow" w:cs="Arial Narrow" w:eastAsia="Arial Narrow" w:hAnsi="Arial Narrow"/>
                <w:sz w:val="20"/>
                <w:szCs w:val="20"/>
                <w:b w:val="1"/>
                <w:bCs w:val="1"/>
                <w:color w:val="00085E"/>
              </w:rPr>
              <w:t>Energy</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154,925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7,641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37,984</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17,120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217,670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382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2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6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3820" w:type="dxa"/>
            <w:vAlign w:val="bottom"/>
          </w:tcPr>
          <w:p>
            <w:pPr>
              <w:spacing w:after="0"/>
              <w:rPr>
                <w:sz w:val="20"/>
                <w:szCs w:val="20"/>
                <w:color w:val="auto"/>
              </w:rPr>
            </w:pPr>
            <w:r>
              <w:rPr>
                <w:rFonts w:ascii="Arial Narrow" w:cs="Arial Narrow" w:eastAsia="Arial Narrow" w:hAnsi="Arial Narrow"/>
                <w:sz w:val="20"/>
                <w:szCs w:val="20"/>
                <w:b w:val="1"/>
                <w:bCs w:val="1"/>
                <w:color w:val="00085E"/>
              </w:rPr>
              <w:t>Raw Materials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87,154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112,447</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178,340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83,784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461,725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382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2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6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3820" w:type="dxa"/>
            <w:vAlign w:val="bottom"/>
          </w:tcPr>
          <w:p>
            <w:pPr>
              <w:spacing w:after="0"/>
              <w:rPr>
                <w:sz w:val="20"/>
                <w:szCs w:val="20"/>
                <w:color w:val="auto"/>
              </w:rPr>
            </w:pPr>
            <w:r>
              <w:rPr>
                <w:rFonts w:ascii="Arial Narrow" w:cs="Arial Narrow" w:eastAsia="Arial Narrow" w:hAnsi="Arial Narrow"/>
                <w:sz w:val="20"/>
                <w:szCs w:val="20"/>
                <w:b w:val="1"/>
                <w:bCs w:val="1"/>
                <w:color w:val="00085E"/>
              </w:rPr>
              <w:t>Labor and Fixed Costs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155,118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31,014</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59,796</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22,875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268,803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382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2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6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3820" w:type="dxa"/>
            <w:vAlign w:val="bottom"/>
          </w:tcPr>
          <w:p>
            <w:pPr>
              <w:spacing w:after="0"/>
              <w:rPr>
                <w:sz w:val="20"/>
                <w:szCs w:val="20"/>
                <w:color w:val="auto"/>
              </w:rPr>
            </w:pPr>
            <w:r>
              <w:rPr>
                <w:rFonts w:ascii="Arial Narrow" w:cs="Arial Narrow" w:eastAsia="Arial Narrow" w:hAnsi="Arial Narrow"/>
                <w:sz w:val="20"/>
                <w:szCs w:val="20"/>
                <w:b w:val="1"/>
                <w:bCs w:val="1"/>
                <w:color w:val="00085E"/>
              </w:rPr>
              <w:t xml:space="preserve">Depreciation, Depletion, and Amortization </w:t>
            </w:r>
            <w:r>
              <w:rPr>
                <w:rFonts w:ascii="Arial Narrow" w:cs="Arial Narrow" w:eastAsia="Arial Narrow" w:hAnsi="Arial Narrow"/>
                <w:sz w:val="13"/>
                <w:szCs w:val="13"/>
                <w:b w:val="1"/>
                <w:bCs w:val="1"/>
                <w:color w:val="00085E"/>
              </w:rPr>
              <w:t>(1)</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89,138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19,728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23,038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14,811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146,715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382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2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6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3820" w:type="dxa"/>
            <w:vAlign w:val="bottom"/>
          </w:tcPr>
          <w:p>
            <w:pPr>
              <w:spacing w:after="0"/>
              <w:rPr>
                <w:sz w:val="20"/>
                <w:szCs w:val="20"/>
                <w:color w:val="auto"/>
              </w:rPr>
            </w:pPr>
            <w:r>
              <w:rPr>
                <w:rFonts w:ascii="Arial Narrow" w:cs="Arial Narrow" w:eastAsia="Arial Narrow" w:hAnsi="Arial Narrow"/>
                <w:sz w:val="20"/>
                <w:szCs w:val="20"/>
                <w:b w:val="1"/>
                <w:bCs w:val="1"/>
                <w:color w:val="00085E"/>
              </w:rPr>
              <w:t>Purchased Cement</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86,219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86,219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382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2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6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3820" w:type="dxa"/>
            <w:vAlign w:val="bottom"/>
          </w:tcPr>
          <w:p>
            <w:pPr>
              <w:spacing w:after="0"/>
              <w:rPr>
                <w:sz w:val="20"/>
                <w:szCs w:val="20"/>
                <w:color w:val="auto"/>
              </w:rPr>
            </w:pPr>
            <w:r>
              <w:rPr>
                <w:rFonts w:ascii="Arial Narrow" w:cs="Arial Narrow" w:eastAsia="Arial Narrow" w:hAnsi="Arial Narrow"/>
                <w:sz w:val="20"/>
                <w:szCs w:val="20"/>
                <w:b w:val="1"/>
                <w:bCs w:val="1"/>
                <w:color w:val="00085E"/>
              </w:rPr>
              <w:t>Other Segment Items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3,690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4,499</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34,058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2,173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44,420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3820" w:type="dxa"/>
            <w:vAlign w:val="bottom"/>
            <w:tcBorders>
              <w:bottom w:val="single" w:sz="8" w:color="A6A6A6"/>
            </w:tcBorders>
          </w:tcPr>
          <w:p>
            <w:pPr>
              <w:spacing w:after="0"/>
              <w:rPr>
                <w:sz w:val="7"/>
                <w:szCs w:val="7"/>
                <w:color w:val="auto"/>
              </w:rPr>
            </w:pPr>
          </w:p>
        </w:tc>
        <w:tc>
          <w:tcPr>
            <w:tcW w:w="160" w:type="dxa"/>
            <w:vAlign w:val="bottom"/>
            <w:tcBorders>
              <w:bottom w:val="single" w:sz="8" w:color="A6A6A6"/>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00" w:type="dxa"/>
            <w:vAlign w:val="bottom"/>
            <w:tcBorders>
              <w:bottom w:val="single" w:sz="8" w:color="A6A6A6"/>
            </w:tcBorders>
          </w:tcPr>
          <w:p>
            <w:pPr>
              <w:spacing w:after="0"/>
              <w:rPr>
                <w:sz w:val="7"/>
                <w:szCs w:val="7"/>
                <w:color w:val="auto"/>
              </w:rPr>
            </w:pPr>
          </w:p>
        </w:tc>
        <w:tc>
          <w:tcPr>
            <w:tcW w:w="100" w:type="dxa"/>
            <w:vAlign w:val="bottom"/>
            <w:tcBorders>
              <w:bottom w:val="single" w:sz="8" w:color="A6A6A6"/>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80" w:type="dxa"/>
            <w:vAlign w:val="bottom"/>
            <w:tcBorders>
              <w:bottom w:val="single" w:sz="8" w:color="A6A6A6"/>
            </w:tcBorders>
          </w:tcPr>
          <w:p>
            <w:pPr>
              <w:spacing w:after="0"/>
              <w:rPr>
                <w:sz w:val="7"/>
                <w:szCs w:val="7"/>
                <w:color w:val="auto"/>
              </w:rPr>
            </w:pPr>
          </w:p>
        </w:tc>
        <w:tc>
          <w:tcPr>
            <w:tcW w:w="100" w:type="dxa"/>
            <w:vAlign w:val="bottom"/>
            <w:tcBorders>
              <w:bottom w:val="single" w:sz="8" w:color="A6A6A6"/>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80" w:type="dxa"/>
            <w:vAlign w:val="bottom"/>
            <w:tcBorders>
              <w:bottom w:val="single" w:sz="8" w:color="A6A6A6"/>
            </w:tcBorders>
          </w:tcPr>
          <w:p>
            <w:pPr>
              <w:spacing w:after="0"/>
              <w:rPr>
                <w:sz w:val="7"/>
                <w:szCs w:val="7"/>
                <w:color w:val="auto"/>
              </w:rPr>
            </w:pPr>
          </w:p>
        </w:tc>
        <w:tc>
          <w:tcPr>
            <w:tcW w:w="100" w:type="dxa"/>
            <w:vAlign w:val="bottom"/>
            <w:tcBorders>
              <w:bottom w:val="single" w:sz="8" w:color="A6A6A6"/>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00" w:type="dxa"/>
            <w:vAlign w:val="bottom"/>
            <w:tcBorders>
              <w:bottom w:val="single" w:sz="8" w:color="A6A6A6"/>
            </w:tcBorders>
          </w:tcPr>
          <w:p>
            <w:pPr>
              <w:spacing w:after="0"/>
              <w:rPr>
                <w:sz w:val="7"/>
                <w:szCs w:val="7"/>
                <w:color w:val="auto"/>
              </w:rPr>
            </w:pPr>
          </w:p>
        </w:tc>
        <w:tc>
          <w:tcPr>
            <w:tcW w:w="100" w:type="dxa"/>
            <w:vAlign w:val="bottom"/>
            <w:tcBorders>
              <w:bottom w:val="single" w:sz="8" w:color="A6A6A6"/>
            </w:tcBorders>
          </w:tcPr>
          <w:p>
            <w:pPr>
              <w:spacing w:after="0"/>
              <w:rPr>
                <w:sz w:val="7"/>
                <w:szCs w:val="7"/>
                <w:color w:val="auto"/>
              </w:rPr>
            </w:pPr>
          </w:p>
        </w:tc>
        <w:tc>
          <w:tcPr>
            <w:tcW w:w="20" w:type="dxa"/>
            <w:vAlign w:val="bottom"/>
            <w:tcBorders>
              <w:bottom w:val="single" w:sz="8" w:color="A6A6A6"/>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44"/>
        </w:trPr>
        <w:tc>
          <w:tcPr>
            <w:tcW w:w="3820" w:type="dxa"/>
            <w:vAlign w:val="bottom"/>
          </w:tcPr>
          <w:p>
            <w:pPr>
              <w:spacing w:after="0"/>
              <w:rPr>
                <w:sz w:val="20"/>
                <w:szCs w:val="20"/>
                <w:color w:val="auto"/>
              </w:rPr>
            </w:pPr>
            <w:r>
              <w:rPr>
                <w:rFonts w:ascii="Arial Narrow" w:cs="Arial Narrow" w:eastAsia="Arial Narrow" w:hAnsi="Arial Narrow"/>
                <w:sz w:val="20"/>
                <w:szCs w:val="20"/>
                <w:b w:val="1"/>
                <w:bCs w:val="1"/>
                <w:color w:val="auto"/>
              </w:rPr>
              <w:t>Segment Operating Earnings</w:t>
            </w:r>
          </w:p>
        </w:tc>
        <w:tc>
          <w:tcPr>
            <w:tcW w:w="280" w:type="dxa"/>
            <w:vAlign w:val="bottom"/>
            <w:gridSpan w:val="2"/>
          </w:tcPr>
          <w:p>
            <w:pPr>
              <w:jc w:val="right"/>
              <w:ind w:right="40"/>
              <w:spacing w:after="0"/>
              <w:rPr>
                <w:sz w:val="20"/>
                <w:szCs w:val="20"/>
                <w:color w:val="auto"/>
              </w:rPr>
            </w:pPr>
            <w:r>
              <w:rPr>
                <w:rFonts w:ascii="Arial Narrow" w:cs="Arial Narrow" w:eastAsia="Arial Narrow" w:hAnsi="Arial Narrow"/>
                <w:sz w:val="20"/>
                <w:szCs w:val="20"/>
                <w:color w:val="auto"/>
              </w:rPr>
              <w:t>$</w:t>
            </w: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338,349</w:t>
            </w:r>
          </w:p>
        </w:tc>
        <w:tc>
          <w:tcPr>
            <w:tcW w:w="380" w:type="dxa"/>
            <w:vAlign w:val="bottom"/>
            <w:gridSpan w:val="3"/>
          </w:tcPr>
          <w:p>
            <w:pPr>
              <w:jc w:val="right"/>
              <w:spacing w:after="0"/>
              <w:rPr>
                <w:sz w:val="20"/>
                <w:szCs w:val="20"/>
                <w:color w:val="auto"/>
              </w:rPr>
            </w:pPr>
            <w:r>
              <w:rPr>
                <w:rFonts w:ascii="Arial Narrow" w:cs="Arial Narrow" w:eastAsia="Arial Narrow" w:hAnsi="Arial Narrow"/>
                <w:sz w:val="20"/>
                <w:szCs w:val="20"/>
                <w:color w:val="auto"/>
              </w:rPr>
              <w:t>$</w:t>
            </w: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12,401</w:t>
            </w:r>
          </w:p>
        </w:tc>
        <w:tc>
          <w:tcPr>
            <w:tcW w:w="320" w:type="dxa"/>
            <w:vAlign w:val="bottom"/>
            <w:gridSpan w:val="3"/>
          </w:tcPr>
          <w:p>
            <w:pPr>
              <w:jc w:val="right"/>
              <w:ind w:right="40"/>
              <w:spacing w:after="0"/>
              <w:rPr>
                <w:sz w:val="20"/>
                <w:szCs w:val="20"/>
                <w:color w:val="auto"/>
              </w:rPr>
            </w:pPr>
            <w:r>
              <w:rPr>
                <w:rFonts w:ascii="Arial Narrow" w:cs="Arial Narrow" w:eastAsia="Arial Narrow" w:hAnsi="Arial Narrow"/>
                <w:sz w:val="20"/>
                <w:szCs w:val="20"/>
                <w:color w:val="auto"/>
              </w:rPr>
              <w:t>$</w:t>
            </w: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334,536</w:t>
            </w:r>
          </w:p>
        </w:tc>
        <w:tc>
          <w:tcPr>
            <w:tcW w:w="360" w:type="dxa"/>
            <w:vAlign w:val="bottom"/>
            <w:gridSpan w:val="3"/>
          </w:tcPr>
          <w:p>
            <w:pPr>
              <w:jc w:val="right"/>
              <w:spacing w:after="0"/>
              <w:rPr>
                <w:sz w:val="20"/>
                <w:szCs w:val="20"/>
                <w:color w:val="auto"/>
              </w:rPr>
            </w:pPr>
            <w:r>
              <w:rPr>
                <w:rFonts w:ascii="Arial Narrow" w:cs="Arial Narrow" w:eastAsia="Arial Narrow" w:hAnsi="Arial Narrow"/>
                <w:sz w:val="20"/>
                <w:szCs w:val="20"/>
                <w:color w:val="auto"/>
              </w:rPr>
              <w:t>$</w:t>
            </w:r>
          </w:p>
        </w:tc>
        <w:tc>
          <w:tcPr>
            <w:tcW w:w="740" w:type="dxa"/>
            <w:vAlign w:val="bottom"/>
          </w:tcPr>
          <w:p>
            <w:pPr>
              <w:jc w:val="right"/>
              <w:spacing w:after="0"/>
              <w:rPr>
                <w:sz w:val="20"/>
                <w:szCs w:val="20"/>
                <w:color w:val="auto"/>
              </w:rPr>
            </w:pPr>
            <w:r>
              <w:rPr>
                <w:rFonts w:ascii="Arial Narrow" w:cs="Arial Narrow" w:eastAsia="Arial Narrow" w:hAnsi="Arial Narrow"/>
                <w:sz w:val="20"/>
                <w:szCs w:val="20"/>
                <w:color w:val="auto"/>
              </w:rPr>
              <w:t>31,616</w:t>
            </w:r>
          </w:p>
        </w:tc>
        <w:tc>
          <w:tcPr>
            <w:tcW w:w="320" w:type="dxa"/>
            <w:vAlign w:val="bottom"/>
            <w:gridSpan w:val="4"/>
          </w:tcPr>
          <w:p>
            <w:pPr>
              <w:jc w:val="right"/>
              <w:ind w:right="40"/>
              <w:spacing w:after="0"/>
              <w:rPr>
                <w:sz w:val="20"/>
                <w:szCs w:val="20"/>
                <w:color w:val="auto"/>
              </w:rPr>
            </w:pPr>
            <w:r>
              <w:rPr>
                <w:rFonts w:ascii="Arial Narrow" w:cs="Arial Narrow" w:eastAsia="Arial Narrow" w:hAnsi="Arial Narrow"/>
                <w:sz w:val="20"/>
                <w:szCs w:val="20"/>
                <w:color w:val="auto"/>
              </w:rPr>
              <w:t>$</w:t>
            </w: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716,902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382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20" w:type="dxa"/>
            <w:vAlign w:val="bottom"/>
            <w:tcBorders>
              <w:bottom w:val="single" w:sz="8" w:color="A6A6A6"/>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Arial Narrow" w:cs="Arial Narrow" w:eastAsia="Arial Narrow" w:hAnsi="Arial Narrow"/>
                <w:sz w:val="20"/>
                <w:szCs w:val="20"/>
                <w:b w:val="1"/>
                <w:bCs w:val="1"/>
                <w:color w:val="00085E"/>
              </w:rPr>
              <w:t>Reconciliation of Segment Operating Earnings</w:t>
            </w: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3"/>
        </w:trPr>
        <w:tc>
          <w:tcPr>
            <w:tcW w:w="38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382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2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6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3820" w:type="dxa"/>
            <w:vAlign w:val="bottom"/>
          </w:tcPr>
          <w:p>
            <w:pPr>
              <w:spacing w:after="0"/>
              <w:rPr>
                <w:sz w:val="20"/>
                <w:szCs w:val="20"/>
                <w:color w:val="auto"/>
              </w:rPr>
            </w:pPr>
            <w:r>
              <w:rPr>
                <w:rFonts w:ascii="Arial Narrow" w:cs="Arial Narrow" w:eastAsia="Arial Narrow" w:hAnsi="Arial Narrow"/>
                <w:sz w:val="20"/>
                <w:szCs w:val="20"/>
                <w:b w:val="1"/>
                <w:bCs w:val="1"/>
                <w:color w:val="00085E"/>
              </w:rPr>
              <w:t>Corporate General and Administrative Expense</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(59,795)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382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2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6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3820" w:type="dxa"/>
            <w:vAlign w:val="bottom"/>
          </w:tcPr>
          <w:p>
            <w:pPr>
              <w:spacing w:after="0"/>
              <w:rPr>
                <w:sz w:val="20"/>
                <w:szCs w:val="20"/>
                <w:color w:val="auto"/>
              </w:rPr>
            </w:pPr>
            <w:r>
              <w:rPr>
                <w:rFonts w:ascii="Arial Narrow" w:cs="Arial Narrow" w:eastAsia="Arial Narrow" w:hAnsi="Arial Narrow"/>
                <w:sz w:val="20"/>
                <w:szCs w:val="20"/>
                <w:b w:val="1"/>
                <w:bCs w:val="1"/>
                <w:color w:val="00085E"/>
              </w:rPr>
              <w:t>Other Non-Operating Earnings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3,087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382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2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6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3820" w:type="dxa"/>
            <w:vAlign w:val="bottom"/>
          </w:tcPr>
          <w:p>
            <w:pPr>
              <w:spacing w:after="0"/>
              <w:rPr>
                <w:sz w:val="20"/>
                <w:szCs w:val="20"/>
                <w:color w:val="auto"/>
              </w:rPr>
            </w:pPr>
            <w:r>
              <w:rPr>
                <w:rFonts w:ascii="Arial Narrow" w:cs="Arial Narrow" w:eastAsia="Arial Narrow" w:hAnsi="Arial Narrow"/>
                <w:sz w:val="20"/>
                <w:szCs w:val="20"/>
                <w:b w:val="1"/>
                <w:bCs w:val="1"/>
                <w:color w:val="00085E"/>
              </w:rPr>
              <w:t>Interest Expense</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(42,257)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3820" w:type="dxa"/>
            <w:vAlign w:val="bottom"/>
            <w:tcBorders>
              <w:bottom w:val="single" w:sz="8" w:color="A6A6A6"/>
            </w:tcBorders>
          </w:tcPr>
          <w:p>
            <w:pPr>
              <w:spacing w:after="0"/>
              <w:rPr>
                <w:sz w:val="7"/>
                <w:szCs w:val="7"/>
                <w:color w:val="auto"/>
              </w:rPr>
            </w:pPr>
          </w:p>
        </w:tc>
        <w:tc>
          <w:tcPr>
            <w:tcW w:w="160" w:type="dxa"/>
            <w:vAlign w:val="bottom"/>
            <w:tcBorders>
              <w:bottom w:val="single" w:sz="8" w:color="A6A6A6"/>
            </w:tcBorders>
          </w:tcPr>
          <w:p>
            <w:pPr>
              <w:spacing w:after="0"/>
              <w:rPr>
                <w:sz w:val="7"/>
                <w:szCs w:val="7"/>
                <w:color w:val="auto"/>
              </w:rPr>
            </w:pPr>
          </w:p>
        </w:tc>
        <w:tc>
          <w:tcPr>
            <w:tcW w:w="120" w:type="dxa"/>
            <w:vAlign w:val="bottom"/>
            <w:tcBorders>
              <w:bottom w:val="single" w:sz="8" w:color="A6A6A6"/>
            </w:tcBorders>
          </w:tcPr>
          <w:p>
            <w:pPr>
              <w:spacing w:after="0"/>
              <w:rPr>
                <w:sz w:val="7"/>
                <w:szCs w:val="7"/>
                <w:color w:val="auto"/>
              </w:rPr>
            </w:pPr>
          </w:p>
        </w:tc>
        <w:tc>
          <w:tcPr>
            <w:tcW w:w="780" w:type="dxa"/>
            <w:vAlign w:val="bottom"/>
            <w:tcBorders>
              <w:bottom w:val="single" w:sz="8" w:color="A6A6A6"/>
            </w:tcBorders>
          </w:tcPr>
          <w:p>
            <w:pPr>
              <w:spacing w:after="0"/>
              <w:rPr>
                <w:sz w:val="7"/>
                <w:szCs w:val="7"/>
                <w:color w:val="auto"/>
              </w:rPr>
            </w:pPr>
          </w:p>
        </w:tc>
        <w:tc>
          <w:tcPr>
            <w:tcW w:w="100" w:type="dxa"/>
            <w:vAlign w:val="bottom"/>
            <w:tcBorders>
              <w:bottom w:val="single" w:sz="8" w:color="A6A6A6"/>
            </w:tcBorders>
          </w:tcPr>
          <w:p>
            <w:pPr>
              <w:spacing w:after="0"/>
              <w:rPr>
                <w:sz w:val="7"/>
                <w:szCs w:val="7"/>
                <w:color w:val="auto"/>
              </w:rPr>
            </w:pPr>
          </w:p>
        </w:tc>
        <w:tc>
          <w:tcPr>
            <w:tcW w:w="100" w:type="dxa"/>
            <w:vAlign w:val="bottom"/>
            <w:tcBorders>
              <w:bottom w:val="single" w:sz="8" w:color="A6A6A6"/>
            </w:tcBorders>
          </w:tcPr>
          <w:p>
            <w:pPr>
              <w:spacing w:after="0"/>
              <w:rPr>
                <w:sz w:val="7"/>
                <w:szCs w:val="7"/>
                <w:color w:val="auto"/>
              </w:rPr>
            </w:pPr>
          </w:p>
        </w:tc>
        <w:tc>
          <w:tcPr>
            <w:tcW w:w="180" w:type="dxa"/>
            <w:vAlign w:val="bottom"/>
            <w:tcBorders>
              <w:bottom w:val="single" w:sz="8" w:color="A6A6A6"/>
            </w:tcBorders>
          </w:tcPr>
          <w:p>
            <w:pPr>
              <w:spacing w:after="0"/>
              <w:rPr>
                <w:sz w:val="7"/>
                <w:szCs w:val="7"/>
                <w:color w:val="auto"/>
              </w:rPr>
            </w:pPr>
          </w:p>
        </w:tc>
        <w:tc>
          <w:tcPr>
            <w:tcW w:w="740" w:type="dxa"/>
            <w:vAlign w:val="bottom"/>
            <w:tcBorders>
              <w:bottom w:val="single" w:sz="8" w:color="A6A6A6"/>
            </w:tcBorders>
          </w:tcPr>
          <w:p>
            <w:pPr>
              <w:spacing w:after="0"/>
              <w:rPr>
                <w:sz w:val="7"/>
                <w:szCs w:val="7"/>
                <w:color w:val="auto"/>
              </w:rPr>
            </w:pPr>
          </w:p>
        </w:tc>
        <w:tc>
          <w:tcPr>
            <w:tcW w:w="80" w:type="dxa"/>
            <w:vAlign w:val="bottom"/>
            <w:tcBorders>
              <w:bottom w:val="single" w:sz="8" w:color="A6A6A6"/>
            </w:tcBorders>
          </w:tcPr>
          <w:p>
            <w:pPr>
              <w:spacing w:after="0"/>
              <w:rPr>
                <w:sz w:val="7"/>
                <w:szCs w:val="7"/>
                <w:color w:val="auto"/>
              </w:rPr>
            </w:pPr>
          </w:p>
        </w:tc>
        <w:tc>
          <w:tcPr>
            <w:tcW w:w="100" w:type="dxa"/>
            <w:vAlign w:val="bottom"/>
            <w:tcBorders>
              <w:bottom w:val="single" w:sz="8" w:color="A6A6A6"/>
            </w:tcBorders>
          </w:tcPr>
          <w:p>
            <w:pPr>
              <w:spacing w:after="0"/>
              <w:rPr>
                <w:sz w:val="7"/>
                <w:szCs w:val="7"/>
                <w:color w:val="auto"/>
              </w:rPr>
            </w:pPr>
          </w:p>
        </w:tc>
        <w:tc>
          <w:tcPr>
            <w:tcW w:w="140" w:type="dxa"/>
            <w:vAlign w:val="bottom"/>
            <w:tcBorders>
              <w:bottom w:val="single" w:sz="8" w:color="A6A6A6"/>
            </w:tcBorders>
          </w:tcPr>
          <w:p>
            <w:pPr>
              <w:spacing w:after="0"/>
              <w:rPr>
                <w:sz w:val="7"/>
                <w:szCs w:val="7"/>
                <w:color w:val="auto"/>
              </w:rPr>
            </w:pPr>
          </w:p>
        </w:tc>
        <w:tc>
          <w:tcPr>
            <w:tcW w:w="780" w:type="dxa"/>
            <w:vAlign w:val="bottom"/>
            <w:tcBorders>
              <w:bottom w:val="single" w:sz="8" w:color="A6A6A6"/>
            </w:tcBorders>
          </w:tcPr>
          <w:p>
            <w:pPr>
              <w:spacing w:after="0"/>
              <w:rPr>
                <w:sz w:val="7"/>
                <w:szCs w:val="7"/>
                <w:color w:val="auto"/>
              </w:rPr>
            </w:pPr>
          </w:p>
        </w:tc>
        <w:tc>
          <w:tcPr>
            <w:tcW w:w="80" w:type="dxa"/>
            <w:vAlign w:val="bottom"/>
            <w:tcBorders>
              <w:bottom w:val="single" w:sz="8" w:color="A6A6A6"/>
            </w:tcBorders>
          </w:tcPr>
          <w:p>
            <w:pPr>
              <w:spacing w:after="0"/>
              <w:rPr>
                <w:sz w:val="7"/>
                <w:szCs w:val="7"/>
                <w:color w:val="auto"/>
              </w:rPr>
            </w:pPr>
          </w:p>
        </w:tc>
        <w:tc>
          <w:tcPr>
            <w:tcW w:w="100" w:type="dxa"/>
            <w:vAlign w:val="bottom"/>
            <w:tcBorders>
              <w:bottom w:val="single" w:sz="8" w:color="A6A6A6"/>
            </w:tcBorders>
          </w:tcPr>
          <w:p>
            <w:pPr>
              <w:spacing w:after="0"/>
              <w:rPr>
                <w:sz w:val="7"/>
                <w:szCs w:val="7"/>
                <w:color w:val="auto"/>
              </w:rPr>
            </w:pPr>
          </w:p>
        </w:tc>
        <w:tc>
          <w:tcPr>
            <w:tcW w:w="180" w:type="dxa"/>
            <w:vAlign w:val="bottom"/>
            <w:tcBorders>
              <w:bottom w:val="single" w:sz="8" w:color="A6A6A6"/>
            </w:tcBorders>
          </w:tcPr>
          <w:p>
            <w:pPr>
              <w:spacing w:after="0"/>
              <w:rPr>
                <w:sz w:val="7"/>
                <w:szCs w:val="7"/>
                <w:color w:val="auto"/>
              </w:rPr>
            </w:pPr>
          </w:p>
        </w:tc>
        <w:tc>
          <w:tcPr>
            <w:tcW w:w="740" w:type="dxa"/>
            <w:vAlign w:val="bottom"/>
            <w:tcBorders>
              <w:bottom w:val="single" w:sz="8" w:color="A6A6A6"/>
            </w:tcBorders>
          </w:tcPr>
          <w:p>
            <w:pPr>
              <w:spacing w:after="0"/>
              <w:rPr>
                <w:sz w:val="7"/>
                <w:szCs w:val="7"/>
                <w:color w:val="auto"/>
              </w:rPr>
            </w:pPr>
          </w:p>
        </w:tc>
        <w:tc>
          <w:tcPr>
            <w:tcW w:w="100" w:type="dxa"/>
            <w:vAlign w:val="bottom"/>
            <w:tcBorders>
              <w:bottom w:val="single" w:sz="8" w:color="A6A6A6"/>
            </w:tcBorders>
          </w:tcPr>
          <w:p>
            <w:pPr>
              <w:spacing w:after="0"/>
              <w:rPr>
                <w:sz w:val="7"/>
                <w:szCs w:val="7"/>
                <w:color w:val="auto"/>
              </w:rPr>
            </w:pPr>
          </w:p>
        </w:tc>
        <w:tc>
          <w:tcPr>
            <w:tcW w:w="100" w:type="dxa"/>
            <w:vAlign w:val="bottom"/>
            <w:tcBorders>
              <w:bottom w:val="single" w:sz="8" w:color="A6A6A6"/>
            </w:tcBorders>
          </w:tcPr>
          <w:p>
            <w:pPr>
              <w:spacing w:after="0"/>
              <w:rPr>
                <w:sz w:val="7"/>
                <w:szCs w:val="7"/>
                <w:color w:val="auto"/>
              </w:rPr>
            </w:pPr>
          </w:p>
        </w:tc>
        <w:tc>
          <w:tcPr>
            <w:tcW w:w="20" w:type="dxa"/>
            <w:vAlign w:val="bottom"/>
            <w:tcBorders>
              <w:bottom w:val="single" w:sz="8" w:color="A6A6A6"/>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4"/>
        </w:trPr>
        <w:tc>
          <w:tcPr>
            <w:tcW w:w="3820" w:type="dxa"/>
            <w:vAlign w:val="bottom"/>
          </w:tcPr>
          <w:p>
            <w:pPr>
              <w:spacing w:after="0"/>
              <w:rPr>
                <w:sz w:val="20"/>
                <w:szCs w:val="20"/>
                <w:color w:val="auto"/>
              </w:rPr>
            </w:pPr>
            <w:r>
              <w:rPr>
                <w:rFonts w:ascii="Arial Narrow" w:cs="Arial Narrow" w:eastAsia="Arial Narrow" w:hAnsi="Arial Narrow"/>
                <w:sz w:val="20"/>
                <w:szCs w:val="20"/>
                <w:b w:val="1"/>
                <w:bCs w:val="1"/>
                <w:color w:val="auto"/>
              </w:rPr>
              <w:t>Earnings Before Income Taxes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gridSpan w:val="4"/>
          </w:tcPr>
          <w:p>
            <w:pPr>
              <w:jc w:val="right"/>
              <w:ind w:right="40"/>
              <w:spacing w:after="0"/>
              <w:rPr>
                <w:sz w:val="20"/>
                <w:szCs w:val="20"/>
                <w:color w:val="auto"/>
              </w:rPr>
            </w:pPr>
            <w:r>
              <w:rPr>
                <w:rFonts w:ascii="Arial Narrow" w:cs="Arial Narrow" w:eastAsia="Arial Narrow" w:hAnsi="Arial Narrow"/>
                <w:sz w:val="20"/>
                <w:szCs w:val="20"/>
                <w:color w:val="auto"/>
              </w:rPr>
              <w:t>$</w:t>
            </w: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617,937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38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5908675</wp:posOffset>
            </wp:positionH>
            <wp:positionV relativeFrom="paragraph">
              <wp:posOffset>-1855470</wp:posOffset>
            </wp:positionV>
            <wp:extent cx="34925" cy="95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9">
                      <a:extLst>
                        <a:ext uri="{28A0092B-C50C-407E-A947-70E740481C1C}"/>
                      </a:extLst>
                    </a:blip>
                    <a:srcRect/>
                    <a:stretch>
                      <a:fillRect/>
                    </a:stretch>
                  </pic:blipFill>
                  <pic:spPr bwMode="auto">
                    <a:xfrm>
                      <a:off x="0" y="0"/>
                      <a:ext cx="34925" cy="9525"/>
                    </a:xfrm>
                    <a:prstGeom prst="rect">
                      <a:avLst/>
                    </a:prstGeom>
                    <a:noFill/>
                  </pic:spPr>
                </pic:pic>
              </a:graphicData>
            </a:graphic>
          </wp:anchor>
        </w:drawing>
        <w:drawing>
          <wp:anchor simplePos="0" relativeHeight="251657728" behindDoc="1" locked="0" layoutInCell="0" allowOverlap="1">
            <wp:simplePos x="0" y="0"/>
            <wp:positionH relativeFrom="column">
              <wp:posOffset>5908675</wp:posOffset>
            </wp:positionH>
            <wp:positionV relativeFrom="paragraph">
              <wp:posOffset>-1567180</wp:posOffset>
            </wp:positionV>
            <wp:extent cx="34925" cy="95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0">
                      <a:extLst>
                        <a:ext uri="{28A0092B-C50C-407E-A947-70E740481C1C}"/>
                      </a:extLst>
                    </a:blip>
                    <a:srcRect/>
                    <a:stretch>
                      <a:fillRect/>
                    </a:stretch>
                  </pic:blipFill>
                  <pic:spPr bwMode="auto">
                    <a:xfrm>
                      <a:off x="0" y="0"/>
                      <a:ext cx="34925" cy="9525"/>
                    </a:xfrm>
                    <a:prstGeom prst="rect">
                      <a:avLst/>
                    </a:prstGeom>
                    <a:noFill/>
                  </pic:spPr>
                </pic:pic>
              </a:graphicData>
            </a:graphic>
          </wp:anchor>
        </w:drawing>
      </w:r>
    </w:p>
    <w:p>
      <w:pPr>
        <w:spacing w:after="0" w:line="100" w:lineRule="exact"/>
        <w:rPr>
          <w:sz w:val="20"/>
          <w:szCs w:val="20"/>
          <w:color w:val="auto"/>
        </w:rPr>
      </w:pPr>
    </w:p>
    <w:p>
      <w:pPr>
        <w:ind w:left="200" w:right="160" w:hanging="200"/>
        <w:spacing w:after="0" w:line="413" w:lineRule="auto"/>
        <w:tabs>
          <w:tab w:leader="none" w:pos="193" w:val="left"/>
        </w:tabs>
        <w:numPr>
          <w:ilvl w:val="0"/>
          <w:numId w:val="33"/>
        </w:numPr>
        <w:rPr>
          <w:rFonts w:ascii="Arial" w:cs="Arial" w:eastAsia="Arial" w:hAnsi="Arial"/>
          <w:sz w:val="13"/>
          <w:szCs w:val="13"/>
          <w:color w:val="auto"/>
        </w:rPr>
      </w:pPr>
      <w:r>
        <w:rPr>
          <w:rFonts w:ascii="Arial" w:cs="Arial" w:eastAsia="Arial" w:hAnsi="Arial"/>
          <w:sz w:val="13"/>
          <w:szCs w:val="13"/>
          <w:color w:val="auto"/>
        </w:rPr>
        <w:t>Depreciation, Depletion, and Amortization for corporate assets was $5,107, $3,249, and $3,117, in fiscal 2026, 2025, and 2024, respectively. These amounts are included in Corporate General and Administrative Expense.</w:t>
      </w:r>
    </w:p>
    <w:p>
      <w:pPr>
        <w:sectPr>
          <w:pgSz w:w="11880" w:h="15480" w:orient="portrait"/>
          <w:cols w:equalWidth="0" w:num="1">
            <w:col w:w="9360"/>
          </w:cols>
          <w:pgMar w:left="1260" w:top="14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96</w:t>
      </w:r>
    </w:p>
    <w:p>
      <w:pPr>
        <w:sectPr>
          <w:pgSz w:w="11880" w:h="15480" w:orient="portrait"/>
          <w:cols w:equalWidth="0" w:num="1">
            <w:col w:w="9360"/>
          </w:cols>
          <w:pgMar w:left="1260" w:top="1440" w:right="1260" w:bottom="0" w:gutter="0" w:footer="0" w:header="0"/>
          <w:type w:val="continuous"/>
        </w:sectPr>
      </w:pPr>
    </w:p>
    <w:bookmarkStart w:id="104" w:name="page105"/>
    <w:bookmarkEnd w:id="104"/>
    <w:p>
      <w:pPr>
        <w:spacing w:after="0"/>
        <w:rPr>
          <w:sz w:val="20"/>
          <w:szCs w:val="20"/>
          <w:color w:val="auto"/>
        </w:rPr>
      </w:pPr>
      <w:r>
        <w:rPr>
          <w:rFonts w:ascii="Arial" w:cs="Arial" w:eastAsia="Arial" w:hAnsi="Arial"/>
          <w:sz w:val="20"/>
          <w:szCs w:val="20"/>
          <w:color w:val="auto"/>
        </w:rPr>
        <w:t>Additional information about our segments is included below.</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39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40" w:type="dxa"/>
            <w:vAlign w:val="bottom"/>
            <w:gridSpan w:val="7"/>
          </w:tcPr>
          <w:p>
            <w:pPr>
              <w:jc w:val="right"/>
              <w:ind w:right="80"/>
              <w:spacing w:after="0"/>
              <w:rPr>
                <w:sz w:val="20"/>
                <w:szCs w:val="20"/>
                <w:color w:val="auto"/>
              </w:rPr>
            </w:pPr>
            <w:r>
              <w:rPr>
                <w:rFonts w:ascii="Arial Narrow" w:cs="Arial Narrow" w:eastAsia="Arial Narrow" w:hAnsi="Arial Narrow"/>
                <w:sz w:val="18"/>
                <w:szCs w:val="18"/>
                <w:b w:val="1"/>
                <w:bCs w:val="1"/>
                <w:color w:val="auto"/>
              </w:rPr>
              <w:t>For the Years Ended March 31,</w:t>
            </w: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3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9"/>
        </w:trPr>
        <w:tc>
          <w:tcPr>
            <w:tcW w:w="39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Narrow" w:cs="Arial Narrow" w:eastAsia="Arial Narrow" w:hAnsi="Arial Narrow"/>
                <w:sz w:val="18"/>
                <w:szCs w:val="18"/>
                <w:b w:val="1"/>
                <w:bCs w:val="1"/>
                <w:color w:val="auto"/>
              </w:rPr>
              <w:t>2026</w:t>
            </w: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Narrow" w:cs="Arial Narrow" w:eastAsia="Arial Narrow" w:hAnsi="Arial Narrow"/>
                <w:sz w:val="18"/>
                <w:szCs w:val="18"/>
                <w:b w:val="1"/>
                <w:bCs w:val="1"/>
                <w:color w:val="auto"/>
              </w:rPr>
              <w:t>2025</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Narrow" w:cs="Arial Narrow" w:eastAsia="Arial Narrow" w:hAnsi="Arial Narrow"/>
                <w:sz w:val="18"/>
                <w:szCs w:val="18"/>
                <w:b w:val="1"/>
                <w:bCs w:val="1"/>
                <w:color w:val="auto"/>
              </w:rPr>
              <w:t>2024</w:t>
            </w:r>
          </w:p>
        </w:tc>
        <w:tc>
          <w:tcPr>
            <w:tcW w:w="0" w:type="dxa"/>
            <w:vAlign w:val="bottom"/>
          </w:tcPr>
          <w:p>
            <w:pPr>
              <w:spacing w:after="0"/>
              <w:rPr>
                <w:sz w:val="1"/>
                <w:szCs w:val="1"/>
                <w:color w:val="auto"/>
              </w:rPr>
            </w:pPr>
          </w:p>
        </w:tc>
      </w:tr>
      <w:tr>
        <w:trPr>
          <w:trHeight w:val="21"/>
        </w:trPr>
        <w:tc>
          <w:tcPr>
            <w:tcW w:w="3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9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3"/>
          </w:tcPr>
          <w:p>
            <w:pPr>
              <w:ind w:left="40"/>
              <w:spacing w:after="0"/>
              <w:rPr>
                <w:sz w:val="20"/>
                <w:szCs w:val="20"/>
                <w:color w:val="auto"/>
              </w:rPr>
            </w:pPr>
            <w:r>
              <w:rPr>
                <w:rFonts w:ascii="Arial Narrow" w:cs="Arial Narrow" w:eastAsia="Arial Narrow" w:hAnsi="Arial Narrow"/>
                <w:sz w:val="16"/>
                <w:szCs w:val="16"/>
                <w:color w:val="auto"/>
              </w:rPr>
              <w:t>(dollars in thousands)</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390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2"/>
        </w:trPr>
        <w:tc>
          <w:tcPr>
            <w:tcW w:w="3900" w:type="dxa"/>
            <w:vAlign w:val="bottom"/>
            <w:tcBorders>
              <w:bottom w:val="single" w:sz="8" w:color="A6A6A6"/>
            </w:tcBorders>
          </w:tcPr>
          <w:p>
            <w:pPr>
              <w:spacing w:after="0"/>
              <w:rPr>
                <w:sz w:val="20"/>
                <w:szCs w:val="20"/>
                <w:color w:val="auto"/>
              </w:rPr>
            </w:pPr>
            <w:r>
              <w:rPr>
                <w:rFonts w:ascii="Arial Narrow" w:cs="Arial Narrow" w:eastAsia="Arial Narrow" w:hAnsi="Arial Narrow"/>
                <w:sz w:val="20"/>
                <w:szCs w:val="20"/>
                <w:b w:val="1"/>
                <w:bCs w:val="1"/>
                <w:color w:val="042F70"/>
              </w:rPr>
              <w:t>Capital Expenditures</w:t>
            </w:r>
          </w:p>
        </w:tc>
        <w:tc>
          <w:tcPr>
            <w:tcW w:w="1480" w:type="dxa"/>
            <w:vAlign w:val="bottom"/>
            <w:tcBorders>
              <w:bottom w:val="single" w:sz="8" w:color="A6A6A6"/>
            </w:tcBorders>
          </w:tcPr>
          <w:p>
            <w:pPr>
              <w:spacing w:after="0"/>
              <w:rPr>
                <w:sz w:val="24"/>
                <w:szCs w:val="24"/>
                <w:color w:val="auto"/>
              </w:rPr>
            </w:pPr>
          </w:p>
        </w:tc>
        <w:tc>
          <w:tcPr>
            <w:tcW w:w="300" w:type="dxa"/>
            <w:vAlign w:val="bottom"/>
            <w:tcBorders>
              <w:bottom w:val="single" w:sz="8" w:color="A6A6A6"/>
            </w:tcBorders>
          </w:tcPr>
          <w:p>
            <w:pPr>
              <w:spacing w:after="0"/>
              <w:rPr>
                <w:sz w:val="24"/>
                <w:szCs w:val="24"/>
                <w:color w:val="auto"/>
              </w:rPr>
            </w:pPr>
          </w:p>
        </w:tc>
        <w:tc>
          <w:tcPr>
            <w:tcW w:w="940" w:type="dxa"/>
            <w:vAlign w:val="bottom"/>
            <w:tcBorders>
              <w:bottom w:val="single" w:sz="8" w:color="A6A6A6"/>
            </w:tcBorders>
          </w:tcPr>
          <w:p>
            <w:pPr>
              <w:spacing w:after="0"/>
              <w:rPr>
                <w:sz w:val="24"/>
                <w:szCs w:val="24"/>
                <w:color w:val="auto"/>
              </w:rPr>
            </w:pPr>
          </w:p>
        </w:tc>
        <w:tc>
          <w:tcPr>
            <w:tcW w:w="140" w:type="dxa"/>
            <w:vAlign w:val="bottom"/>
            <w:tcBorders>
              <w:bottom w:val="single" w:sz="8" w:color="A6A6A6"/>
            </w:tcBorders>
          </w:tcPr>
          <w:p>
            <w:pPr>
              <w:spacing w:after="0"/>
              <w:rPr>
                <w:sz w:val="24"/>
                <w:szCs w:val="24"/>
                <w:color w:val="auto"/>
              </w:rPr>
            </w:pPr>
          </w:p>
        </w:tc>
        <w:tc>
          <w:tcPr>
            <w:tcW w:w="280" w:type="dxa"/>
            <w:vAlign w:val="bottom"/>
            <w:tcBorders>
              <w:bottom w:val="single" w:sz="8" w:color="A6A6A6"/>
            </w:tcBorders>
          </w:tcPr>
          <w:p>
            <w:pPr>
              <w:spacing w:after="0"/>
              <w:rPr>
                <w:sz w:val="24"/>
                <w:szCs w:val="24"/>
                <w:color w:val="auto"/>
              </w:rPr>
            </w:pPr>
          </w:p>
        </w:tc>
        <w:tc>
          <w:tcPr>
            <w:tcW w:w="940" w:type="dxa"/>
            <w:vAlign w:val="bottom"/>
            <w:tcBorders>
              <w:bottom w:val="single" w:sz="8" w:color="A6A6A6"/>
            </w:tcBorders>
          </w:tcPr>
          <w:p>
            <w:pPr>
              <w:spacing w:after="0"/>
              <w:rPr>
                <w:sz w:val="24"/>
                <w:szCs w:val="24"/>
                <w:color w:val="auto"/>
              </w:rPr>
            </w:pPr>
          </w:p>
        </w:tc>
        <w:tc>
          <w:tcPr>
            <w:tcW w:w="120" w:type="dxa"/>
            <w:vAlign w:val="bottom"/>
            <w:tcBorders>
              <w:bottom w:val="single" w:sz="8" w:color="A6A6A6"/>
            </w:tcBorders>
          </w:tcPr>
          <w:p>
            <w:pPr>
              <w:spacing w:after="0"/>
              <w:rPr>
                <w:sz w:val="24"/>
                <w:szCs w:val="24"/>
                <w:color w:val="auto"/>
              </w:rPr>
            </w:pPr>
          </w:p>
        </w:tc>
        <w:tc>
          <w:tcPr>
            <w:tcW w:w="20" w:type="dxa"/>
            <w:vAlign w:val="bottom"/>
            <w:tcBorders>
              <w:bottom w:val="single" w:sz="8" w:color="A6A6A6"/>
            </w:tcBorders>
          </w:tcPr>
          <w:p>
            <w:pPr>
              <w:spacing w:after="0"/>
              <w:rPr>
                <w:sz w:val="24"/>
                <w:szCs w:val="24"/>
                <w:color w:val="auto"/>
              </w:rPr>
            </w:pPr>
          </w:p>
        </w:tc>
        <w:tc>
          <w:tcPr>
            <w:tcW w:w="400" w:type="dxa"/>
            <w:vAlign w:val="bottom"/>
            <w:tcBorders>
              <w:bottom w:val="single" w:sz="8" w:color="A6A6A6"/>
            </w:tcBorders>
          </w:tcPr>
          <w:p>
            <w:pPr>
              <w:spacing w:after="0"/>
              <w:rPr>
                <w:sz w:val="24"/>
                <w:szCs w:val="24"/>
                <w:color w:val="auto"/>
              </w:rPr>
            </w:pPr>
          </w:p>
        </w:tc>
        <w:tc>
          <w:tcPr>
            <w:tcW w:w="840" w:type="dxa"/>
            <w:vAlign w:val="bottom"/>
            <w:tcBorders>
              <w:bottom w:val="single" w:sz="8" w:color="A6A6A6"/>
            </w:tcBorders>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3900" w:type="dxa"/>
            <w:vAlign w:val="bottom"/>
          </w:tcPr>
          <w:p>
            <w:pPr>
              <w:ind w:left="200"/>
              <w:spacing w:after="0"/>
              <w:rPr>
                <w:sz w:val="20"/>
                <w:szCs w:val="20"/>
                <w:color w:val="auto"/>
              </w:rPr>
            </w:pPr>
            <w:r>
              <w:rPr>
                <w:rFonts w:ascii="Arial Narrow" w:cs="Arial Narrow" w:eastAsia="Arial Narrow" w:hAnsi="Arial Narrow"/>
                <w:sz w:val="20"/>
                <w:szCs w:val="20"/>
                <w:b w:val="1"/>
                <w:bCs w:val="1"/>
                <w:color w:val="2A64A7"/>
              </w:rPr>
              <w:t>Cement</w:t>
            </w:r>
          </w:p>
        </w:tc>
        <w:tc>
          <w:tcPr>
            <w:tcW w:w="1780" w:type="dxa"/>
            <w:vAlign w:val="bottom"/>
            <w:gridSpan w:val="2"/>
          </w:tcPr>
          <w:p>
            <w:pPr>
              <w:jc w:val="right"/>
              <w:ind w:right="200"/>
              <w:spacing w:after="0"/>
              <w:rPr>
                <w:sz w:val="20"/>
                <w:szCs w:val="20"/>
                <w:color w:val="auto"/>
              </w:rPr>
            </w:pPr>
            <w:r>
              <w:rPr>
                <w:rFonts w:ascii="Arial Narrow" w:cs="Arial Narrow" w:eastAsia="Arial Narrow" w:hAnsi="Arial Narrow"/>
                <w:sz w:val="20"/>
                <w:szCs w:val="20"/>
                <w:color w:val="auto"/>
              </w:rPr>
              <w:t>$</w:t>
            </w:r>
          </w:p>
        </w:tc>
        <w:tc>
          <w:tcPr>
            <w:tcW w:w="940" w:type="dxa"/>
            <w:vAlign w:val="bottom"/>
          </w:tcPr>
          <w:p>
            <w:pPr>
              <w:jc w:val="right"/>
              <w:spacing w:after="0"/>
              <w:rPr>
                <w:sz w:val="20"/>
                <w:szCs w:val="20"/>
                <w:color w:val="auto"/>
              </w:rPr>
            </w:pPr>
            <w:r>
              <w:rPr>
                <w:rFonts w:ascii="Arial Narrow" w:cs="Arial Narrow" w:eastAsia="Arial Narrow" w:hAnsi="Arial Narrow"/>
                <w:sz w:val="20"/>
                <w:szCs w:val="20"/>
                <w:color w:val="auto"/>
              </w:rPr>
              <w:t>257,850</w:t>
            </w:r>
          </w:p>
        </w:tc>
        <w:tc>
          <w:tcPr>
            <w:tcW w:w="420" w:type="dxa"/>
            <w:vAlign w:val="bottom"/>
            <w:gridSpan w:val="2"/>
          </w:tcPr>
          <w:p>
            <w:pPr>
              <w:jc w:val="right"/>
              <w:ind w:right="120"/>
              <w:spacing w:after="0"/>
              <w:rPr>
                <w:sz w:val="20"/>
                <w:szCs w:val="20"/>
                <w:color w:val="auto"/>
              </w:rPr>
            </w:pPr>
            <w:r>
              <w:rPr>
                <w:rFonts w:ascii="Arial Narrow" w:cs="Arial Narrow" w:eastAsia="Arial Narrow" w:hAnsi="Arial Narrow"/>
                <w:sz w:val="20"/>
                <w:szCs w:val="20"/>
                <w:color w:val="auto"/>
              </w:rPr>
              <w:t>$</w:t>
            </w:r>
          </w:p>
        </w:tc>
        <w:tc>
          <w:tcPr>
            <w:tcW w:w="940" w:type="dxa"/>
            <w:vAlign w:val="bottom"/>
          </w:tcPr>
          <w:p>
            <w:pPr>
              <w:jc w:val="right"/>
              <w:spacing w:after="0"/>
              <w:rPr>
                <w:sz w:val="20"/>
                <w:szCs w:val="20"/>
                <w:color w:val="auto"/>
              </w:rPr>
            </w:pPr>
            <w:r>
              <w:rPr>
                <w:rFonts w:ascii="Arial Narrow" w:cs="Arial Narrow" w:eastAsia="Arial Narrow" w:hAnsi="Arial Narrow"/>
                <w:sz w:val="20"/>
                <w:szCs w:val="20"/>
                <w:color w:val="auto"/>
              </w:rPr>
              <w:t>139,965</w:t>
            </w:r>
          </w:p>
        </w:tc>
        <w:tc>
          <w:tcPr>
            <w:tcW w:w="120" w:type="dxa"/>
            <w:vAlign w:val="bottom"/>
          </w:tcPr>
          <w:p>
            <w:pPr>
              <w:spacing w:after="0"/>
              <w:rPr>
                <w:sz w:val="24"/>
                <w:szCs w:val="24"/>
                <w:color w:val="auto"/>
              </w:rPr>
            </w:pPr>
          </w:p>
        </w:tc>
        <w:tc>
          <w:tcPr>
            <w:tcW w:w="420" w:type="dxa"/>
            <w:vAlign w:val="bottom"/>
            <w:gridSpan w:val="2"/>
          </w:tcPr>
          <w:p>
            <w:pPr>
              <w:jc w:val="right"/>
              <w:ind w:right="300"/>
              <w:spacing w:after="0"/>
              <w:rPr>
                <w:sz w:val="20"/>
                <w:szCs w:val="20"/>
                <w:color w:val="auto"/>
              </w:rPr>
            </w:pPr>
            <w:r>
              <w:rPr>
                <w:rFonts w:ascii="Arial Narrow" w:cs="Arial Narrow" w:eastAsia="Arial Narrow" w:hAnsi="Arial Narrow"/>
                <w:sz w:val="20"/>
                <w:szCs w:val="20"/>
                <w:color w:val="auto"/>
              </w:rPr>
              <w:t>$</w:t>
            </w:r>
          </w:p>
        </w:tc>
        <w:tc>
          <w:tcPr>
            <w:tcW w:w="840" w:type="dxa"/>
            <w:vAlign w:val="bottom"/>
          </w:tcPr>
          <w:p>
            <w:pPr>
              <w:jc w:val="right"/>
              <w:spacing w:after="0"/>
              <w:rPr>
                <w:sz w:val="20"/>
                <w:szCs w:val="20"/>
                <w:color w:val="auto"/>
              </w:rPr>
            </w:pPr>
            <w:r>
              <w:rPr>
                <w:rFonts w:ascii="Arial Narrow" w:cs="Arial Narrow" w:eastAsia="Arial Narrow" w:hAnsi="Arial Narrow"/>
                <w:sz w:val="20"/>
                <w:szCs w:val="20"/>
                <w:color w:val="auto"/>
              </w:rPr>
              <w:t>65,442</w:t>
            </w:r>
          </w:p>
        </w:tc>
        <w:tc>
          <w:tcPr>
            <w:tcW w:w="0" w:type="dxa"/>
            <w:vAlign w:val="bottom"/>
          </w:tcPr>
          <w:p>
            <w:pPr>
              <w:spacing w:after="0"/>
              <w:rPr>
                <w:sz w:val="1"/>
                <w:szCs w:val="1"/>
                <w:color w:val="auto"/>
              </w:rPr>
            </w:pPr>
          </w:p>
        </w:tc>
      </w:tr>
      <w:tr>
        <w:trPr>
          <w:trHeight w:val="42"/>
        </w:trPr>
        <w:tc>
          <w:tcPr>
            <w:tcW w:w="3900" w:type="dxa"/>
            <w:vAlign w:val="bottom"/>
            <w:tcBorders>
              <w:bottom w:val="single" w:sz="8" w:color="A6A6A6"/>
            </w:tcBorders>
          </w:tcPr>
          <w:p>
            <w:pPr>
              <w:spacing w:after="0"/>
              <w:rPr>
                <w:sz w:val="3"/>
                <w:szCs w:val="3"/>
                <w:color w:val="auto"/>
              </w:rPr>
            </w:pPr>
          </w:p>
        </w:tc>
        <w:tc>
          <w:tcPr>
            <w:tcW w:w="1480" w:type="dxa"/>
            <w:vAlign w:val="bottom"/>
            <w:tcBorders>
              <w:bottom w:val="single" w:sz="8" w:color="A6A6A6"/>
            </w:tcBorders>
          </w:tcPr>
          <w:p>
            <w:pPr>
              <w:spacing w:after="0"/>
              <w:rPr>
                <w:sz w:val="3"/>
                <w:szCs w:val="3"/>
                <w:color w:val="auto"/>
              </w:rPr>
            </w:pPr>
          </w:p>
        </w:tc>
        <w:tc>
          <w:tcPr>
            <w:tcW w:w="30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20" w:type="dxa"/>
            <w:vAlign w:val="bottom"/>
            <w:tcBorders>
              <w:bottom w:val="single" w:sz="8" w:color="A6A6A6"/>
            </w:tcBorders>
          </w:tcPr>
          <w:p>
            <w:pPr>
              <w:spacing w:after="0"/>
              <w:rPr>
                <w:sz w:val="3"/>
                <w:szCs w:val="3"/>
                <w:color w:val="auto"/>
              </w:rPr>
            </w:pPr>
          </w:p>
        </w:tc>
        <w:tc>
          <w:tcPr>
            <w:tcW w:w="400" w:type="dxa"/>
            <w:vAlign w:val="bottom"/>
            <w:tcBorders>
              <w:bottom w:val="single" w:sz="8" w:color="A6A6A6"/>
            </w:tcBorders>
          </w:tcPr>
          <w:p>
            <w:pPr>
              <w:spacing w:after="0"/>
              <w:rPr>
                <w:sz w:val="3"/>
                <w:szCs w:val="3"/>
                <w:color w:val="auto"/>
              </w:rPr>
            </w:pPr>
          </w:p>
        </w:tc>
        <w:tc>
          <w:tcPr>
            <w:tcW w:w="84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3900" w:type="dxa"/>
            <w:vAlign w:val="bottom"/>
          </w:tcPr>
          <w:p>
            <w:pPr>
              <w:ind w:left="200"/>
              <w:spacing w:after="0"/>
              <w:rPr>
                <w:sz w:val="20"/>
                <w:szCs w:val="20"/>
                <w:color w:val="auto"/>
              </w:rPr>
            </w:pPr>
            <w:r>
              <w:rPr>
                <w:rFonts w:ascii="Arial Narrow" w:cs="Arial Narrow" w:eastAsia="Arial Narrow" w:hAnsi="Arial Narrow"/>
                <w:sz w:val="20"/>
                <w:szCs w:val="20"/>
                <w:b w:val="1"/>
                <w:bCs w:val="1"/>
                <w:color w:val="43A8B4"/>
              </w:rPr>
              <w:t>Concrete and Aggregates</w:t>
            </w: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Narrow" w:cs="Arial Narrow" w:eastAsia="Arial Narrow" w:hAnsi="Arial Narrow"/>
                <w:sz w:val="20"/>
                <w:szCs w:val="20"/>
                <w:color w:val="auto"/>
              </w:rPr>
              <w:t>26,455</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Narrow" w:cs="Arial Narrow" w:eastAsia="Arial Narrow" w:hAnsi="Arial Narrow"/>
                <w:sz w:val="20"/>
                <w:szCs w:val="20"/>
                <w:color w:val="auto"/>
              </w:rPr>
              <w:t>20,571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Narrow" w:cs="Arial Narrow" w:eastAsia="Arial Narrow" w:hAnsi="Arial Narrow"/>
                <w:sz w:val="20"/>
                <w:szCs w:val="20"/>
                <w:color w:val="auto"/>
              </w:rPr>
              <w:t>15,103</w:t>
            </w:r>
          </w:p>
        </w:tc>
        <w:tc>
          <w:tcPr>
            <w:tcW w:w="0" w:type="dxa"/>
            <w:vAlign w:val="bottom"/>
          </w:tcPr>
          <w:p>
            <w:pPr>
              <w:spacing w:after="0"/>
              <w:rPr>
                <w:sz w:val="1"/>
                <w:szCs w:val="1"/>
                <w:color w:val="auto"/>
              </w:rPr>
            </w:pPr>
          </w:p>
        </w:tc>
      </w:tr>
      <w:tr>
        <w:trPr>
          <w:trHeight w:val="42"/>
        </w:trPr>
        <w:tc>
          <w:tcPr>
            <w:tcW w:w="3900" w:type="dxa"/>
            <w:vAlign w:val="bottom"/>
            <w:tcBorders>
              <w:bottom w:val="single" w:sz="8" w:color="A6A6A6"/>
            </w:tcBorders>
          </w:tcPr>
          <w:p>
            <w:pPr>
              <w:spacing w:after="0"/>
              <w:rPr>
                <w:sz w:val="3"/>
                <w:szCs w:val="3"/>
                <w:color w:val="auto"/>
              </w:rPr>
            </w:pPr>
          </w:p>
        </w:tc>
        <w:tc>
          <w:tcPr>
            <w:tcW w:w="1480" w:type="dxa"/>
            <w:vAlign w:val="bottom"/>
            <w:tcBorders>
              <w:bottom w:val="single" w:sz="8" w:color="A6A6A6"/>
            </w:tcBorders>
          </w:tcPr>
          <w:p>
            <w:pPr>
              <w:spacing w:after="0"/>
              <w:rPr>
                <w:sz w:val="3"/>
                <w:szCs w:val="3"/>
                <w:color w:val="auto"/>
              </w:rPr>
            </w:pPr>
          </w:p>
        </w:tc>
        <w:tc>
          <w:tcPr>
            <w:tcW w:w="30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20" w:type="dxa"/>
            <w:vAlign w:val="bottom"/>
            <w:tcBorders>
              <w:bottom w:val="single" w:sz="8" w:color="A6A6A6"/>
            </w:tcBorders>
          </w:tcPr>
          <w:p>
            <w:pPr>
              <w:spacing w:after="0"/>
              <w:rPr>
                <w:sz w:val="3"/>
                <w:szCs w:val="3"/>
                <w:color w:val="auto"/>
              </w:rPr>
            </w:pPr>
          </w:p>
        </w:tc>
        <w:tc>
          <w:tcPr>
            <w:tcW w:w="400" w:type="dxa"/>
            <w:vAlign w:val="bottom"/>
            <w:tcBorders>
              <w:bottom w:val="single" w:sz="8" w:color="A6A6A6"/>
            </w:tcBorders>
          </w:tcPr>
          <w:p>
            <w:pPr>
              <w:spacing w:after="0"/>
              <w:rPr>
                <w:sz w:val="3"/>
                <w:szCs w:val="3"/>
                <w:color w:val="auto"/>
              </w:rPr>
            </w:pPr>
          </w:p>
        </w:tc>
        <w:tc>
          <w:tcPr>
            <w:tcW w:w="84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3900" w:type="dxa"/>
            <w:vAlign w:val="bottom"/>
          </w:tcPr>
          <w:p>
            <w:pPr>
              <w:ind w:left="200"/>
              <w:spacing w:after="0"/>
              <w:rPr>
                <w:sz w:val="20"/>
                <w:szCs w:val="20"/>
                <w:color w:val="auto"/>
              </w:rPr>
            </w:pPr>
            <w:r>
              <w:rPr>
                <w:rFonts w:ascii="Arial Narrow" w:cs="Arial Narrow" w:eastAsia="Arial Narrow" w:hAnsi="Arial Narrow"/>
                <w:sz w:val="20"/>
                <w:szCs w:val="20"/>
                <w:b w:val="1"/>
                <w:bCs w:val="1"/>
                <w:color w:val="5F7D1D"/>
              </w:rPr>
              <w:t>Gypsum Wallboard</w:t>
            </w: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Narrow" w:cs="Arial Narrow" w:eastAsia="Arial Narrow" w:hAnsi="Arial Narrow"/>
                <w:sz w:val="20"/>
                <w:szCs w:val="20"/>
                <w:color w:val="auto"/>
              </w:rPr>
              <w:t>118,102</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Narrow" w:cs="Arial Narrow" w:eastAsia="Arial Narrow" w:hAnsi="Arial Narrow"/>
                <w:sz w:val="20"/>
                <w:szCs w:val="20"/>
                <w:color w:val="auto"/>
              </w:rPr>
              <w:t>15,843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Narrow" w:cs="Arial Narrow" w:eastAsia="Arial Narrow" w:hAnsi="Arial Narrow"/>
                <w:sz w:val="20"/>
                <w:szCs w:val="20"/>
                <w:color w:val="auto"/>
              </w:rPr>
              <w:t>29,127</w:t>
            </w:r>
          </w:p>
        </w:tc>
        <w:tc>
          <w:tcPr>
            <w:tcW w:w="0" w:type="dxa"/>
            <w:vAlign w:val="bottom"/>
          </w:tcPr>
          <w:p>
            <w:pPr>
              <w:spacing w:after="0"/>
              <w:rPr>
                <w:sz w:val="1"/>
                <w:szCs w:val="1"/>
                <w:color w:val="auto"/>
              </w:rPr>
            </w:pPr>
          </w:p>
        </w:tc>
      </w:tr>
      <w:tr>
        <w:trPr>
          <w:trHeight w:val="42"/>
        </w:trPr>
        <w:tc>
          <w:tcPr>
            <w:tcW w:w="3900" w:type="dxa"/>
            <w:vAlign w:val="bottom"/>
            <w:tcBorders>
              <w:bottom w:val="single" w:sz="8" w:color="A6A6A6"/>
            </w:tcBorders>
          </w:tcPr>
          <w:p>
            <w:pPr>
              <w:spacing w:after="0"/>
              <w:rPr>
                <w:sz w:val="3"/>
                <w:szCs w:val="3"/>
                <w:color w:val="auto"/>
              </w:rPr>
            </w:pPr>
          </w:p>
        </w:tc>
        <w:tc>
          <w:tcPr>
            <w:tcW w:w="1480" w:type="dxa"/>
            <w:vAlign w:val="bottom"/>
            <w:tcBorders>
              <w:bottom w:val="single" w:sz="8" w:color="A6A6A6"/>
            </w:tcBorders>
          </w:tcPr>
          <w:p>
            <w:pPr>
              <w:spacing w:after="0"/>
              <w:rPr>
                <w:sz w:val="3"/>
                <w:szCs w:val="3"/>
                <w:color w:val="auto"/>
              </w:rPr>
            </w:pPr>
          </w:p>
        </w:tc>
        <w:tc>
          <w:tcPr>
            <w:tcW w:w="30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20" w:type="dxa"/>
            <w:vAlign w:val="bottom"/>
            <w:tcBorders>
              <w:bottom w:val="single" w:sz="8" w:color="A6A6A6"/>
            </w:tcBorders>
          </w:tcPr>
          <w:p>
            <w:pPr>
              <w:spacing w:after="0"/>
              <w:rPr>
                <w:sz w:val="3"/>
                <w:szCs w:val="3"/>
                <w:color w:val="auto"/>
              </w:rPr>
            </w:pPr>
          </w:p>
        </w:tc>
        <w:tc>
          <w:tcPr>
            <w:tcW w:w="400" w:type="dxa"/>
            <w:vAlign w:val="bottom"/>
            <w:tcBorders>
              <w:bottom w:val="single" w:sz="8" w:color="A6A6A6"/>
            </w:tcBorders>
          </w:tcPr>
          <w:p>
            <w:pPr>
              <w:spacing w:after="0"/>
              <w:rPr>
                <w:sz w:val="3"/>
                <w:szCs w:val="3"/>
                <w:color w:val="auto"/>
              </w:rPr>
            </w:pPr>
          </w:p>
        </w:tc>
        <w:tc>
          <w:tcPr>
            <w:tcW w:w="84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3900" w:type="dxa"/>
            <w:vAlign w:val="bottom"/>
          </w:tcPr>
          <w:p>
            <w:pPr>
              <w:ind w:left="200"/>
              <w:spacing w:after="0"/>
              <w:rPr>
                <w:sz w:val="20"/>
                <w:szCs w:val="20"/>
                <w:color w:val="auto"/>
              </w:rPr>
            </w:pPr>
            <w:r>
              <w:rPr>
                <w:rFonts w:ascii="Arial Narrow" w:cs="Arial Narrow" w:eastAsia="Arial Narrow" w:hAnsi="Arial Narrow"/>
                <w:sz w:val="20"/>
                <w:szCs w:val="20"/>
                <w:b w:val="1"/>
                <w:bCs w:val="1"/>
                <w:color w:val="7BB25C"/>
              </w:rPr>
              <w:t>Recycled Paperboard</w:t>
            </w: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Narrow" w:cs="Arial Narrow" w:eastAsia="Arial Narrow" w:hAnsi="Arial Narrow"/>
                <w:sz w:val="20"/>
                <w:szCs w:val="20"/>
                <w:color w:val="auto"/>
              </w:rPr>
              <w:t>11,002</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Narrow" w:cs="Arial Narrow" w:eastAsia="Arial Narrow" w:hAnsi="Arial Narrow"/>
                <w:sz w:val="20"/>
                <w:szCs w:val="20"/>
                <w:color w:val="auto"/>
              </w:rPr>
              <w:t>15,193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Narrow" w:cs="Arial Narrow" w:eastAsia="Arial Narrow" w:hAnsi="Arial Narrow"/>
                <w:sz w:val="20"/>
                <w:szCs w:val="20"/>
                <w:color w:val="auto"/>
              </w:rPr>
              <w:t>10,085</w:t>
            </w:r>
          </w:p>
        </w:tc>
        <w:tc>
          <w:tcPr>
            <w:tcW w:w="0" w:type="dxa"/>
            <w:vAlign w:val="bottom"/>
          </w:tcPr>
          <w:p>
            <w:pPr>
              <w:spacing w:after="0"/>
              <w:rPr>
                <w:sz w:val="1"/>
                <w:szCs w:val="1"/>
                <w:color w:val="auto"/>
              </w:rPr>
            </w:pPr>
          </w:p>
        </w:tc>
      </w:tr>
      <w:tr>
        <w:trPr>
          <w:trHeight w:val="42"/>
        </w:trPr>
        <w:tc>
          <w:tcPr>
            <w:tcW w:w="3900" w:type="dxa"/>
            <w:vAlign w:val="bottom"/>
            <w:tcBorders>
              <w:bottom w:val="single" w:sz="8" w:color="A6A6A6"/>
            </w:tcBorders>
          </w:tcPr>
          <w:p>
            <w:pPr>
              <w:spacing w:after="0"/>
              <w:rPr>
                <w:sz w:val="3"/>
                <w:szCs w:val="3"/>
                <w:color w:val="auto"/>
              </w:rPr>
            </w:pPr>
          </w:p>
        </w:tc>
        <w:tc>
          <w:tcPr>
            <w:tcW w:w="1480" w:type="dxa"/>
            <w:vAlign w:val="bottom"/>
            <w:tcBorders>
              <w:bottom w:val="single" w:sz="8" w:color="A6A6A6"/>
            </w:tcBorders>
          </w:tcPr>
          <w:p>
            <w:pPr>
              <w:spacing w:after="0"/>
              <w:rPr>
                <w:sz w:val="3"/>
                <w:szCs w:val="3"/>
                <w:color w:val="auto"/>
              </w:rPr>
            </w:pPr>
          </w:p>
        </w:tc>
        <w:tc>
          <w:tcPr>
            <w:tcW w:w="30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20" w:type="dxa"/>
            <w:vAlign w:val="bottom"/>
            <w:tcBorders>
              <w:bottom w:val="single" w:sz="8" w:color="A6A6A6"/>
            </w:tcBorders>
          </w:tcPr>
          <w:p>
            <w:pPr>
              <w:spacing w:after="0"/>
              <w:rPr>
                <w:sz w:val="3"/>
                <w:szCs w:val="3"/>
                <w:color w:val="auto"/>
              </w:rPr>
            </w:pPr>
          </w:p>
        </w:tc>
        <w:tc>
          <w:tcPr>
            <w:tcW w:w="400" w:type="dxa"/>
            <w:vAlign w:val="bottom"/>
            <w:tcBorders>
              <w:bottom w:val="single" w:sz="8" w:color="A6A6A6"/>
            </w:tcBorders>
          </w:tcPr>
          <w:p>
            <w:pPr>
              <w:spacing w:after="0"/>
              <w:rPr>
                <w:sz w:val="3"/>
                <w:szCs w:val="3"/>
                <w:color w:val="auto"/>
              </w:rPr>
            </w:pPr>
          </w:p>
        </w:tc>
        <w:tc>
          <w:tcPr>
            <w:tcW w:w="84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3900" w:type="dxa"/>
            <w:vAlign w:val="bottom"/>
          </w:tcPr>
          <w:p>
            <w:pPr>
              <w:ind w:left="200"/>
              <w:spacing w:after="0"/>
              <w:rPr>
                <w:sz w:val="20"/>
                <w:szCs w:val="20"/>
                <w:color w:val="auto"/>
              </w:rPr>
            </w:pPr>
            <w:r>
              <w:rPr>
                <w:rFonts w:ascii="Arial Narrow" w:cs="Arial Narrow" w:eastAsia="Arial Narrow" w:hAnsi="Arial Narrow"/>
                <w:sz w:val="20"/>
                <w:szCs w:val="20"/>
                <w:b w:val="1"/>
                <w:bCs w:val="1"/>
                <w:color w:val="00085E"/>
              </w:rPr>
              <w:t>Corporate and Other</w:t>
            </w: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Narrow" w:cs="Arial Narrow" w:eastAsia="Arial Narrow" w:hAnsi="Arial Narrow"/>
                <w:sz w:val="20"/>
                <w:szCs w:val="20"/>
                <w:color w:val="auto"/>
              </w:rPr>
              <w:t>3,330</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Narrow" w:cs="Arial Narrow" w:eastAsia="Arial Narrow" w:hAnsi="Arial Narrow"/>
                <w:sz w:val="20"/>
                <w:szCs w:val="20"/>
                <w:color w:val="auto"/>
              </w:rPr>
              <w:t>3,709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Narrow" w:cs="Arial Narrow" w:eastAsia="Arial Narrow" w:hAnsi="Arial Narrow"/>
                <w:sz w:val="20"/>
                <w:szCs w:val="20"/>
                <w:color w:val="auto"/>
              </w:rPr>
              <w:t>548</w:t>
            </w:r>
          </w:p>
        </w:tc>
        <w:tc>
          <w:tcPr>
            <w:tcW w:w="0" w:type="dxa"/>
            <w:vAlign w:val="bottom"/>
          </w:tcPr>
          <w:p>
            <w:pPr>
              <w:spacing w:after="0"/>
              <w:rPr>
                <w:sz w:val="1"/>
                <w:szCs w:val="1"/>
                <w:color w:val="auto"/>
              </w:rPr>
            </w:pPr>
          </w:p>
        </w:tc>
      </w:tr>
      <w:tr>
        <w:trPr>
          <w:trHeight w:val="67"/>
        </w:trPr>
        <w:tc>
          <w:tcPr>
            <w:tcW w:w="3900" w:type="dxa"/>
            <w:vAlign w:val="bottom"/>
            <w:tcBorders>
              <w:bottom w:val="single" w:sz="8" w:color="A6A6A6"/>
            </w:tcBorders>
          </w:tcPr>
          <w:p>
            <w:pPr>
              <w:spacing w:after="0"/>
              <w:rPr>
                <w:sz w:val="5"/>
                <w:szCs w:val="5"/>
                <w:color w:val="auto"/>
              </w:rPr>
            </w:pPr>
          </w:p>
        </w:tc>
        <w:tc>
          <w:tcPr>
            <w:tcW w:w="1480" w:type="dxa"/>
            <w:vAlign w:val="bottom"/>
            <w:tcBorders>
              <w:bottom w:val="single" w:sz="8" w:color="A6A6A6"/>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22"/>
        </w:trPr>
        <w:tc>
          <w:tcPr>
            <w:tcW w:w="3900" w:type="dxa"/>
            <w:vAlign w:val="bottom"/>
          </w:tcPr>
          <w:p>
            <w:pPr>
              <w:spacing w:after="0"/>
              <w:rPr>
                <w:sz w:val="24"/>
                <w:szCs w:val="24"/>
                <w:color w:val="auto"/>
              </w:rPr>
            </w:pPr>
          </w:p>
        </w:tc>
        <w:tc>
          <w:tcPr>
            <w:tcW w:w="1780" w:type="dxa"/>
            <w:vAlign w:val="bottom"/>
            <w:gridSpan w:val="2"/>
          </w:tcPr>
          <w:p>
            <w:pPr>
              <w:jc w:val="right"/>
              <w:ind w:right="200"/>
              <w:spacing w:after="0"/>
              <w:rPr>
                <w:sz w:val="20"/>
                <w:szCs w:val="20"/>
                <w:color w:val="auto"/>
              </w:rPr>
            </w:pPr>
            <w:r>
              <w:rPr>
                <w:rFonts w:ascii="Arial Narrow" w:cs="Arial Narrow" w:eastAsia="Arial Narrow" w:hAnsi="Arial Narrow"/>
                <w:sz w:val="20"/>
                <w:szCs w:val="20"/>
                <w:b w:val="1"/>
                <w:bCs w:val="1"/>
                <w:color w:val="auto"/>
              </w:rPr>
              <w:t>$</w:t>
            </w:r>
          </w:p>
        </w:tc>
        <w:tc>
          <w:tcPr>
            <w:tcW w:w="940" w:type="dxa"/>
            <w:vAlign w:val="bottom"/>
          </w:tcPr>
          <w:p>
            <w:pPr>
              <w:jc w:val="right"/>
              <w:spacing w:after="0"/>
              <w:rPr>
                <w:sz w:val="20"/>
                <w:szCs w:val="20"/>
                <w:color w:val="auto"/>
              </w:rPr>
            </w:pPr>
            <w:r>
              <w:rPr>
                <w:rFonts w:ascii="Arial Narrow" w:cs="Arial Narrow" w:eastAsia="Arial Narrow" w:hAnsi="Arial Narrow"/>
                <w:sz w:val="20"/>
                <w:szCs w:val="20"/>
                <w:b w:val="1"/>
                <w:bCs w:val="1"/>
                <w:color w:val="auto"/>
              </w:rPr>
              <w:t>416,739</w:t>
            </w:r>
          </w:p>
        </w:tc>
        <w:tc>
          <w:tcPr>
            <w:tcW w:w="420" w:type="dxa"/>
            <w:vAlign w:val="bottom"/>
            <w:gridSpan w:val="2"/>
          </w:tcPr>
          <w:p>
            <w:pPr>
              <w:jc w:val="right"/>
              <w:ind w:right="120"/>
              <w:spacing w:after="0"/>
              <w:rPr>
                <w:sz w:val="20"/>
                <w:szCs w:val="20"/>
                <w:color w:val="auto"/>
              </w:rPr>
            </w:pPr>
            <w:r>
              <w:rPr>
                <w:rFonts w:ascii="Arial Narrow" w:cs="Arial Narrow" w:eastAsia="Arial Narrow" w:hAnsi="Arial Narrow"/>
                <w:sz w:val="20"/>
                <w:szCs w:val="20"/>
                <w:b w:val="1"/>
                <w:bCs w:val="1"/>
                <w:color w:val="auto"/>
              </w:rPr>
              <w:t>$</w:t>
            </w:r>
          </w:p>
        </w:tc>
        <w:tc>
          <w:tcPr>
            <w:tcW w:w="940" w:type="dxa"/>
            <w:vAlign w:val="bottom"/>
          </w:tcPr>
          <w:p>
            <w:pPr>
              <w:jc w:val="right"/>
              <w:spacing w:after="0"/>
              <w:rPr>
                <w:sz w:val="20"/>
                <w:szCs w:val="20"/>
                <w:color w:val="auto"/>
              </w:rPr>
            </w:pPr>
            <w:r>
              <w:rPr>
                <w:rFonts w:ascii="Arial Narrow" w:cs="Arial Narrow" w:eastAsia="Arial Narrow" w:hAnsi="Arial Narrow"/>
                <w:sz w:val="20"/>
                <w:szCs w:val="20"/>
                <w:b w:val="1"/>
                <w:bCs w:val="1"/>
                <w:color w:val="auto"/>
              </w:rPr>
              <w:t>195,281</w:t>
            </w:r>
          </w:p>
        </w:tc>
        <w:tc>
          <w:tcPr>
            <w:tcW w:w="120" w:type="dxa"/>
            <w:vAlign w:val="bottom"/>
          </w:tcPr>
          <w:p>
            <w:pPr>
              <w:spacing w:after="0"/>
              <w:rPr>
                <w:sz w:val="24"/>
                <w:szCs w:val="24"/>
                <w:color w:val="auto"/>
              </w:rPr>
            </w:pPr>
          </w:p>
        </w:tc>
        <w:tc>
          <w:tcPr>
            <w:tcW w:w="420" w:type="dxa"/>
            <w:vAlign w:val="bottom"/>
            <w:gridSpan w:val="2"/>
          </w:tcPr>
          <w:p>
            <w:pPr>
              <w:jc w:val="right"/>
              <w:ind w:right="300"/>
              <w:spacing w:after="0"/>
              <w:rPr>
                <w:sz w:val="20"/>
                <w:szCs w:val="20"/>
                <w:color w:val="auto"/>
              </w:rPr>
            </w:pPr>
            <w:r>
              <w:rPr>
                <w:rFonts w:ascii="Arial Narrow" w:cs="Arial Narrow" w:eastAsia="Arial Narrow" w:hAnsi="Arial Narrow"/>
                <w:sz w:val="20"/>
                <w:szCs w:val="20"/>
                <w:b w:val="1"/>
                <w:bCs w:val="1"/>
                <w:color w:val="auto"/>
              </w:rPr>
              <w:t>$</w:t>
            </w:r>
          </w:p>
        </w:tc>
        <w:tc>
          <w:tcPr>
            <w:tcW w:w="840" w:type="dxa"/>
            <w:vAlign w:val="bottom"/>
          </w:tcPr>
          <w:p>
            <w:pPr>
              <w:jc w:val="right"/>
              <w:spacing w:after="0"/>
              <w:rPr>
                <w:sz w:val="20"/>
                <w:szCs w:val="20"/>
                <w:color w:val="auto"/>
              </w:rPr>
            </w:pPr>
            <w:r>
              <w:rPr>
                <w:rFonts w:ascii="Arial Narrow" w:cs="Arial Narrow" w:eastAsia="Arial Narrow" w:hAnsi="Arial Narrow"/>
                <w:sz w:val="20"/>
                <w:szCs w:val="20"/>
                <w:b w:val="1"/>
                <w:bCs w:val="1"/>
                <w:color w:val="auto"/>
              </w:rPr>
              <w:t>120,305</w:t>
            </w:r>
          </w:p>
        </w:tc>
        <w:tc>
          <w:tcPr>
            <w:tcW w:w="0" w:type="dxa"/>
            <w:vAlign w:val="bottom"/>
          </w:tcPr>
          <w:p>
            <w:pPr>
              <w:spacing w:after="0"/>
              <w:rPr>
                <w:sz w:val="1"/>
                <w:szCs w:val="1"/>
                <w:color w:val="auto"/>
              </w:rPr>
            </w:pPr>
          </w:p>
        </w:tc>
      </w:tr>
      <w:tr>
        <w:trPr>
          <w:trHeight w:val="42"/>
        </w:trPr>
        <w:tc>
          <w:tcPr>
            <w:tcW w:w="3900" w:type="dxa"/>
            <w:vAlign w:val="bottom"/>
            <w:tcBorders>
              <w:bottom w:val="single" w:sz="8" w:color="A6A6A6"/>
            </w:tcBorders>
          </w:tcPr>
          <w:p>
            <w:pPr>
              <w:spacing w:after="0"/>
              <w:rPr>
                <w:sz w:val="3"/>
                <w:szCs w:val="3"/>
                <w:color w:val="auto"/>
              </w:rPr>
            </w:pPr>
          </w:p>
        </w:tc>
        <w:tc>
          <w:tcPr>
            <w:tcW w:w="1480" w:type="dxa"/>
            <w:vAlign w:val="bottom"/>
            <w:tcBorders>
              <w:bottom w:val="single" w:sz="8" w:color="A6A6A6"/>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Narrow" w:cs="Arial Narrow" w:eastAsia="Arial Narrow" w:hAnsi="Arial Narrow"/>
                <w:sz w:val="20"/>
                <w:szCs w:val="20"/>
                <w:b w:val="1"/>
                <w:bCs w:val="1"/>
                <w:color w:val="042F70"/>
              </w:rPr>
              <w:t>Segment Assets</w:t>
            </w:r>
          </w:p>
        </w:tc>
        <w:tc>
          <w:tcPr>
            <w:tcW w:w="1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6"/>
        </w:trPr>
        <w:tc>
          <w:tcPr>
            <w:tcW w:w="390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3900" w:type="dxa"/>
            <w:vAlign w:val="bottom"/>
            <w:tcBorders>
              <w:bottom w:val="single" w:sz="8" w:color="A6A6A6"/>
            </w:tcBorders>
          </w:tcPr>
          <w:p>
            <w:pPr>
              <w:spacing w:after="0"/>
              <w:rPr>
                <w:sz w:val="3"/>
                <w:szCs w:val="3"/>
                <w:color w:val="auto"/>
              </w:rPr>
            </w:pPr>
          </w:p>
        </w:tc>
        <w:tc>
          <w:tcPr>
            <w:tcW w:w="1780" w:type="dxa"/>
            <w:vAlign w:val="bottom"/>
            <w:tcBorders>
              <w:bottom w:val="single" w:sz="8" w:color="A6A6A6"/>
            </w:tcBorders>
            <w:gridSpan w:val="2"/>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420" w:type="dxa"/>
            <w:vAlign w:val="bottom"/>
            <w:tcBorders>
              <w:bottom w:val="single" w:sz="8" w:color="A6A6A6"/>
            </w:tcBorders>
            <w:gridSpan w:val="2"/>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420" w:type="dxa"/>
            <w:vAlign w:val="bottom"/>
            <w:tcBorders>
              <w:bottom w:val="single" w:sz="8" w:color="A6A6A6"/>
            </w:tcBorders>
            <w:gridSpan w:val="2"/>
          </w:tcPr>
          <w:p>
            <w:pPr>
              <w:spacing w:after="0"/>
              <w:rPr>
                <w:sz w:val="3"/>
                <w:szCs w:val="3"/>
                <w:color w:val="auto"/>
              </w:rPr>
            </w:pPr>
          </w:p>
        </w:tc>
        <w:tc>
          <w:tcPr>
            <w:tcW w:w="84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3900" w:type="dxa"/>
            <w:vAlign w:val="bottom"/>
          </w:tcPr>
          <w:p>
            <w:pPr>
              <w:ind w:left="200"/>
              <w:spacing w:after="0"/>
              <w:rPr>
                <w:sz w:val="20"/>
                <w:szCs w:val="20"/>
                <w:color w:val="auto"/>
              </w:rPr>
            </w:pPr>
            <w:r>
              <w:rPr>
                <w:rFonts w:ascii="Arial Narrow" w:cs="Arial Narrow" w:eastAsia="Arial Narrow" w:hAnsi="Arial Narrow"/>
                <w:sz w:val="20"/>
                <w:szCs w:val="20"/>
                <w:b w:val="1"/>
                <w:bCs w:val="1"/>
                <w:color w:val="2A64A7"/>
              </w:rPr>
              <w:t>Cement</w:t>
            </w:r>
          </w:p>
        </w:tc>
        <w:tc>
          <w:tcPr>
            <w:tcW w:w="1780" w:type="dxa"/>
            <w:vAlign w:val="bottom"/>
            <w:gridSpan w:val="2"/>
          </w:tcPr>
          <w:p>
            <w:pPr>
              <w:jc w:val="right"/>
              <w:ind w:right="200"/>
              <w:spacing w:after="0"/>
              <w:rPr>
                <w:sz w:val="20"/>
                <w:szCs w:val="20"/>
                <w:color w:val="auto"/>
              </w:rPr>
            </w:pPr>
            <w:r>
              <w:rPr>
                <w:rFonts w:ascii="Arial Narrow" w:cs="Arial Narrow" w:eastAsia="Arial Narrow" w:hAnsi="Arial Narrow"/>
                <w:sz w:val="20"/>
                <w:szCs w:val="20"/>
                <w:color w:val="auto"/>
              </w:rPr>
              <w:t>$</w:t>
            </w:r>
          </w:p>
        </w:tc>
        <w:tc>
          <w:tcPr>
            <w:tcW w:w="940" w:type="dxa"/>
            <w:vAlign w:val="bottom"/>
          </w:tcPr>
          <w:p>
            <w:pPr>
              <w:jc w:val="right"/>
              <w:spacing w:after="0"/>
              <w:rPr>
                <w:sz w:val="20"/>
                <w:szCs w:val="20"/>
                <w:color w:val="auto"/>
              </w:rPr>
            </w:pPr>
            <w:r>
              <w:rPr>
                <w:rFonts w:ascii="Arial Narrow" w:cs="Arial Narrow" w:eastAsia="Arial Narrow" w:hAnsi="Arial Narrow"/>
                <w:sz w:val="18"/>
                <w:szCs w:val="18"/>
                <w:color w:val="auto"/>
              </w:rPr>
              <w:t>2,361,230</w:t>
            </w:r>
          </w:p>
        </w:tc>
        <w:tc>
          <w:tcPr>
            <w:tcW w:w="420" w:type="dxa"/>
            <w:vAlign w:val="bottom"/>
            <w:gridSpan w:val="2"/>
          </w:tcPr>
          <w:p>
            <w:pPr>
              <w:jc w:val="right"/>
              <w:ind w:right="120"/>
              <w:spacing w:after="0"/>
              <w:rPr>
                <w:sz w:val="20"/>
                <w:szCs w:val="20"/>
                <w:color w:val="auto"/>
              </w:rPr>
            </w:pPr>
            <w:r>
              <w:rPr>
                <w:rFonts w:ascii="Arial Narrow" w:cs="Arial Narrow" w:eastAsia="Arial Narrow" w:hAnsi="Arial Narrow"/>
                <w:sz w:val="20"/>
                <w:szCs w:val="20"/>
                <w:color w:val="auto"/>
              </w:rPr>
              <w:t>$</w:t>
            </w:r>
          </w:p>
        </w:tc>
        <w:tc>
          <w:tcPr>
            <w:tcW w:w="940" w:type="dxa"/>
            <w:vAlign w:val="bottom"/>
          </w:tcPr>
          <w:p>
            <w:pPr>
              <w:jc w:val="right"/>
              <w:spacing w:after="0"/>
              <w:rPr>
                <w:sz w:val="20"/>
                <w:szCs w:val="20"/>
                <w:color w:val="auto"/>
              </w:rPr>
            </w:pPr>
            <w:r>
              <w:rPr>
                <w:rFonts w:ascii="Arial Narrow" w:cs="Arial Narrow" w:eastAsia="Arial Narrow" w:hAnsi="Arial Narrow"/>
                <w:sz w:val="18"/>
                <w:szCs w:val="18"/>
                <w:color w:val="auto"/>
              </w:rPr>
              <w:t>2,172,459</w:t>
            </w:r>
          </w:p>
        </w:tc>
        <w:tc>
          <w:tcPr>
            <w:tcW w:w="120" w:type="dxa"/>
            <w:vAlign w:val="bottom"/>
          </w:tcPr>
          <w:p>
            <w:pPr>
              <w:spacing w:after="0"/>
              <w:rPr>
                <w:sz w:val="24"/>
                <w:szCs w:val="24"/>
                <w:color w:val="auto"/>
              </w:rPr>
            </w:pPr>
          </w:p>
        </w:tc>
        <w:tc>
          <w:tcPr>
            <w:tcW w:w="420" w:type="dxa"/>
            <w:vAlign w:val="bottom"/>
            <w:gridSpan w:val="2"/>
          </w:tcPr>
          <w:p>
            <w:pPr>
              <w:jc w:val="right"/>
              <w:ind w:right="300"/>
              <w:spacing w:after="0"/>
              <w:rPr>
                <w:sz w:val="20"/>
                <w:szCs w:val="20"/>
                <w:color w:val="auto"/>
              </w:rPr>
            </w:pPr>
            <w:r>
              <w:rPr>
                <w:rFonts w:ascii="Arial Narrow" w:cs="Arial Narrow" w:eastAsia="Arial Narrow" w:hAnsi="Arial Narrow"/>
                <w:sz w:val="20"/>
                <w:szCs w:val="20"/>
                <w:color w:val="auto"/>
              </w:rPr>
              <w:t>$</w:t>
            </w:r>
          </w:p>
        </w:tc>
        <w:tc>
          <w:tcPr>
            <w:tcW w:w="840" w:type="dxa"/>
            <w:vAlign w:val="bottom"/>
          </w:tcPr>
          <w:p>
            <w:pPr>
              <w:jc w:val="right"/>
              <w:spacing w:after="0"/>
              <w:rPr>
                <w:sz w:val="20"/>
                <w:szCs w:val="20"/>
                <w:color w:val="auto"/>
              </w:rPr>
            </w:pPr>
            <w:r>
              <w:rPr>
                <w:rFonts w:ascii="Arial Narrow" w:cs="Arial Narrow" w:eastAsia="Arial Narrow" w:hAnsi="Arial Narrow"/>
                <w:sz w:val="18"/>
                <w:szCs w:val="18"/>
                <w:color w:val="auto"/>
              </w:rPr>
              <w:t>2,042,499</w:t>
            </w:r>
          </w:p>
        </w:tc>
        <w:tc>
          <w:tcPr>
            <w:tcW w:w="0" w:type="dxa"/>
            <w:vAlign w:val="bottom"/>
          </w:tcPr>
          <w:p>
            <w:pPr>
              <w:spacing w:after="0"/>
              <w:rPr>
                <w:sz w:val="1"/>
                <w:szCs w:val="1"/>
                <w:color w:val="auto"/>
              </w:rPr>
            </w:pPr>
          </w:p>
        </w:tc>
      </w:tr>
      <w:tr>
        <w:trPr>
          <w:trHeight w:val="42"/>
        </w:trPr>
        <w:tc>
          <w:tcPr>
            <w:tcW w:w="3900" w:type="dxa"/>
            <w:vAlign w:val="bottom"/>
            <w:tcBorders>
              <w:bottom w:val="single" w:sz="8" w:color="A6A6A6"/>
            </w:tcBorders>
          </w:tcPr>
          <w:p>
            <w:pPr>
              <w:spacing w:after="0"/>
              <w:rPr>
                <w:sz w:val="3"/>
                <w:szCs w:val="3"/>
                <w:color w:val="auto"/>
              </w:rPr>
            </w:pPr>
          </w:p>
        </w:tc>
        <w:tc>
          <w:tcPr>
            <w:tcW w:w="1480" w:type="dxa"/>
            <w:vAlign w:val="bottom"/>
            <w:tcBorders>
              <w:bottom w:val="single" w:sz="8" w:color="A6A6A6"/>
            </w:tcBorders>
          </w:tcPr>
          <w:p>
            <w:pPr>
              <w:spacing w:after="0"/>
              <w:rPr>
                <w:sz w:val="3"/>
                <w:szCs w:val="3"/>
                <w:color w:val="auto"/>
              </w:rPr>
            </w:pPr>
          </w:p>
        </w:tc>
        <w:tc>
          <w:tcPr>
            <w:tcW w:w="30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20" w:type="dxa"/>
            <w:vAlign w:val="bottom"/>
            <w:tcBorders>
              <w:bottom w:val="single" w:sz="8" w:color="A6A6A6"/>
            </w:tcBorders>
          </w:tcPr>
          <w:p>
            <w:pPr>
              <w:spacing w:after="0"/>
              <w:rPr>
                <w:sz w:val="3"/>
                <w:szCs w:val="3"/>
                <w:color w:val="auto"/>
              </w:rPr>
            </w:pPr>
          </w:p>
        </w:tc>
        <w:tc>
          <w:tcPr>
            <w:tcW w:w="400" w:type="dxa"/>
            <w:vAlign w:val="bottom"/>
            <w:tcBorders>
              <w:bottom w:val="single" w:sz="8" w:color="A6A6A6"/>
            </w:tcBorders>
          </w:tcPr>
          <w:p>
            <w:pPr>
              <w:spacing w:after="0"/>
              <w:rPr>
                <w:sz w:val="3"/>
                <w:szCs w:val="3"/>
                <w:color w:val="auto"/>
              </w:rPr>
            </w:pPr>
          </w:p>
        </w:tc>
        <w:tc>
          <w:tcPr>
            <w:tcW w:w="84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3900" w:type="dxa"/>
            <w:vAlign w:val="bottom"/>
          </w:tcPr>
          <w:p>
            <w:pPr>
              <w:ind w:left="200"/>
              <w:spacing w:after="0"/>
              <w:rPr>
                <w:sz w:val="20"/>
                <w:szCs w:val="20"/>
                <w:color w:val="auto"/>
              </w:rPr>
            </w:pPr>
            <w:r>
              <w:rPr>
                <w:rFonts w:ascii="Arial Narrow" w:cs="Arial Narrow" w:eastAsia="Arial Narrow" w:hAnsi="Arial Narrow"/>
                <w:sz w:val="20"/>
                <w:szCs w:val="20"/>
                <w:b w:val="1"/>
                <w:bCs w:val="1"/>
                <w:color w:val="43A8B4"/>
              </w:rPr>
              <w:t>Concrete and Aggregates</w:t>
            </w: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Narrow" w:cs="Arial Narrow" w:eastAsia="Arial Narrow" w:hAnsi="Arial Narrow"/>
                <w:sz w:val="18"/>
                <w:szCs w:val="18"/>
                <w:color w:val="auto"/>
              </w:rPr>
              <w:t>404,766</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Narrow" w:cs="Arial Narrow" w:eastAsia="Arial Narrow" w:hAnsi="Arial Narrow"/>
                <w:sz w:val="18"/>
                <w:szCs w:val="18"/>
                <w:color w:val="auto"/>
              </w:rPr>
              <w:t>408,792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Narrow" w:cs="Arial Narrow" w:eastAsia="Arial Narrow" w:hAnsi="Arial Narrow"/>
                <w:sz w:val="18"/>
                <w:szCs w:val="18"/>
                <w:color w:val="auto"/>
              </w:rPr>
              <w:t>225,485</w:t>
            </w:r>
          </w:p>
        </w:tc>
        <w:tc>
          <w:tcPr>
            <w:tcW w:w="0" w:type="dxa"/>
            <w:vAlign w:val="bottom"/>
          </w:tcPr>
          <w:p>
            <w:pPr>
              <w:spacing w:after="0"/>
              <w:rPr>
                <w:sz w:val="1"/>
                <w:szCs w:val="1"/>
                <w:color w:val="auto"/>
              </w:rPr>
            </w:pPr>
          </w:p>
        </w:tc>
      </w:tr>
      <w:tr>
        <w:trPr>
          <w:trHeight w:val="42"/>
        </w:trPr>
        <w:tc>
          <w:tcPr>
            <w:tcW w:w="3900" w:type="dxa"/>
            <w:vAlign w:val="bottom"/>
            <w:tcBorders>
              <w:bottom w:val="single" w:sz="8" w:color="A6A6A6"/>
            </w:tcBorders>
          </w:tcPr>
          <w:p>
            <w:pPr>
              <w:spacing w:after="0"/>
              <w:rPr>
                <w:sz w:val="3"/>
                <w:szCs w:val="3"/>
                <w:color w:val="auto"/>
              </w:rPr>
            </w:pPr>
          </w:p>
        </w:tc>
        <w:tc>
          <w:tcPr>
            <w:tcW w:w="1480" w:type="dxa"/>
            <w:vAlign w:val="bottom"/>
            <w:tcBorders>
              <w:bottom w:val="single" w:sz="8" w:color="A6A6A6"/>
            </w:tcBorders>
          </w:tcPr>
          <w:p>
            <w:pPr>
              <w:spacing w:after="0"/>
              <w:rPr>
                <w:sz w:val="3"/>
                <w:szCs w:val="3"/>
                <w:color w:val="auto"/>
              </w:rPr>
            </w:pPr>
          </w:p>
        </w:tc>
        <w:tc>
          <w:tcPr>
            <w:tcW w:w="30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20" w:type="dxa"/>
            <w:vAlign w:val="bottom"/>
            <w:tcBorders>
              <w:bottom w:val="single" w:sz="8" w:color="A6A6A6"/>
            </w:tcBorders>
          </w:tcPr>
          <w:p>
            <w:pPr>
              <w:spacing w:after="0"/>
              <w:rPr>
                <w:sz w:val="3"/>
                <w:szCs w:val="3"/>
                <w:color w:val="auto"/>
              </w:rPr>
            </w:pPr>
          </w:p>
        </w:tc>
        <w:tc>
          <w:tcPr>
            <w:tcW w:w="400" w:type="dxa"/>
            <w:vAlign w:val="bottom"/>
            <w:tcBorders>
              <w:bottom w:val="single" w:sz="8" w:color="A6A6A6"/>
            </w:tcBorders>
          </w:tcPr>
          <w:p>
            <w:pPr>
              <w:spacing w:after="0"/>
              <w:rPr>
                <w:sz w:val="3"/>
                <w:szCs w:val="3"/>
                <w:color w:val="auto"/>
              </w:rPr>
            </w:pPr>
          </w:p>
        </w:tc>
        <w:tc>
          <w:tcPr>
            <w:tcW w:w="84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3900" w:type="dxa"/>
            <w:vAlign w:val="bottom"/>
          </w:tcPr>
          <w:p>
            <w:pPr>
              <w:ind w:left="200"/>
              <w:spacing w:after="0"/>
              <w:rPr>
                <w:sz w:val="20"/>
                <w:szCs w:val="20"/>
                <w:color w:val="auto"/>
              </w:rPr>
            </w:pPr>
            <w:r>
              <w:rPr>
                <w:rFonts w:ascii="Arial Narrow" w:cs="Arial Narrow" w:eastAsia="Arial Narrow" w:hAnsi="Arial Narrow"/>
                <w:sz w:val="20"/>
                <w:szCs w:val="20"/>
                <w:b w:val="1"/>
                <w:bCs w:val="1"/>
                <w:color w:val="5F7D1D"/>
              </w:rPr>
              <w:t>Gypsum Wallboard</w:t>
            </w: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Narrow" w:cs="Arial Narrow" w:eastAsia="Arial Narrow" w:hAnsi="Arial Narrow"/>
                <w:sz w:val="18"/>
                <w:szCs w:val="18"/>
                <w:color w:val="auto"/>
              </w:rPr>
              <w:t>522,861</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Narrow" w:cs="Arial Narrow" w:eastAsia="Arial Narrow" w:hAnsi="Arial Narrow"/>
                <w:sz w:val="18"/>
                <w:szCs w:val="18"/>
                <w:color w:val="auto"/>
              </w:rPr>
              <w:t>429,268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Narrow" w:cs="Arial Narrow" w:eastAsia="Arial Narrow" w:hAnsi="Arial Narrow"/>
                <w:sz w:val="18"/>
                <w:szCs w:val="18"/>
                <w:color w:val="auto"/>
              </w:rPr>
              <w:t>432,122</w:t>
            </w:r>
          </w:p>
        </w:tc>
        <w:tc>
          <w:tcPr>
            <w:tcW w:w="0" w:type="dxa"/>
            <w:vAlign w:val="bottom"/>
          </w:tcPr>
          <w:p>
            <w:pPr>
              <w:spacing w:after="0"/>
              <w:rPr>
                <w:sz w:val="1"/>
                <w:szCs w:val="1"/>
                <w:color w:val="auto"/>
              </w:rPr>
            </w:pPr>
          </w:p>
        </w:tc>
      </w:tr>
      <w:tr>
        <w:trPr>
          <w:trHeight w:val="42"/>
        </w:trPr>
        <w:tc>
          <w:tcPr>
            <w:tcW w:w="3900" w:type="dxa"/>
            <w:vAlign w:val="bottom"/>
            <w:tcBorders>
              <w:bottom w:val="single" w:sz="8" w:color="A6A6A6"/>
            </w:tcBorders>
          </w:tcPr>
          <w:p>
            <w:pPr>
              <w:spacing w:after="0"/>
              <w:rPr>
                <w:sz w:val="3"/>
                <w:szCs w:val="3"/>
                <w:color w:val="auto"/>
              </w:rPr>
            </w:pPr>
          </w:p>
        </w:tc>
        <w:tc>
          <w:tcPr>
            <w:tcW w:w="1480" w:type="dxa"/>
            <w:vAlign w:val="bottom"/>
            <w:tcBorders>
              <w:bottom w:val="single" w:sz="8" w:color="A6A6A6"/>
            </w:tcBorders>
          </w:tcPr>
          <w:p>
            <w:pPr>
              <w:spacing w:after="0"/>
              <w:rPr>
                <w:sz w:val="3"/>
                <w:szCs w:val="3"/>
                <w:color w:val="auto"/>
              </w:rPr>
            </w:pPr>
          </w:p>
        </w:tc>
        <w:tc>
          <w:tcPr>
            <w:tcW w:w="30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20" w:type="dxa"/>
            <w:vAlign w:val="bottom"/>
            <w:tcBorders>
              <w:bottom w:val="single" w:sz="8" w:color="A6A6A6"/>
            </w:tcBorders>
          </w:tcPr>
          <w:p>
            <w:pPr>
              <w:spacing w:after="0"/>
              <w:rPr>
                <w:sz w:val="3"/>
                <w:szCs w:val="3"/>
                <w:color w:val="auto"/>
              </w:rPr>
            </w:pPr>
          </w:p>
        </w:tc>
        <w:tc>
          <w:tcPr>
            <w:tcW w:w="400" w:type="dxa"/>
            <w:vAlign w:val="bottom"/>
            <w:tcBorders>
              <w:bottom w:val="single" w:sz="8" w:color="A6A6A6"/>
            </w:tcBorders>
          </w:tcPr>
          <w:p>
            <w:pPr>
              <w:spacing w:after="0"/>
              <w:rPr>
                <w:sz w:val="3"/>
                <w:szCs w:val="3"/>
                <w:color w:val="auto"/>
              </w:rPr>
            </w:pPr>
          </w:p>
        </w:tc>
        <w:tc>
          <w:tcPr>
            <w:tcW w:w="84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3900" w:type="dxa"/>
            <w:vAlign w:val="bottom"/>
          </w:tcPr>
          <w:p>
            <w:pPr>
              <w:ind w:left="200"/>
              <w:spacing w:after="0"/>
              <w:rPr>
                <w:sz w:val="20"/>
                <w:szCs w:val="20"/>
                <w:color w:val="auto"/>
              </w:rPr>
            </w:pPr>
            <w:r>
              <w:rPr>
                <w:rFonts w:ascii="Arial Narrow" w:cs="Arial Narrow" w:eastAsia="Arial Narrow" w:hAnsi="Arial Narrow"/>
                <w:sz w:val="20"/>
                <w:szCs w:val="20"/>
                <w:b w:val="1"/>
                <w:bCs w:val="1"/>
                <w:color w:val="7BB25C"/>
              </w:rPr>
              <w:t>Recycled Paperboard</w:t>
            </w: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Narrow" w:cs="Arial Narrow" w:eastAsia="Arial Narrow" w:hAnsi="Arial Narrow"/>
                <w:sz w:val="18"/>
                <w:szCs w:val="18"/>
                <w:color w:val="auto"/>
              </w:rPr>
              <w:t>169,630</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Narrow" w:cs="Arial Narrow" w:eastAsia="Arial Narrow" w:hAnsi="Arial Narrow"/>
                <w:sz w:val="18"/>
                <w:szCs w:val="18"/>
                <w:color w:val="auto"/>
              </w:rPr>
              <w:t>166,673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Narrow" w:cs="Arial Narrow" w:eastAsia="Arial Narrow" w:hAnsi="Arial Narrow"/>
                <w:sz w:val="18"/>
                <w:szCs w:val="18"/>
                <w:color w:val="auto"/>
              </w:rPr>
              <w:t>170,832</w:t>
            </w:r>
          </w:p>
        </w:tc>
        <w:tc>
          <w:tcPr>
            <w:tcW w:w="0" w:type="dxa"/>
            <w:vAlign w:val="bottom"/>
          </w:tcPr>
          <w:p>
            <w:pPr>
              <w:spacing w:after="0"/>
              <w:rPr>
                <w:sz w:val="1"/>
                <w:szCs w:val="1"/>
                <w:color w:val="auto"/>
              </w:rPr>
            </w:pPr>
          </w:p>
        </w:tc>
      </w:tr>
      <w:tr>
        <w:trPr>
          <w:trHeight w:val="42"/>
        </w:trPr>
        <w:tc>
          <w:tcPr>
            <w:tcW w:w="3900" w:type="dxa"/>
            <w:vAlign w:val="bottom"/>
            <w:tcBorders>
              <w:bottom w:val="single" w:sz="8" w:color="A6A6A6"/>
            </w:tcBorders>
          </w:tcPr>
          <w:p>
            <w:pPr>
              <w:spacing w:after="0"/>
              <w:rPr>
                <w:sz w:val="3"/>
                <w:szCs w:val="3"/>
                <w:color w:val="auto"/>
              </w:rPr>
            </w:pPr>
          </w:p>
        </w:tc>
        <w:tc>
          <w:tcPr>
            <w:tcW w:w="1480" w:type="dxa"/>
            <w:vAlign w:val="bottom"/>
            <w:tcBorders>
              <w:bottom w:val="single" w:sz="8" w:color="A6A6A6"/>
            </w:tcBorders>
          </w:tcPr>
          <w:p>
            <w:pPr>
              <w:spacing w:after="0"/>
              <w:rPr>
                <w:sz w:val="3"/>
                <w:szCs w:val="3"/>
                <w:color w:val="auto"/>
              </w:rPr>
            </w:pPr>
          </w:p>
        </w:tc>
        <w:tc>
          <w:tcPr>
            <w:tcW w:w="30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28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20" w:type="dxa"/>
            <w:vAlign w:val="bottom"/>
            <w:tcBorders>
              <w:bottom w:val="single" w:sz="8" w:color="A6A6A6"/>
            </w:tcBorders>
          </w:tcPr>
          <w:p>
            <w:pPr>
              <w:spacing w:after="0"/>
              <w:rPr>
                <w:sz w:val="3"/>
                <w:szCs w:val="3"/>
                <w:color w:val="auto"/>
              </w:rPr>
            </w:pPr>
          </w:p>
        </w:tc>
        <w:tc>
          <w:tcPr>
            <w:tcW w:w="400" w:type="dxa"/>
            <w:vAlign w:val="bottom"/>
            <w:tcBorders>
              <w:bottom w:val="single" w:sz="8" w:color="A6A6A6"/>
            </w:tcBorders>
          </w:tcPr>
          <w:p>
            <w:pPr>
              <w:spacing w:after="0"/>
              <w:rPr>
                <w:sz w:val="3"/>
                <w:szCs w:val="3"/>
                <w:color w:val="auto"/>
              </w:rPr>
            </w:pPr>
          </w:p>
        </w:tc>
        <w:tc>
          <w:tcPr>
            <w:tcW w:w="84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360"/>
        </w:trPr>
        <w:tc>
          <w:tcPr>
            <w:tcW w:w="3900" w:type="dxa"/>
            <w:vAlign w:val="bottom"/>
            <w:tcBorders>
              <w:bottom w:val="single" w:sz="8" w:color="A6A6A6"/>
            </w:tcBorders>
          </w:tcPr>
          <w:p>
            <w:pPr>
              <w:ind w:left="200"/>
              <w:spacing w:after="0"/>
              <w:rPr>
                <w:sz w:val="20"/>
                <w:szCs w:val="20"/>
                <w:color w:val="auto"/>
              </w:rPr>
            </w:pPr>
            <w:r>
              <w:rPr>
                <w:rFonts w:ascii="Arial Narrow" w:cs="Arial Narrow" w:eastAsia="Arial Narrow" w:hAnsi="Arial Narrow"/>
                <w:sz w:val="20"/>
                <w:szCs w:val="20"/>
                <w:b w:val="1"/>
                <w:bCs w:val="1"/>
                <w:color w:val="00085E"/>
              </w:rPr>
              <w:t>Corporate and Other</w:t>
            </w:r>
          </w:p>
        </w:tc>
        <w:tc>
          <w:tcPr>
            <w:tcW w:w="1480" w:type="dxa"/>
            <w:vAlign w:val="bottom"/>
            <w:tcBorders>
              <w:bottom w:val="single" w:sz="8" w:color="A6A6A6"/>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18"/>
                <w:szCs w:val="18"/>
                <w:color w:val="auto"/>
              </w:rPr>
              <w:t>383,757</w:t>
            </w:r>
          </w:p>
        </w:tc>
        <w:tc>
          <w:tcPr>
            <w:tcW w:w="140" w:type="dxa"/>
            <w:vAlign w:val="bottom"/>
            <w:tcBorders>
              <w:bottom w:val="single" w:sz="8" w:color="A6A6A6"/>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18"/>
                <w:szCs w:val="18"/>
                <w:color w:val="auto"/>
              </w:rPr>
              <w:t>87,396</w:t>
            </w:r>
          </w:p>
        </w:tc>
        <w:tc>
          <w:tcPr>
            <w:tcW w:w="120" w:type="dxa"/>
            <w:vAlign w:val="bottom"/>
            <w:tcBorders>
              <w:bottom w:val="single" w:sz="8" w:color="A6A6A6"/>
            </w:tcBorders>
          </w:tcPr>
          <w:p>
            <w:pPr>
              <w:spacing w:after="0"/>
              <w:rPr>
                <w:sz w:val="24"/>
                <w:szCs w:val="24"/>
                <w:color w:val="auto"/>
              </w:rPr>
            </w:pPr>
          </w:p>
        </w:tc>
        <w:tc>
          <w:tcPr>
            <w:tcW w:w="20" w:type="dxa"/>
            <w:vAlign w:val="bottom"/>
            <w:tcBorders>
              <w:bottom w:val="single" w:sz="8" w:color="A6A6A6"/>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Narrow" w:cs="Arial Narrow" w:eastAsia="Arial Narrow" w:hAnsi="Arial Narrow"/>
                <w:sz w:val="18"/>
                <w:szCs w:val="18"/>
                <w:color w:val="auto"/>
              </w:rPr>
              <w:t>76,081</w:t>
            </w:r>
          </w:p>
        </w:tc>
        <w:tc>
          <w:tcPr>
            <w:tcW w:w="0" w:type="dxa"/>
            <w:vAlign w:val="bottom"/>
          </w:tcPr>
          <w:p>
            <w:pPr>
              <w:spacing w:after="0"/>
              <w:rPr>
                <w:sz w:val="1"/>
                <w:szCs w:val="1"/>
                <w:color w:val="auto"/>
              </w:rPr>
            </w:pPr>
          </w:p>
        </w:tc>
      </w:tr>
      <w:tr>
        <w:trPr>
          <w:trHeight w:val="321"/>
        </w:trPr>
        <w:tc>
          <w:tcPr>
            <w:tcW w:w="3900" w:type="dxa"/>
            <w:vAlign w:val="bottom"/>
          </w:tcPr>
          <w:p>
            <w:pPr>
              <w:spacing w:after="0"/>
              <w:rPr>
                <w:sz w:val="24"/>
                <w:szCs w:val="24"/>
                <w:color w:val="auto"/>
              </w:rPr>
            </w:pPr>
          </w:p>
        </w:tc>
        <w:tc>
          <w:tcPr>
            <w:tcW w:w="1780" w:type="dxa"/>
            <w:vAlign w:val="bottom"/>
            <w:gridSpan w:val="2"/>
          </w:tcPr>
          <w:p>
            <w:pPr>
              <w:jc w:val="right"/>
              <w:ind w:right="200"/>
              <w:spacing w:after="0"/>
              <w:rPr>
                <w:sz w:val="20"/>
                <w:szCs w:val="20"/>
                <w:color w:val="auto"/>
              </w:rPr>
            </w:pPr>
            <w:r>
              <w:rPr>
                <w:rFonts w:ascii="Arial Narrow" w:cs="Arial Narrow" w:eastAsia="Arial Narrow" w:hAnsi="Arial Narrow"/>
                <w:sz w:val="20"/>
                <w:szCs w:val="20"/>
                <w:b w:val="1"/>
                <w:bCs w:val="1"/>
                <w:color w:val="auto"/>
              </w:rPr>
              <w:t>$</w:t>
            </w:r>
          </w:p>
        </w:tc>
        <w:tc>
          <w:tcPr>
            <w:tcW w:w="940" w:type="dxa"/>
            <w:vAlign w:val="bottom"/>
          </w:tcPr>
          <w:p>
            <w:pPr>
              <w:jc w:val="right"/>
              <w:spacing w:after="0"/>
              <w:rPr>
                <w:sz w:val="20"/>
                <w:szCs w:val="20"/>
                <w:color w:val="auto"/>
              </w:rPr>
            </w:pPr>
            <w:r>
              <w:rPr>
                <w:rFonts w:ascii="Arial Narrow" w:cs="Arial Narrow" w:eastAsia="Arial Narrow" w:hAnsi="Arial Narrow"/>
                <w:sz w:val="20"/>
                <w:szCs w:val="20"/>
                <w:b w:val="1"/>
                <w:bCs w:val="1"/>
                <w:color w:val="auto"/>
              </w:rPr>
              <w:t>3,842,244</w:t>
            </w:r>
          </w:p>
        </w:tc>
        <w:tc>
          <w:tcPr>
            <w:tcW w:w="420" w:type="dxa"/>
            <w:vAlign w:val="bottom"/>
            <w:gridSpan w:val="2"/>
          </w:tcPr>
          <w:p>
            <w:pPr>
              <w:jc w:val="right"/>
              <w:ind w:right="120"/>
              <w:spacing w:after="0"/>
              <w:rPr>
                <w:sz w:val="20"/>
                <w:szCs w:val="20"/>
                <w:color w:val="auto"/>
              </w:rPr>
            </w:pPr>
            <w:r>
              <w:rPr>
                <w:rFonts w:ascii="Arial Narrow" w:cs="Arial Narrow" w:eastAsia="Arial Narrow" w:hAnsi="Arial Narrow"/>
                <w:sz w:val="20"/>
                <w:szCs w:val="20"/>
                <w:b w:val="1"/>
                <w:bCs w:val="1"/>
                <w:color w:val="auto"/>
              </w:rPr>
              <w:t>$</w:t>
            </w:r>
          </w:p>
        </w:tc>
        <w:tc>
          <w:tcPr>
            <w:tcW w:w="940" w:type="dxa"/>
            <w:vAlign w:val="bottom"/>
          </w:tcPr>
          <w:p>
            <w:pPr>
              <w:jc w:val="right"/>
              <w:spacing w:after="0"/>
              <w:rPr>
                <w:sz w:val="20"/>
                <w:szCs w:val="20"/>
                <w:color w:val="auto"/>
              </w:rPr>
            </w:pPr>
            <w:r>
              <w:rPr>
                <w:rFonts w:ascii="Arial Narrow" w:cs="Arial Narrow" w:eastAsia="Arial Narrow" w:hAnsi="Arial Narrow"/>
                <w:sz w:val="20"/>
                <w:szCs w:val="20"/>
                <w:b w:val="1"/>
                <w:bCs w:val="1"/>
                <w:color w:val="auto"/>
              </w:rPr>
              <w:t>3,264,588</w:t>
            </w:r>
          </w:p>
        </w:tc>
        <w:tc>
          <w:tcPr>
            <w:tcW w:w="120" w:type="dxa"/>
            <w:vAlign w:val="bottom"/>
          </w:tcPr>
          <w:p>
            <w:pPr>
              <w:spacing w:after="0"/>
              <w:rPr>
                <w:sz w:val="24"/>
                <w:szCs w:val="24"/>
                <w:color w:val="auto"/>
              </w:rPr>
            </w:pPr>
          </w:p>
        </w:tc>
        <w:tc>
          <w:tcPr>
            <w:tcW w:w="420" w:type="dxa"/>
            <w:vAlign w:val="bottom"/>
            <w:gridSpan w:val="2"/>
          </w:tcPr>
          <w:p>
            <w:pPr>
              <w:jc w:val="right"/>
              <w:ind w:right="300"/>
              <w:spacing w:after="0"/>
              <w:rPr>
                <w:sz w:val="20"/>
                <w:szCs w:val="20"/>
                <w:color w:val="auto"/>
              </w:rPr>
            </w:pPr>
            <w:r>
              <w:rPr>
                <w:rFonts w:ascii="Arial Narrow" w:cs="Arial Narrow" w:eastAsia="Arial Narrow" w:hAnsi="Arial Narrow"/>
                <w:sz w:val="20"/>
                <w:szCs w:val="20"/>
                <w:b w:val="1"/>
                <w:bCs w:val="1"/>
                <w:color w:val="auto"/>
              </w:rPr>
              <w:t>$</w:t>
            </w:r>
          </w:p>
        </w:tc>
        <w:tc>
          <w:tcPr>
            <w:tcW w:w="840" w:type="dxa"/>
            <w:vAlign w:val="bottom"/>
          </w:tcPr>
          <w:p>
            <w:pPr>
              <w:jc w:val="right"/>
              <w:spacing w:after="0"/>
              <w:rPr>
                <w:sz w:val="20"/>
                <w:szCs w:val="20"/>
                <w:color w:val="auto"/>
              </w:rPr>
            </w:pPr>
            <w:r>
              <w:rPr>
                <w:rFonts w:ascii="Arial Narrow" w:cs="Arial Narrow" w:eastAsia="Arial Narrow" w:hAnsi="Arial Narrow"/>
                <w:sz w:val="20"/>
                <w:szCs w:val="20"/>
                <w:b w:val="1"/>
                <w:bCs w:val="1"/>
                <w:color w:val="auto"/>
              </w:rPr>
              <w:t>2,947,019</w:t>
            </w:r>
          </w:p>
        </w:tc>
        <w:tc>
          <w:tcPr>
            <w:tcW w:w="0" w:type="dxa"/>
            <w:vAlign w:val="bottom"/>
          </w:tcPr>
          <w:p>
            <w:pPr>
              <w:spacing w:after="0"/>
              <w:rPr>
                <w:sz w:val="1"/>
                <w:szCs w:val="1"/>
                <w:color w:val="auto"/>
              </w:rPr>
            </w:pPr>
          </w:p>
        </w:tc>
      </w:tr>
      <w:tr>
        <w:trPr>
          <w:trHeight w:val="42"/>
        </w:trPr>
        <w:tc>
          <w:tcPr>
            <w:tcW w:w="3900" w:type="dxa"/>
            <w:vAlign w:val="bottom"/>
            <w:tcBorders>
              <w:bottom w:val="single" w:sz="8" w:color="A6A6A6"/>
            </w:tcBorders>
          </w:tcPr>
          <w:p>
            <w:pPr>
              <w:spacing w:after="0"/>
              <w:rPr>
                <w:sz w:val="3"/>
                <w:szCs w:val="3"/>
                <w:color w:val="auto"/>
              </w:rPr>
            </w:pPr>
          </w:p>
        </w:tc>
        <w:tc>
          <w:tcPr>
            <w:tcW w:w="1480" w:type="dxa"/>
            <w:vAlign w:val="bottom"/>
            <w:tcBorders>
              <w:bottom w:val="single" w:sz="8" w:color="A6A6A6"/>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Narrow" w:cs="Arial Narrow" w:eastAsia="Arial Narrow" w:hAnsi="Arial Narrow"/>
                <w:sz w:val="20"/>
                <w:szCs w:val="20"/>
                <w:b w:val="1"/>
                <w:bCs w:val="1"/>
                <w:color w:val="00085E"/>
              </w:rPr>
              <w:t>Cement Operating Earnings</w:t>
            </w:r>
          </w:p>
        </w:tc>
        <w:tc>
          <w:tcPr>
            <w:tcW w:w="1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7"/>
        </w:trPr>
        <w:tc>
          <w:tcPr>
            <w:tcW w:w="390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3900" w:type="dxa"/>
            <w:vAlign w:val="bottom"/>
            <w:tcBorders>
              <w:bottom w:val="single" w:sz="8" w:color="A6A6A6"/>
            </w:tcBorders>
          </w:tcPr>
          <w:p>
            <w:pPr>
              <w:spacing w:after="0"/>
              <w:rPr>
                <w:sz w:val="5"/>
                <w:szCs w:val="5"/>
                <w:color w:val="auto"/>
              </w:rPr>
            </w:pPr>
          </w:p>
        </w:tc>
        <w:tc>
          <w:tcPr>
            <w:tcW w:w="1780" w:type="dxa"/>
            <w:vAlign w:val="bottom"/>
            <w:tcBorders>
              <w:bottom w:val="single" w:sz="8" w:color="A6A6A6"/>
            </w:tcBorders>
            <w:gridSpan w:val="2"/>
          </w:tcPr>
          <w:p>
            <w:pPr>
              <w:spacing w:after="0"/>
              <w:rPr>
                <w:sz w:val="5"/>
                <w:szCs w:val="5"/>
                <w:color w:val="auto"/>
              </w:rPr>
            </w:pPr>
          </w:p>
        </w:tc>
        <w:tc>
          <w:tcPr>
            <w:tcW w:w="940" w:type="dxa"/>
            <w:vAlign w:val="bottom"/>
            <w:tcBorders>
              <w:bottom w:val="single" w:sz="8" w:color="A6A6A6"/>
            </w:tcBorders>
          </w:tcPr>
          <w:p>
            <w:pPr>
              <w:spacing w:after="0"/>
              <w:rPr>
                <w:sz w:val="5"/>
                <w:szCs w:val="5"/>
                <w:color w:val="auto"/>
              </w:rPr>
            </w:pPr>
          </w:p>
        </w:tc>
        <w:tc>
          <w:tcPr>
            <w:tcW w:w="420" w:type="dxa"/>
            <w:vAlign w:val="bottom"/>
            <w:tcBorders>
              <w:bottom w:val="single" w:sz="8" w:color="A6A6A6"/>
            </w:tcBorders>
            <w:gridSpan w:val="2"/>
          </w:tcPr>
          <w:p>
            <w:pPr>
              <w:spacing w:after="0"/>
              <w:rPr>
                <w:sz w:val="5"/>
                <w:szCs w:val="5"/>
                <w:color w:val="auto"/>
              </w:rPr>
            </w:pPr>
          </w:p>
        </w:tc>
        <w:tc>
          <w:tcPr>
            <w:tcW w:w="94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420" w:type="dxa"/>
            <w:vAlign w:val="bottom"/>
            <w:tcBorders>
              <w:bottom w:val="single" w:sz="8" w:color="A6A6A6"/>
            </w:tcBorders>
            <w:gridSpan w:val="2"/>
          </w:tcPr>
          <w:p>
            <w:pPr>
              <w:spacing w:after="0"/>
              <w:rPr>
                <w:sz w:val="5"/>
                <w:szCs w:val="5"/>
                <w:color w:val="auto"/>
              </w:rPr>
            </w:pPr>
          </w:p>
        </w:tc>
        <w:tc>
          <w:tcPr>
            <w:tcW w:w="84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3900" w:type="dxa"/>
            <w:vAlign w:val="bottom"/>
          </w:tcPr>
          <w:p>
            <w:pPr>
              <w:ind w:left="200"/>
              <w:spacing w:after="0"/>
              <w:rPr>
                <w:sz w:val="20"/>
                <w:szCs w:val="20"/>
                <w:color w:val="auto"/>
              </w:rPr>
            </w:pPr>
            <w:r>
              <w:rPr>
                <w:rFonts w:ascii="Arial Narrow" w:cs="Arial Narrow" w:eastAsia="Arial Narrow" w:hAnsi="Arial Narrow"/>
                <w:sz w:val="20"/>
                <w:szCs w:val="20"/>
                <w:b w:val="1"/>
                <w:bCs w:val="1"/>
                <w:color w:val="00085E"/>
              </w:rPr>
              <w:t>Wholly Owned</w:t>
            </w:r>
          </w:p>
        </w:tc>
        <w:tc>
          <w:tcPr>
            <w:tcW w:w="1780" w:type="dxa"/>
            <w:vAlign w:val="bottom"/>
            <w:gridSpan w:val="2"/>
          </w:tcPr>
          <w:p>
            <w:pPr>
              <w:jc w:val="right"/>
              <w:ind w:right="200"/>
              <w:spacing w:after="0"/>
              <w:rPr>
                <w:sz w:val="20"/>
                <w:szCs w:val="20"/>
                <w:color w:val="auto"/>
              </w:rPr>
            </w:pPr>
            <w:r>
              <w:rPr>
                <w:rFonts w:ascii="Arial Narrow" w:cs="Arial Narrow" w:eastAsia="Arial Narrow" w:hAnsi="Arial Narrow"/>
                <w:sz w:val="20"/>
                <w:szCs w:val="20"/>
                <w:color w:val="auto"/>
              </w:rPr>
              <w:t>$</w:t>
            </w:r>
          </w:p>
        </w:tc>
        <w:tc>
          <w:tcPr>
            <w:tcW w:w="940" w:type="dxa"/>
            <w:vAlign w:val="bottom"/>
          </w:tcPr>
          <w:p>
            <w:pPr>
              <w:jc w:val="right"/>
              <w:spacing w:after="0"/>
              <w:rPr>
                <w:sz w:val="20"/>
                <w:szCs w:val="20"/>
                <w:color w:val="auto"/>
              </w:rPr>
            </w:pPr>
            <w:r>
              <w:rPr>
                <w:rFonts w:ascii="Arial Narrow" w:cs="Arial Narrow" w:eastAsia="Arial Narrow" w:hAnsi="Arial Narrow"/>
                <w:sz w:val="20"/>
                <w:szCs w:val="20"/>
                <w:color w:val="auto"/>
              </w:rPr>
              <w:t>308,317</w:t>
            </w:r>
          </w:p>
        </w:tc>
        <w:tc>
          <w:tcPr>
            <w:tcW w:w="420" w:type="dxa"/>
            <w:vAlign w:val="bottom"/>
            <w:gridSpan w:val="2"/>
          </w:tcPr>
          <w:p>
            <w:pPr>
              <w:jc w:val="right"/>
              <w:ind w:right="120"/>
              <w:spacing w:after="0"/>
              <w:rPr>
                <w:sz w:val="20"/>
                <w:szCs w:val="20"/>
                <w:color w:val="auto"/>
              </w:rPr>
            </w:pPr>
            <w:r>
              <w:rPr>
                <w:rFonts w:ascii="Arial Narrow" w:cs="Arial Narrow" w:eastAsia="Arial Narrow" w:hAnsi="Arial Narrow"/>
                <w:sz w:val="20"/>
                <w:szCs w:val="20"/>
                <w:color w:val="auto"/>
              </w:rPr>
              <w:t>$</w:t>
            </w:r>
          </w:p>
        </w:tc>
        <w:tc>
          <w:tcPr>
            <w:tcW w:w="940" w:type="dxa"/>
            <w:vAlign w:val="bottom"/>
          </w:tcPr>
          <w:p>
            <w:pPr>
              <w:jc w:val="right"/>
              <w:spacing w:after="0"/>
              <w:rPr>
                <w:sz w:val="20"/>
                <w:szCs w:val="20"/>
                <w:color w:val="auto"/>
              </w:rPr>
            </w:pPr>
            <w:r>
              <w:rPr>
                <w:rFonts w:ascii="Arial Narrow" w:cs="Arial Narrow" w:eastAsia="Arial Narrow" w:hAnsi="Arial Narrow"/>
                <w:sz w:val="20"/>
                <w:szCs w:val="20"/>
                <w:color w:val="auto"/>
              </w:rPr>
              <w:t>293,060</w:t>
            </w:r>
          </w:p>
        </w:tc>
        <w:tc>
          <w:tcPr>
            <w:tcW w:w="120" w:type="dxa"/>
            <w:vAlign w:val="bottom"/>
          </w:tcPr>
          <w:p>
            <w:pPr>
              <w:spacing w:after="0"/>
              <w:rPr>
                <w:sz w:val="24"/>
                <w:szCs w:val="24"/>
                <w:color w:val="auto"/>
              </w:rPr>
            </w:pPr>
          </w:p>
        </w:tc>
        <w:tc>
          <w:tcPr>
            <w:tcW w:w="420" w:type="dxa"/>
            <w:vAlign w:val="bottom"/>
            <w:gridSpan w:val="2"/>
          </w:tcPr>
          <w:p>
            <w:pPr>
              <w:jc w:val="right"/>
              <w:ind w:right="300"/>
              <w:spacing w:after="0"/>
              <w:rPr>
                <w:sz w:val="20"/>
                <w:szCs w:val="20"/>
                <w:color w:val="auto"/>
              </w:rPr>
            </w:pPr>
            <w:r>
              <w:rPr>
                <w:rFonts w:ascii="Arial Narrow" w:cs="Arial Narrow" w:eastAsia="Arial Narrow" w:hAnsi="Arial Narrow"/>
                <w:sz w:val="20"/>
                <w:szCs w:val="20"/>
                <w:color w:val="auto"/>
              </w:rPr>
              <w:t>$</w:t>
            </w:r>
          </w:p>
        </w:tc>
        <w:tc>
          <w:tcPr>
            <w:tcW w:w="840" w:type="dxa"/>
            <w:vAlign w:val="bottom"/>
          </w:tcPr>
          <w:p>
            <w:pPr>
              <w:jc w:val="right"/>
              <w:spacing w:after="0"/>
              <w:rPr>
                <w:sz w:val="20"/>
                <w:szCs w:val="20"/>
                <w:color w:val="auto"/>
              </w:rPr>
            </w:pPr>
            <w:r>
              <w:rPr>
                <w:rFonts w:ascii="Arial Narrow" w:cs="Arial Narrow" w:eastAsia="Arial Narrow" w:hAnsi="Arial Narrow"/>
                <w:sz w:val="20"/>
                <w:szCs w:val="20"/>
                <w:color w:val="auto"/>
              </w:rPr>
              <w:t>306,768</w:t>
            </w:r>
          </w:p>
        </w:tc>
        <w:tc>
          <w:tcPr>
            <w:tcW w:w="0" w:type="dxa"/>
            <w:vAlign w:val="bottom"/>
          </w:tcPr>
          <w:p>
            <w:pPr>
              <w:spacing w:after="0"/>
              <w:rPr>
                <w:sz w:val="1"/>
                <w:szCs w:val="1"/>
                <w:color w:val="auto"/>
              </w:rPr>
            </w:pPr>
          </w:p>
        </w:tc>
      </w:tr>
      <w:tr>
        <w:trPr>
          <w:trHeight w:val="65"/>
        </w:trPr>
        <w:tc>
          <w:tcPr>
            <w:tcW w:w="3900" w:type="dxa"/>
            <w:vAlign w:val="bottom"/>
            <w:tcBorders>
              <w:bottom w:val="single" w:sz="8" w:color="A6A6A6"/>
            </w:tcBorders>
          </w:tcPr>
          <w:p>
            <w:pPr>
              <w:spacing w:after="0"/>
              <w:rPr>
                <w:sz w:val="5"/>
                <w:szCs w:val="5"/>
                <w:color w:val="auto"/>
              </w:rPr>
            </w:pPr>
          </w:p>
        </w:tc>
        <w:tc>
          <w:tcPr>
            <w:tcW w:w="1480" w:type="dxa"/>
            <w:vAlign w:val="bottom"/>
            <w:tcBorders>
              <w:bottom w:val="single" w:sz="8" w:color="A6A6A6"/>
            </w:tcBorders>
          </w:tcPr>
          <w:p>
            <w:pPr>
              <w:spacing w:after="0"/>
              <w:rPr>
                <w:sz w:val="5"/>
                <w:szCs w:val="5"/>
                <w:color w:val="auto"/>
              </w:rPr>
            </w:pPr>
          </w:p>
        </w:tc>
        <w:tc>
          <w:tcPr>
            <w:tcW w:w="300" w:type="dxa"/>
            <w:vAlign w:val="bottom"/>
            <w:tcBorders>
              <w:bottom w:val="single" w:sz="8" w:color="A6A6A6"/>
            </w:tcBorders>
          </w:tcPr>
          <w:p>
            <w:pPr>
              <w:spacing w:after="0"/>
              <w:rPr>
                <w:sz w:val="5"/>
                <w:szCs w:val="5"/>
                <w:color w:val="auto"/>
              </w:rPr>
            </w:pPr>
          </w:p>
        </w:tc>
        <w:tc>
          <w:tcPr>
            <w:tcW w:w="94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280" w:type="dxa"/>
            <w:vAlign w:val="bottom"/>
            <w:tcBorders>
              <w:bottom w:val="single" w:sz="8" w:color="A6A6A6"/>
            </w:tcBorders>
          </w:tcPr>
          <w:p>
            <w:pPr>
              <w:spacing w:after="0"/>
              <w:rPr>
                <w:sz w:val="5"/>
                <w:szCs w:val="5"/>
                <w:color w:val="auto"/>
              </w:rPr>
            </w:pPr>
          </w:p>
        </w:tc>
        <w:tc>
          <w:tcPr>
            <w:tcW w:w="94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20" w:type="dxa"/>
            <w:vAlign w:val="bottom"/>
            <w:tcBorders>
              <w:bottom w:val="single" w:sz="8" w:color="A6A6A6"/>
            </w:tcBorders>
          </w:tcPr>
          <w:p>
            <w:pPr>
              <w:spacing w:after="0"/>
              <w:rPr>
                <w:sz w:val="5"/>
                <w:szCs w:val="5"/>
                <w:color w:val="auto"/>
              </w:rPr>
            </w:pPr>
          </w:p>
        </w:tc>
        <w:tc>
          <w:tcPr>
            <w:tcW w:w="400" w:type="dxa"/>
            <w:vAlign w:val="bottom"/>
            <w:tcBorders>
              <w:bottom w:val="single" w:sz="8" w:color="A6A6A6"/>
            </w:tcBorders>
          </w:tcPr>
          <w:p>
            <w:pPr>
              <w:spacing w:after="0"/>
              <w:rPr>
                <w:sz w:val="5"/>
                <w:szCs w:val="5"/>
                <w:color w:val="auto"/>
              </w:rPr>
            </w:pPr>
          </w:p>
        </w:tc>
        <w:tc>
          <w:tcPr>
            <w:tcW w:w="84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3900" w:type="dxa"/>
            <w:vAlign w:val="bottom"/>
          </w:tcPr>
          <w:p>
            <w:pPr>
              <w:ind w:left="200"/>
              <w:spacing w:after="0"/>
              <w:rPr>
                <w:sz w:val="20"/>
                <w:szCs w:val="20"/>
                <w:color w:val="auto"/>
              </w:rPr>
            </w:pPr>
            <w:r>
              <w:rPr>
                <w:rFonts w:ascii="Arial Narrow" w:cs="Arial Narrow" w:eastAsia="Arial Narrow" w:hAnsi="Arial Narrow"/>
                <w:sz w:val="20"/>
                <w:szCs w:val="20"/>
                <w:b w:val="1"/>
                <w:bCs w:val="1"/>
                <w:color w:val="00085E"/>
              </w:rPr>
              <w:t>Joint Venture</w:t>
            </w: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Narrow" w:cs="Arial Narrow" w:eastAsia="Arial Narrow" w:hAnsi="Arial Narrow"/>
                <w:sz w:val="20"/>
                <w:szCs w:val="20"/>
                <w:color w:val="auto"/>
              </w:rPr>
              <w:t>19,989</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Narrow" w:cs="Arial Narrow" w:eastAsia="Arial Narrow" w:hAnsi="Arial Narrow"/>
                <w:sz w:val="20"/>
                <w:szCs w:val="20"/>
                <w:color w:val="auto"/>
              </w:rPr>
              <w:t>26,396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Narrow" w:cs="Arial Narrow" w:eastAsia="Arial Narrow" w:hAnsi="Arial Narrow"/>
                <w:sz w:val="20"/>
                <w:szCs w:val="20"/>
                <w:color w:val="auto"/>
              </w:rPr>
              <w:t>31,581</w:t>
            </w:r>
          </w:p>
        </w:tc>
        <w:tc>
          <w:tcPr>
            <w:tcW w:w="0" w:type="dxa"/>
            <w:vAlign w:val="bottom"/>
          </w:tcPr>
          <w:p>
            <w:pPr>
              <w:spacing w:after="0"/>
              <w:rPr>
                <w:sz w:val="1"/>
                <w:szCs w:val="1"/>
                <w:color w:val="auto"/>
              </w:rPr>
            </w:pPr>
          </w:p>
        </w:tc>
      </w:tr>
      <w:tr>
        <w:trPr>
          <w:trHeight w:val="90"/>
        </w:trPr>
        <w:tc>
          <w:tcPr>
            <w:tcW w:w="3900" w:type="dxa"/>
            <w:vAlign w:val="bottom"/>
            <w:tcBorders>
              <w:bottom w:val="single" w:sz="8" w:color="A6A6A6"/>
            </w:tcBorders>
          </w:tcPr>
          <w:p>
            <w:pPr>
              <w:spacing w:after="0"/>
              <w:rPr>
                <w:sz w:val="7"/>
                <w:szCs w:val="7"/>
                <w:color w:val="auto"/>
              </w:rPr>
            </w:pPr>
          </w:p>
        </w:tc>
        <w:tc>
          <w:tcPr>
            <w:tcW w:w="1480" w:type="dxa"/>
            <w:vAlign w:val="bottom"/>
            <w:tcBorders>
              <w:bottom w:val="single" w:sz="8" w:color="A6A6A6"/>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4"/>
        </w:trPr>
        <w:tc>
          <w:tcPr>
            <w:tcW w:w="3900" w:type="dxa"/>
            <w:vAlign w:val="bottom"/>
          </w:tcPr>
          <w:p>
            <w:pPr>
              <w:spacing w:after="0"/>
              <w:rPr>
                <w:sz w:val="24"/>
                <w:szCs w:val="24"/>
                <w:color w:val="auto"/>
              </w:rPr>
            </w:pPr>
          </w:p>
        </w:tc>
        <w:tc>
          <w:tcPr>
            <w:tcW w:w="1780" w:type="dxa"/>
            <w:vAlign w:val="bottom"/>
            <w:gridSpan w:val="2"/>
          </w:tcPr>
          <w:p>
            <w:pPr>
              <w:jc w:val="right"/>
              <w:ind w:right="200"/>
              <w:spacing w:after="0"/>
              <w:rPr>
                <w:sz w:val="20"/>
                <w:szCs w:val="20"/>
                <w:color w:val="auto"/>
              </w:rPr>
            </w:pPr>
            <w:r>
              <w:rPr>
                <w:rFonts w:ascii="Arial Narrow" w:cs="Arial Narrow" w:eastAsia="Arial Narrow" w:hAnsi="Arial Narrow"/>
                <w:sz w:val="20"/>
                <w:szCs w:val="20"/>
                <w:b w:val="1"/>
                <w:bCs w:val="1"/>
                <w:color w:val="auto"/>
              </w:rPr>
              <w:t>$</w:t>
            </w:r>
          </w:p>
        </w:tc>
        <w:tc>
          <w:tcPr>
            <w:tcW w:w="940" w:type="dxa"/>
            <w:vAlign w:val="bottom"/>
          </w:tcPr>
          <w:p>
            <w:pPr>
              <w:jc w:val="right"/>
              <w:spacing w:after="0"/>
              <w:rPr>
                <w:sz w:val="20"/>
                <w:szCs w:val="20"/>
                <w:color w:val="auto"/>
              </w:rPr>
            </w:pPr>
            <w:r>
              <w:rPr>
                <w:rFonts w:ascii="Arial Narrow" w:cs="Arial Narrow" w:eastAsia="Arial Narrow" w:hAnsi="Arial Narrow"/>
                <w:sz w:val="20"/>
                <w:szCs w:val="20"/>
                <w:b w:val="1"/>
                <w:bCs w:val="1"/>
                <w:color w:val="auto"/>
              </w:rPr>
              <w:t>328,306</w:t>
            </w:r>
          </w:p>
        </w:tc>
        <w:tc>
          <w:tcPr>
            <w:tcW w:w="420" w:type="dxa"/>
            <w:vAlign w:val="bottom"/>
            <w:gridSpan w:val="2"/>
          </w:tcPr>
          <w:p>
            <w:pPr>
              <w:jc w:val="right"/>
              <w:ind w:right="120"/>
              <w:spacing w:after="0"/>
              <w:rPr>
                <w:sz w:val="20"/>
                <w:szCs w:val="20"/>
                <w:color w:val="auto"/>
              </w:rPr>
            </w:pPr>
            <w:r>
              <w:rPr>
                <w:rFonts w:ascii="Arial Narrow" w:cs="Arial Narrow" w:eastAsia="Arial Narrow" w:hAnsi="Arial Narrow"/>
                <w:sz w:val="20"/>
                <w:szCs w:val="20"/>
                <w:b w:val="1"/>
                <w:bCs w:val="1"/>
                <w:color w:val="auto"/>
              </w:rPr>
              <w:t>$</w:t>
            </w:r>
          </w:p>
        </w:tc>
        <w:tc>
          <w:tcPr>
            <w:tcW w:w="940" w:type="dxa"/>
            <w:vAlign w:val="bottom"/>
          </w:tcPr>
          <w:p>
            <w:pPr>
              <w:jc w:val="right"/>
              <w:spacing w:after="0"/>
              <w:rPr>
                <w:sz w:val="20"/>
                <w:szCs w:val="20"/>
                <w:color w:val="auto"/>
              </w:rPr>
            </w:pPr>
            <w:r>
              <w:rPr>
                <w:rFonts w:ascii="Arial Narrow" w:cs="Arial Narrow" w:eastAsia="Arial Narrow" w:hAnsi="Arial Narrow"/>
                <w:sz w:val="20"/>
                <w:szCs w:val="20"/>
                <w:b w:val="1"/>
                <w:bCs w:val="1"/>
                <w:color w:val="auto"/>
              </w:rPr>
              <w:t>319,456</w:t>
            </w:r>
          </w:p>
        </w:tc>
        <w:tc>
          <w:tcPr>
            <w:tcW w:w="120" w:type="dxa"/>
            <w:vAlign w:val="bottom"/>
          </w:tcPr>
          <w:p>
            <w:pPr>
              <w:spacing w:after="0"/>
              <w:rPr>
                <w:sz w:val="24"/>
                <w:szCs w:val="24"/>
                <w:color w:val="auto"/>
              </w:rPr>
            </w:pPr>
          </w:p>
        </w:tc>
        <w:tc>
          <w:tcPr>
            <w:tcW w:w="420" w:type="dxa"/>
            <w:vAlign w:val="bottom"/>
            <w:gridSpan w:val="2"/>
          </w:tcPr>
          <w:p>
            <w:pPr>
              <w:jc w:val="right"/>
              <w:ind w:right="300"/>
              <w:spacing w:after="0"/>
              <w:rPr>
                <w:sz w:val="20"/>
                <w:szCs w:val="20"/>
                <w:color w:val="auto"/>
              </w:rPr>
            </w:pPr>
            <w:r>
              <w:rPr>
                <w:rFonts w:ascii="Arial Narrow" w:cs="Arial Narrow" w:eastAsia="Arial Narrow" w:hAnsi="Arial Narrow"/>
                <w:sz w:val="20"/>
                <w:szCs w:val="20"/>
                <w:b w:val="1"/>
                <w:bCs w:val="1"/>
                <w:color w:val="auto"/>
              </w:rPr>
              <w:t>$</w:t>
            </w:r>
          </w:p>
        </w:tc>
        <w:tc>
          <w:tcPr>
            <w:tcW w:w="840" w:type="dxa"/>
            <w:vAlign w:val="bottom"/>
          </w:tcPr>
          <w:p>
            <w:pPr>
              <w:jc w:val="right"/>
              <w:spacing w:after="0"/>
              <w:rPr>
                <w:sz w:val="20"/>
                <w:szCs w:val="20"/>
                <w:color w:val="auto"/>
              </w:rPr>
            </w:pPr>
            <w:r>
              <w:rPr>
                <w:rFonts w:ascii="Arial Narrow" w:cs="Arial Narrow" w:eastAsia="Arial Narrow" w:hAnsi="Arial Narrow"/>
                <w:sz w:val="20"/>
                <w:szCs w:val="20"/>
                <w:b w:val="1"/>
                <w:bCs w:val="1"/>
                <w:color w:val="auto"/>
              </w:rPr>
              <w:t>338,349</w:t>
            </w:r>
          </w:p>
        </w:tc>
        <w:tc>
          <w:tcPr>
            <w:tcW w:w="0" w:type="dxa"/>
            <w:vAlign w:val="bottom"/>
          </w:tcPr>
          <w:p>
            <w:pPr>
              <w:spacing w:after="0"/>
              <w:rPr>
                <w:sz w:val="1"/>
                <w:szCs w:val="1"/>
                <w:color w:val="auto"/>
              </w:rPr>
            </w:pPr>
          </w:p>
        </w:tc>
      </w:tr>
      <w:tr>
        <w:trPr>
          <w:trHeight w:val="65"/>
        </w:trPr>
        <w:tc>
          <w:tcPr>
            <w:tcW w:w="3900" w:type="dxa"/>
            <w:vAlign w:val="bottom"/>
            <w:tcBorders>
              <w:bottom w:val="single" w:sz="8" w:color="A6A6A6"/>
            </w:tcBorders>
          </w:tcPr>
          <w:p>
            <w:pPr>
              <w:spacing w:after="0"/>
              <w:rPr>
                <w:sz w:val="5"/>
                <w:szCs w:val="5"/>
                <w:color w:val="auto"/>
              </w:rPr>
            </w:pPr>
          </w:p>
        </w:tc>
        <w:tc>
          <w:tcPr>
            <w:tcW w:w="1480" w:type="dxa"/>
            <w:vAlign w:val="bottom"/>
            <w:tcBorders>
              <w:bottom w:val="single" w:sz="8" w:color="A6A6A6"/>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Narrow" w:cs="Arial Narrow" w:eastAsia="Arial Narrow" w:hAnsi="Arial Narrow"/>
                <w:sz w:val="20"/>
                <w:szCs w:val="20"/>
                <w:b w:val="1"/>
                <w:bCs w:val="1"/>
                <w:color w:val="00085E"/>
              </w:rPr>
              <w:t>Cement Sales Volume (M tons)</w:t>
            </w:r>
          </w:p>
        </w:tc>
        <w:tc>
          <w:tcPr>
            <w:tcW w:w="1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390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3900" w:type="dxa"/>
            <w:vAlign w:val="bottom"/>
            <w:tcBorders>
              <w:bottom w:val="single" w:sz="8" w:color="A6A6A6"/>
            </w:tcBorders>
          </w:tcPr>
          <w:p>
            <w:pPr>
              <w:spacing w:after="0"/>
              <w:rPr>
                <w:sz w:val="5"/>
                <w:szCs w:val="5"/>
                <w:color w:val="auto"/>
              </w:rPr>
            </w:pPr>
          </w:p>
        </w:tc>
        <w:tc>
          <w:tcPr>
            <w:tcW w:w="1480" w:type="dxa"/>
            <w:vAlign w:val="bottom"/>
            <w:tcBorders>
              <w:bottom w:val="single" w:sz="8" w:color="A6A6A6"/>
            </w:tcBorders>
          </w:tcPr>
          <w:p>
            <w:pPr>
              <w:spacing w:after="0"/>
              <w:rPr>
                <w:sz w:val="5"/>
                <w:szCs w:val="5"/>
                <w:color w:val="auto"/>
              </w:rPr>
            </w:pPr>
          </w:p>
        </w:tc>
        <w:tc>
          <w:tcPr>
            <w:tcW w:w="300" w:type="dxa"/>
            <w:vAlign w:val="bottom"/>
            <w:tcBorders>
              <w:bottom w:val="single" w:sz="8" w:color="A6A6A6"/>
            </w:tcBorders>
          </w:tcPr>
          <w:p>
            <w:pPr>
              <w:spacing w:after="0"/>
              <w:rPr>
                <w:sz w:val="5"/>
                <w:szCs w:val="5"/>
                <w:color w:val="auto"/>
              </w:rPr>
            </w:pPr>
          </w:p>
        </w:tc>
        <w:tc>
          <w:tcPr>
            <w:tcW w:w="94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280" w:type="dxa"/>
            <w:vAlign w:val="bottom"/>
            <w:tcBorders>
              <w:bottom w:val="single" w:sz="8" w:color="A6A6A6"/>
            </w:tcBorders>
          </w:tcPr>
          <w:p>
            <w:pPr>
              <w:spacing w:after="0"/>
              <w:rPr>
                <w:sz w:val="5"/>
                <w:szCs w:val="5"/>
                <w:color w:val="auto"/>
              </w:rPr>
            </w:pPr>
          </w:p>
        </w:tc>
        <w:tc>
          <w:tcPr>
            <w:tcW w:w="94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20" w:type="dxa"/>
            <w:vAlign w:val="bottom"/>
            <w:tcBorders>
              <w:bottom w:val="single" w:sz="8" w:color="A6A6A6"/>
            </w:tcBorders>
          </w:tcPr>
          <w:p>
            <w:pPr>
              <w:spacing w:after="0"/>
              <w:rPr>
                <w:sz w:val="5"/>
                <w:szCs w:val="5"/>
                <w:color w:val="auto"/>
              </w:rPr>
            </w:pPr>
          </w:p>
        </w:tc>
        <w:tc>
          <w:tcPr>
            <w:tcW w:w="400" w:type="dxa"/>
            <w:vAlign w:val="bottom"/>
            <w:tcBorders>
              <w:bottom w:val="single" w:sz="8" w:color="A6A6A6"/>
            </w:tcBorders>
          </w:tcPr>
          <w:p>
            <w:pPr>
              <w:spacing w:after="0"/>
              <w:rPr>
                <w:sz w:val="5"/>
                <w:szCs w:val="5"/>
                <w:color w:val="auto"/>
              </w:rPr>
            </w:pPr>
          </w:p>
        </w:tc>
        <w:tc>
          <w:tcPr>
            <w:tcW w:w="84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3900" w:type="dxa"/>
            <w:vAlign w:val="bottom"/>
          </w:tcPr>
          <w:p>
            <w:pPr>
              <w:ind w:left="200"/>
              <w:spacing w:after="0"/>
              <w:rPr>
                <w:sz w:val="20"/>
                <w:szCs w:val="20"/>
                <w:color w:val="auto"/>
              </w:rPr>
            </w:pPr>
            <w:r>
              <w:rPr>
                <w:rFonts w:ascii="Arial Narrow" w:cs="Arial Narrow" w:eastAsia="Arial Narrow" w:hAnsi="Arial Narrow"/>
                <w:sz w:val="20"/>
                <w:szCs w:val="20"/>
                <w:b w:val="1"/>
                <w:bCs w:val="1"/>
                <w:color w:val="00085E"/>
              </w:rPr>
              <w:t>Wholly Owned</w:t>
            </w: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Narrow" w:cs="Arial Narrow" w:eastAsia="Arial Narrow" w:hAnsi="Arial Narrow"/>
                <w:sz w:val="20"/>
                <w:szCs w:val="20"/>
                <w:color w:val="auto"/>
              </w:rPr>
              <w:t>6,770</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Narrow" w:cs="Arial Narrow" w:eastAsia="Arial Narrow" w:hAnsi="Arial Narrow"/>
                <w:sz w:val="20"/>
                <w:szCs w:val="20"/>
                <w:color w:val="auto"/>
              </w:rPr>
              <w:t>6,237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Narrow" w:cs="Arial Narrow" w:eastAsia="Arial Narrow" w:hAnsi="Arial Narrow"/>
                <w:sz w:val="20"/>
                <w:szCs w:val="20"/>
                <w:color w:val="auto"/>
              </w:rPr>
              <w:t>6,610</w:t>
            </w:r>
          </w:p>
        </w:tc>
        <w:tc>
          <w:tcPr>
            <w:tcW w:w="0" w:type="dxa"/>
            <w:vAlign w:val="bottom"/>
          </w:tcPr>
          <w:p>
            <w:pPr>
              <w:spacing w:after="0"/>
              <w:rPr>
                <w:sz w:val="1"/>
                <w:szCs w:val="1"/>
                <w:color w:val="auto"/>
              </w:rPr>
            </w:pPr>
          </w:p>
        </w:tc>
      </w:tr>
      <w:tr>
        <w:trPr>
          <w:trHeight w:val="65"/>
        </w:trPr>
        <w:tc>
          <w:tcPr>
            <w:tcW w:w="3900" w:type="dxa"/>
            <w:vAlign w:val="bottom"/>
            <w:tcBorders>
              <w:bottom w:val="single" w:sz="8" w:color="A6A6A6"/>
            </w:tcBorders>
          </w:tcPr>
          <w:p>
            <w:pPr>
              <w:spacing w:after="0"/>
              <w:rPr>
                <w:sz w:val="5"/>
                <w:szCs w:val="5"/>
                <w:color w:val="auto"/>
              </w:rPr>
            </w:pPr>
          </w:p>
        </w:tc>
        <w:tc>
          <w:tcPr>
            <w:tcW w:w="1480" w:type="dxa"/>
            <w:vAlign w:val="bottom"/>
            <w:tcBorders>
              <w:bottom w:val="single" w:sz="8" w:color="A6A6A6"/>
            </w:tcBorders>
          </w:tcPr>
          <w:p>
            <w:pPr>
              <w:spacing w:after="0"/>
              <w:rPr>
                <w:sz w:val="5"/>
                <w:szCs w:val="5"/>
                <w:color w:val="auto"/>
              </w:rPr>
            </w:pPr>
          </w:p>
        </w:tc>
        <w:tc>
          <w:tcPr>
            <w:tcW w:w="300" w:type="dxa"/>
            <w:vAlign w:val="bottom"/>
            <w:tcBorders>
              <w:bottom w:val="single" w:sz="8" w:color="A6A6A6"/>
            </w:tcBorders>
          </w:tcPr>
          <w:p>
            <w:pPr>
              <w:spacing w:after="0"/>
              <w:rPr>
                <w:sz w:val="5"/>
                <w:szCs w:val="5"/>
                <w:color w:val="auto"/>
              </w:rPr>
            </w:pPr>
          </w:p>
        </w:tc>
        <w:tc>
          <w:tcPr>
            <w:tcW w:w="94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280" w:type="dxa"/>
            <w:vAlign w:val="bottom"/>
            <w:tcBorders>
              <w:bottom w:val="single" w:sz="8" w:color="A6A6A6"/>
            </w:tcBorders>
          </w:tcPr>
          <w:p>
            <w:pPr>
              <w:spacing w:after="0"/>
              <w:rPr>
                <w:sz w:val="5"/>
                <w:szCs w:val="5"/>
                <w:color w:val="auto"/>
              </w:rPr>
            </w:pPr>
          </w:p>
        </w:tc>
        <w:tc>
          <w:tcPr>
            <w:tcW w:w="94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20" w:type="dxa"/>
            <w:vAlign w:val="bottom"/>
            <w:tcBorders>
              <w:bottom w:val="single" w:sz="8" w:color="A6A6A6"/>
            </w:tcBorders>
          </w:tcPr>
          <w:p>
            <w:pPr>
              <w:spacing w:after="0"/>
              <w:rPr>
                <w:sz w:val="5"/>
                <w:szCs w:val="5"/>
                <w:color w:val="auto"/>
              </w:rPr>
            </w:pPr>
          </w:p>
        </w:tc>
        <w:tc>
          <w:tcPr>
            <w:tcW w:w="400" w:type="dxa"/>
            <w:vAlign w:val="bottom"/>
            <w:tcBorders>
              <w:bottom w:val="single" w:sz="8" w:color="A6A6A6"/>
            </w:tcBorders>
          </w:tcPr>
          <w:p>
            <w:pPr>
              <w:spacing w:after="0"/>
              <w:rPr>
                <w:sz w:val="5"/>
                <w:szCs w:val="5"/>
                <w:color w:val="auto"/>
              </w:rPr>
            </w:pPr>
          </w:p>
        </w:tc>
        <w:tc>
          <w:tcPr>
            <w:tcW w:w="84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3900" w:type="dxa"/>
            <w:vAlign w:val="bottom"/>
          </w:tcPr>
          <w:p>
            <w:pPr>
              <w:ind w:left="200"/>
              <w:spacing w:after="0"/>
              <w:rPr>
                <w:sz w:val="20"/>
                <w:szCs w:val="20"/>
                <w:color w:val="auto"/>
              </w:rPr>
            </w:pPr>
            <w:r>
              <w:rPr>
                <w:rFonts w:ascii="Arial Narrow" w:cs="Arial Narrow" w:eastAsia="Arial Narrow" w:hAnsi="Arial Narrow"/>
                <w:sz w:val="20"/>
                <w:szCs w:val="20"/>
                <w:b w:val="1"/>
                <w:bCs w:val="1"/>
                <w:color w:val="00085E"/>
              </w:rPr>
              <w:t>Joint Venture</w:t>
            </w: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Narrow" w:cs="Arial Narrow" w:eastAsia="Arial Narrow" w:hAnsi="Arial Narrow"/>
                <w:sz w:val="20"/>
                <w:szCs w:val="20"/>
                <w:color w:val="auto"/>
              </w:rPr>
              <w:t>701</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Narrow" w:cs="Arial Narrow" w:eastAsia="Arial Narrow" w:hAnsi="Arial Narrow"/>
                <w:sz w:val="20"/>
                <w:szCs w:val="20"/>
                <w:color w:val="auto"/>
              </w:rPr>
              <w:t>675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Narrow" w:cs="Arial Narrow" w:eastAsia="Arial Narrow" w:hAnsi="Arial Narrow"/>
                <w:sz w:val="20"/>
                <w:szCs w:val="20"/>
                <w:color w:val="auto"/>
              </w:rPr>
              <w:t>679</w:t>
            </w:r>
          </w:p>
        </w:tc>
        <w:tc>
          <w:tcPr>
            <w:tcW w:w="0" w:type="dxa"/>
            <w:vAlign w:val="bottom"/>
          </w:tcPr>
          <w:p>
            <w:pPr>
              <w:spacing w:after="0"/>
              <w:rPr>
                <w:sz w:val="1"/>
                <w:szCs w:val="1"/>
                <w:color w:val="auto"/>
              </w:rPr>
            </w:pPr>
          </w:p>
        </w:tc>
      </w:tr>
      <w:tr>
        <w:trPr>
          <w:trHeight w:val="90"/>
        </w:trPr>
        <w:tc>
          <w:tcPr>
            <w:tcW w:w="3900" w:type="dxa"/>
            <w:vAlign w:val="bottom"/>
            <w:tcBorders>
              <w:bottom w:val="single" w:sz="8" w:color="A6A6A6"/>
            </w:tcBorders>
          </w:tcPr>
          <w:p>
            <w:pPr>
              <w:spacing w:after="0"/>
              <w:rPr>
                <w:sz w:val="7"/>
                <w:szCs w:val="7"/>
                <w:color w:val="auto"/>
              </w:rPr>
            </w:pPr>
          </w:p>
        </w:tc>
        <w:tc>
          <w:tcPr>
            <w:tcW w:w="1480" w:type="dxa"/>
            <w:vAlign w:val="bottom"/>
            <w:tcBorders>
              <w:bottom w:val="single" w:sz="8" w:color="A6A6A6"/>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4"/>
        </w:trPr>
        <w:tc>
          <w:tcPr>
            <w:tcW w:w="39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Narrow" w:cs="Arial Narrow" w:eastAsia="Arial Narrow" w:hAnsi="Arial Narrow"/>
                <w:sz w:val="20"/>
                <w:szCs w:val="20"/>
                <w:b w:val="1"/>
                <w:bCs w:val="1"/>
                <w:color w:val="auto"/>
              </w:rPr>
              <w:t>7,471</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Narrow" w:cs="Arial Narrow" w:eastAsia="Arial Narrow" w:hAnsi="Arial Narrow"/>
                <w:sz w:val="20"/>
                <w:szCs w:val="20"/>
                <w:b w:val="1"/>
                <w:bCs w:val="1"/>
                <w:color w:val="auto"/>
              </w:rPr>
              <w:t>6,912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Narrow" w:cs="Arial Narrow" w:eastAsia="Arial Narrow" w:hAnsi="Arial Narrow"/>
                <w:sz w:val="20"/>
                <w:szCs w:val="20"/>
                <w:b w:val="1"/>
                <w:bCs w:val="1"/>
                <w:color w:val="auto"/>
              </w:rPr>
              <w:t>7,289</w:t>
            </w:r>
          </w:p>
        </w:tc>
        <w:tc>
          <w:tcPr>
            <w:tcW w:w="0" w:type="dxa"/>
            <w:vAlign w:val="bottom"/>
          </w:tcPr>
          <w:p>
            <w:pPr>
              <w:spacing w:after="0"/>
              <w:rPr>
                <w:sz w:val="1"/>
                <w:szCs w:val="1"/>
                <w:color w:val="auto"/>
              </w:rPr>
            </w:pPr>
          </w:p>
        </w:tc>
      </w:tr>
      <w:tr>
        <w:trPr>
          <w:trHeight w:val="65"/>
        </w:trPr>
        <w:tc>
          <w:tcPr>
            <w:tcW w:w="39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360"/>
          </w:cols>
          <w:pgMar w:left="1260" w:top="1267"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97</w:t>
      </w:r>
    </w:p>
    <w:p>
      <w:pPr>
        <w:sectPr>
          <w:pgSz w:w="11880" w:h="15480" w:orient="portrait"/>
          <w:cols w:equalWidth="0" w:num="1">
            <w:col w:w="9360"/>
          </w:cols>
          <w:pgMar w:left="1260" w:top="1267" w:right="1260" w:bottom="0" w:gutter="0" w:footer="0" w:header="0"/>
          <w:type w:val="continuous"/>
        </w:sectPr>
      </w:pPr>
    </w:p>
    <w:bookmarkStart w:id="105" w:name="page106"/>
    <w:bookmarkEnd w:id="105"/>
    <w:p>
      <w:pPr>
        <w:ind w:right="40"/>
        <w:spacing w:after="0" w:line="290" w:lineRule="auto"/>
        <w:rPr>
          <w:sz w:val="20"/>
          <w:szCs w:val="20"/>
          <w:color w:val="auto"/>
        </w:rPr>
      </w:pPr>
      <w:r>
        <w:rPr>
          <w:rFonts w:ascii="Arial" w:cs="Arial" w:eastAsia="Arial" w:hAnsi="Arial"/>
          <w:sz w:val="20"/>
          <w:szCs w:val="20"/>
          <w:color w:val="auto"/>
        </w:rPr>
        <w:t>Segment Operating Earnings, including the proportionately consolidated 50% interest in the revenue and expenses of the Joint Venture, represent Revenue less direct operating expenses, segment Depreciation, and segment Selling, General, and Administrative expenses. Segment Operating Earnings do not include certain nonrecurring losses, such as impairment and legal settlements. We account for intersegment sales at market prices. Corporate assets consist primarily of cash and cash equivalents, general office assets, and miscellaneous other assets.</w:t>
      </w:r>
    </w:p>
    <w:p>
      <w:pPr>
        <w:spacing w:after="0" w:line="73" w:lineRule="exact"/>
        <w:rPr>
          <w:sz w:val="20"/>
          <w:szCs w:val="20"/>
          <w:color w:val="auto"/>
        </w:rPr>
      </w:pPr>
    </w:p>
    <w:p>
      <w:pPr>
        <w:jc w:val="both"/>
        <w:ind w:right="340"/>
        <w:spacing w:after="0" w:line="303" w:lineRule="auto"/>
        <w:rPr>
          <w:sz w:val="20"/>
          <w:szCs w:val="20"/>
          <w:color w:val="auto"/>
        </w:rPr>
      </w:pPr>
      <w:r>
        <w:rPr>
          <w:rFonts w:ascii="Arial" w:cs="Arial" w:eastAsia="Arial" w:hAnsi="Arial"/>
          <w:sz w:val="20"/>
          <w:szCs w:val="20"/>
          <w:color w:val="auto"/>
        </w:rPr>
        <w:t>The basis used to disclose Identifiable Assets; Capital Expenditures; and Depreciation, Depletion, and Amortization conforms with the equity method, and is similar to how we disclose these accounts in our Consolidated Balance Sheets and Consolidated Statements of Earnings.</w:t>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color w:val="auto"/>
        </w:rPr>
        <w:t>The segment breakdown of Goodwill at March 31, 2026, and 2025 is shown below.</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20" w:type="dxa"/>
            <w:vAlign w:val="bottom"/>
            <w:gridSpan w:val="4"/>
          </w:tcPr>
          <w:p>
            <w:pPr>
              <w:jc w:val="right"/>
              <w:ind w:right="402"/>
              <w:spacing w:after="0"/>
              <w:rPr>
                <w:sz w:val="20"/>
                <w:szCs w:val="20"/>
                <w:color w:val="auto"/>
              </w:rPr>
            </w:pPr>
            <w:r>
              <w:rPr>
                <w:rFonts w:ascii="Arial Narrow" w:cs="Arial Narrow" w:eastAsia="Arial Narrow" w:hAnsi="Arial Narrow"/>
                <w:sz w:val="18"/>
                <w:szCs w:val="18"/>
                <w:b w:val="1"/>
                <w:bCs w:val="1"/>
                <w:color w:val="auto"/>
              </w:rPr>
              <w:t>For the Years Ended March 31,</w:t>
            </w:r>
          </w:p>
        </w:tc>
      </w:tr>
      <w:tr>
        <w:trPr>
          <w:trHeight w:val="21"/>
        </w:trPr>
        <w:tc>
          <w:tcPr>
            <w:tcW w:w="6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69"/>
        </w:trPr>
        <w:tc>
          <w:tcPr>
            <w:tcW w:w="6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ind w:right="25"/>
              <w:spacing w:after="0"/>
              <w:rPr>
                <w:sz w:val="20"/>
                <w:szCs w:val="20"/>
                <w:color w:val="auto"/>
              </w:rPr>
            </w:pPr>
            <w:r>
              <w:rPr>
                <w:rFonts w:ascii="Arial Narrow" w:cs="Arial Narrow" w:eastAsia="Arial Narrow" w:hAnsi="Arial Narrow"/>
                <w:sz w:val="18"/>
                <w:szCs w:val="18"/>
                <w:b w:val="1"/>
                <w:bCs w:val="1"/>
                <w:color w:val="auto"/>
              </w:rPr>
              <w:t>2026</w:t>
            </w: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20" w:type="dxa"/>
            <w:vAlign w:val="bottom"/>
          </w:tcPr>
          <w:p>
            <w:pPr>
              <w:jc w:val="right"/>
              <w:ind w:right="2"/>
              <w:spacing w:after="0"/>
              <w:rPr>
                <w:sz w:val="20"/>
                <w:szCs w:val="20"/>
                <w:color w:val="auto"/>
              </w:rPr>
            </w:pPr>
            <w:r>
              <w:rPr>
                <w:rFonts w:ascii="Arial Narrow" w:cs="Arial Narrow" w:eastAsia="Arial Narrow" w:hAnsi="Arial Narrow"/>
                <w:sz w:val="18"/>
                <w:szCs w:val="18"/>
                <w:b w:val="1"/>
                <w:bCs w:val="1"/>
                <w:color w:val="auto"/>
              </w:rPr>
              <w:t>2025</w:t>
            </w:r>
          </w:p>
        </w:tc>
      </w:tr>
      <w:tr>
        <w:trPr>
          <w:trHeight w:val="21"/>
        </w:trPr>
        <w:tc>
          <w:tcPr>
            <w:tcW w:w="6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44"/>
        </w:trPr>
        <w:tc>
          <w:tcPr>
            <w:tcW w:w="6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0" w:type="dxa"/>
            <w:vAlign w:val="bottom"/>
            <w:gridSpan w:val="3"/>
          </w:tcPr>
          <w:p>
            <w:pPr>
              <w:jc w:val="right"/>
              <w:ind w:right="140"/>
              <w:spacing w:after="0"/>
              <w:rPr>
                <w:sz w:val="20"/>
                <w:szCs w:val="20"/>
                <w:color w:val="auto"/>
              </w:rPr>
            </w:pPr>
            <w:r>
              <w:rPr>
                <w:rFonts w:ascii="Arial Narrow" w:cs="Arial Narrow" w:eastAsia="Arial Narrow" w:hAnsi="Arial Narrow"/>
                <w:sz w:val="16"/>
                <w:szCs w:val="16"/>
                <w:color w:val="auto"/>
              </w:rPr>
              <w:t>(dollars in thousands)</w:t>
            </w:r>
          </w:p>
        </w:tc>
        <w:tc>
          <w:tcPr>
            <w:tcW w:w="820" w:type="dxa"/>
            <w:vAlign w:val="bottom"/>
          </w:tcPr>
          <w:p>
            <w:pPr>
              <w:spacing w:after="0"/>
              <w:rPr>
                <w:sz w:val="21"/>
                <w:szCs w:val="21"/>
                <w:color w:val="auto"/>
              </w:rPr>
            </w:pPr>
          </w:p>
        </w:tc>
      </w:tr>
      <w:tr>
        <w:trPr>
          <w:trHeight w:val="48"/>
        </w:trPr>
        <w:tc>
          <w:tcPr>
            <w:tcW w:w="63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gridSpan w:val="2"/>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344"/>
        </w:trPr>
        <w:tc>
          <w:tcPr>
            <w:tcW w:w="6300" w:type="dxa"/>
            <w:vAlign w:val="bottom"/>
          </w:tcPr>
          <w:p>
            <w:pPr>
              <w:spacing w:after="0"/>
              <w:rPr>
                <w:sz w:val="20"/>
                <w:szCs w:val="20"/>
                <w:color w:val="auto"/>
              </w:rPr>
            </w:pPr>
            <w:r>
              <w:rPr>
                <w:rFonts w:ascii="Arial Narrow" w:cs="Arial Narrow" w:eastAsia="Arial Narrow" w:hAnsi="Arial Narrow"/>
                <w:sz w:val="20"/>
                <w:szCs w:val="20"/>
                <w:b w:val="1"/>
                <w:bCs w:val="1"/>
                <w:color w:val="386CAD"/>
              </w:rPr>
              <w:t>Cement</w:t>
            </w:r>
          </w:p>
        </w:tc>
        <w:tc>
          <w:tcPr>
            <w:tcW w:w="240" w:type="dxa"/>
            <w:vAlign w:val="bottom"/>
          </w:tcPr>
          <w:p>
            <w:pPr>
              <w:jc w:val="right"/>
              <w:ind w:right="70"/>
              <w:spacing w:after="0"/>
              <w:rPr>
                <w:sz w:val="20"/>
                <w:szCs w:val="20"/>
                <w:color w:val="auto"/>
              </w:rPr>
            </w:pPr>
            <w:r>
              <w:rPr>
                <w:rFonts w:ascii="Arial Narrow" w:cs="Arial Narrow" w:eastAsia="Arial Narrow" w:hAnsi="Arial Narrow"/>
                <w:sz w:val="18"/>
                <w:szCs w:val="18"/>
                <w:color w:val="auto"/>
                <w:w w:val="72"/>
              </w:rPr>
              <w:t>$</w:t>
            </w:r>
          </w:p>
        </w:tc>
        <w:tc>
          <w:tcPr>
            <w:tcW w:w="1220" w:type="dxa"/>
            <w:vAlign w:val="bottom"/>
          </w:tcPr>
          <w:p>
            <w:pPr>
              <w:jc w:val="right"/>
              <w:ind w:right="25"/>
              <w:spacing w:after="0"/>
              <w:rPr>
                <w:sz w:val="20"/>
                <w:szCs w:val="20"/>
                <w:color w:val="auto"/>
              </w:rPr>
            </w:pPr>
            <w:r>
              <w:rPr>
                <w:rFonts w:ascii="Arial Narrow" w:cs="Arial Narrow" w:eastAsia="Arial Narrow" w:hAnsi="Arial Narrow"/>
                <w:sz w:val="20"/>
                <w:szCs w:val="20"/>
                <w:color w:val="auto"/>
              </w:rPr>
              <w:t>227,639</w:t>
            </w:r>
          </w:p>
        </w:tc>
        <w:tc>
          <w:tcPr>
            <w:tcW w:w="780" w:type="dxa"/>
            <w:vAlign w:val="bottom"/>
            <w:gridSpan w:val="2"/>
          </w:tcPr>
          <w:p>
            <w:pPr>
              <w:jc w:val="right"/>
              <w:ind w:right="540"/>
              <w:spacing w:after="0"/>
              <w:rPr>
                <w:sz w:val="20"/>
                <w:szCs w:val="20"/>
                <w:color w:val="auto"/>
              </w:rPr>
            </w:pPr>
            <w:r>
              <w:rPr>
                <w:rFonts w:ascii="Arial Narrow" w:cs="Arial Narrow" w:eastAsia="Arial Narrow" w:hAnsi="Arial Narrow"/>
                <w:sz w:val="20"/>
                <w:szCs w:val="20"/>
                <w:color w:val="auto"/>
              </w:rPr>
              <w:t>$</w:t>
            </w:r>
          </w:p>
        </w:tc>
        <w:tc>
          <w:tcPr>
            <w:tcW w:w="820" w:type="dxa"/>
            <w:vAlign w:val="bottom"/>
          </w:tcPr>
          <w:p>
            <w:pPr>
              <w:jc w:val="right"/>
              <w:ind w:right="2"/>
              <w:spacing w:after="0"/>
              <w:rPr>
                <w:sz w:val="20"/>
                <w:szCs w:val="20"/>
                <w:color w:val="auto"/>
              </w:rPr>
            </w:pPr>
            <w:r>
              <w:rPr>
                <w:rFonts w:ascii="Arial Narrow" w:cs="Arial Narrow" w:eastAsia="Arial Narrow" w:hAnsi="Arial Narrow"/>
                <w:sz w:val="20"/>
                <w:szCs w:val="20"/>
                <w:color w:val="auto"/>
              </w:rPr>
              <w:t>227,639</w:t>
            </w:r>
          </w:p>
        </w:tc>
      </w:tr>
      <w:tr>
        <w:trPr>
          <w:trHeight w:val="65"/>
        </w:trPr>
        <w:tc>
          <w:tcPr>
            <w:tcW w:w="6300" w:type="dxa"/>
            <w:vAlign w:val="bottom"/>
            <w:tcBorders>
              <w:bottom w:val="single" w:sz="8" w:color="A6A6A6"/>
            </w:tcBorders>
          </w:tcPr>
          <w:p>
            <w:pPr>
              <w:spacing w:after="0"/>
              <w:rPr>
                <w:sz w:val="5"/>
                <w:szCs w:val="5"/>
                <w:color w:val="auto"/>
              </w:rPr>
            </w:pPr>
          </w:p>
        </w:tc>
        <w:tc>
          <w:tcPr>
            <w:tcW w:w="240" w:type="dxa"/>
            <w:vAlign w:val="bottom"/>
            <w:tcBorders>
              <w:bottom w:val="single" w:sz="8" w:color="A6A6A6"/>
            </w:tcBorders>
          </w:tcPr>
          <w:p>
            <w:pPr>
              <w:spacing w:after="0"/>
              <w:rPr>
                <w:sz w:val="5"/>
                <w:szCs w:val="5"/>
                <w:color w:val="auto"/>
              </w:rPr>
            </w:pPr>
          </w:p>
        </w:tc>
        <w:tc>
          <w:tcPr>
            <w:tcW w:w="122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620" w:type="dxa"/>
            <w:vAlign w:val="bottom"/>
            <w:tcBorders>
              <w:bottom w:val="single" w:sz="8" w:color="A6A6A6"/>
            </w:tcBorders>
          </w:tcPr>
          <w:p>
            <w:pPr>
              <w:spacing w:after="0"/>
              <w:rPr>
                <w:sz w:val="5"/>
                <w:szCs w:val="5"/>
                <w:color w:val="auto"/>
              </w:rPr>
            </w:pPr>
          </w:p>
        </w:tc>
        <w:tc>
          <w:tcPr>
            <w:tcW w:w="820" w:type="dxa"/>
            <w:vAlign w:val="bottom"/>
            <w:tcBorders>
              <w:bottom w:val="single" w:sz="8" w:color="A6A6A6"/>
            </w:tcBorders>
          </w:tcPr>
          <w:p>
            <w:pPr>
              <w:spacing w:after="0"/>
              <w:rPr>
                <w:sz w:val="5"/>
                <w:szCs w:val="5"/>
                <w:color w:val="auto"/>
              </w:rPr>
            </w:pPr>
          </w:p>
        </w:tc>
      </w:tr>
      <w:tr>
        <w:trPr>
          <w:trHeight w:val="339"/>
        </w:trPr>
        <w:tc>
          <w:tcPr>
            <w:tcW w:w="6300" w:type="dxa"/>
            <w:vAlign w:val="bottom"/>
          </w:tcPr>
          <w:p>
            <w:pPr>
              <w:spacing w:after="0"/>
              <w:rPr>
                <w:sz w:val="20"/>
                <w:szCs w:val="20"/>
                <w:color w:val="auto"/>
              </w:rPr>
            </w:pPr>
            <w:r>
              <w:rPr>
                <w:rFonts w:ascii="Arial Narrow" w:cs="Arial Narrow" w:eastAsia="Arial Narrow" w:hAnsi="Arial Narrow"/>
                <w:sz w:val="20"/>
                <w:szCs w:val="20"/>
                <w:b w:val="1"/>
                <w:bCs w:val="1"/>
                <w:color w:val="43A8B4"/>
              </w:rPr>
              <w:t>Concrete and Aggregates</w:t>
            </w:r>
          </w:p>
        </w:tc>
        <w:tc>
          <w:tcPr>
            <w:tcW w:w="240" w:type="dxa"/>
            <w:vAlign w:val="bottom"/>
          </w:tcPr>
          <w:p>
            <w:pPr>
              <w:spacing w:after="0"/>
              <w:rPr>
                <w:sz w:val="24"/>
                <w:szCs w:val="24"/>
                <w:color w:val="auto"/>
              </w:rPr>
            </w:pPr>
          </w:p>
        </w:tc>
        <w:tc>
          <w:tcPr>
            <w:tcW w:w="1220" w:type="dxa"/>
            <w:vAlign w:val="bottom"/>
          </w:tcPr>
          <w:p>
            <w:pPr>
              <w:jc w:val="right"/>
              <w:ind w:right="25"/>
              <w:spacing w:after="0"/>
              <w:rPr>
                <w:sz w:val="20"/>
                <w:szCs w:val="20"/>
                <w:color w:val="auto"/>
              </w:rPr>
            </w:pPr>
            <w:r>
              <w:rPr>
                <w:rFonts w:ascii="Arial Narrow" w:cs="Arial Narrow" w:eastAsia="Arial Narrow" w:hAnsi="Arial Narrow"/>
                <w:sz w:val="20"/>
                <w:szCs w:val="20"/>
                <w:color w:val="auto"/>
              </w:rPr>
              <w:t>118,878</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jc w:val="right"/>
              <w:ind w:right="2"/>
              <w:spacing w:after="0"/>
              <w:rPr>
                <w:sz w:val="20"/>
                <w:szCs w:val="20"/>
                <w:color w:val="auto"/>
              </w:rPr>
            </w:pPr>
            <w:r>
              <w:rPr>
                <w:rFonts w:ascii="Arial Narrow" w:cs="Arial Narrow" w:eastAsia="Arial Narrow" w:hAnsi="Arial Narrow"/>
                <w:sz w:val="20"/>
                <w:szCs w:val="20"/>
                <w:color w:val="auto"/>
              </w:rPr>
              <w:t>118,099</w:t>
            </w:r>
          </w:p>
        </w:tc>
      </w:tr>
      <w:tr>
        <w:trPr>
          <w:trHeight w:val="65"/>
        </w:trPr>
        <w:tc>
          <w:tcPr>
            <w:tcW w:w="6300" w:type="dxa"/>
            <w:vAlign w:val="bottom"/>
            <w:tcBorders>
              <w:bottom w:val="single" w:sz="8" w:color="A6A6A6"/>
            </w:tcBorders>
          </w:tcPr>
          <w:p>
            <w:pPr>
              <w:spacing w:after="0"/>
              <w:rPr>
                <w:sz w:val="5"/>
                <w:szCs w:val="5"/>
                <w:color w:val="auto"/>
              </w:rPr>
            </w:pPr>
          </w:p>
        </w:tc>
        <w:tc>
          <w:tcPr>
            <w:tcW w:w="240" w:type="dxa"/>
            <w:vAlign w:val="bottom"/>
            <w:tcBorders>
              <w:bottom w:val="single" w:sz="8" w:color="A6A6A6"/>
            </w:tcBorders>
          </w:tcPr>
          <w:p>
            <w:pPr>
              <w:spacing w:after="0"/>
              <w:rPr>
                <w:sz w:val="5"/>
                <w:szCs w:val="5"/>
                <w:color w:val="auto"/>
              </w:rPr>
            </w:pPr>
          </w:p>
        </w:tc>
        <w:tc>
          <w:tcPr>
            <w:tcW w:w="122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620" w:type="dxa"/>
            <w:vAlign w:val="bottom"/>
            <w:tcBorders>
              <w:bottom w:val="single" w:sz="8" w:color="A6A6A6"/>
            </w:tcBorders>
          </w:tcPr>
          <w:p>
            <w:pPr>
              <w:spacing w:after="0"/>
              <w:rPr>
                <w:sz w:val="5"/>
                <w:szCs w:val="5"/>
                <w:color w:val="auto"/>
              </w:rPr>
            </w:pPr>
          </w:p>
        </w:tc>
        <w:tc>
          <w:tcPr>
            <w:tcW w:w="820" w:type="dxa"/>
            <w:vAlign w:val="bottom"/>
            <w:tcBorders>
              <w:bottom w:val="single" w:sz="8" w:color="A6A6A6"/>
            </w:tcBorders>
          </w:tcPr>
          <w:p>
            <w:pPr>
              <w:spacing w:after="0"/>
              <w:rPr>
                <w:sz w:val="5"/>
                <w:szCs w:val="5"/>
                <w:color w:val="auto"/>
              </w:rPr>
            </w:pPr>
          </w:p>
        </w:tc>
      </w:tr>
      <w:tr>
        <w:trPr>
          <w:trHeight w:val="339"/>
        </w:trPr>
        <w:tc>
          <w:tcPr>
            <w:tcW w:w="6300" w:type="dxa"/>
            <w:vAlign w:val="bottom"/>
          </w:tcPr>
          <w:p>
            <w:pPr>
              <w:spacing w:after="0"/>
              <w:rPr>
                <w:sz w:val="20"/>
                <w:szCs w:val="20"/>
                <w:color w:val="auto"/>
              </w:rPr>
            </w:pPr>
            <w:r>
              <w:rPr>
                <w:rFonts w:ascii="Arial Narrow" w:cs="Arial Narrow" w:eastAsia="Arial Narrow" w:hAnsi="Arial Narrow"/>
                <w:sz w:val="20"/>
                <w:szCs w:val="20"/>
                <w:b w:val="1"/>
                <w:bCs w:val="1"/>
                <w:color w:val="5F7D1D"/>
              </w:rPr>
              <w:t>Gypsum Wallboard</w:t>
            </w:r>
          </w:p>
        </w:tc>
        <w:tc>
          <w:tcPr>
            <w:tcW w:w="240" w:type="dxa"/>
            <w:vAlign w:val="bottom"/>
          </w:tcPr>
          <w:p>
            <w:pPr>
              <w:spacing w:after="0"/>
              <w:rPr>
                <w:sz w:val="24"/>
                <w:szCs w:val="24"/>
                <w:color w:val="auto"/>
              </w:rPr>
            </w:pPr>
          </w:p>
        </w:tc>
        <w:tc>
          <w:tcPr>
            <w:tcW w:w="1220" w:type="dxa"/>
            <w:vAlign w:val="bottom"/>
          </w:tcPr>
          <w:p>
            <w:pPr>
              <w:jc w:val="right"/>
              <w:ind w:right="25"/>
              <w:spacing w:after="0"/>
              <w:rPr>
                <w:sz w:val="20"/>
                <w:szCs w:val="20"/>
                <w:color w:val="auto"/>
              </w:rPr>
            </w:pPr>
            <w:r>
              <w:rPr>
                <w:rFonts w:ascii="Arial Narrow" w:cs="Arial Narrow" w:eastAsia="Arial Narrow" w:hAnsi="Arial Narrow"/>
                <w:sz w:val="20"/>
                <w:szCs w:val="20"/>
                <w:color w:val="auto"/>
              </w:rPr>
              <w:t>116,618</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jc w:val="right"/>
              <w:ind w:right="2"/>
              <w:spacing w:after="0"/>
              <w:rPr>
                <w:sz w:val="20"/>
                <w:szCs w:val="20"/>
                <w:color w:val="auto"/>
              </w:rPr>
            </w:pPr>
            <w:r>
              <w:rPr>
                <w:rFonts w:ascii="Arial Narrow" w:cs="Arial Narrow" w:eastAsia="Arial Narrow" w:hAnsi="Arial Narrow"/>
                <w:sz w:val="20"/>
                <w:szCs w:val="20"/>
                <w:color w:val="auto"/>
              </w:rPr>
              <w:t>116,618</w:t>
            </w:r>
          </w:p>
        </w:tc>
      </w:tr>
      <w:tr>
        <w:trPr>
          <w:trHeight w:val="65"/>
        </w:trPr>
        <w:tc>
          <w:tcPr>
            <w:tcW w:w="6300" w:type="dxa"/>
            <w:vAlign w:val="bottom"/>
            <w:tcBorders>
              <w:bottom w:val="single" w:sz="8" w:color="A6A6A6"/>
            </w:tcBorders>
          </w:tcPr>
          <w:p>
            <w:pPr>
              <w:spacing w:after="0"/>
              <w:rPr>
                <w:sz w:val="5"/>
                <w:szCs w:val="5"/>
                <w:color w:val="auto"/>
              </w:rPr>
            </w:pPr>
          </w:p>
        </w:tc>
        <w:tc>
          <w:tcPr>
            <w:tcW w:w="240" w:type="dxa"/>
            <w:vAlign w:val="bottom"/>
            <w:tcBorders>
              <w:bottom w:val="single" w:sz="8" w:color="A6A6A6"/>
            </w:tcBorders>
          </w:tcPr>
          <w:p>
            <w:pPr>
              <w:spacing w:after="0"/>
              <w:rPr>
                <w:sz w:val="5"/>
                <w:szCs w:val="5"/>
                <w:color w:val="auto"/>
              </w:rPr>
            </w:pPr>
          </w:p>
        </w:tc>
        <w:tc>
          <w:tcPr>
            <w:tcW w:w="122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620" w:type="dxa"/>
            <w:vAlign w:val="bottom"/>
            <w:tcBorders>
              <w:bottom w:val="single" w:sz="8" w:color="A6A6A6"/>
            </w:tcBorders>
          </w:tcPr>
          <w:p>
            <w:pPr>
              <w:spacing w:after="0"/>
              <w:rPr>
                <w:sz w:val="5"/>
                <w:szCs w:val="5"/>
                <w:color w:val="auto"/>
              </w:rPr>
            </w:pPr>
          </w:p>
        </w:tc>
        <w:tc>
          <w:tcPr>
            <w:tcW w:w="820" w:type="dxa"/>
            <w:vAlign w:val="bottom"/>
            <w:tcBorders>
              <w:bottom w:val="single" w:sz="8" w:color="A6A6A6"/>
            </w:tcBorders>
          </w:tcPr>
          <w:p>
            <w:pPr>
              <w:spacing w:after="0"/>
              <w:rPr>
                <w:sz w:val="5"/>
                <w:szCs w:val="5"/>
                <w:color w:val="auto"/>
              </w:rPr>
            </w:pPr>
          </w:p>
        </w:tc>
      </w:tr>
      <w:tr>
        <w:trPr>
          <w:trHeight w:val="339"/>
        </w:trPr>
        <w:tc>
          <w:tcPr>
            <w:tcW w:w="6300" w:type="dxa"/>
            <w:vAlign w:val="bottom"/>
          </w:tcPr>
          <w:p>
            <w:pPr>
              <w:spacing w:after="0"/>
              <w:rPr>
                <w:sz w:val="20"/>
                <w:szCs w:val="20"/>
                <w:color w:val="auto"/>
              </w:rPr>
            </w:pPr>
            <w:r>
              <w:rPr>
                <w:rFonts w:ascii="Arial Narrow" w:cs="Arial Narrow" w:eastAsia="Arial Narrow" w:hAnsi="Arial Narrow"/>
                <w:sz w:val="20"/>
                <w:szCs w:val="20"/>
                <w:b w:val="1"/>
                <w:bCs w:val="1"/>
                <w:color w:val="7BB25C"/>
              </w:rPr>
              <w:t>Recycled Paperboard</w:t>
            </w:r>
          </w:p>
        </w:tc>
        <w:tc>
          <w:tcPr>
            <w:tcW w:w="240" w:type="dxa"/>
            <w:vAlign w:val="bottom"/>
          </w:tcPr>
          <w:p>
            <w:pPr>
              <w:spacing w:after="0"/>
              <w:rPr>
                <w:sz w:val="24"/>
                <w:szCs w:val="24"/>
                <w:color w:val="auto"/>
              </w:rPr>
            </w:pPr>
          </w:p>
        </w:tc>
        <w:tc>
          <w:tcPr>
            <w:tcW w:w="1220" w:type="dxa"/>
            <w:vAlign w:val="bottom"/>
          </w:tcPr>
          <w:p>
            <w:pPr>
              <w:jc w:val="right"/>
              <w:ind w:right="25"/>
              <w:spacing w:after="0"/>
              <w:rPr>
                <w:sz w:val="20"/>
                <w:szCs w:val="20"/>
                <w:color w:val="auto"/>
              </w:rPr>
            </w:pPr>
            <w:r>
              <w:rPr>
                <w:rFonts w:ascii="Arial Narrow" w:cs="Arial Narrow" w:eastAsia="Arial Narrow" w:hAnsi="Arial Narrow"/>
                <w:sz w:val="20"/>
                <w:szCs w:val="20"/>
                <w:color w:val="auto"/>
              </w:rPr>
              <w:t>7,538</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jc w:val="right"/>
              <w:ind w:right="2"/>
              <w:spacing w:after="0"/>
              <w:rPr>
                <w:sz w:val="20"/>
                <w:szCs w:val="20"/>
                <w:color w:val="auto"/>
              </w:rPr>
            </w:pPr>
            <w:r>
              <w:rPr>
                <w:rFonts w:ascii="Arial Narrow" w:cs="Arial Narrow" w:eastAsia="Arial Narrow" w:hAnsi="Arial Narrow"/>
                <w:sz w:val="20"/>
                <w:szCs w:val="20"/>
                <w:color w:val="auto"/>
              </w:rPr>
              <w:t>7,538</w:t>
            </w:r>
          </w:p>
        </w:tc>
      </w:tr>
      <w:tr>
        <w:trPr>
          <w:trHeight w:val="90"/>
        </w:trPr>
        <w:tc>
          <w:tcPr>
            <w:tcW w:w="6300" w:type="dxa"/>
            <w:vAlign w:val="bottom"/>
            <w:tcBorders>
              <w:bottom w:val="single" w:sz="8" w:color="A6A6A6"/>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r>
      <w:tr>
        <w:trPr>
          <w:trHeight w:val="344"/>
        </w:trPr>
        <w:tc>
          <w:tcPr>
            <w:tcW w:w="6300" w:type="dxa"/>
            <w:vAlign w:val="bottom"/>
          </w:tcPr>
          <w:p>
            <w:pPr>
              <w:spacing w:after="0"/>
              <w:rPr>
                <w:sz w:val="24"/>
                <w:szCs w:val="24"/>
                <w:color w:val="auto"/>
              </w:rPr>
            </w:pPr>
          </w:p>
        </w:tc>
        <w:tc>
          <w:tcPr>
            <w:tcW w:w="240" w:type="dxa"/>
            <w:vAlign w:val="bottom"/>
          </w:tcPr>
          <w:p>
            <w:pPr>
              <w:jc w:val="right"/>
              <w:ind w:right="70"/>
              <w:spacing w:after="0"/>
              <w:rPr>
                <w:sz w:val="20"/>
                <w:szCs w:val="20"/>
                <w:color w:val="auto"/>
              </w:rPr>
            </w:pPr>
            <w:r>
              <w:rPr>
                <w:rFonts w:ascii="Arial Narrow" w:cs="Arial Narrow" w:eastAsia="Arial Narrow" w:hAnsi="Arial Narrow"/>
                <w:sz w:val="18"/>
                <w:szCs w:val="18"/>
                <w:b w:val="1"/>
                <w:bCs w:val="1"/>
                <w:color w:val="auto"/>
                <w:w w:val="72"/>
              </w:rPr>
              <w:t>$</w:t>
            </w:r>
          </w:p>
        </w:tc>
        <w:tc>
          <w:tcPr>
            <w:tcW w:w="1220" w:type="dxa"/>
            <w:vAlign w:val="bottom"/>
          </w:tcPr>
          <w:p>
            <w:pPr>
              <w:jc w:val="right"/>
              <w:ind w:right="25"/>
              <w:spacing w:after="0"/>
              <w:rPr>
                <w:sz w:val="20"/>
                <w:szCs w:val="20"/>
                <w:color w:val="auto"/>
              </w:rPr>
            </w:pPr>
            <w:r>
              <w:rPr>
                <w:rFonts w:ascii="Arial Narrow" w:cs="Arial Narrow" w:eastAsia="Arial Narrow" w:hAnsi="Arial Narrow"/>
                <w:sz w:val="20"/>
                <w:szCs w:val="20"/>
                <w:b w:val="1"/>
                <w:bCs w:val="1"/>
                <w:color w:val="auto"/>
              </w:rPr>
              <w:t>470,673</w:t>
            </w:r>
          </w:p>
        </w:tc>
        <w:tc>
          <w:tcPr>
            <w:tcW w:w="780" w:type="dxa"/>
            <w:vAlign w:val="bottom"/>
            <w:gridSpan w:val="2"/>
          </w:tcPr>
          <w:p>
            <w:pPr>
              <w:jc w:val="right"/>
              <w:ind w:right="540"/>
              <w:spacing w:after="0"/>
              <w:rPr>
                <w:sz w:val="20"/>
                <w:szCs w:val="20"/>
                <w:color w:val="auto"/>
              </w:rPr>
            </w:pPr>
            <w:r>
              <w:rPr>
                <w:rFonts w:ascii="Arial Narrow" w:cs="Arial Narrow" w:eastAsia="Arial Narrow" w:hAnsi="Arial Narrow"/>
                <w:sz w:val="20"/>
                <w:szCs w:val="20"/>
                <w:b w:val="1"/>
                <w:bCs w:val="1"/>
                <w:color w:val="auto"/>
              </w:rPr>
              <w:t>$</w:t>
            </w:r>
          </w:p>
        </w:tc>
        <w:tc>
          <w:tcPr>
            <w:tcW w:w="820" w:type="dxa"/>
            <w:vAlign w:val="bottom"/>
          </w:tcPr>
          <w:p>
            <w:pPr>
              <w:jc w:val="right"/>
              <w:ind w:right="2"/>
              <w:spacing w:after="0"/>
              <w:rPr>
                <w:sz w:val="20"/>
                <w:szCs w:val="20"/>
                <w:color w:val="auto"/>
              </w:rPr>
            </w:pPr>
            <w:r>
              <w:rPr>
                <w:rFonts w:ascii="Arial Narrow" w:cs="Arial Narrow" w:eastAsia="Arial Narrow" w:hAnsi="Arial Narrow"/>
                <w:sz w:val="20"/>
                <w:szCs w:val="20"/>
                <w:b w:val="1"/>
                <w:bCs w:val="1"/>
                <w:color w:val="auto"/>
              </w:rPr>
              <w:t>469,894</w:t>
            </w:r>
          </w:p>
        </w:tc>
      </w:tr>
      <w:tr>
        <w:trPr>
          <w:trHeight w:val="65"/>
        </w:trPr>
        <w:tc>
          <w:tcPr>
            <w:tcW w:w="63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r>
      <w:tr>
        <w:trPr>
          <w:trHeight w:val="20"/>
        </w:trPr>
        <w:tc>
          <w:tcPr>
            <w:tcW w:w="6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40"/>
        <w:spacing w:after="0" w:line="303" w:lineRule="auto"/>
        <w:rPr>
          <w:sz w:val="20"/>
          <w:szCs w:val="20"/>
          <w:color w:val="auto"/>
        </w:rPr>
      </w:pPr>
      <w:r>
        <w:rPr>
          <w:rFonts w:ascii="Arial" w:cs="Arial" w:eastAsia="Arial" w:hAnsi="Arial"/>
          <w:sz w:val="20"/>
          <w:szCs w:val="20"/>
          <w:color w:val="auto"/>
        </w:rPr>
        <w:t>Summarized financial information for the Joint Venture that is not consolidated is set out below. The summarized financial information includes the total amount of the Joint Venture and not our 50% interest in those amounts.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20" w:type="dxa"/>
            <w:vAlign w:val="bottom"/>
            <w:gridSpan w:val="4"/>
          </w:tcPr>
          <w:p>
            <w:pPr>
              <w:jc w:val="center"/>
              <w:ind w:right="242"/>
              <w:spacing w:after="0"/>
              <w:rPr>
                <w:sz w:val="20"/>
                <w:szCs w:val="20"/>
                <w:color w:val="auto"/>
              </w:rPr>
            </w:pPr>
            <w:r>
              <w:rPr>
                <w:rFonts w:ascii="Arial Narrow" w:cs="Arial Narrow" w:eastAsia="Arial Narrow" w:hAnsi="Arial Narrow"/>
                <w:sz w:val="18"/>
                <w:szCs w:val="18"/>
                <w:b w:val="1"/>
                <w:bCs w:val="1"/>
                <w:color w:val="auto"/>
              </w:rPr>
              <w:t>For the Years Ended March 31,</w:t>
            </w:r>
          </w:p>
        </w:tc>
      </w:tr>
      <w:tr>
        <w:trPr>
          <w:trHeight w:val="21"/>
        </w:trPr>
        <w:tc>
          <w:tcPr>
            <w:tcW w:w="6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69"/>
        </w:trPr>
        <w:tc>
          <w:tcPr>
            <w:tcW w:w="6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ind w:right="26"/>
              <w:spacing w:after="0"/>
              <w:rPr>
                <w:sz w:val="20"/>
                <w:szCs w:val="20"/>
                <w:color w:val="auto"/>
              </w:rPr>
            </w:pPr>
            <w:r>
              <w:rPr>
                <w:rFonts w:ascii="Arial Narrow" w:cs="Arial Narrow" w:eastAsia="Arial Narrow" w:hAnsi="Arial Narrow"/>
                <w:sz w:val="18"/>
                <w:szCs w:val="18"/>
                <w:b w:val="1"/>
                <w:bCs w:val="1"/>
                <w:color w:val="auto"/>
              </w:rPr>
              <w:t>2026</w:t>
            </w: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20" w:type="dxa"/>
            <w:vAlign w:val="bottom"/>
          </w:tcPr>
          <w:p>
            <w:pPr>
              <w:jc w:val="right"/>
              <w:ind w:right="2"/>
              <w:spacing w:after="0"/>
              <w:rPr>
                <w:sz w:val="20"/>
                <w:szCs w:val="20"/>
                <w:color w:val="auto"/>
              </w:rPr>
            </w:pPr>
            <w:r>
              <w:rPr>
                <w:rFonts w:ascii="Arial Narrow" w:cs="Arial Narrow" w:eastAsia="Arial Narrow" w:hAnsi="Arial Narrow"/>
                <w:sz w:val="18"/>
                <w:szCs w:val="18"/>
                <w:b w:val="1"/>
                <w:bCs w:val="1"/>
                <w:color w:val="auto"/>
              </w:rPr>
              <w:t>2025</w:t>
            </w:r>
          </w:p>
        </w:tc>
      </w:tr>
      <w:tr>
        <w:trPr>
          <w:trHeight w:val="21"/>
        </w:trPr>
        <w:tc>
          <w:tcPr>
            <w:tcW w:w="6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44"/>
        </w:trPr>
        <w:tc>
          <w:tcPr>
            <w:tcW w:w="6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0" w:type="dxa"/>
            <w:vAlign w:val="bottom"/>
            <w:gridSpan w:val="3"/>
          </w:tcPr>
          <w:p>
            <w:pPr>
              <w:jc w:val="center"/>
              <w:ind w:left="386"/>
              <w:spacing w:after="0"/>
              <w:rPr>
                <w:sz w:val="20"/>
                <w:szCs w:val="20"/>
                <w:color w:val="auto"/>
              </w:rPr>
            </w:pPr>
            <w:r>
              <w:rPr>
                <w:rFonts w:ascii="Arial Narrow" w:cs="Arial Narrow" w:eastAsia="Arial Narrow" w:hAnsi="Arial Narrow"/>
                <w:sz w:val="16"/>
                <w:szCs w:val="16"/>
                <w:color w:val="auto"/>
                <w:w w:val="98"/>
              </w:rPr>
              <w:t>(dollars in thousands)</w:t>
            </w:r>
          </w:p>
        </w:tc>
        <w:tc>
          <w:tcPr>
            <w:tcW w:w="820" w:type="dxa"/>
            <w:vAlign w:val="bottom"/>
          </w:tcPr>
          <w:p>
            <w:pPr>
              <w:spacing w:after="0"/>
              <w:rPr>
                <w:sz w:val="21"/>
                <w:szCs w:val="21"/>
                <w:color w:val="auto"/>
              </w:rPr>
            </w:pPr>
          </w:p>
        </w:tc>
      </w:tr>
      <w:tr>
        <w:trPr>
          <w:trHeight w:val="48"/>
        </w:trPr>
        <w:tc>
          <w:tcPr>
            <w:tcW w:w="63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gridSpan w:val="2"/>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344"/>
        </w:trPr>
        <w:tc>
          <w:tcPr>
            <w:tcW w:w="6300" w:type="dxa"/>
            <w:vAlign w:val="bottom"/>
          </w:tcPr>
          <w:p>
            <w:pPr>
              <w:spacing w:after="0"/>
              <w:rPr>
                <w:sz w:val="20"/>
                <w:szCs w:val="20"/>
                <w:color w:val="auto"/>
              </w:rPr>
            </w:pPr>
            <w:r>
              <w:rPr>
                <w:rFonts w:ascii="Arial Narrow" w:cs="Arial Narrow" w:eastAsia="Arial Narrow" w:hAnsi="Arial Narrow"/>
                <w:sz w:val="20"/>
                <w:szCs w:val="20"/>
                <w:b w:val="1"/>
                <w:bCs w:val="1"/>
                <w:color w:val="00085E"/>
              </w:rPr>
              <w:t>Revenue</w:t>
            </w:r>
          </w:p>
        </w:tc>
        <w:tc>
          <w:tcPr>
            <w:tcW w:w="240" w:type="dxa"/>
            <w:vAlign w:val="bottom"/>
          </w:tcPr>
          <w:p>
            <w:pPr>
              <w:jc w:val="right"/>
              <w:ind w:right="70"/>
              <w:spacing w:after="0"/>
              <w:rPr>
                <w:sz w:val="20"/>
                <w:szCs w:val="20"/>
                <w:color w:val="auto"/>
              </w:rPr>
            </w:pPr>
            <w:r>
              <w:rPr>
                <w:rFonts w:ascii="Arial Narrow" w:cs="Arial Narrow" w:eastAsia="Arial Narrow" w:hAnsi="Arial Narrow"/>
                <w:sz w:val="18"/>
                <w:szCs w:val="18"/>
                <w:color w:val="auto"/>
                <w:w w:val="72"/>
              </w:rPr>
              <w:t>$</w:t>
            </w:r>
          </w:p>
        </w:tc>
        <w:tc>
          <w:tcPr>
            <w:tcW w:w="1220" w:type="dxa"/>
            <w:vAlign w:val="bottom"/>
          </w:tcPr>
          <w:p>
            <w:pPr>
              <w:jc w:val="right"/>
              <w:ind w:right="26"/>
              <w:spacing w:after="0"/>
              <w:rPr>
                <w:sz w:val="20"/>
                <w:szCs w:val="20"/>
                <w:color w:val="auto"/>
              </w:rPr>
            </w:pPr>
            <w:r>
              <w:rPr>
                <w:rFonts w:ascii="Arial Narrow" w:cs="Arial Narrow" w:eastAsia="Arial Narrow" w:hAnsi="Arial Narrow"/>
                <w:sz w:val="20"/>
                <w:szCs w:val="20"/>
                <w:color w:val="auto"/>
              </w:rPr>
              <w:t>238,681</w:t>
            </w:r>
          </w:p>
        </w:tc>
        <w:tc>
          <w:tcPr>
            <w:tcW w:w="780" w:type="dxa"/>
            <w:vAlign w:val="bottom"/>
            <w:gridSpan w:val="2"/>
          </w:tcPr>
          <w:p>
            <w:pPr>
              <w:jc w:val="right"/>
              <w:ind w:right="540"/>
              <w:spacing w:after="0"/>
              <w:rPr>
                <w:sz w:val="20"/>
                <w:szCs w:val="20"/>
                <w:color w:val="auto"/>
              </w:rPr>
            </w:pPr>
            <w:r>
              <w:rPr>
                <w:rFonts w:ascii="Arial Narrow" w:cs="Arial Narrow" w:eastAsia="Arial Narrow" w:hAnsi="Arial Narrow"/>
                <w:sz w:val="20"/>
                <w:szCs w:val="20"/>
                <w:color w:val="auto"/>
              </w:rPr>
              <w:t>$</w:t>
            </w:r>
          </w:p>
        </w:tc>
        <w:tc>
          <w:tcPr>
            <w:tcW w:w="820" w:type="dxa"/>
            <w:vAlign w:val="bottom"/>
          </w:tcPr>
          <w:p>
            <w:pPr>
              <w:jc w:val="right"/>
              <w:ind w:right="2"/>
              <w:spacing w:after="0"/>
              <w:rPr>
                <w:sz w:val="20"/>
                <w:szCs w:val="20"/>
                <w:color w:val="auto"/>
              </w:rPr>
            </w:pPr>
            <w:r>
              <w:rPr>
                <w:rFonts w:ascii="Arial Narrow" w:cs="Arial Narrow" w:eastAsia="Arial Narrow" w:hAnsi="Arial Narrow"/>
                <w:sz w:val="20"/>
                <w:szCs w:val="20"/>
                <w:color w:val="auto"/>
              </w:rPr>
              <w:t>221,937</w:t>
            </w:r>
          </w:p>
        </w:tc>
      </w:tr>
      <w:tr>
        <w:trPr>
          <w:trHeight w:val="65"/>
        </w:trPr>
        <w:tc>
          <w:tcPr>
            <w:tcW w:w="6300" w:type="dxa"/>
            <w:vAlign w:val="bottom"/>
            <w:tcBorders>
              <w:bottom w:val="single" w:sz="8" w:color="A6A6A6"/>
            </w:tcBorders>
          </w:tcPr>
          <w:p>
            <w:pPr>
              <w:spacing w:after="0"/>
              <w:rPr>
                <w:sz w:val="5"/>
                <w:szCs w:val="5"/>
                <w:color w:val="auto"/>
              </w:rPr>
            </w:pPr>
          </w:p>
        </w:tc>
        <w:tc>
          <w:tcPr>
            <w:tcW w:w="240" w:type="dxa"/>
            <w:vAlign w:val="bottom"/>
            <w:tcBorders>
              <w:bottom w:val="single" w:sz="8" w:color="A6A6A6"/>
            </w:tcBorders>
          </w:tcPr>
          <w:p>
            <w:pPr>
              <w:spacing w:after="0"/>
              <w:rPr>
                <w:sz w:val="5"/>
                <w:szCs w:val="5"/>
                <w:color w:val="auto"/>
              </w:rPr>
            </w:pPr>
          </w:p>
        </w:tc>
        <w:tc>
          <w:tcPr>
            <w:tcW w:w="122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gridSpan w:val="2"/>
          </w:tcPr>
          <w:p>
            <w:pPr>
              <w:spacing w:after="0"/>
              <w:rPr>
                <w:sz w:val="5"/>
                <w:szCs w:val="5"/>
                <w:color w:val="auto"/>
              </w:rPr>
            </w:pPr>
          </w:p>
        </w:tc>
        <w:tc>
          <w:tcPr>
            <w:tcW w:w="820" w:type="dxa"/>
            <w:vAlign w:val="bottom"/>
            <w:tcBorders>
              <w:bottom w:val="single" w:sz="8" w:color="A6A6A6"/>
            </w:tcBorders>
          </w:tcPr>
          <w:p>
            <w:pPr>
              <w:spacing w:after="0"/>
              <w:rPr>
                <w:sz w:val="5"/>
                <w:szCs w:val="5"/>
                <w:color w:val="auto"/>
              </w:rPr>
            </w:pPr>
          </w:p>
        </w:tc>
      </w:tr>
      <w:tr>
        <w:trPr>
          <w:trHeight w:val="339"/>
        </w:trPr>
        <w:tc>
          <w:tcPr>
            <w:tcW w:w="6300" w:type="dxa"/>
            <w:vAlign w:val="bottom"/>
          </w:tcPr>
          <w:p>
            <w:pPr>
              <w:spacing w:after="0"/>
              <w:rPr>
                <w:sz w:val="20"/>
                <w:szCs w:val="20"/>
                <w:color w:val="auto"/>
              </w:rPr>
            </w:pPr>
            <w:r>
              <w:rPr>
                <w:rFonts w:ascii="Arial Narrow" w:cs="Arial Narrow" w:eastAsia="Arial Narrow" w:hAnsi="Arial Narrow"/>
                <w:sz w:val="20"/>
                <w:szCs w:val="20"/>
                <w:b w:val="1"/>
                <w:bCs w:val="1"/>
                <w:color w:val="00085E"/>
              </w:rPr>
              <w:t>Gross Margin</w:t>
            </w:r>
          </w:p>
        </w:tc>
        <w:tc>
          <w:tcPr>
            <w:tcW w:w="240" w:type="dxa"/>
            <w:vAlign w:val="bottom"/>
          </w:tcPr>
          <w:p>
            <w:pPr>
              <w:jc w:val="right"/>
              <w:ind w:right="70"/>
              <w:spacing w:after="0"/>
              <w:rPr>
                <w:sz w:val="20"/>
                <w:szCs w:val="20"/>
                <w:color w:val="auto"/>
              </w:rPr>
            </w:pPr>
            <w:r>
              <w:rPr>
                <w:rFonts w:ascii="Arial Narrow" w:cs="Arial Narrow" w:eastAsia="Arial Narrow" w:hAnsi="Arial Narrow"/>
                <w:sz w:val="18"/>
                <w:szCs w:val="18"/>
                <w:color w:val="auto"/>
                <w:w w:val="72"/>
              </w:rPr>
              <w:t>$</w:t>
            </w:r>
          </w:p>
        </w:tc>
        <w:tc>
          <w:tcPr>
            <w:tcW w:w="1220" w:type="dxa"/>
            <w:vAlign w:val="bottom"/>
          </w:tcPr>
          <w:p>
            <w:pPr>
              <w:jc w:val="right"/>
              <w:ind w:right="26"/>
              <w:spacing w:after="0"/>
              <w:rPr>
                <w:sz w:val="20"/>
                <w:szCs w:val="20"/>
                <w:color w:val="auto"/>
              </w:rPr>
            </w:pPr>
            <w:r>
              <w:rPr>
                <w:rFonts w:ascii="Arial Narrow" w:cs="Arial Narrow" w:eastAsia="Arial Narrow" w:hAnsi="Arial Narrow"/>
                <w:sz w:val="20"/>
                <w:szCs w:val="20"/>
                <w:color w:val="auto"/>
              </w:rPr>
              <w:t>49,679</w:t>
            </w:r>
          </w:p>
        </w:tc>
        <w:tc>
          <w:tcPr>
            <w:tcW w:w="780" w:type="dxa"/>
            <w:vAlign w:val="bottom"/>
            <w:gridSpan w:val="2"/>
          </w:tcPr>
          <w:p>
            <w:pPr>
              <w:jc w:val="right"/>
              <w:ind w:right="540"/>
              <w:spacing w:after="0"/>
              <w:rPr>
                <w:sz w:val="20"/>
                <w:szCs w:val="20"/>
                <w:color w:val="auto"/>
              </w:rPr>
            </w:pPr>
            <w:r>
              <w:rPr>
                <w:rFonts w:ascii="Arial Narrow" w:cs="Arial Narrow" w:eastAsia="Arial Narrow" w:hAnsi="Arial Narrow"/>
                <w:sz w:val="20"/>
                <w:szCs w:val="20"/>
                <w:color w:val="auto"/>
              </w:rPr>
              <w:t>$</w:t>
            </w:r>
          </w:p>
        </w:tc>
        <w:tc>
          <w:tcPr>
            <w:tcW w:w="820" w:type="dxa"/>
            <w:vAlign w:val="bottom"/>
          </w:tcPr>
          <w:p>
            <w:pPr>
              <w:jc w:val="right"/>
              <w:ind w:right="2"/>
              <w:spacing w:after="0"/>
              <w:rPr>
                <w:sz w:val="20"/>
                <w:szCs w:val="20"/>
                <w:color w:val="auto"/>
              </w:rPr>
            </w:pPr>
            <w:r>
              <w:rPr>
                <w:rFonts w:ascii="Arial Narrow" w:cs="Arial Narrow" w:eastAsia="Arial Narrow" w:hAnsi="Arial Narrow"/>
                <w:sz w:val="20"/>
                <w:szCs w:val="20"/>
                <w:color w:val="auto"/>
              </w:rPr>
              <w:t>60,789</w:t>
            </w:r>
          </w:p>
        </w:tc>
      </w:tr>
      <w:tr>
        <w:trPr>
          <w:trHeight w:val="65"/>
        </w:trPr>
        <w:tc>
          <w:tcPr>
            <w:tcW w:w="6300" w:type="dxa"/>
            <w:vAlign w:val="bottom"/>
            <w:tcBorders>
              <w:bottom w:val="single" w:sz="8" w:color="A6A6A6"/>
            </w:tcBorders>
          </w:tcPr>
          <w:p>
            <w:pPr>
              <w:spacing w:after="0"/>
              <w:rPr>
                <w:sz w:val="5"/>
                <w:szCs w:val="5"/>
                <w:color w:val="auto"/>
              </w:rPr>
            </w:pPr>
          </w:p>
        </w:tc>
        <w:tc>
          <w:tcPr>
            <w:tcW w:w="240" w:type="dxa"/>
            <w:vAlign w:val="bottom"/>
            <w:tcBorders>
              <w:bottom w:val="single" w:sz="8" w:color="A6A6A6"/>
            </w:tcBorders>
          </w:tcPr>
          <w:p>
            <w:pPr>
              <w:spacing w:after="0"/>
              <w:rPr>
                <w:sz w:val="5"/>
                <w:szCs w:val="5"/>
                <w:color w:val="auto"/>
              </w:rPr>
            </w:pPr>
          </w:p>
        </w:tc>
        <w:tc>
          <w:tcPr>
            <w:tcW w:w="122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gridSpan w:val="2"/>
          </w:tcPr>
          <w:p>
            <w:pPr>
              <w:spacing w:after="0"/>
              <w:rPr>
                <w:sz w:val="5"/>
                <w:szCs w:val="5"/>
                <w:color w:val="auto"/>
              </w:rPr>
            </w:pPr>
          </w:p>
        </w:tc>
        <w:tc>
          <w:tcPr>
            <w:tcW w:w="820" w:type="dxa"/>
            <w:vAlign w:val="bottom"/>
            <w:tcBorders>
              <w:bottom w:val="single" w:sz="8" w:color="A6A6A6"/>
            </w:tcBorders>
          </w:tcPr>
          <w:p>
            <w:pPr>
              <w:spacing w:after="0"/>
              <w:rPr>
                <w:sz w:val="5"/>
                <w:szCs w:val="5"/>
                <w:color w:val="auto"/>
              </w:rPr>
            </w:pPr>
          </w:p>
        </w:tc>
      </w:tr>
      <w:tr>
        <w:trPr>
          <w:trHeight w:val="339"/>
        </w:trPr>
        <w:tc>
          <w:tcPr>
            <w:tcW w:w="6300" w:type="dxa"/>
            <w:vAlign w:val="bottom"/>
          </w:tcPr>
          <w:p>
            <w:pPr>
              <w:spacing w:after="0"/>
              <w:rPr>
                <w:sz w:val="20"/>
                <w:szCs w:val="20"/>
                <w:color w:val="auto"/>
              </w:rPr>
            </w:pPr>
            <w:r>
              <w:rPr>
                <w:rFonts w:ascii="Arial Narrow" w:cs="Arial Narrow" w:eastAsia="Arial Narrow" w:hAnsi="Arial Narrow"/>
                <w:sz w:val="20"/>
                <w:szCs w:val="20"/>
                <w:b w:val="1"/>
                <w:bCs w:val="1"/>
                <w:color w:val="00085E"/>
              </w:rPr>
              <w:t>Earnings Before Income Taxes</w:t>
            </w:r>
          </w:p>
        </w:tc>
        <w:tc>
          <w:tcPr>
            <w:tcW w:w="240" w:type="dxa"/>
            <w:vAlign w:val="bottom"/>
          </w:tcPr>
          <w:p>
            <w:pPr>
              <w:jc w:val="right"/>
              <w:ind w:right="70"/>
              <w:spacing w:after="0"/>
              <w:rPr>
                <w:sz w:val="20"/>
                <w:szCs w:val="20"/>
                <w:color w:val="auto"/>
              </w:rPr>
            </w:pPr>
            <w:r>
              <w:rPr>
                <w:rFonts w:ascii="Arial Narrow" w:cs="Arial Narrow" w:eastAsia="Arial Narrow" w:hAnsi="Arial Narrow"/>
                <w:sz w:val="18"/>
                <w:szCs w:val="18"/>
                <w:color w:val="auto"/>
                <w:w w:val="72"/>
              </w:rPr>
              <w:t>$</w:t>
            </w:r>
          </w:p>
        </w:tc>
        <w:tc>
          <w:tcPr>
            <w:tcW w:w="1220" w:type="dxa"/>
            <w:vAlign w:val="bottom"/>
          </w:tcPr>
          <w:p>
            <w:pPr>
              <w:jc w:val="right"/>
              <w:ind w:right="26"/>
              <w:spacing w:after="0"/>
              <w:rPr>
                <w:sz w:val="20"/>
                <w:szCs w:val="20"/>
                <w:color w:val="auto"/>
              </w:rPr>
            </w:pPr>
            <w:r>
              <w:rPr>
                <w:rFonts w:ascii="Arial Narrow" w:cs="Arial Narrow" w:eastAsia="Arial Narrow" w:hAnsi="Arial Narrow"/>
                <w:sz w:val="20"/>
                <w:szCs w:val="20"/>
                <w:color w:val="auto"/>
              </w:rPr>
              <w:t>40,663</w:t>
            </w:r>
          </w:p>
        </w:tc>
        <w:tc>
          <w:tcPr>
            <w:tcW w:w="780" w:type="dxa"/>
            <w:vAlign w:val="bottom"/>
            <w:gridSpan w:val="2"/>
          </w:tcPr>
          <w:p>
            <w:pPr>
              <w:jc w:val="right"/>
              <w:ind w:right="540"/>
              <w:spacing w:after="0"/>
              <w:rPr>
                <w:sz w:val="20"/>
                <w:szCs w:val="20"/>
                <w:color w:val="auto"/>
              </w:rPr>
            </w:pPr>
            <w:r>
              <w:rPr>
                <w:rFonts w:ascii="Arial Narrow" w:cs="Arial Narrow" w:eastAsia="Arial Narrow" w:hAnsi="Arial Narrow"/>
                <w:sz w:val="20"/>
                <w:szCs w:val="20"/>
                <w:color w:val="auto"/>
              </w:rPr>
              <w:t>$</w:t>
            </w:r>
          </w:p>
        </w:tc>
        <w:tc>
          <w:tcPr>
            <w:tcW w:w="820" w:type="dxa"/>
            <w:vAlign w:val="bottom"/>
          </w:tcPr>
          <w:p>
            <w:pPr>
              <w:jc w:val="right"/>
              <w:ind w:right="2"/>
              <w:spacing w:after="0"/>
              <w:rPr>
                <w:sz w:val="20"/>
                <w:szCs w:val="20"/>
                <w:color w:val="auto"/>
              </w:rPr>
            </w:pPr>
            <w:r>
              <w:rPr>
                <w:rFonts w:ascii="Arial Narrow" w:cs="Arial Narrow" w:eastAsia="Arial Narrow" w:hAnsi="Arial Narrow"/>
                <w:sz w:val="20"/>
                <w:szCs w:val="20"/>
                <w:color w:val="auto"/>
              </w:rPr>
              <w:t>53,217</w:t>
            </w:r>
          </w:p>
        </w:tc>
      </w:tr>
      <w:tr>
        <w:trPr>
          <w:trHeight w:val="65"/>
        </w:trPr>
        <w:tc>
          <w:tcPr>
            <w:tcW w:w="6300" w:type="dxa"/>
            <w:vAlign w:val="bottom"/>
            <w:tcBorders>
              <w:bottom w:val="single" w:sz="8" w:color="A6A6A6"/>
            </w:tcBorders>
          </w:tcPr>
          <w:p>
            <w:pPr>
              <w:spacing w:after="0"/>
              <w:rPr>
                <w:sz w:val="5"/>
                <w:szCs w:val="5"/>
                <w:color w:val="auto"/>
              </w:rPr>
            </w:pPr>
          </w:p>
        </w:tc>
        <w:tc>
          <w:tcPr>
            <w:tcW w:w="240" w:type="dxa"/>
            <w:vAlign w:val="bottom"/>
            <w:tcBorders>
              <w:bottom w:val="single" w:sz="8" w:color="A6A6A6"/>
            </w:tcBorders>
          </w:tcPr>
          <w:p>
            <w:pPr>
              <w:spacing w:after="0"/>
              <w:rPr>
                <w:sz w:val="5"/>
                <w:szCs w:val="5"/>
                <w:color w:val="auto"/>
              </w:rPr>
            </w:pPr>
          </w:p>
        </w:tc>
        <w:tc>
          <w:tcPr>
            <w:tcW w:w="2000" w:type="dxa"/>
            <w:vAlign w:val="bottom"/>
            <w:tcBorders>
              <w:bottom w:val="single" w:sz="8" w:color="A6A6A6"/>
            </w:tcBorders>
            <w:gridSpan w:val="3"/>
          </w:tcPr>
          <w:p>
            <w:pPr>
              <w:spacing w:after="0"/>
              <w:rPr>
                <w:sz w:val="5"/>
                <w:szCs w:val="5"/>
                <w:color w:val="auto"/>
              </w:rPr>
            </w:pPr>
          </w:p>
        </w:tc>
        <w:tc>
          <w:tcPr>
            <w:tcW w:w="820" w:type="dxa"/>
            <w:vAlign w:val="bottom"/>
            <w:tcBorders>
              <w:bottom w:val="single" w:sz="8" w:color="A6A6A6"/>
            </w:tcBorders>
          </w:tcPr>
          <w:p>
            <w:pPr>
              <w:spacing w:after="0"/>
              <w:rPr>
                <w:sz w:val="5"/>
                <w:szCs w:val="5"/>
                <w:color w:val="auto"/>
              </w:rPr>
            </w:pPr>
          </w:p>
        </w:tc>
      </w:tr>
      <w:tr>
        <w:trPr>
          <w:trHeight w:val="462"/>
        </w:trPr>
        <w:tc>
          <w:tcPr>
            <w:tcW w:w="6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gridSpan w:val="3"/>
          </w:tcPr>
          <w:p>
            <w:pPr>
              <w:jc w:val="center"/>
              <w:ind w:left="386"/>
              <w:spacing w:after="0"/>
              <w:rPr>
                <w:sz w:val="20"/>
                <w:szCs w:val="20"/>
                <w:color w:val="auto"/>
              </w:rPr>
            </w:pPr>
            <w:r>
              <w:rPr>
                <w:rFonts w:ascii="Arial Narrow" w:cs="Arial Narrow" w:eastAsia="Arial Narrow" w:hAnsi="Arial Narrow"/>
                <w:sz w:val="18"/>
                <w:szCs w:val="18"/>
                <w:b w:val="1"/>
                <w:bCs w:val="1"/>
                <w:color w:val="auto"/>
                <w:w w:val="98"/>
              </w:rPr>
              <w:t>As of March 31,</w:t>
            </w:r>
          </w:p>
        </w:tc>
        <w:tc>
          <w:tcPr>
            <w:tcW w:w="820" w:type="dxa"/>
            <w:vAlign w:val="bottom"/>
          </w:tcPr>
          <w:p>
            <w:pPr>
              <w:spacing w:after="0"/>
              <w:rPr>
                <w:sz w:val="24"/>
                <w:szCs w:val="24"/>
                <w:color w:val="auto"/>
              </w:rPr>
            </w:pPr>
          </w:p>
        </w:tc>
      </w:tr>
      <w:tr>
        <w:trPr>
          <w:trHeight w:val="21"/>
        </w:trPr>
        <w:tc>
          <w:tcPr>
            <w:tcW w:w="6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69"/>
        </w:trPr>
        <w:tc>
          <w:tcPr>
            <w:tcW w:w="6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ind w:right="26"/>
              <w:spacing w:after="0"/>
              <w:rPr>
                <w:sz w:val="20"/>
                <w:szCs w:val="20"/>
                <w:color w:val="auto"/>
              </w:rPr>
            </w:pPr>
            <w:r>
              <w:rPr>
                <w:rFonts w:ascii="Arial Narrow" w:cs="Arial Narrow" w:eastAsia="Arial Narrow" w:hAnsi="Arial Narrow"/>
                <w:sz w:val="18"/>
                <w:szCs w:val="18"/>
                <w:b w:val="1"/>
                <w:bCs w:val="1"/>
                <w:color w:val="auto"/>
              </w:rPr>
              <w:t>2026</w:t>
            </w: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20" w:type="dxa"/>
            <w:vAlign w:val="bottom"/>
          </w:tcPr>
          <w:p>
            <w:pPr>
              <w:jc w:val="right"/>
              <w:ind w:right="2"/>
              <w:spacing w:after="0"/>
              <w:rPr>
                <w:sz w:val="20"/>
                <w:szCs w:val="20"/>
                <w:color w:val="auto"/>
              </w:rPr>
            </w:pPr>
            <w:r>
              <w:rPr>
                <w:rFonts w:ascii="Arial Narrow" w:cs="Arial Narrow" w:eastAsia="Arial Narrow" w:hAnsi="Arial Narrow"/>
                <w:sz w:val="18"/>
                <w:szCs w:val="18"/>
                <w:b w:val="1"/>
                <w:bCs w:val="1"/>
                <w:color w:val="auto"/>
              </w:rPr>
              <w:t>2025</w:t>
            </w:r>
          </w:p>
        </w:tc>
      </w:tr>
      <w:tr>
        <w:trPr>
          <w:trHeight w:val="21"/>
        </w:trPr>
        <w:tc>
          <w:tcPr>
            <w:tcW w:w="6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44"/>
        </w:trPr>
        <w:tc>
          <w:tcPr>
            <w:tcW w:w="6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0" w:type="dxa"/>
            <w:vAlign w:val="bottom"/>
            <w:gridSpan w:val="3"/>
          </w:tcPr>
          <w:p>
            <w:pPr>
              <w:jc w:val="center"/>
              <w:ind w:left="386"/>
              <w:spacing w:after="0"/>
              <w:rPr>
                <w:sz w:val="20"/>
                <w:szCs w:val="20"/>
                <w:color w:val="auto"/>
              </w:rPr>
            </w:pPr>
            <w:r>
              <w:rPr>
                <w:rFonts w:ascii="Arial Narrow" w:cs="Arial Narrow" w:eastAsia="Arial Narrow" w:hAnsi="Arial Narrow"/>
                <w:sz w:val="16"/>
                <w:szCs w:val="16"/>
                <w:color w:val="auto"/>
                <w:w w:val="98"/>
              </w:rPr>
              <w:t>(dollars in thousands)</w:t>
            </w:r>
          </w:p>
        </w:tc>
        <w:tc>
          <w:tcPr>
            <w:tcW w:w="820" w:type="dxa"/>
            <w:vAlign w:val="bottom"/>
          </w:tcPr>
          <w:p>
            <w:pPr>
              <w:spacing w:after="0"/>
              <w:rPr>
                <w:sz w:val="21"/>
                <w:szCs w:val="21"/>
                <w:color w:val="auto"/>
              </w:rPr>
            </w:pPr>
          </w:p>
        </w:tc>
      </w:tr>
      <w:tr>
        <w:trPr>
          <w:trHeight w:val="48"/>
        </w:trPr>
        <w:tc>
          <w:tcPr>
            <w:tcW w:w="63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gridSpan w:val="2"/>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344"/>
        </w:trPr>
        <w:tc>
          <w:tcPr>
            <w:tcW w:w="6300" w:type="dxa"/>
            <w:vAlign w:val="bottom"/>
          </w:tcPr>
          <w:p>
            <w:pPr>
              <w:spacing w:after="0"/>
              <w:rPr>
                <w:sz w:val="20"/>
                <w:szCs w:val="20"/>
                <w:color w:val="auto"/>
              </w:rPr>
            </w:pPr>
            <w:r>
              <w:rPr>
                <w:rFonts w:ascii="Arial Narrow" w:cs="Arial Narrow" w:eastAsia="Arial Narrow" w:hAnsi="Arial Narrow"/>
                <w:sz w:val="20"/>
                <w:szCs w:val="20"/>
                <w:b w:val="1"/>
                <w:bCs w:val="1"/>
                <w:color w:val="00085E"/>
              </w:rPr>
              <w:t>Current Assets</w:t>
            </w:r>
          </w:p>
        </w:tc>
        <w:tc>
          <w:tcPr>
            <w:tcW w:w="240" w:type="dxa"/>
            <w:vAlign w:val="bottom"/>
          </w:tcPr>
          <w:p>
            <w:pPr>
              <w:jc w:val="right"/>
              <w:ind w:right="70"/>
              <w:spacing w:after="0"/>
              <w:rPr>
                <w:sz w:val="20"/>
                <w:szCs w:val="20"/>
                <w:color w:val="auto"/>
              </w:rPr>
            </w:pPr>
            <w:r>
              <w:rPr>
                <w:rFonts w:ascii="Arial Narrow" w:cs="Arial Narrow" w:eastAsia="Arial Narrow" w:hAnsi="Arial Narrow"/>
                <w:sz w:val="18"/>
                <w:szCs w:val="18"/>
                <w:color w:val="auto"/>
                <w:w w:val="72"/>
              </w:rPr>
              <w:t>$</w:t>
            </w:r>
          </w:p>
        </w:tc>
        <w:tc>
          <w:tcPr>
            <w:tcW w:w="1220" w:type="dxa"/>
            <w:vAlign w:val="bottom"/>
          </w:tcPr>
          <w:p>
            <w:pPr>
              <w:jc w:val="right"/>
              <w:ind w:right="26"/>
              <w:spacing w:after="0"/>
              <w:rPr>
                <w:sz w:val="20"/>
                <w:szCs w:val="20"/>
                <w:color w:val="auto"/>
              </w:rPr>
            </w:pPr>
            <w:r>
              <w:rPr>
                <w:rFonts w:ascii="Arial Narrow" w:cs="Arial Narrow" w:eastAsia="Arial Narrow" w:hAnsi="Arial Narrow"/>
                <w:sz w:val="20"/>
                <w:szCs w:val="20"/>
                <w:color w:val="auto"/>
              </w:rPr>
              <w:t>137,678</w:t>
            </w:r>
          </w:p>
        </w:tc>
        <w:tc>
          <w:tcPr>
            <w:tcW w:w="780" w:type="dxa"/>
            <w:vAlign w:val="bottom"/>
            <w:gridSpan w:val="2"/>
          </w:tcPr>
          <w:p>
            <w:pPr>
              <w:jc w:val="right"/>
              <w:ind w:right="540"/>
              <w:spacing w:after="0"/>
              <w:rPr>
                <w:sz w:val="20"/>
                <w:szCs w:val="20"/>
                <w:color w:val="auto"/>
              </w:rPr>
            </w:pPr>
            <w:r>
              <w:rPr>
                <w:rFonts w:ascii="Arial Narrow" w:cs="Arial Narrow" w:eastAsia="Arial Narrow" w:hAnsi="Arial Narrow"/>
                <w:sz w:val="20"/>
                <w:szCs w:val="20"/>
                <w:color w:val="auto"/>
              </w:rPr>
              <w:t>$</w:t>
            </w:r>
          </w:p>
        </w:tc>
        <w:tc>
          <w:tcPr>
            <w:tcW w:w="820" w:type="dxa"/>
            <w:vAlign w:val="bottom"/>
          </w:tcPr>
          <w:p>
            <w:pPr>
              <w:jc w:val="right"/>
              <w:ind w:right="2"/>
              <w:spacing w:after="0"/>
              <w:rPr>
                <w:sz w:val="20"/>
                <w:szCs w:val="20"/>
                <w:color w:val="auto"/>
              </w:rPr>
            </w:pPr>
            <w:r>
              <w:rPr>
                <w:rFonts w:ascii="Arial Narrow" w:cs="Arial Narrow" w:eastAsia="Arial Narrow" w:hAnsi="Arial Narrow"/>
                <w:sz w:val="20"/>
                <w:szCs w:val="20"/>
                <w:color w:val="auto"/>
              </w:rPr>
              <w:t>128,384</w:t>
            </w:r>
          </w:p>
        </w:tc>
      </w:tr>
      <w:tr>
        <w:trPr>
          <w:trHeight w:val="65"/>
        </w:trPr>
        <w:tc>
          <w:tcPr>
            <w:tcW w:w="6300" w:type="dxa"/>
            <w:vAlign w:val="bottom"/>
            <w:tcBorders>
              <w:bottom w:val="single" w:sz="8" w:color="A6A6A6"/>
            </w:tcBorders>
          </w:tcPr>
          <w:p>
            <w:pPr>
              <w:spacing w:after="0"/>
              <w:rPr>
                <w:sz w:val="5"/>
                <w:szCs w:val="5"/>
                <w:color w:val="auto"/>
              </w:rPr>
            </w:pPr>
          </w:p>
        </w:tc>
        <w:tc>
          <w:tcPr>
            <w:tcW w:w="240" w:type="dxa"/>
            <w:vAlign w:val="bottom"/>
            <w:tcBorders>
              <w:bottom w:val="single" w:sz="8" w:color="A6A6A6"/>
            </w:tcBorders>
          </w:tcPr>
          <w:p>
            <w:pPr>
              <w:spacing w:after="0"/>
              <w:rPr>
                <w:sz w:val="5"/>
                <w:szCs w:val="5"/>
                <w:color w:val="auto"/>
              </w:rPr>
            </w:pPr>
          </w:p>
        </w:tc>
        <w:tc>
          <w:tcPr>
            <w:tcW w:w="122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gridSpan w:val="2"/>
          </w:tcPr>
          <w:p>
            <w:pPr>
              <w:spacing w:after="0"/>
              <w:rPr>
                <w:sz w:val="5"/>
                <w:szCs w:val="5"/>
                <w:color w:val="auto"/>
              </w:rPr>
            </w:pPr>
          </w:p>
        </w:tc>
        <w:tc>
          <w:tcPr>
            <w:tcW w:w="820" w:type="dxa"/>
            <w:vAlign w:val="bottom"/>
            <w:tcBorders>
              <w:bottom w:val="single" w:sz="8" w:color="A6A6A6"/>
            </w:tcBorders>
          </w:tcPr>
          <w:p>
            <w:pPr>
              <w:spacing w:after="0"/>
              <w:rPr>
                <w:sz w:val="5"/>
                <w:szCs w:val="5"/>
                <w:color w:val="auto"/>
              </w:rPr>
            </w:pPr>
          </w:p>
        </w:tc>
      </w:tr>
      <w:tr>
        <w:trPr>
          <w:trHeight w:val="339"/>
        </w:trPr>
        <w:tc>
          <w:tcPr>
            <w:tcW w:w="6300" w:type="dxa"/>
            <w:vAlign w:val="bottom"/>
          </w:tcPr>
          <w:p>
            <w:pPr>
              <w:spacing w:after="0"/>
              <w:rPr>
                <w:sz w:val="20"/>
                <w:szCs w:val="20"/>
                <w:color w:val="auto"/>
              </w:rPr>
            </w:pPr>
            <w:r>
              <w:rPr>
                <w:rFonts w:ascii="Arial Narrow" w:cs="Arial Narrow" w:eastAsia="Arial Narrow" w:hAnsi="Arial Narrow"/>
                <w:sz w:val="20"/>
                <w:szCs w:val="20"/>
                <w:b w:val="1"/>
                <w:bCs w:val="1"/>
                <w:color w:val="00085E"/>
              </w:rPr>
              <w:t>Noncurrent Assets</w:t>
            </w:r>
          </w:p>
        </w:tc>
        <w:tc>
          <w:tcPr>
            <w:tcW w:w="240" w:type="dxa"/>
            <w:vAlign w:val="bottom"/>
          </w:tcPr>
          <w:p>
            <w:pPr>
              <w:jc w:val="right"/>
              <w:ind w:right="70"/>
              <w:spacing w:after="0"/>
              <w:rPr>
                <w:sz w:val="20"/>
                <w:szCs w:val="20"/>
                <w:color w:val="auto"/>
              </w:rPr>
            </w:pPr>
            <w:r>
              <w:rPr>
                <w:rFonts w:ascii="Arial Narrow" w:cs="Arial Narrow" w:eastAsia="Arial Narrow" w:hAnsi="Arial Narrow"/>
                <w:sz w:val="18"/>
                <w:szCs w:val="18"/>
                <w:color w:val="auto"/>
                <w:w w:val="72"/>
              </w:rPr>
              <w:t>$</w:t>
            </w:r>
          </w:p>
        </w:tc>
        <w:tc>
          <w:tcPr>
            <w:tcW w:w="1220" w:type="dxa"/>
            <w:vAlign w:val="bottom"/>
          </w:tcPr>
          <w:p>
            <w:pPr>
              <w:jc w:val="right"/>
              <w:ind w:right="26"/>
              <w:spacing w:after="0"/>
              <w:rPr>
                <w:sz w:val="20"/>
                <w:szCs w:val="20"/>
                <w:color w:val="auto"/>
              </w:rPr>
            </w:pPr>
            <w:r>
              <w:rPr>
                <w:rFonts w:ascii="Arial Narrow" w:cs="Arial Narrow" w:eastAsia="Arial Narrow" w:hAnsi="Arial Narrow"/>
                <w:sz w:val="20"/>
                <w:szCs w:val="20"/>
                <w:color w:val="auto"/>
              </w:rPr>
              <w:t>237,455</w:t>
            </w:r>
          </w:p>
        </w:tc>
        <w:tc>
          <w:tcPr>
            <w:tcW w:w="780" w:type="dxa"/>
            <w:vAlign w:val="bottom"/>
            <w:gridSpan w:val="2"/>
          </w:tcPr>
          <w:p>
            <w:pPr>
              <w:jc w:val="right"/>
              <w:ind w:right="540"/>
              <w:spacing w:after="0"/>
              <w:rPr>
                <w:sz w:val="20"/>
                <w:szCs w:val="20"/>
                <w:color w:val="auto"/>
              </w:rPr>
            </w:pPr>
            <w:r>
              <w:rPr>
                <w:rFonts w:ascii="Arial Narrow" w:cs="Arial Narrow" w:eastAsia="Arial Narrow" w:hAnsi="Arial Narrow"/>
                <w:sz w:val="20"/>
                <w:szCs w:val="20"/>
                <w:color w:val="auto"/>
              </w:rPr>
              <w:t>$</w:t>
            </w:r>
          </w:p>
        </w:tc>
        <w:tc>
          <w:tcPr>
            <w:tcW w:w="820" w:type="dxa"/>
            <w:vAlign w:val="bottom"/>
          </w:tcPr>
          <w:p>
            <w:pPr>
              <w:jc w:val="right"/>
              <w:ind w:right="2"/>
              <w:spacing w:after="0"/>
              <w:rPr>
                <w:sz w:val="20"/>
                <w:szCs w:val="20"/>
                <w:color w:val="auto"/>
              </w:rPr>
            </w:pPr>
            <w:r>
              <w:rPr>
                <w:rFonts w:ascii="Arial Narrow" w:cs="Arial Narrow" w:eastAsia="Arial Narrow" w:hAnsi="Arial Narrow"/>
                <w:sz w:val="20"/>
                <w:szCs w:val="20"/>
                <w:color w:val="auto"/>
              </w:rPr>
              <w:t>207,910</w:t>
            </w:r>
          </w:p>
        </w:tc>
      </w:tr>
      <w:tr>
        <w:trPr>
          <w:trHeight w:val="65"/>
        </w:trPr>
        <w:tc>
          <w:tcPr>
            <w:tcW w:w="6300" w:type="dxa"/>
            <w:vAlign w:val="bottom"/>
            <w:tcBorders>
              <w:bottom w:val="single" w:sz="8" w:color="A6A6A6"/>
            </w:tcBorders>
          </w:tcPr>
          <w:p>
            <w:pPr>
              <w:spacing w:after="0"/>
              <w:rPr>
                <w:sz w:val="5"/>
                <w:szCs w:val="5"/>
                <w:color w:val="auto"/>
              </w:rPr>
            </w:pPr>
          </w:p>
        </w:tc>
        <w:tc>
          <w:tcPr>
            <w:tcW w:w="240" w:type="dxa"/>
            <w:vAlign w:val="bottom"/>
            <w:tcBorders>
              <w:bottom w:val="single" w:sz="8" w:color="A6A6A6"/>
            </w:tcBorders>
          </w:tcPr>
          <w:p>
            <w:pPr>
              <w:spacing w:after="0"/>
              <w:rPr>
                <w:sz w:val="5"/>
                <w:szCs w:val="5"/>
                <w:color w:val="auto"/>
              </w:rPr>
            </w:pPr>
          </w:p>
        </w:tc>
        <w:tc>
          <w:tcPr>
            <w:tcW w:w="122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gridSpan w:val="2"/>
          </w:tcPr>
          <w:p>
            <w:pPr>
              <w:spacing w:after="0"/>
              <w:rPr>
                <w:sz w:val="5"/>
                <w:szCs w:val="5"/>
                <w:color w:val="auto"/>
              </w:rPr>
            </w:pPr>
          </w:p>
        </w:tc>
        <w:tc>
          <w:tcPr>
            <w:tcW w:w="820" w:type="dxa"/>
            <w:vAlign w:val="bottom"/>
            <w:tcBorders>
              <w:bottom w:val="single" w:sz="8" w:color="A6A6A6"/>
            </w:tcBorders>
          </w:tcPr>
          <w:p>
            <w:pPr>
              <w:spacing w:after="0"/>
              <w:rPr>
                <w:sz w:val="5"/>
                <w:szCs w:val="5"/>
                <w:color w:val="auto"/>
              </w:rPr>
            </w:pPr>
          </w:p>
        </w:tc>
      </w:tr>
      <w:tr>
        <w:trPr>
          <w:trHeight w:val="339"/>
        </w:trPr>
        <w:tc>
          <w:tcPr>
            <w:tcW w:w="6300" w:type="dxa"/>
            <w:vAlign w:val="bottom"/>
          </w:tcPr>
          <w:p>
            <w:pPr>
              <w:spacing w:after="0"/>
              <w:rPr>
                <w:sz w:val="20"/>
                <w:szCs w:val="20"/>
                <w:color w:val="auto"/>
              </w:rPr>
            </w:pPr>
            <w:r>
              <w:rPr>
                <w:rFonts w:ascii="Arial Narrow" w:cs="Arial Narrow" w:eastAsia="Arial Narrow" w:hAnsi="Arial Narrow"/>
                <w:sz w:val="20"/>
                <w:szCs w:val="20"/>
                <w:b w:val="1"/>
                <w:bCs w:val="1"/>
                <w:color w:val="00085E"/>
              </w:rPr>
              <w:t>Current Liabilities</w:t>
            </w:r>
          </w:p>
        </w:tc>
        <w:tc>
          <w:tcPr>
            <w:tcW w:w="240" w:type="dxa"/>
            <w:vAlign w:val="bottom"/>
          </w:tcPr>
          <w:p>
            <w:pPr>
              <w:jc w:val="right"/>
              <w:ind w:right="70"/>
              <w:spacing w:after="0"/>
              <w:rPr>
                <w:sz w:val="20"/>
                <w:szCs w:val="20"/>
                <w:color w:val="auto"/>
              </w:rPr>
            </w:pPr>
            <w:r>
              <w:rPr>
                <w:rFonts w:ascii="Arial Narrow" w:cs="Arial Narrow" w:eastAsia="Arial Narrow" w:hAnsi="Arial Narrow"/>
                <w:sz w:val="18"/>
                <w:szCs w:val="18"/>
                <w:color w:val="auto"/>
                <w:w w:val="72"/>
              </w:rPr>
              <w:t>$</w:t>
            </w:r>
          </w:p>
        </w:tc>
        <w:tc>
          <w:tcPr>
            <w:tcW w:w="1220" w:type="dxa"/>
            <w:vAlign w:val="bottom"/>
          </w:tcPr>
          <w:p>
            <w:pPr>
              <w:jc w:val="right"/>
              <w:ind w:right="26"/>
              <w:spacing w:after="0"/>
              <w:rPr>
                <w:sz w:val="20"/>
                <w:szCs w:val="20"/>
                <w:color w:val="auto"/>
              </w:rPr>
            </w:pPr>
            <w:r>
              <w:rPr>
                <w:rFonts w:ascii="Arial Narrow" w:cs="Arial Narrow" w:eastAsia="Arial Narrow" w:hAnsi="Arial Narrow"/>
                <w:sz w:val="20"/>
                <w:szCs w:val="20"/>
                <w:color w:val="auto"/>
              </w:rPr>
              <w:t>37,669</w:t>
            </w:r>
          </w:p>
        </w:tc>
        <w:tc>
          <w:tcPr>
            <w:tcW w:w="780" w:type="dxa"/>
            <w:vAlign w:val="bottom"/>
            <w:gridSpan w:val="2"/>
          </w:tcPr>
          <w:p>
            <w:pPr>
              <w:jc w:val="right"/>
              <w:ind w:right="540"/>
              <w:spacing w:after="0"/>
              <w:rPr>
                <w:sz w:val="20"/>
                <w:szCs w:val="20"/>
                <w:color w:val="auto"/>
              </w:rPr>
            </w:pPr>
            <w:r>
              <w:rPr>
                <w:rFonts w:ascii="Arial Narrow" w:cs="Arial Narrow" w:eastAsia="Arial Narrow" w:hAnsi="Arial Narrow"/>
                <w:sz w:val="20"/>
                <w:szCs w:val="20"/>
                <w:color w:val="auto"/>
              </w:rPr>
              <w:t>$</w:t>
            </w:r>
          </w:p>
        </w:tc>
        <w:tc>
          <w:tcPr>
            <w:tcW w:w="820" w:type="dxa"/>
            <w:vAlign w:val="bottom"/>
          </w:tcPr>
          <w:p>
            <w:pPr>
              <w:jc w:val="right"/>
              <w:ind w:right="2"/>
              <w:spacing w:after="0"/>
              <w:rPr>
                <w:sz w:val="20"/>
                <w:szCs w:val="20"/>
                <w:color w:val="auto"/>
              </w:rPr>
            </w:pPr>
            <w:r>
              <w:rPr>
                <w:rFonts w:ascii="Arial Narrow" w:cs="Arial Narrow" w:eastAsia="Arial Narrow" w:hAnsi="Arial Narrow"/>
                <w:sz w:val="20"/>
                <w:szCs w:val="20"/>
                <w:color w:val="auto"/>
              </w:rPr>
              <w:t>25,618</w:t>
            </w:r>
          </w:p>
        </w:tc>
      </w:tr>
      <w:tr>
        <w:trPr>
          <w:trHeight w:val="65"/>
        </w:trPr>
        <w:tc>
          <w:tcPr>
            <w:tcW w:w="6300" w:type="dxa"/>
            <w:vAlign w:val="bottom"/>
            <w:tcBorders>
              <w:bottom w:val="single" w:sz="8" w:color="A6A6A6"/>
            </w:tcBorders>
          </w:tcPr>
          <w:p>
            <w:pPr>
              <w:spacing w:after="0"/>
              <w:rPr>
                <w:sz w:val="5"/>
                <w:szCs w:val="5"/>
                <w:color w:val="auto"/>
              </w:rPr>
            </w:pPr>
          </w:p>
        </w:tc>
        <w:tc>
          <w:tcPr>
            <w:tcW w:w="240" w:type="dxa"/>
            <w:vAlign w:val="bottom"/>
            <w:tcBorders>
              <w:bottom w:val="single" w:sz="8" w:color="A6A6A6"/>
            </w:tcBorders>
          </w:tcPr>
          <w:p>
            <w:pPr>
              <w:spacing w:after="0"/>
              <w:rPr>
                <w:sz w:val="5"/>
                <w:szCs w:val="5"/>
                <w:color w:val="auto"/>
              </w:rPr>
            </w:pPr>
          </w:p>
        </w:tc>
        <w:tc>
          <w:tcPr>
            <w:tcW w:w="122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gridSpan w:val="2"/>
          </w:tcPr>
          <w:p>
            <w:pPr>
              <w:spacing w:after="0"/>
              <w:rPr>
                <w:sz w:val="5"/>
                <w:szCs w:val="5"/>
                <w:color w:val="auto"/>
              </w:rPr>
            </w:pPr>
          </w:p>
        </w:tc>
        <w:tc>
          <w:tcPr>
            <w:tcW w:w="820" w:type="dxa"/>
            <w:vAlign w:val="bottom"/>
            <w:tcBorders>
              <w:bottom w:val="single" w:sz="8" w:color="A6A6A6"/>
            </w:tcBorders>
          </w:tcPr>
          <w:p>
            <w:pPr>
              <w:spacing w:after="0"/>
              <w:rPr>
                <w:sz w:val="5"/>
                <w:szCs w:val="5"/>
                <w:color w:val="auto"/>
              </w:rPr>
            </w:pPr>
          </w:p>
        </w:tc>
      </w:tr>
      <w:tr>
        <w:trPr>
          <w:trHeight w:val="339"/>
        </w:trPr>
        <w:tc>
          <w:tcPr>
            <w:tcW w:w="6300" w:type="dxa"/>
            <w:vAlign w:val="bottom"/>
          </w:tcPr>
          <w:p>
            <w:pPr>
              <w:spacing w:after="0"/>
              <w:rPr>
                <w:sz w:val="20"/>
                <w:szCs w:val="20"/>
                <w:color w:val="auto"/>
              </w:rPr>
            </w:pPr>
            <w:r>
              <w:rPr>
                <w:rFonts w:ascii="Arial Narrow" w:cs="Arial Narrow" w:eastAsia="Arial Narrow" w:hAnsi="Arial Narrow"/>
                <w:sz w:val="20"/>
                <w:szCs w:val="20"/>
                <w:b w:val="1"/>
                <w:bCs w:val="1"/>
                <w:color w:val="00085E"/>
              </w:rPr>
              <w:t>Noncurrent Liabilities</w:t>
            </w:r>
          </w:p>
        </w:tc>
        <w:tc>
          <w:tcPr>
            <w:tcW w:w="240" w:type="dxa"/>
            <w:vAlign w:val="bottom"/>
          </w:tcPr>
          <w:p>
            <w:pPr>
              <w:jc w:val="right"/>
              <w:ind w:right="70"/>
              <w:spacing w:after="0"/>
              <w:rPr>
                <w:sz w:val="20"/>
                <w:szCs w:val="20"/>
                <w:color w:val="auto"/>
              </w:rPr>
            </w:pPr>
            <w:r>
              <w:rPr>
                <w:rFonts w:ascii="Arial Narrow" w:cs="Arial Narrow" w:eastAsia="Arial Narrow" w:hAnsi="Arial Narrow"/>
                <w:sz w:val="18"/>
                <w:szCs w:val="18"/>
                <w:color w:val="auto"/>
                <w:w w:val="72"/>
              </w:rPr>
              <w:t>$</w:t>
            </w:r>
          </w:p>
        </w:tc>
        <w:tc>
          <w:tcPr>
            <w:tcW w:w="1220" w:type="dxa"/>
            <w:vAlign w:val="bottom"/>
          </w:tcPr>
          <w:p>
            <w:pPr>
              <w:jc w:val="right"/>
              <w:ind w:right="26"/>
              <w:spacing w:after="0"/>
              <w:rPr>
                <w:sz w:val="20"/>
                <w:szCs w:val="20"/>
                <w:color w:val="auto"/>
              </w:rPr>
            </w:pPr>
            <w:r>
              <w:rPr>
                <w:rFonts w:ascii="Arial Narrow" w:cs="Arial Narrow" w:eastAsia="Arial Narrow" w:hAnsi="Arial Narrow"/>
                <w:sz w:val="20"/>
                <w:szCs w:val="20"/>
                <w:color w:val="auto"/>
              </w:rPr>
              <w:t>16,431</w:t>
            </w:r>
          </w:p>
        </w:tc>
        <w:tc>
          <w:tcPr>
            <w:tcW w:w="780" w:type="dxa"/>
            <w:vAlign w:val="bottom"/>
            <w:gridSpan w:val="2"/>
          </w:tcPr>
          <w:p>
            <w:pPr>
              <w:jc w:val="right"/>
              <w:ind w:right="540"/>
              <w:spacing w:after="0"/>
              <w:rPr>
                <w:sz w:val="20"/>
                <w:szCs w:val="20"/>
                <w:color w:val="auto"/>
              </w:rPr>
            </w:pPr>
            <w:r>
              <w:rPr>
                <w:rFonts w:ascii="Arial Narrow" w:cs="Arial Narrow" w:eastAsia="Arial Narrow" w:hAnsi="Arial Narrow"/>
                <w:sz w:val="20"/>
                <w:szCs w:val="20"/>
                <w:color w:val="auto"/>
              </w:rPr>
              <w:t>$</w:t>
            </w:r>
          </w:p>
        </w:tc>
        <w:tc>
          <w:tcPr>
            <w:tcW w:w="820" w:type="dxa"/>
            <w:vAlign w:val="bottom"/>
          </w:tcPr>
          <w:p>
            <w:pPr>
              <w:jc w:val="right"/>
              <w:ind w:right="2"/>
              <w:spacing w:after="0"/>
              <w:rPr>
                <w:sz w:val="20"/>
                <w:szCs w:val="20"/>
                <w:color w:val="auto"/>
              </w:rPr>
            </w:pPr>
            <w:r>
              <w:rPr>
                <w:rFonts w:ascii="Arial Narrow" w:cs="Arial Narrow" w:eastAsia="Arial Narrow" w:hAnsi="Arial Narrow"/>
                <w:sz w:val="20"/>
                <w:szCs w:val="20"/>
                <w:color w:val="auto"/>
              </w:rPr>
              <w:t>30,152</w:t>
            </w:r>
          </w:p>
        </w:tc>
      </w:tr>
      <w:tr>
        <w:trPr>
          <w:trHeight w:val="65"/>
        </w:trPr>
        <w:tc>
          <w:tcPr>
            <w:tcW w:w="6300" w:type="dxa"/>
            <w:vAlign w:val="bottom"/>
            <w:tcBorders>
              <w:bottom w:val="single" w:sz="8" w:color="A6A6A6"/>
            </w:tcBorders>
          </w:tcPr>
          <w:p>
            <w:pPr>
              <w:spacing w:after="0"/>
              <w:rPr>
                <w:sz w:val="5"/>
                <w:szCs w:val="5"/>
                <w:color w:val="auto"/>
              </w:rPr>
            </w:pPr>
          </w:p>
        </w:tc>
        <w:tc>
          <w:tcPr>
            <w:tcW w:w="240" w:type="dxa"/>
            <w:vAlign w:val="bottom"/>
            <w:tcBorders>
              <w:bottom w:val="single" w:sz="8" w:color="A6A6A6"/>
            </w:tcBorders>
          </w:tcPr>
          <w:p>
            <w:pPr>
              <w:spacing w:after="0"/>
              <w:rPr>
                <w:sz w:val="5"/>
                <w:szCs w:val="5"/>
                <w:color w:val="auto"/>
              </w:rPr>
            </w:pPr>
          </w:p>
        </w:tc>
        <w:tc>
          <w:tcPr>
            <w:tcW w:w="122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620" w:type="dxa"/>
            <w:vAlign w:val="bottom"/>
            <w:tcBorders>
              <w:bottom w:val="single" w:sz="8" w:color="A6A6A6"/>
            </w:tcBorders>
          </w:tcPr>
          <w:p>
            <w:pPr>
              <w:spacing w:after="0"/>
              <w:rPr>
                <w:sz w:val="5"/>
                <w:szCs w:val="5"/>
                <w:color w:val="auto"/>
              </w:rPr>
            </w:pPr>
          </w:p>
        </w:tc>
        <w:tc>
          <w:tcPr>
            <w:tcW w:w="820" w:type="dxa"/>
            <w:vAlign w:val="bottom"/>
            <w:tcBorders>
              <w:bottom w:val="single" w:sz="8" w:color="A6A6A6"/>
            </w:tcBorders>
          </w:tcPr>
          <w:p>
            <w:pPr>
              <w:spacing w:after="0"/>
              <w:rPr>
                <w:sz w:val="5"/>
                <w:szCs w:val="5"/>
                <w:color w:val="auto"/>
              </w:rPr>
            </w:pPr>
          </w:p>
        </w:tc>
      </w:tr>
    </w:tbl>
    <w:p>
      <w:pPr>
        <w:spacing w:after="0" w:line="200" w:lineRule="exact"/>
        <w:rPr>
          <w:sz w:val="20"/>
          <w:szCs w:val="20"/>
          <w:color w:val="auto"/>
        </w:rPr>
      </w:pPr>
    </w:p>
    <w:p>
      <w:pPr>
        <w:sectPr>
          <w:pgSz w:w="11880" w:h="15480" w:orient="portrait"/>
          <w:cols w:equalWidth="0" w:num="1">
            <w:col w:w="9360"/>
          </w:cols>
          <w:pgMar w:left="1260" w:top="1267"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98</w:t>
      </w:r>
    </w:p>
    <w:p>
      <w:pPr>
        <w:sectPr>
          <w:pgSz w:w="11880" w:h="15480" w:orient="portrait"/>
          <w:cols w:equalWidth="0" w:num="1">
            <w:col w:w="9360"/>
          </w:cols>
          <w:pgMar w:left="1260" w:top="1267" w:right="1260" w:bottom="0" w:gutter="0" w:footer="0" w:header="0"/>
          <w:type w:val="continuous"/>
        </w:sectPr>
      </w:pPr>
    </w:p>
    <w:bookmarkStart w:id="106" w:name="page107"/>
    <w:bookmarkEnd w:id="106"/>
    <w:p>
      <w:pPr>
        <w:spacing w:after="0"/>
        <w:rPr>
          <w:sz w:val="20"/>
          <w:szCs w:val="20"/>
          <w:color w:val="auto"/>
        </w:rPr>
      </w:pPr>
      <w:r>
        <w:rPr>
          <w:rFonts w:ascii="Arial" w:cs="Arial" w:eastAsia="Arial" w:hAnsi="Arial"/>
          <w:sz w:val="22"/>
          <w:szCs w:val="22"/>
          <w:b w:val="1"/>
          <w:bCs w:val="1"/>
          <w:color w:val="00085E"/>
        </w:rPr>
        <w:t>(I) INCOME TAXES</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color w:val="auto"/>
        </w:rPr>
        <w:t>The components of pre-tax earnings from continuing operations are noted below.</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5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960" w:type="dxa"/>
            <w:vAlign w:val="bottom"/>
            <w:gridSpan w:val="6"/>
          </w:tcPr>
          <w:p>
            <w:pPr>
              <w:jc w:val="right"/>
              <w:ind w:right="180"/>
              <w:spacing w:after="0"/>
              <w:rPr>
                <w:sz w:val="20"/>
                <w:szCs w:val="20"/>
                <w:color w:val="auto"/>
              </w:rPr>
            </w:pPr>
            <w:r>
              <w:rPr>
                <w:rFonts w:ascii="Arial Narrow" w:cs="Arial Narrow" w:eastAsia="Arial Narrow" w:hAnsi="Arial Narrow"/>
                <w:sz w:val="18"/>
                <w:szCs w:val="18"/>
                <w:b w:val="1"/>
                <w:bCs w:val="1"/>
                <w:color w:val="auto"/>
              </w:rPr>
              <w:t>For the Years Ended March 31,</w:t>
            </w:r>
          </w:p>
        </w:tc>
        <w:tc>
          <w:tcPr>
            <w:tcW w:w="780" w:type="dxa"/>
            <w:vAlign w:val="bottom"/>
          </w:tcPr>
          <w:p>
            <w:pPr>
              <w:spacing w:after="0"/>
              <w:rPr>
                <w:sz w:val="22"/>
                <w:szCs w:val="22"/>
                <w:color w:val="auto"/>
              </w:rPr>
            </w:pPr>
          </w:p>
        </w:tc>
      </w:tr>
      <w:tr>
        <w:trPr>
          <w:trHeight w:val="21"/>
        </w:trPr>
        <w:tc>
          <w:tcPr>
            <w:tcW w:w="5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69"/>
        </w:trPr>
        <w:tc>
          <w:tcPr>
            <w:tcW w:w="5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jc w:val="right"/>
              <w:ind w:right="5"/>
              <w:spacing w:after="0"/>
              <w:rPr>
                <w:sz w:val="20"/>
                <w:szCs w:val="20"/>
                <w:color w:val="auto"/>
              </w:rPr>
            </w:pPr>
            <w:r>
              <w:rPr>
                <w:rFonts w:ascii="Arial Narrow" w:cs="Arial Narrow" w:eastAsia="Arial Narrow" w:hAnsi="Arial Narrow"/>
                <w:sz w:val="18"/>
                <w:szCs w:val="18"/>
                <w:b w:val="1"/>
                <w:bCs w:val="1"/>
                <w:color w:val="auto"/>
              </w:rPr>
              <w:t>2026</w:t>
            </w: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jc w:val="right"/>
              <w:ind w:right="23"/>
              <w:spacing w:after="0"/>
              <w:rPr>
                <w:sz w:val="20"/>
                <w:szCs w:val="20"/>
                <w:color w:val="auto"/>
              </w:rPr>
            </w:pPr>
            <w:r>
              <w:rPr>
                <w:rFonts w:ascii="Arial Narrow" w:cs="Arial Narrow" w:eastAsia="Arial Narrow" w:hAnsi="Arial Narrow"/>
                <w:sz w:val="18"/>
                <w:szCs w:val="18"/>
                <w:b w:val="1"/>
                <w:bCs w:val="1"/>
                <w:color w:val="auto"/>
              </w:rPr>
              <w:t>2025</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Narrow" w:cs="Arial Narrow" w:eastAsia="Arial Narrow" w:hAnsi="Arial Narrow"/>
                <w:sz w:val="18"/>
                <w:szCs w:val="18"/>
                <w:b w:val="1"/>
                <w:bCs w:val="1"/>
                <w:color w:val="auto"/>
              </w:rPr>
              <w:t>2024</w:t>
            </w:r>
          </w:p>
        </w:tc>
      </w:tr>
      <w:tr>
        <w:trPr>
          <w:trHeight w:val="21"/>
        </w:trPr>
        <w:tc>
          <w:tcPr>
            <w:tcW w:w="5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4"/>
        </w:trPr>
        <w:tc>
          <w:tcPr>
            <w:tcW w:w="5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40" w:type="dxa"/>
            <w:vAlign w:val="bottom"/>
            <w:gridSpan w:val="3"/>
          </w:tcPr>
          <w:p>
            <w:pPr>
              <w:jc w:val="right"/>
              <w:spacing w:after="0"/>
              <w:rPr>
                <w:sz w:val="20"/>
                <w:szCs w:val="20"/>
                <w:color w:val="auto"/>
              </w:rPr>
            </w:pPr>
            <w:r>
              <w:rPr>
                <w:rFonts w:ascii="Arial Narrow" w:cs="Arial Narrow" w:eastAsia="Arial Narrow" w:hAnsi="Arial Narrow"/>
                <w:sz w:val="16"/>
                <w:szCs w:val="16"/>
                <w:color w:val="auto"/>
              </w:rPr>
              <w:t>(dollars in thousands)</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48"/>
        </w:trPr>
        <w:tc>
          <w:tcPr>
            <w:tcW w:w="52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gridSpan w:val="2"/>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gridSpan w:val="2"/>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344"/>
        </w:trPr>
        <w:tc>
          <w:tcPr>
            <w:tcW w:w="5280" w:type="dxa"/>
            <w:vAlign w:val="bottom"/>
          </w:tcPr>
          <w:p>
            <w:pPr>
              <w:spacing w:after="0"/>
              <w:rPr>
                <w:sz w:val="20"/>
                <w:szCs w:val="20"/>
                <w:color w:val="auto"/>
              </w:rPr>
            </w:pPr>
            <w:r>
              <w:rPr>
                <w:rFonts w:ascii="Arial Narrow" w:cs="Arial Narrow" w:eastAsia="Arial Narrow" w:hAnsi="Arial Narrow"/>
                <w:sz w:val="20"/>
                <w:szCs w:val="20"/>
                <w:b w:val="1"/>
                <w:bCs w:val="1"/>
                <w:color w:val="00085E"/>
              </w:rPr>
              <w:t>Domestic</w:t>
            </w:r>
          </w:p>
        </w:tc>
        <w:tc>
          <w:tcPr>
            <w:tcW w:w="340" w:type="dxa"/>
            <w:vAlign w:val="bottom"/>
          </w:tcPr>
          <w:p>
            <w:pPr>
              <w:jc w:val="right"/>
              <w:ind w:right="170"/>
              <w:spacing w:after="0"/>
              <w:rPr>
                <w:sz w:val="20"/>
                <w:szCs w:val="20"/>
                <w:color w:val="auto"/>
              </w:rPr>
            </w:pPr>
            <w:r>
              <w:rPr>
                <w:rFonts w:ascii="Arial Narrow" w:cs="Arial Narrow" w:eastAsia="Arial Narrow" w:hAnsi="Arial Narrow"/>
                <w:sz w:val="18"/>
                <w:szCs w:val="18"/>
                <w:color w:val="auto"/>
                <w:w w:val="72"/>
              </w:rPr>
              <w:t>$</w:t>
            </w:r>
          </w:p>
        </w:tc>
        <w:tc>
          <w:tcPr>
            <w:tcW w:w="960" w:type="dxa"/>
            <w:vAlign w:val="bottom"/>
          </w:tcPr>
          <w:p>
            <w:pPr>
              <w:jc w:val="right"/>
              <w:ind w:right="5"/>
              <w:spacing w:after="0"/>
              <w:rPr>
                <w:sz w:val="20"/>
                <w:szCs w:val="20"/>
                <w:color w:val="auto"/>
              </w:rPr>
            </w:pPr>
            <w:r>
              <w:rPr>
                <w:rFonts w:ascii="Arial Narrow" w:cs="Arial Narrow" w:eastAsia="Arial Narrow" w:hAnsi="Arial Narrow"/>
                <w:sz w:val="20"/>
                <w:szCs w:val="20"/>
                <w:color w:val="auto"/>
              </w:rPr>
              <w:t>541,976</w:t>
            </w:r>
          </w:p>
        </w:tc>
        <w:tc>
          <w:tcPr>
            <w:tcW w:w="480" w:type="dxa"/>
            <w:vAlign w:val="bottom"/>
            <w:gridSpan w:val="2"/>
          </w:tcPr>
          <w:p>
            <w:pPr>
              <w:jc w:val="right"/>
              <w:ind w:right="260"/>
              <w:spacing w:after="0"/>
              <w:rPr>
                <w:sz w:val="20"/>
                <w:szCs w:val="20"/>
                <w:color w:val="auto"/>
              </w:rPr>
            </w:pPr>
            <w:r>
              <w:rPr>
                <w:rFonts w:ascii="Arial Narrow" w:cs="Arial Narrow" w:eastAsia="Arial Narrow" w:hAnsi="Arial Narrow"/>
                <w:sz w:val="20"/>
                <w:szCs w:val="20"/>
                <w:color w:val="auto"/>
              </w:rPr>
              <w:t>$</w:t>
            </w:r>
          </w:p>
        </w:tc>
        <w:tc>
          <w:tcPr>
            <w:tcW w:w="960" w:type="dxa"/>
            <w:vAlign w:val="bottom"/>
          </w:tcPr>
          <w:p>
            <w:pPr>
              <w:jc w:val="right"/>
              <w:ind w:right="23"/>
              <w:spacing w:after="0"/>
              <w:rPr>
                <w:sz w:val="20"/>
                <w:szCs w:val="20"/>
                <w:color w:val="auto"/>
              </w:rPr>
            </w:pPr>
            <w:r>
              <w:rPr>
                <w:rFonts w:ascii="Arial Narrow" w:cs="Arial Narrow" w:eastAsia="Arial Narrow" w:hAnsi="Arial Narrow"/>
                <w:sz w:val="20"/>
                <w:szCs w:val="20"/>
                <w:color w:val="auto"/>
              </w:rPr>
              <w:t>591,485</w:t>
            </w:r>
          </w:p>
        </w:tc>
        <w:tc>
          <w:tcPr>
            <w:tcW w:w="560" w:type="dxa"/>
            <w:vAlign w:val="bottom"/>
            <w:gridSpan w:val="2"/>
          </w:tcPr>
          <w:p>
            <w:pPr>
              <w:jc w:val="right"/>
              <w:ind w:right="340"/>
              <w:spacing w:after="0"/>
              <w:rPr>
                <w:sz w:val="20"/>
                <w:szCs w:val="20"/>
                <w:color w:val="auto"/>
              </w:rPr>
            </w:pPr>
            <w:r>
              <w:rPr>
                <w:rFonts w:ascii="Arial Narrow" w:cs="Arial Narrow" w:eastAsia="Arial Narrow" w:hAnsi="Arial Narrow"/>
                <w:sz w:val="20"/>
                <w:szCs w:val="20"/>
                <w:color w:val="auto"/>
              </w:rPr>
              <w:t>$</w:t>
            </w: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617,937</w:t>
            </w:r>
          </w:p>
        </w:tc>
      </w:tr>
      <w:tr>
        <w:trPr>
          <w:trHeight w:val="90"/>
        </w:trPr>
        <w:tc>
          <w:tcPr>
            <w:tcW w:w="5280" w:type="dxa"/>
            <w:vAlign w:val="bottom"/>
            <w:tcBorders>
              <w:bottom w:val="single" w:sz="8" w:color="A6A6A6"/>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r>
      <w:tr>
        <w:trPr>
          <w:trHeight w:val="344"/>
        </w:trPr>
        <w:tc>
          <w:tcPr>
            <w:tcW w:w="5280" w:type="dxa"/>
            <w:vAlign w:val="bottom"/>
          </w:tcPr>
          <w:p>
            <w:pPr>
              <w:spacing w:after="0"/>
              <w:rPr>
                <w:sz w:val="20"/>
                <w:szCs w:val="20"/>
                <w:color w:val="auto"/>
              </w:rPr>
            </w:pPr>
            <w:r>
              <w:rPr>
                <w:rFonts w:ascii="Arial Narrow" w:cs="Arial Narrow" w:eastAsia="Arial Narrow" w:hAnsi="Arial Narrow"/>
                <w:sz w:val="20"/>
                <w:szCs w:val="20"/>
                <w:b w:val="1"/>
                <w:bCs w:val="1"/>
                <w:color w:val="00085E"/>
              </w:rPr>
              <w:t>Total</w:t>
            </w:r>
          </w:p>
        </w:tc>
        <w:tc>
          <w:tcPr>
            <w:tcW w:w="340" w:type="dxa"/>
            <w:vAlign w:val="bottom"/>
          </w:tcPr>
          <w:p>
            <w:pPr>
              <w:jc w:val="right"/>
              <w:ind w:right="170"/>
              <w:spacing w:after="0"/>
              <w:rPr>
                <w:sz w:val="20"/>
                <w:szCs w:val="20"/>
                <w:color w:val="auto"/>
              </w:rPr>
            </w:pPr>
            <w:r>
              <w:rPr>
                <w:rFonts w:ascii="Arial Narrow" w:cs="Arial Narrow" w:eastAsia="Arial Narrow" w:hAnsi="Arial Narrow"/>
                <w:sz w:val="18"/>
                <w:szCs w:val="18"/>
                <w:b w:val="1"/>
                <w:bCs w:val="1"/>
                <w:color w:val="auto"/>
                <w:w w:val="72"/>
              </w:rPr>
              <w:t>$</w:t>
            </w:r>
          </w:p>
        </w:tc>
        <w:tc>
          <w:tcPr>
            <w:tcW w:w="960" w:type="dxa"/>
            <w:vAlign w:val="bottom"/>
          </w:tcPr>
          <w:p>
            <w:pPr>
              <w:jc w:val="right"/>
              <w:ind w:right="5"/>
              <w:spacing w:after="0"/>
              <w:rPr>
                <w:sz w:val="20"/>
                <w:szCs w:val="20"/>
                <w:color w:val="auto"/>
              </w:rPr>
            </w:pPr>
            <w:r>
              <w:rPr>
                <w:rFonts w:ascii="Arial Narrow" w:cs="Arial Narrow" w:eastAsia="Arial Narrow" w:hAnsi="Arial Narrow"/>
                <w:sz w:val="20"/>
                <w:szCs w:val="20"/>
                <w:b w:val="1"/>
                <w:bCs w:val="1"/>
                <w:color w:val="auto"/>
              </w:rPr>
              <w:t>541,976</w:t>
            </w:r>
          </w:p>
        </w:tc>
        <w:tc>
          <w:tcPr>
            <w:tcW w:w="480" w:type="dxa"/>
            <w:vAlign w:val="bottom"/>
            <w:gridSpan w:val="2"/>
          </w:tcPr>
          <w:p>
            <w:pPr>
              <w:jc w:val="right"/>
              <w:ind w:right="260"/>
              <w:spacing w:after="0"/>
              <w:rPr>
                <w:sz w:val="20"/>
                <w:szCs w:val="20"/>
                <w:color w:val="auto"/>
              </w:rPr>
            </w:pPr>
            <w:r>
              <w:rPr>
                <w:rFonts w:ascii="Arial Narrow" w:cs="Arial Narrow" w:eastAsia="Arial Narrow" w:hAnsi="Arial Narrow"/>
                <w:sz w:val="20"/>
                <w:szCs w:val="20"/>
                <w:b w:val="1"/>
                <w:bCs w:val="1"/>
                <w:color w:val="auto"/>
              </w:rPr>
              <w:t>$</w:t>
            </w:r>
          </w:p>
        </w:tc>
        <w:tc>
          <w:tcPr>
            <w:tcW w:w="960" w:type="dxa"/>
            <w:vAlign w:val="bottom"/>
          </w:tcPr>
          <w:p>
            <w:pPr>
              <w:jc w:val="right"/>
              <w:ind w:right="23"/>
              <w:spacing w:after="0"/>
              <w:rPr>
                <w:sz w:val="20"/>
                <w:szCs w:val="20"/>
                <w:color w:val="auto"/>
              </w:rPr>
            </w:pPr>
            <w:r>
              <w:rPr>
                <w:rFonts w:ascii="Arial Narrow" w:cs="Arial Narrow" w:eastAsia="Arial Narrow" w:hAnsi="Arial Narrow"/>
                <w:sz w:val="20"/>
                <w:szCs w:val="20"/>
                <w:b w:val="1"/>
                <w:bCs w:val="1"/>
                <w:color w:val="auto"/>
              </w:rPr>
              <w:t>591,485</w:t>
            </w:r>
          </w:p>
        </w:tc>
        <w:tc>
          <w:tcPr>
            <w:tcW w:w="560" w:type="dxa"/>
            <w:vAlign w:val="bottom"/>
            <w:gridSpan w:val="2"/>
          </w:tcPr>
          <w:p>
            <w:pPr>
              <w:jc w:val="right"/>
              <w:ind w:right="340"/>
              <w:spacing w:after="0"/>
              <w:rPr>
                <w:sz w:val="20"/>
                <w:szCs w:val="20"/>
                <w:color w:val="auto"/>
              </w:rPr>
            </w:pPr>
            <w:r>
              <w:rPr>
                <w:rFonts w:ascii="Arial Narrow" w:cs="Arial Narrow" w:eastAsia="Arial Narrow" w:hAnsi="Arial Narrow"/>
                <w:sz w:val="20"/>
                <w:szCs w:val="20"/>
                <w:b w:val="1"/>
                <w:bCs w:val="1"/>
                <w:color w:val="auto"/>
              </w:rPr>
              <w:t>$</w:t>
            </w:r>
          </w:p>
        </w:tc>
        <w:tc>
          <w:tcPr>
            <w:tcW w:w="780" w:type="dxa"/>
            <w:vAlign w:val="bottom"/>
          </w:tcPr>
          <w:p>
            <w:pPr>
              <w:jc w:val="right"/>
              <w:spacing w:after="0"/>
              <w:rPr>
                <w:sz w:val="20"/>
                <w:szCs w:val="20"/>
                <w:color w:val="auto"/>
              </w:rPr>
            </w:pPr>
            <w:r>
              <w:rPr>
                <w:rFonts w:ascii="Arial Narrow" w:cs="Arial Narrow" w:eastAsia="Arial Narrow" w:hAnsi="Arial Narrow"/>
                <w:sz w:val="20"/>
                <w:szCs w:val="20"/>
                <w:b w:val="1"/>
                <w:bCs w:val="1"/>
                <w:color w:val="auto"/>
              </w:rPr>
              <w:t>617,937</w:t>
            </w:r>
          </w:p>
        </w:tc>
      </w:tr>
      <w:tr>
        <w:trPr>
          <w:trHeight w:val="65"/>
        </w:trPr>
        <w:tc>
          <w:tcPr>
            <w:tcW w:w="528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r>
      <w:tr>
        <w:trPr>
          <w:trHeight w:val="20"/>
        </w:trPr>
        <w:tc>
          <w:tcPr>
            <w:tcW w:w="5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331" w:lineRule="exact"/>
        <w:rPr>
          <w:sz w:val="20"/>
          <w:szCs w:val="20"/>
          <w:color w:val="auto"/>
        </w:rPr>
      </w:pPr>
    </w:p>
    <w:p>
      <w:pPr>
        <w:spacing w:after="0"/>
        <w:rPr>
          <w:sz w:val="20"/>
          <w:szCs w:val="20"/>
          <w:color w:val="auto"/>
        </w:rPr>
      </w:pPr>
      <w:r>
        <w:rPr>
          <w:rFonts w:ascii="Arial" w:cs="Arial" w:eastAsia="Arial" w:hAnsi="Arial"/>
          <w:sz w:val="20"/>
          <w:szCs w:val="20"/>
          <w:color w:val="auto"/>
        </w:rPr>
        <w:t>Income tax expense (benefit) from continuing operations includes the following components.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5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960" w:type="dxa"/>
            <w:vAlign w:val="bottom"/>
            <w:gridSpan w:val="6"/>
          </w:tcPr>
          <w:p>
            <w:pPr>
              <w:jc w:val="right"/>
              <w:ind w:right="180"/>
              <w:spacing w:after="0"/>
              <w:rPr>
                <w:sz w:val="20"/>
                <w:szCs w:val="20"/>
                <w:color w:val="auto"/>
              </w:rPr>
            </w:pPr>
            <w:r>
              <w:rPr>
                <w:rFonts w:ascii="Arial Narrow" w:cs="Arial Narrow" w:eastAsia="Arial Narrow" w:hAnsi="Arial Narrow"/>
                <w:sz w:val="18"/>
                <w:szCs w:val="18"/>
                <w:b w:val="1"/>
                <w:bCs w:val="1"/>
                <w:color w:val="auto"/>
              </w:rPr>
              <w:t>For the Years Ended March 31,</w:t>
            </w:r>
          </w:p>
        </w:tc>
        <w:tc>
          <w:tcPr>
            <w:tcW w:w="940" w:type="dxa"/>
            <w:vAlign w:val="bottom"/>
          </w:tcPr>
          <w:p>
            <w:pPr>
              <w:spacing w:after="0"/>
              <w:rPr>
                <w:sz w:val="22"/>
                <w:szCs w:val="22"/>
                <w:color w:val="auto"/>
              </w:rPr>
            </w:pPr>
          </w:p>
        </w:tc>
      </w:tr>
      <w:tr>
        <w:trPr>
          <w:trHeight w:val="21"/>
        </w:trPr>
        <w:tc>
          <w:tcPr>
            <w:tcW w:w="5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69"/>
        </w:trPr>
        <w:tc>
          <w:tcPr>
            <w:tcW w:w="5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ind w:right="82"/>
              <w:spacing w:after="0"/>
              <w:rPr>
                <w:sz w:val="20"/>
                <w:szCs w:val="20"/>
                <w:color w:val="auto"/>
              </w:rPr>
            </w:pPr>
            <w:r>
              <w:rPr>
                <w:rFonts w:ascii="Arial Narrow" w:cs="Arial Narrow" w:eastAsia="Arial Narrow" w:hAnsi="Arial Narrow"/>
                <w:sz w:val="18"/>
                <w:szCs w:val="18"/>
                <w:b w:val="1"/>
                <w:bCs w:val="1"/>
                <w:color w:val="auto"/>
              </w:rPr>
              <w:t>2026</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101"/>
              <w:spacing w:after="0"/>
              <w:rPr>
                <w:sz w:val="20"/>
                <w:szCs w:val="20"/>
                <w:color w:val="auto"/>
              </w:rPr>
            </w:pPr>
            <w:r>
              <w:rPr>
                <w:rFonts w:ascii="Arial Narrow" w:cs="Arial Narrow" w:eastAsia="Arial Narrow" w:hAnsi="Arial Narrow"/>
                <w:sz w:val="18"/>
                <w:szCs w:val="18"/>
                <w:b w:val="1"/>
                <w:bCs w:val="1"/>
                <w:color w:val="auto"/>
              </w:rPr>
              <w:t>2025</w:t>
            </w: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40" w:type="dxa"/>
            <w:vAlign w:val="bottom"/>
          </w:tcPr>
          <w:p>
            <w:pPr>
              <w:jc w:val="right"/>
              <w:ind w:right="81"/>
              <w:spacing w:after="0"/>
              <w:rPr>
                <w:sz w:val="20"/>
                <w:szCs w:val="20"/>
                <w:color w:val="auto"/>
              </w:rPr>
            </w:pPr>
            <w:r>
              <w:rPr>
                <w:rFonts w:ascii="Arial Narrow" w:cs="Arial Narrow" w:eastAsia="Arial Narrow" w:hAnsi="Arial Narrow"/>
                <w:sz w:val="18"/>
                <w:szCs w:val="18"/>
                <w:b w:val="1"/>
                <w:bCs w:val="1"/>
                <w:color w:val="auto"/>
              </w:rPr>
              <w:t>2024</w:t>
            </w:r>
          </w:p>
        </w:tc>
      </w:tr>
      <w:tr>
        <w:trPr>
          <w:trHeight w:val="21"/>
        </w:trPr>
        <w:tc>
          <w:tcPr>
            <w:tcW w:w="5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44"/>
        </w:trPr>
        <w:tc>
          <w:tcPr>
            <w:tcW w:w="5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60" w:type="dxa"/>
            <w:vAlign w:val="bottom"/>
            <w:gridSpan w:val="3"/>
          </w:tcPr>
          <w:p>
            <w:pPr>
              <w:jc w:val="right"/>
              <w:ind w:right="41"/>
              <w:spacing w:after="0"/>
              <w:rPr>
                <w:sz w:val="20"/>
                <w:szCs w:val="20"/>
                <w:color w:val="auto"/>
              </w:rPr>
            </w:pPr>
            <w:r>
              <w:rPr>
                <w:rFonts w:ascii="Arial Narrow" w:cs="Arial Narrow" w:eastAsia="Arial Narrow" w:hAnsi="Arial Narrow"/>
                <w:sz w:val="16"/>
                <w:szCs w:val="16"/>
                <w:color w:val="auto"/>
              </w:rPr>
              <w:t>(dollars in thousands)</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48"/>
        </w:trPr>
        <w:tc>
          <w:tcPr>
            <w:tcW w:w="51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344"/>
        </w:trPr>
        <w:tc>
          <w:tcPr>
            <w:tcW w:w="5140" w:type="dxa"/>
            <w:vAlign w:val="bottom"/>
          </w:tcPr>
          <w:p>
            <w:pPr>
              <w:spacing w:after="0"/>
              <w:rPr>
                <w:sz w:val="20"/>
                <w:szCs w:val="20"/>
                <w:color w:val="auto"/>
              </w:rPr>
            </w:pPr>
            <w:r>
              <w:rPr>
                <w:rFonts w:ascii="Arial Narrow" w:cs="Arial Narrow" w:eastAsia="Arial Narrow" w:hAnsi="Arial Narrow"/>
                <w:sz w:val="20"/>
                <w:szCs w:val="20"/>
                <w:b w:val="1"/>
                <w:bCs w:val="1"/>
                <w:color w:val="00085E"/>
              </w:rPr>
              <w:t>Current Provision (Benefit)</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65"/>
        </w:trPr>
        <w:tc>
          <w:tcPr>
            <w:tcW w:w="5140" w:type="dxa"/>
            <w:vAlign w:val="bottom"/>
            <w:tcBorders>
              <w:bottom w:val="single" w:sz="8" w:color="A6A6A6"/>
            </w:tcBorders>
          </w:tcPr>
          <w:p>
            <w:pPr>
              <w:spacing w:after="0"/>
              <w:rPr>
                <w:sz w:val="5"/>
                <w:szCs w:val="5"/>
                <w:color w:val="auto"/>
              </w:rPr>
            </w:pPr>
          </w:p>
        </w:tc>
        <w:tc>
          <w:tcPr>
            <w:tcW w:w="320" w:type="dxa"/>
            <w:vAlign w:val="bottom"/>
            <w:tcBorders>
              <w:bottom w:val="single" w:sz="8" w:color="A6A6A6"/>
            </w:tcBorders>
          </w:tcPr>
          <w:p>
            <w:pPr>
              <w:spacing w:after="0"/>
              <w:rPr>
                <w:sz w:val="5"/>
                <w:szCs w:val="5"/>
                <w:color w:val="auto"/>
              </w:rPr>
            </w:pPr>
          </w:p>
        </w:tc>
        <w:tc>
          <w:tcPr>
            <w:tcW w:w="1000" w:type="dxa"/>
            <w:vAlign w:val="bottom"/>
            <w:tcBorders>
              <w:bottom w:val="single" w:sz="8" w:color="A6A6A6"/>
            </w:tcBorders>
          </w:tcPr>
          <w:p>
            <w:pPr>
              <w:spacing w:after="0"/>
              <w:rPr>
                <w:sz w:val="5"/>
                <w:szCs w:val="5"/>
                <w:color w:val="auto"/>
              </w:rPr>
            </w:pPr>
          </w:p>
        </w:tc>
        <w:tc>
          <w:tcPr>
            <w:tcW w:w="440" w:type="dxa"/>
            <w:vAlign w:val="bottom"/>
            <w:tcBorders>
              <w:bottom w:val="single" w:sz="8" w:color="A6A6A6"/>
            </w:tcBorders>
            <w:gridSpan w:val="2"/>
          </w:tcPr>
          <w:p>
            <w:pPr>
              <w:spacing w:after="0"/>
              <w:rPr>
                <w:sz w:val="5"/>
                <w:szCs w:val="5"/>
                <w:color w:val="auto"/>
              </w:rPr>
            </w:pPr>
          </w:p>
        </w:tc>
        <w:tc>
          <w:tcPr>
            <w:tcW w:w="1020" w:type="dxa"/>
            <w:vAlign w:val="bottom"/>
            <w:tcBorders>
              <w:bottom w:val="single" w:sz="8" w:color="A6A6A6"/>
            </w:tcBorders>
          </w:tcPr>
          <w:p>
            <w:pPr>
              <w:spacing w:after="0"/>
              <w:rPr>
                <w:sz w:val="5"/>
                <w:szCs w:val="5"/>
                <w:color w:val="auto"/>
              </w:rPr>
            </w:pPr>
          </w:p>
        </w:tc>
        <w:tc>
          <w:tcPr>
            <w:tcW w:w="500" w:type="dxa"/>
            <w:vAlign w:val="bottom"/>
            <w:tcBorders>
              <w:bottom w:val="single" w:sz="8" w:color="A6A6A6"/>
            </w:tcBorders>
            <w:gridSpan w:val="2"/>
          </w:tcPr>
          <w:p>
            <w:pPr>
              <w:spacing w:after="0"/>
              <w:rPr>
                <w:sz w:val="5"/>
                <w:szCs w:val="5"/>
                <w:color w:val="auto"/>
              </w:rPr>
            </w:pPr>
          </w:p>
        </w:tc>
        <w:tc>
          <w:tcPr>
            <w:tcW w:w="940" w:type="dxa"/>
            <w:vAlign w:val="bottom"/>
            <w:tcBorders>
              <w:bottom w:val="single" w:sz="8" w:color="A6A6A6"/>
            </w:tcBorders>
          </w:tcPr>
          <w:p>
            <w:pPr>
              <w:spacing w:after="0"/>
              <w:rPr>
                <w:sz w:val="5"/>
                <w:szCs w:val="5"/>
                <w:color w:val="auto"/>
              </w:rPr>
            </w:pPr>
          </w:p>
        </w:tc>
      </w:tr>
      <w:tr>
        <w:trPr>
          <w:trHeight w:val="339"/>
        </w:trPr>
        <w:tc>
          <w:tcPr>
            <w:tcW w:w="5140" w:type="dxa"/>
            <w:vAlign w:val="bottom"/>
          </w:tcPr>
          <w:p>
            <w:pPr>
              <w:ind w:left="200"/>
              <w:spacing w:after="0"/>
              <w:rPr>
                <w:sz w:val="20"/>
                <w:szCs w:val="20"/>
                <w:color w:val="auto"/>
              </w:rPr>
            </w:pPr>
            <w:r>
              <w:rPr>
                <w:rFonts w:ascii="Arial Narrow" w:cs="Arial Narrow" w:eastAsia="Arial Narrow" w:hAnsi="Arial Narrow"/>
                <w:sz w:val="20"/>
                <w:szCs w:val="20"/>
                <w:b w:val="1"/>
                <w:bCs w:val="1"/>
                <w:color w:val="00085E"/>
              </w:rPr>
              <w:t>Federal</w:t>
            </w:r>
          </w:p>
        </w:tc>
        <w:tc>
          <w:tcPr>
            <w:tcW w:w="320" w:type="dxa"/>
            <w:vAlign w:val="bottom"/>
          </w:tcPr>
          <w:p>
            <w:pPr>
              <w:jc w:val="right"/>
              <w:ind w:right="120"/>
              <w:spacing w:after="0"/>
              <w:rPr>
                <w:sz w:val="20"/>
                <w:szCs w:val="20"/>
                <w:color w:val="auto"/>
              </w:rPr>
            </w:pPr>
            <w:r>
              <w:rPr>
                <w:rFonts w:ascii="Arial Narrow" w:cs="Arial Narrow" w:eastAsia="Arial Narrow" w:hAnsi="Arial Narrow"/>
                <w:sz w:val="20"/>
                <w:szCs w:val="20"/>
                <w:color w:val="auto"/>
                <w:w w:val="87"/>
              </w:rPr>
              <w:t>$</w:t>
            </w:r>
          </w:p>
        </w:tc>
        <w:tc>
          <w:tcPr>
            <w:tcW w:w="1000" w:type="dxa"/>
            <w:vAlign w:val="bottom"/>
          </w:tcPr>
          <w:p>
            <w:pPr>
              <w:jc w:val="right"/>
              <w:ind w:right="82"/>
              <w:spacing w:after="0"/>
              <w:rPr>
                <w:sz w:val="20"/>
                <w:szCs w:val="20"/>
                <w:color w:val="auto"/>
              </w:rPr>
            </w:pPr>
            <w:r>
              <w:rPr>
                <w:rFonts w:ascii="Arial Narrow" w:cs="Arial Narrow" w:eastAsia="Arial Narrow" w:hAnsi="Arial Narrow"/>
                <w:sz w:val="20"/>
                <w:szCs w:val="20"/>
                <w:color w:val="auto"/>
              </w:rPr>
              <w:t>80,325</w:t>
            </w:r>
          </w:p>
        </w:tc>
        <w:tc>
          <w:tcPr>
            <w:tcW w:w="440" w:type="dxa"/>
            <w:vAlign w:val="bottom"/>
            <w:gridSpan w:val="2"/>
          </w:tcPr>
          <w:p>
            <w:pPr>
              <w:jc w:val="right"/>
              <w:ind w:right="220"/>
              <w:spacing w:after="0"/>
              <w:rPr>
                <w:sz w:val="20"/>
                <w:szCs w:val="20"/>
                <w:color w:val="auto"/>
              </w:rPr>
            </w:pPr>
            <w:r>
              <w:rPr>
                <w:rFonts w:ascii="Arial Narrow" w:cs="Arial Narrow" w:eastAsia="Arial Narrow" w:hAnsi="Arial Narrow"/>
                <w:sz w:val="20"/>
                <w:szCs w:val="20"/>
                <w:color w:val="auto"/>
              </w:rPr>
              <w:t>$</w:t>
            </w:r>
          </w:p>
        </w:tc>
        <w:tc>
          <w:tcPr>
            <w:tcW w:w="1020" w:type="dxa"/>
            <w:vAlign w:val="bottom"/>
          </w:tcPr>
          <w:p>
            <w:pPr>
              <w:jc w:val="right"/>
              <w:ind w:right="101"/>
              <w:spacing w:after="0"/>
              <w:rPr>
                <w:sz w:val="20"/>
                <w:szCs w:val="20"/>
                <w:color w:val="auto"/>
              </w:rPr>
            </w:pPr>
            <w:r>
              <w:rPr>
                <w:rFonts w:ascii="Arial Narrow" w:cs="Arial Narrow" w:eastAsia="Arial Narrow" w:hAnsi="Arial Narrow"/>
                <w:sz w:val="20"/>
                <w:szCs w:val="20"/>
                <w:color w:val="auto"/>
              </w:rPr>
              <w:t>114,606</w:t>
            </w:r>
          </w:p>
        </w:tc>
        <w:tc>
          <w:tcPr>
            <w:tcW w:w="500" w:type="dxa"/>
            <w:vAlign w:val="bottom"/>
            <w:gridSpan w:val="2"/>
          </w:tcPr>
          <w:p>
            <w:pPr>
              <w:jc w:val="right"/>
              <w:ind w:right="280"/>
              <w:spacing w:after="0"/>
              <w:rPr>
                <w:sz w:val="20"/>
                <w:szCs w:val="20"/>
                <w:color w:val="auto"/>
              </w:rPr>
            </w:pPr>
            <w:r>
              <w:rPr>
                <w:rFonts w:ascii="Arial Narrow" w:cs="Arial Narrow" w:eastAsia="Arial Narrow" w:hAnsi="Arial Narrow"/>
                <w:sz w:val="20"/>
                <w:szCs w:val="20"/>
                <w:color w:val="auto"/>
              </w:rPr>
              <w:t>$</w:t>
            </w:r>
          </w:p>
        </w:tc>
        <w:tc>
          <w:tcPr>
            <w:tcW w:w="940" w:type="dxa"/>
            <w:vAlign w:val="bottom"/>
          </w:tcPr>
          <w:p>
            <w:pPr>
              <w:jc w:val="right"/>
              <w:ind w:right="81"/>
              <w:spacing w:after="0"/>
              <w:rPr>
                <w:sz w:val="20"/>
                <w:szCs w:val="20"/>
                <w:color w:val="auto"/>
              </w:rPr>
            </w:pPr>
            <w:r>
              <w:rPr>
                <w:rFonts w:ascii="Arial Narrow" w:cs="Arial Narrow" w:eastAsia="Arial Narrow" w:hAnsi="Arial Narrow"/>
                <w:sz w:val="20"/>
                <w:szCs w:val="20"/>
                <w:color w:val="auto"/>
              </w:rPr>
              <w:t>111,690</w:t>
            </w:r>
          </w:p>
        </w:tc>
      </w:tr>
      <w:tr>
        <w:trPr>
          <w:trHeight w:val="65"/>
        </w:trPr>
        <w:tc>
          <w:tcPr>
            <w:tcW w:w="5140" w:type="dxa"/>
            <w:vAlign w:val="bottom"/>
            <w:tcBorders>
              <w:bottom w:val="single" w:sz="8" w:color="A6A6A6"/>
            </w:tcBorders>
          </w:tcPr>
          <w:p>
            <w:pPr>
              <w:spacing w:after="0"/>
              <w:rPr>
                <w:sz w:val="5"/>
                <w:szCs w:val="5"/>
                <w:color w:val="auto"/>
              </w:rPr>
            </w:pPr>
          </w:p>
        </w:tc>
        <w:tc>
          <w:tcPr>
            <w:tcW w:w="320" w:type="dxa"/>
            <w:vAlign w:val="bottom"/>
            <w:tcBorders>
              <w:bottom w:val="single" w:sz="8" w:color="A6A6A6"/>
            </w:tcBorders>
          </w:tcPr>
          <w:p>
            <w:pPr>
              <w:spacing w:after="0"/>
              <w:rPr>
                <w:sz w:val="5"/>
                <w:szCs w:val="5"/>
                <w:color w:val="auto"/>
              </w:rPr>
            </w:pPr>
          </w:p>
        </w:tc>
        <w:tc>
          <w:tcPr>
            <w:tcW w:w="100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300" w:type="dxa"/>
            <w:vAlign w:val="bottom"/>
            <w:tcBorders>
              <w:bottom w:val="single" w:sz="8" w:color="A6A6A6"/>
            </w:tcBorders>
          </w:tcPr>
          <w:p>
            <w:pPr>
              <w:spacing w:after="0"/>
              <w:rPr>
                <w:sz w:val="5"/>
                <w:szCs w:val="5"/>
                <w:color w:val="auto"/>
              </w:rPr>
            </w:pPr>
          </w:p>
        </w:tc>
        <w:tc>
          <w:tcPr>
            <w:tcW w:w="102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360" w:type="dxa"/>
            <w:vAlign w:val="bottom"/>
            <w:tcBorders>
              <w:bottom w:val="single" w:sz="8" w:color="A6A6A6"/>
            </w:tcBorders>
          </w:tcPr>
          <w:p>
            <w:pPr>
              <w:spacing w:after="0"/>
              <w:rPr>
                <w:sz w:val="5"/>
                <w:szCs w:val="5"/>
                <w:color w:val="auto"/>
              </w:rPr>
            </w:pPr>
          </w:p>
        </w:tc>
        <w:tc>
          <w:tcPr>
            <w:tcW w:w="940" w:type="dxa"/>
            <w:vAlign w:val="bottom"/>
            <w:tcBorders>
              <w:bottom w:val="single" w:sz="8" w:color="A6A6A6"/>
            </w:tcBorders>
          </w:tcPr>
          <w:p>
            <w:pPr>
              <w:spacing w:after="0"/>
              <w:rPr>
                <w:sz w:val="5"/>
                <w:szCs w:val="5"/>
                <w:color w:val="auto"/>
              </w:rPr>
            </w:pPr>
          </w:p>
        </w:tc>
      </w:tr>
      <w:tr>
        <w:trPr>
          <w:trHeight w:val="339"/>
        </w:trPr>
        <w:tc>
          <w:tcPr>
            <w:tcW w:w="5140" w:type="dxa"/>
            <w:vAlign w:val="bottom"/>
          </w:tcPr>
          <w:p>
            <w:pPr>
              <w:ind w:left="200"/>
              <w:spacing w:after="0"/>
              <w:rPr>
                <w:sz w:val="20"/>
                <w:szCs w:val="20"/>
                <w:color w:val="auto"/>
              </w:rPr>
            </w:pPr>
            <w:r>
              <w:rPr>
                <w:rFonts w:ascii="Arial Narrow" w:cs="Arial Narrow" w:eastAsia="Arial Narrow" w:hAnsi="Arial Narrow"/>
                <w:sz w:val="20"/>
                <w:szCs w:val="20"/>
                <w:b w:val="1"/>
                <w:bCs w:val="1"/>
                <w:color w:val="00085E"/>
              </w:rPr>
              <w:t>State</w:t>
            </w:r>
          </w:p>
        </w:tc>
        <w:tc>
          <w:tcPr>
            <w:tcW w:w="320" w:type="dxa"/>
            <w:vAlign w:val="bottom"/>
          </w:tcPr>
          <w:p>
            <w:pPr>
              <w:spacing w:after="0"/>
              <w:rPr>
                <w:sz w:val="24"/>
                <w:szCs w:val="24"/>
                <w:color w:val="auto"/>
              </w:rPr>
            </w:pPr>
          </w:p>
        </w:tc>
        <w:tc>
          <w:tcPr>
            <w:tcW w:w="1000" w:type="dxa"/>
            <w:vAlign w:val="bottom"/>
          </w:tcPr>
          <w:p>
            <w:pPr>
              <w:jc w:val="right"/>
              <w:ind w:right="82"/>
              <w:spacing w:after="0"/>
              <w:rPr>
                <w:sz w:val="20"/>
                <w:szCs w:val="20"/>
                <w:color w:val="auto"/>
              </w:rPr>
            </w:pPr>
            <w:r>
              <w:rPr>
                <w:rFonts w:ascii="Arial Narrow" w:cs="Arial Narrow" w:eastAsia="Arial Narrow" w:hAnsi="Arial Narrow"/>
                <w:sz w:val="20"/>
                <w:szCs w:val="20"/>
                <w:color w:val="auto"/>
              </w:rPr>
              <w:t>14,710</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101"/>
              <w:spacing w:after="0"/>
              <w:rPr>
                <w:sz w:val="20"/>
                <w:szCs w:val="20"/>
                <w:color w:val="auto"/>
              </w:rPr>
            </w:pPr>
            <w:r>
              <w:rPr>
                <w:rFonts w:ascii="Arial Narrow" w:cs="Arial Narrow" w:eastAsia="Arial Narrow" w:hAnsi="Arial Narrow"/>
                <w:sz w:val="20"/>
                <w:szCs w:val="20"/>
                <w:color w:val="auto"/>
              </w:rPr>
              <w:t>18,411</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jc w:val="right"/>
              <w:ind w:right="81"/>
              <w:spacing w:after="0"/>
              <w:rPr>
                <w:sz w:val="20"/>
                <w:szCs w:val="20"/>
                <w:color w:val="auto"/>
              </w:rPr>
            </w:pPr>
            <w:r>
              <w:rPr>
                <w:rFonts w:ascii="Arial Narrow" w:cs="Arial Narrow" w:eastAsia="Arial Narrow" w:hAnsi="Arial Narrow"/>
                <w:sz w:val="20"/>
                <w:szCs w:val="20"/>
                <w:color w:val="auto"/>
              </w:rPr>
              <w:t>20,689</w:t>
            </w:r>
          </w:p>
        </w:tc>
      </w:tr>
      <w:tr>
        <w:trPr>
          <w:trHeight w:val="90"/>
        </w:trPr>
        <w:tc>
          <w:tcPr>
            <w:tcW w:w="5140" w:type="dxa"/>
            <w:vAlign w:val="bottom"/>
            <w:tcBorders>
              <w:bottom w:val="single" w:sz="8" w:color="A6A6A6"/>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r>
      <w:tr>
        <w:trPr>
          <w:trHeight w:val="344"/>
        </w:trPr>
        <w:tc>
          <w:tcPr>
            <w:tcW w:w="5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82"/>
              <w:spacing w:after="0"/>
              <w:rPr>
                <w:sz w:val="20"/>
                <w:szCs w:val="20"/>
                <w:color w:val="auto"/>
              </w:rPr>
            </w:pPr>
            <w:r>
              <w:rPr>
                <w:rFonts w:ascii="Arial Narrow" w:cs="Arial Narrow" w:eastAsia="Arial Narrow" w:hAnsi="Arial Narrow"/>
                <w:sz w:val="20"/>
                <w:szCs w:val="20"/>
                <w:color w:val="auto"/>
              </w:rPr>
              <w:t>95,035</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101"/>
              <w:spacing w:after="0"/>
              <w:rPr>
                <w:sz w:val="20"/>
                <w:szCs w:val="20"/>
                <w:color w:val="auto"/>
              </w:rPr>
            </w:pPr>
            <w:r>
              <w:rPr>
                <w:rFonts w:ascii="Arial Narrow" w:cs="Arial Narrow" w:eastAsia="Arial Narrow" w:hAnsi="Arial Narrow"/>
                <w:sz w:val="20"/>
                <w:szCs w:val="20"/>
                <w:color w:val="auto"/>
              </w:rPr>
              <w:t>133,017</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jc w:val="right"/>
              <w:ind w:right="81"/>
              <w:spacing w:after="0"/>
              <w:rPr>
                <w:sz w:val="20"/>
                <w:szCs w:val="20"/>
                <w:color w:val="auto"/>
              </w:rPr>
            </w:pPr>
            <w:r>
              <w:rPr>
                <w:rFonts w:ascii="Arial Narrow" w:cs="Arial Narrow" w:eastAsia="Arial Narrow" w:hAnsi="Arial Narrow"/>
                <w:sz w:val="20"/>
                <w:szCs w:val="20"/>
                <w:color w:val="auto"/>
              </w:rPr>
              <w:t>132,379</w:t>
            </w:r>
          </w:p>
        </w:tc>
      </w:tr>
      <w:tr>
        <w:trPr>
          <w:trHeight w:val="65"/>
        </w:trPr>
        <w:tc>
          <w:tcPr>
            <w:tcW w:w="5140" w:type="dxa"/>
            <w:vAlign w:val="bottom"/>
            <w:tcBorders>
              <w:bottom w:val="single" w:sz="8" w:color="A6A6A6"/>
            </w:tcBorders>
          </w:tcPr>
          <w:p>
            <w:pPr>
              <w:spacing w:after="0"/>
              <w:rPr>
                <w:sz w:val="5"/>
                <w:szCs w:val="5"/>
                <w:color w:val="auto"/>
              </w:rPr>
            </w:pPr>
          </w:p>
        </w:tc>
        <w:tc>
          <w:tcPr>
            <w:tcW w:w="320" w:type="dxa"/>
            <w:vAlign w:val="bottom"/>
            <w:tcBorders>
              <w:bottom w:val="single" w:sz="8" w:color="A6A6A6"/>
            </w:tcBorders>
          </w:tcPr>
          <w:p>
            <w:pPr>
              <w:spacing w:after="0"/>
              <w:rPr>
                <w:sz w:val="5"/>
                <w:szCs w:val="5"/>
                <w:color w:val="auto"/>
              </w:rPr>
            </w:pPr>
          </w:p>
        </w:tc>
        <w:tc>
          <w:tcPr>
            <w:tcW w:w="100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300" w:type="dxa"/>
            <w:vAlign w:val="bottom"/>
            <w:tcBorders>
              <w:bottom w:val="single" w:sz="8" w:color="A6A6A6"/>
            </w:tcBorders>
          </w:tcPr>
          <w:p>
            <w:pPr>
              <w:spacing w:after="0"/>
              <w:rPr>
                <w:sz w:val="5"/>
                <w:szCs w:val="5"/>
                <w:color w:val="auto"/>
              </w:rPr>
            </w:pPr>
          </w:p>
        </w:tc>
        <w:tc>
          <w:tcPr>
            <w:tcW w:w="102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360" w:type="dxa"/>
            <w:vAlign w:val="bottom"/>
            <w:tcBorders>
              <w:bottom w:val="single" w:sz="8" w:color="A6A6A6"/>
            </w:tcBorders>
          </w:tcPr>
          <w:p>
            <w:pPr>
              <w:spacing w:after="0"/>
              <w:rPr>
                <w:sz w:val="5"/>
                <w:szCs w:val="5"/>
                <w:color w:val="auto"/>
              </w:rPr>
            </w:pPr>
          </w:p>
        </w:tc>
        <w:tc>
          <w:tcPr>
            <w:tcW w:w="940" w:type="dxa"/>
            <w:vAlign w:val="bottom"/>
            <w:tcBorders>
              <w:bottom w:val="single" w:sz="8" w:color="A6A6A6"/>
            </w:tcBorders>
          </w:tcPr>
          <w:p>
            <w:pPr>
              <w:spacing w:after="0"/>
              <w:rPr>
                <w:sz w:val="5"/>
                <w:szCs w:val="5"/>
                <w:color w:val="auto"/>
              </w:rPr>
            </w:pPr>
          </w:p>
        </w:tc>
      </w:tr>
      <w:tr>
        <w:trPr>
          <w:trHeight w:val="339"/>
        </w:trPr>
        <w:tc>
          <w:tcPr>
            <w:tcW w:w="5140" w:type="dxa"/>
            <w:vAlign w:val="bottom"/>
          </w:tcPr>
          <w:p>
            <w:pPr>
              <w:spacing w:after="0"/>
              <w:rPr>
                <w:sz w:val="20"/>
                <w:szCs w:val="20"/>
                <w:color w:val="auto"/>
              </w:rPr>
            </w:pPr>
            <w:r>
              <w:rPr>
                <w:rFonts w:ascii="Arial Narrow" w:cs="Arial Narrow" w:eastAsia="Arial Narrow" w:hAnsi="Arial Narrow"/>
                <w:sz w:val="20"/>
                <w:szCs w:val="20"/>
                <w:b w:val="1"/>
                <w:bCs w:val="1"/>
                <w:color w:val="00085E"/>
              </w:rPr>
              <w:t>Deferred Provision (Benefit)</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65"/>
        </w:trPr>
        <w:tc>
          <w:tcPr>
            <w:tcW w:w="5140" w:type="dxa"/>
            <w:vAlign w:val="bottom"/>
            <w:tcBorders>
              <w:bottom w:val="single" w:sz="8" w:color="A6A6A6"/>
            </w:tcBorders>
          </w:tcPr>
          <w:p>
            <w:pPr>
              <w:spacing w:after="0"/>
              <w:rPr>
                <w:sz w:val="5"/>
                <w:szCs w:val="5"/>
                <w:color w:val="auto"/>
              </w:rPr>
            </w:pPr>
          </w:p>
        </w:tc>
        <w:tc>
          <w:tcPr>
            <w:tcW w:w="320" w:type="dxa"/>
            <w:vAlign w:val="bottom"/>
            <w:tcBorders>
              <w:bottom w:val="single" w:sz="8" w:color="A6A6A6"/>
            </w:tcBorders>
          </w:tcPr>
          <w:p>
            <w:pPr>
              <w:spacing w:after="0"/>
              <w:rPr>
                <w:sz w:val="5"/>
                <w:szCs w:val="5"/>
                <w:color w:val="auto"/>
              </w:rPr>
            </w:pPr>
          </w:p>
        </w:tc>
        <w:tc>
          <w:tcPr>
            <w:tcW w:w="100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300" w:type="dxa"/>
            <w:vAlign w:val="bottom"/>
            <w:tcBorders>
              <w:bottom w:val="single" w:sz="8" w:color="A6A6A6"/>
            </w:tcBorders>
          </w:tcPr>
          <w:p>
            <w:pPr>
              <w:spacing w:after="0"/>
              <w:rPr>
                <w:sz w:val="5"/>
                <w:szCs w:val="5"/>
                <w:color w:val="auto"/>
              </w:rPr>
            </w:pPr>
          </w:p>
        </w:tc>
        <w:tc>
          <w:tcPr>
            <w:tcW w:w="102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360" w:type="dxa"/>
            <w:vAlign w:val="bottom"/>
            <w:tcBorders>
              <w:bottom w:val="single" w:sz="8" w:color="A6A6A6"/>
            </w:tcBorders>
          </w:tcPr>
          <w:p>
            <w:pPr>
              <w:spacing w:after="0"/>
              <w:rPr>
                <w:sz w:val="5"/>
                <w:szCs w:val="5"/>
                <w:color w:val="auto"/>
              </w:rPr>
            </w:pPr>
          </w:p>
        </w:tc>
        <w:tc>
          <w:tcPr>
            <w:tcW w:w="940" w:type="dxa"/>
            <w:vAlign w:val="bottom"/>
            <w:tcBorders>
              <w:bottom w:val="single" w:sz="8" w:color="A6A6A6"/>
            </w:tcBorders>
          </w:tcPr>
          <w:p>
            <w:pPr>
              <w:spacing w:after="0"/>
              <w:rPr>
                <w:sz w:val="5"/>
                <w:szCs w:val="5"/>
                <w:color w:val="auto"/>
              </w:rPr>
            </w:pPr>
          </w:p>
        </w:tc>
      </w:tr>
      <w:tr>
        <w:trPr>
          <w:trHeight w:val="339"/>
        </w:trPr>
        <w:tc>
          <w:tcPr>
            <w:tcW w:w="5140" w:type="dxa"/>
            <w:vAlign w:val="bottom"/>
          </w:tcPr>
          <w:p>
            <w:pPr>
              <w:ind w:left="200"/>
              <w:spacing w:after="0"/>
              <w:rPr>
                <w:sz w:val="20"/>
                <w:szCs w:val="20"/>
                <w:color w:val="auto"/>
              </w:rPr>
            </w:pPr>
            <w:r>
              <w:rPr>
                <w:rFonts w:ascii="Arial Narrow" w:cs="Arial Narrow" w:eastAsia="Arial Narrow" w:hAnsi="Arial Narrow"/>
                <w:sz w:val="20"/>
                <w:szCs w:val="20"/>
                <w:b w:val="1"/>
                <w:bCs w:val="1"/>
                <w:color w:val="00085E"/>
              </w:rPr>
              <w:t>Federal</w:t>
            </w:r>
          </w:p>
        </w:tc>
        <w:tc>
          <w:tcPr>
            <w:tcW w:w="320" w:type="dxa"/>
            <w:vAlign w:val="bottom"/>
          </w:tcPr>
          <w:p>
            <w:pPr>
              <w:spacing w:after="0"/>
              <w:rPr>
                <w:sz w:val="24"/>
                <w:szCs w:val="24"/>
                <w:color w:val="auto"/>
              </w:rPr>
            </w:pPr>
          </w:p>
        </w:tc>
        <w:tc>
          <w:tcPr>
            <w:tcW w:w="1000" w:type="dxa"/>
            <w:vAlign w:val="bottom"/>
          </w:tcPr>
          <w:p>
            <w:pPr>
              <w:jc w:val="right"/>
              <w:ind w:right="82"/>
              <w:spacing w:after="0"/>
              <w:rPr>
                <w:sz w:val="20"/>
                <w:szCs w:val="20"/>
                <w:color w:val="auto"/>
              </w:rPr>
            </w:pPr>
            <w:r>
              <w:rPr>
                <w:rFonts w:ascii="Arial Narrow" w:cs="Arial Narrow" w:eastAsia="Arial Narrow" w:hAnsi="Arial Narrow"/>
                <w:sz w:val="20"/>
                <w:szCs w:val="20"/>
                <w:color w:val="auto"/>
              </w:rPr>
              <w:t>20,925</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41"/>
              <w:spacing w:after="0"/>
              <w:rPr>
                <w:sz w:val="20"/>
                <w:szCs w:val="20"/>
                <w:color w:val="auto"/>
              </w:rPr>
            </w:pPr>
            <w:r>
              <w:rPr>
                <w:rFonts w:ascii="Arial Narrow" w:cs="Arial Narrow" w:eastAsia="Arial Narrow" w:hAnsi="Arial Narrow"/>
                <w:sz w:val="20"/>
                <w:szCs w:val="20"/>
                <w:color w:val="auto"/>
              </w:rPr>
              <w:t>(5,117)</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jc w:val="right"/>
              <w:ind w:right="81"/>
              <w:spacing w:after="0"/>
              <w:rPr>
                <w:sz w:val="20"/>
                <w:szCs w:val="20"/>
                <w:color w:val="auto"/>
              </w:rPr>
            </w:pPr>
            <w:r>
              <w:rPr>
                <w:rFonts w:ascii="Arial Narrow" w:cs="Arial Narrow" w:eastAsia="Arial Narrow" w:hAnsi="Arial Narrow"/>
                <w:sz w:val="20"/>
                <w:szCs w:val="20"/>
                <w:color w:val="auto"/>
              </w:rPr>
              <w:t>5,607</w:t>
            </w:r>
          </w:p>
        </w:tc>
      </w:tr>
      <w:tr>
        <w:trPr>
          <w:trHeight w:val="65"/>
        </w:trPr>
        <w:tc>
          <w:tcPr>
            <w:tcW w:w="5140" w:type="dxa"/>
            <w:vAlign w:val="bottom"/>
            <w:tcBorders>
              <w:bottom w:val="single" w:sz="8" w:color="A6A6A6"/>
            </w:tcBorders>
          </w:tcPr>
          <w:p>
            <w:pPr>
              <w:spacing w:after="0"/>
              <w:rPr>
                <w:sz w:val="5"/>
                <w:szCs w:val="5"/>
                <w:color w:val="auto"/>
              </w:rPr>
            </w:pPr>
          </w:p>
        </w:tc>
        <w:tc>
          <w:tcPr>
            <w:tcW w:w="320" w:type="dxa"/>
            <w:vAlign w:val="bottom"/>
            <w:tcBorders>
              <w:bottom w:val="single" w:sz="8" w:color="A6A6A6"/>
            </w:tcBorders>
          </w:tcPr>
          <w:p>
            <w:pPr>
              <w:spacing w:after="0"/>
              <w:rPr>
                <w:sz w:val="5"/>
                <w:szCs w:val="5"/>
                <w:color w:val="auto"/>
              </w:rPr>
            </w:pPr>
          </w:p>
        </w:tc>
        <w:tc>
          <w:tcPr>
            <w:tcW w:w="100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300" w:type="dxa"/>
            <w:vAlign w:val="bottom"/>
            <w:tcBorders>
              <w:bottom w:val="single" w:sz="8" w:color="A6A6A6"/>
            </w:tcBorders>
          </w:tcPr>
          <w:p>
            <w:pPr>
              <w:spacing w:after="0"/>
              <w:rPr>
                <w:sz w:val="5"/>
                <w:szCs w:val="5"/>
                <w:color w:val="auto"/>
              </w:rPr>
            </w:pPr>
          </w:p>
        </w:tc>
        <w:tc>
          <w:tcPr>
            <w:tcW w:w="102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360" w:type="dxa"/>
            <w:vAlign w:val="bottom"/>
            <w:tcBorders>
              <w:bottom w:val="single" w:sz="8" w:color="A6A6A6"/>
            </w:tcBorders>
          </w:tcPr>
          <w:p>
            <w:pPr>
              <w:spacing w:after="0"/>
              <w:rPr>
                <w:sz w:val="5"/>
                <w:szCs w:val="5"/>
                <w:color w:val="auto"/>
              </w:rPr>
            </w:pPr>
          </w:p>
        </w:tc>
        <w:tc>
          <w:tcPr>
            <w:tcW w:w="940" w:type="dxa"/>
            <w:vAlign w:val="bottom"/>
            <w:tcBorders>
              <w:bottom w:val="single" w:sz="8" w:color="A6A6A6"/>
            </w:tcBorders>
          </w:tcPr>
          <w:p>
            <w:pPr>
              <w:spacing w:after="0"/>
              <w:rPr>
                <w:sz w:val="5"/>
                <w:szCs w:val="5"/>
                <w:color w:val="auto"/>
              </w:rPr>
            </w:pPr>
          </w:p>
        </w:tc>
      </w:tr>
      <w:tr>
        <w:trPr>
          <w:trHeight w:val="339"/>
        </w:trPr>
        <w:tc>
          <w:tcPr>
            <w:tcW w:w="5140" w:type="dxa"/>
            <w:vAlign w:val="bottom"/>
          </w:tcPr>
          <w:p>
            <w:pPr>
              <w:ind w:left="200"/>
              <w:spacing w:after="0"/>
              <w:rPr>
                <w:sz w:val="20"/>
                <w:szCs w:val="20"/>
                <w:color w:val="auto"/>
              </w:rPr>
            </w:pPr>
            <w:r>
              <w:rPr>
                <w:rFonts w:ascii="Arial Narrow" w:cs="Arial Narrow" w:eastAsia="Arial Narrow" w:hAnsi="Arial Narrow"/>
                <w:sz w:val="20"/>
                <w:szCs w:val="20"/>
                <w:b w:val="1"/>
                <w:bCs w:val="1"/>
                <w:color w:val="00085E"/>
              </w:rPr>
              <w:t>State</w:t>
            </w:r>
          </w:p>
        </w:tc>
        <w:tc>
          <w:tcPr>
            <w:tcW w:w="320" w:type="dxa"/>
            <w:vAlign w:val="bottom"/>
          </w:tcPr>
          <w:p>
            <w:pPr>
              <w:spacing w:after="0"/>
              <w:rPr>
                <w:sz w:val="24"/>
                <w:szCs w:val="24"/>
                <w:color w:val="auto"/>
              </w:rPr>
            </w:pPr>
          </w:p>
        </w:tc>
        <w:tc>
          <w:tcPr>
            <w:tcW w:w="1000" w:type="dxa"/>
            <w:vAlign w:val="bottom"/>
          </w:tcPr>
          <w:p>
            <w:pPr>
              <w:jc w:val="right"/>
              <w:ind w:right="82"/>
              <w:spacing w:after="0"/>
              <w:rPr>
                <w:sz w:val="20"/>
                <w:szCs w:val="20"/>
                <w:color w:val="auto"/>
              </w:rPr>
            </w:pPr>
            <w:r>
              <w:rPr>
                <w:rFonts w:ascii="Arial Narrow" w:cs="Arial Narrow" w:eastAsia="Arial Narrow" w:hAnsi="Arial Narrow"/>
                <w:sz w:val="20"/>
                <w:szCs w:val="20"/>
                <w:color w:val="auto"/>
              </w:rPr>
              <w:t>2,207</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101"/>
              <w:spacing w:after="0"/>
              <w:rPr>
                <w:sz w:val="20"/>
                <w:szCs w:val="20"/>
                <w:color w:val="auto"/>
              </w:rPr>
            </w:pPr>
            <w:r>
              <w:rPr>
                <w:rFonts w:ascii="Arial Narrow" w:cs="Arial Narrow" w:eastAsia="Arial Narrow" w:hAnsi="Arial Narrow"/>
                <w:sz w:val="20"/>
                <w:szCs w:val="20"/>
                <w:color w:val="auto"/>
              </w:rPr>
              <w:t>169</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jc w:val="right"/>
              <w:ind w:right="81"/>
              <w:spacing w:after="0"/>
              <w:rPr>
                <w:sz w:val="20"/>
                <w:szCs w:val="20"/>
                <w:color w:val="auto"/>
              </w:rPr>
            </w:pPr>
            <w:r>
              <w:rPr>
                <w:rFonts w:ascii="Arial Narrow" w:cs="Arial Narrow" w:eastAsia="Arial Narrow" w:hAnsi="Arial Narrow"/>
                <w:sz w:val="20"/>
                <w:szCs w:val="20"/>
                <w:color w:val="auto"/>
              </w:rPr>
              <w:t>2,312</w:t>
            </w:r>
          </w:p>
        </w:tc>
      </w:tr>
      <w:tr>
        <w:trPr>
          <w:trHeight w:val="90"/>
        </w:trPr>
        <w:tc>
          <w:tcPr>
            <w:tcW w:w="5140" w:type="dxa"/>
            <w:vAlign w:val="bottom"/>
            <w:tcBorders>
              <w:bottom w:val="single" w:sz="8" w:color="A6A6A6"/>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r>
      <w:tr>
        <w:trPr>
          <w:trHeight w:val="344"/>
        </w:trPr>
        <w:tc>
          <w:tcPr>
            <w:tcW w:w="5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82"/>
              <w:spacing w:after="0"/>
              <w:rPr>
                <w:sz w:val="20"/>
                <w:szCs w:val="20"/>
                <w:color w:val="auto"/>
              </w:rPr>
            </w:pPr>
            <w:r>
              <w:rPr>
                <w:rFonts w:ascii="Arial Narrow" w:cs="Arial Narrow" w:eastAsia="Arial Narrow" w:hAnsi="Arial Narrow"/>
                <w:sz w:val="20"/>
                <w:szCs w:val="20"/>
                <w:color w:val="auto"/>
              </w:rPr>
              <w:t>23,132</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41"/>
              <w:spacing w:after="0"/>
              <w:rPr>
                <w:sz w:val="20"/>
                <w:szCs w:val="20"/>
                <w:color w:val="auto"/>
              </w:rPr>
            </w:pPr>
            <w:r>
              <w:rPr>
                <w:rFonts w:ascii="Arial Narrow" w:cs="Arial Narrow" w:eastAsia="Arial Narrow" w:hAnsi="Arial Narrow"/>
                <w:sz w:val="20"/>
                <w:szCs w:val="20"/>
                <w:color w:val="auto"/>
              </w:rPr>
              <w:t>(4,948)</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jc w:val="right"/>
              <w:ind w:right="81"/>
              <w:spacing w:after="0"/>
              <w:rPr>
                <w:sz w:val="20"/>
                <w:szCs w:val="20"/>
                <w:color w:val="auto"/>
              </w:rPr>
            </w:pPr>
            <w:r>
              <w:rPr>
                <w:rFonts w:ascii="Arial Narrow" w:cs="Arial Narrow" w:eastAsia="Arial Narrow" w:hAnsi="Arial Narrow"/>
                <w:sz w:val="20"/>
                <w:szCs w:val="20"/>
                <w:color w:val="auto"/>
              </w:rPr>
              <w:t>7,919</w:t>
            </w:r>
          </w:p>
        </w:tc>
      </w:tr>
      <w:tr>
        <w:trPr>
          <w:trHeight w:val="90"/>
        </w:trPr>
        <w:tc>
          <w:tcPr>
            <w:tcW w:w="5140" w:type="dxa"/>
            <w:vAlign w:val="bottom"/>
            <w:tcBorders>
              <w:bottom w:val="single" w:sz="8" w:color="A6A6A6"/>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r>
      <w:tr>
        <w:trPr>
          <w:trHeight w:val="344"/>
        </w:trPr>
        <w:tc>
          <w:tcPr>
            <w:tcW w:w="5140" w:type="dxa"/>
            <w:vAlign w:val="bottom"/>
          </w:tcPr>
          <w:p>
            <w:pPr>
              <w:spacing w:after="0"/>
              <w:rPr>
                <w:sz w:val="20"/>
                <w:szCs w:val="20"/>
                <w:color w:val="auto"/>
              </w:rPr>
            </w:pPr>
            <w:r>
              <w:rPr>
                <w:rFonts w:ascii="Arial Narrow" w:cs="Arial Narrow" w:eastAsia="Arial Narrow" w:hAnsi="Arial Narrow"/>
                <w:sz w:val="20"/>
                <w:szCs w:val="20"/>
                <w:b w:val="1"/>
                <w:bCs w:val="1"/>
                <w:color w:val="00085E"/>
              </w:rPr>
              <w:t>Provision for Income Taxes</w:t>
            </w:r>
          </w:p>
        </w:tc>
        <w:tc>
          <w:tcPr>
            <w:tcW w:w="320" w:type="dxa"/>
            <w:vAlign w:val="bottom"/>
          </w:tcPr>
          <w:p>
            <w:pPr>
              <w:jc w:val="right"/>
              <w:ind w:right="120"/>
              <w:spacing w:after="0"/>
              <w:rPr>
                <w:sz w:val="20"/>
                <w:szCs w:val="20"/>
                <w:color w:val="auto"/>
              </w:rPr>
            </w:pPr>
            <w:r>
              <w:rPr>
                <w:rFonts w:ascii="Arial Narrow" w:cs="Arial Narrow" w:eastAsia="Arial Narrow" w:hAnsi="Arial Narrow"/>
                <w:sz w:val="20"/>
                <w:szCs w:val="20"/>
                <w:b w:val="1"/>
                <w:bCs w:val="1"/>
                <w:color w:val="auto"/>
                <w:w w:val="87"/>
              </w:rPr>
              <w:t>$</w:t>
            </w:r>
          </w:p>
        </w:tc>
        <w:tc>
          <w:tcPr>
            <w:tcW w:w="1000" w:type="dxa"/>
            <w:vAlign w:val="bottom"/>
          </w:tcPr>
          <w:p>
            <w:pPr>
              <w:jc w:val="right"/>
              <w:ind w:right="82"/>
              <w:spacing w:after="0"/>
              <w:rPr>
                <w:sz w:val="20"/>
                <w:szCs w:val="20"/>
                <w:color w:val="auto"/>
              </w:rPr>
            </w:pPr>
            <w:r>
              <w:rPr>
                <w:rFonts w:ascii="Arial Narrow" w:cs="Arial Narrow" w:eastAsia="Arial Narrow" w:hAnsi="Arial Narrow"/>
                <w:sz w:val="20"/>
                <w:szCs w:val="20"/>
                <w:b w:val="1"/>
                <w:bCs w:val="1"/>
                <w:color w:val="auto"/>
              </w:rPr>
              <w:t>118,167</w:t>
            </w:r>
          </w:p>
        </w:tc>
        <w:tc>
          <w:tcPr>
            <w:tcW w:w="440" w:type="dxa"/>
            <w:vAlign w:val="bottom"/>
            <w:gridSpan w:val="2"/>
          </w:tcPr>
          <w:p>
            <w:pPr>
              <w:jc w:val="right"/>
              <w:ind w:right="220"/>
              <w:spacing w:after="0"/>
              <w:rPr>
                <w:sz w:val="20"/>
                <w:szCs w:val="20"/>
                <w:color w:val="auto"/>
              </w:rPr>
            </w:pPr>
            <w:r>
              <w:rPr>
                <w:rFonts w:ascii="Arial Narrow" w:cs="Arial Narrow" w:eastAsia="Arial Narrow" w:hAnsi="Arial Narrow"/>
                <w:sz w:val="20"/>
                <w:szCs w:val="20"/>
                <w:b w:val="1"/>
                <w:bCs w:val="1"/>
                <w:color w:val="auto"/>
              </w:rPr>
              <w:t>$</w:t>
            </w:r>
          </w:p>
        </w:tc>
        <w:tc>
          <w:tcPr>
            <w:tcW w:w="1020" w:type="dxa"/>
            <w:vAlign w:val="bottom"/>
          </w:tcPr>
          <w:p>
            <w:pPr>
              <w:jc w:val="right"/>
              <w:ind w:right="101"/>
              <w:spacing w:after="0"/>
              <w:rPr>
                <w:sz w:val="20"/>
                <w:szCs w:val="20"/>
                <w:color w:val="auto"/>
              </w:rPr>
            </w:pPr>
            <w:r>
              <w:rPr>
                <w:rFonts w:ascii="Arial Narrow" w:cs="Arial Narrow" w:eastAsia="Arial Narrow" w:hAnsi="Arial Narrow"/>
                <w:sz w:val="20"/>
                <w:szCs w:val="20"/>
                <w:b w:val="1"/>
                <w:bCs w:val="1"/>
                <w:color w:val="auto"/>
              </w:rPr>
              <w:t>128,069</w:t>
            </w:r>
          </w:p>
        </w:tc>
        <w:tc>
          <w:tcPr>
            <w:tcW w:w="500" w:type="dxa"/>
            <w:vAlign w:val="bottom"/>
            <w:gridSpan w:val="2"/>
          </w:tcPr>
          <w:p>
            <w:pPr>
              <w:jc w:val="right"/>
              <w:ind w:right="280"/>
              <w:spacing w:after="0"/>
              <w:rPr>
                <w:sz w:val="20"/>
                <w:szCs w:val="20"/>
                <w:color w:val="auto"/>
              </w:rPr>
            </w:pPr>
            <w:r>
              <w:rPr>
                <w:rFonts w:ascii="Arial Narrow" w:cs="Arial Narrow" w:eastAsia="Arial Narrow" w:hAnsi="Arial Narrow"/>
                <w:sz w:val="20"/>
                <w:szCs w:val="20"/>
                <w:b w:val="1"/>
                <w:bCs w:val="1"/>
                <w:color w:val="auto"/>
              </w:rPr>
              <w:t>$</w:t>
            </w:r>
          </w:p>
        </w:tc>
        <w:tc>
          <w:tcPr>
            <w:tcW w:w="940" w:type="dxa"/>
            <w:vAlign w:val="bottom"/>
          </w:tcPr>
          <w:p>
            <w:pPr>
              <w:jc w:val="right"/>
              <w:ind w:right="81"/>
              <w:spacing w:after="0"/>
              <w:rPr>
                <w:sz w:val="20"/>
                <w:szCs w:val="20"/>
                <w:color w:val="auto"/>
              </w:rPr>
            </w:pPr>
            <w:r>
              <w:rPr>
                <w:rFonts w:ascii="Arial Narrow" w:cs="Arial Narrow" w:eastAsia="Arial Narrow" w:hAnsi="Arial Narrow"/>
                <w:sz w:val="20"/>
                <w:szCs w:val="20"/>
                <w:b w:val="1"/>
                <w:bCs w:val="1"/>
                <w:color w:val="auto"/>
              </w:rPr>
              <w:t>140,298</w:t>
            </w:r>
          </w:p>
        </w:tc>
      </w:tr>
      <w:tr>
        <w:trPr>
          <w:trHeight w:val="65"/>
        </w:trPr>
        <w:tc>
          <w:tcPr>
            <w:tcW w:w="514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r>
      <w:tr>
        <w:trPr>
          <w:trHeight w:val="20"/>
        </w:trPr>
        <w:tc>
          <w:tcPr>
            <w:tcW w:w="5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360"/>
          </w:cols>
          <w:pgMar w:left="1260" w:top="1243"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99</w:t>
      </w:r>
    </w:p>
    <w:p>
      <w:pPr>
        <w:sectPr>
          <w:pgSz w:w="11880" w:h="15480" w:orient="portrait"/>
          <w:cols w:equalWidth="0" w:num="1">
            <w:col w:w="9360"/>
          </w:cols>
          <w:pgMar w:left="1260" w:top="1243" w:right="1260" w:bottom="0" w:gutter="0" w:footer="0" w:header="0"/>
          <w:type w:val="continuous"/>
        </w:sectPr>
      </w:pPr>
    </w:p>
    <w:bookmarkStart w:id="107" w:name="page108"/>
    <w:bookmarkEnd w:id="107"/>
    <w:p>
      <w:pPr>
        <w:spacing w:after="0"/>
        <w:rPr>
          <w:sz w:val="20"/>
          <w:szCs w:val="20"/>
          <w:color w:val="auto"/>
        </w:rPr>
      </w:pPr>
      <w:r>
        <w:rPr>
          <w:rFonts w:ascii="Arial" w:cs="Arial" w:eastAsia="Arial" w:hAnsi="Arial"/>
          <w:sz w:val="20"/>
          <w:szCs w:val="20"/>
          <w:color w:val="auto"/>
        </w:rPr>
        <w:t>Income tax expense (benefit) varies from the federal statutory rate due to the items listed below.</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2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380" w:type="dxa"/>
            <w:vAlign w:val="bottom"/>
            <w:gridSpan w:val="5"/>
          </w:tcPr>
          <w:p>
            <w:pPr>
              <w:jc w:val="right"/>
              <w:ind w:right="100"/>
              <w:spacing w:after="0"/>
              <w:rPr>
                <w:sz w:val="20"/>
                <w:szCs w:val="20"/>
                <w:color w:val="auto"/>
              </w:rPr>
            </w:pPr>
            <w:r>
              <w:rPr>
                <w:rFonts w:ascii="Arial Narrow" w:cs="Arial Narrow" w:eastAsia="Arial Narrow" w:hAnsi="Arial Narrow"/>
                <w:sz w:val="18"/>
                <w:szCs w:val="18"/>
                <w:b w:val="1"/>
                <w:bCs w:val="1"/>
                <w:color w:val="auto"/>
              </w:rPr>
              <w:t>For the Years Ended March 31,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9"/>
        </w:trPr>
        <w:tc>
          <w:tcPr>
            <w:tcW w:w="29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81"/>
              <w:spacing w:after="0"/>
              <w:rPr>
                <w:sz w:val="20"/>
                <w:szCs w:val="20"/>
                <w:color w:val="auto"/>
              </w:rPr>
            </w:pPr>
            <w:r>
              <w:rPr>
                <w:rFonts w:ascii="Arial Narrow" w:cs="Arial Narrow" w:eastAsia="Arial Narrow" w:hAnsi="Arial Narrow"/>
                <w:sz w:val="18"/>
                <w:szCs w:val="18"/>
                <w:b w:val="1"/>
                <w:bCs w:val="1"/>
                <w:color w:val="auto"/>
              </w:rPr>
              <w:t>2026</w:t>
            </w: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183"/>
              <w:spacing w:after="0"/>
              <w:rPr>
                <w:sz w:val="20"/>
                <w:szCs w:val="20"/>
                <w:color w:val="auto"/>
              </w:rPr>
            </w:pPr>
            <w:r>
              <w:rPr>
                <w:rFonts w:ascii="Arial Narrow" w:cs="Arial Narrow" w:eastAsia="Arial Narrow" w:hAnsi="Arial Narrow"/>
                <w:sz w:val="18"/>
                <w:szCs w:val="18"/>
                <w:b w:val="1"/>
                <w:bCs w:val="1"/>
                <w:color w:val="auto"/>
              </w:rPr>
              <w:t>2025</w:t>
            </w: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81"/>
              <w:spacing w:after="0"/>
              <w:rPr>
                <w:sz w:val="20"/>
                <w:szCs w:val="20"/>
                <w:color w:val="auto"/>
              </w:rPr>
            </w:pPr>
            <w:r>
              <w:rPr>
                <w:rFonts w:ascii="Arial Narrow" w:cs="Arial Narrow" w:eastAsia="Arial Narrow" w:hAnsi="Arial Narrow"/>
                <w:sz w:val="18"/>
                <w:szCs w:val="18"/>
                <w:b w:val="1"/>
                <w:bCs w:val="1"/>
                <w:color w:val="auto"/>
              </w:rPr>
              <w:t>2024</w:t>
            </w: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2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60" w:type="dxa"/>
            <w:vAlign w:val="bottom"/>
            <w:gridSpan w:val="2"/>
          </w:tcPr>
          <w:p>
            <w:pPr>
              <w:jc w:val="right"/>
              <w:ind w:right="540"/>
              <w:spacing w:after="0"/>
              <w:rPr>
                <w:sz w:val="20"/>
                <w:szCs w:val="20"/>
                <w:color w:val="auto"/>
              </w:rPr>
            </w:pPr>
            <w:r>
              <w:rPr>
                <w:rFonts w:ascii="Arial Narrow" w:cs="Arial Narrow" w:eastAsia="Arial Narrow" w:hAnsi="Arial Narrow"/>
                <w:sz w:val="16"/>
                <w:szCs w:val="16"/>
                <w:color w:val="auto"/>
              </w:rPr>
              <w:t>(dollars in thousands)</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9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2"/>
        </w:trPr>
        <w:tc>
          <w:tcPr>
            <w:tcW w:w="2960" w:type="dxa"/>
            <w:vAlign w:val="bottom"/>
          </w:tcPr>
          <w:p>
            <w:pPr>
              <w:spacing w:after="0"/>
              <w:rPr>
                <w:sz w:val="20"/>
                <w:szCs w:val="20"/>
                <w:color w:val="auto"/>
              </w:rPr>
            </w:pPr>
            <w:r>
              <w:rPr>
                <w:rFonts w:ascii="Arial Narrow" w:cs="Arial Narrow" w:eastAsia="Arial Narrow" w:hAnsi="Arial Narrow"/>
                <w:sz w:val="20"/>
                <w:szCs w:val="20"/>
                <w:b w:val="1"/>
                <w:bCs w:val="1"/>
                <w:color w:val="00085E"/>
              </w:rPr>
              <w:t>Income Tax Expense / U.S. Federal</w:t>
            </w:r>
          </w:p>
        </w:tc>
        <w:tc>
          <w:tcPr>
            <w:tcW w:w="18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w w:val="87"/>
              </w:rPr>
              <w:t>$</w:t>
            </w:r>
          </w:p>
        </w:tc>
        <w:tc>
          <w:tcPr>
            <w:tcW w:w="960" w:type="dxa"/>
            <w:vAlign w:val="bottom"/>
            <w:vMerge w:val="restart"/>
          </w:tcPr>
          <w:p>
            <w:pPr>
              <w:jc w:val="right"/>
              <w:ind w:right="181"/>
              <w:spacing w:after="0"/>
              <w:rPr>
                <w:sz w:val="20"/>
                <w:szCs w:val="20"/>
                <w:color w:val="auto"/>
              </w:rPr>
            </w:pPr>
            <w:r>
              <w:rPr>
                <w:rFonts w:ascii="Arial Narrow" w:cs="Arial Narrow" w:eastAsia="Arial Narrow" w:hAnsi="Arial Narrow"/>
                <w:sz w:val="20"/>
                <w:szCs w:val="20"/>
                <w:color w:val="auto"/>
              </w:rPr>
              <w:t>113,815</w:t>
            </w:r>
          </w:p>
        </w:tc>
        <w:tc>
          <w:tcPr>
            <w:tcW w:w="78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21.0%</w:t>
            </w:r>
          </w:p>
        </w:tc>
        <w:tc>
          <w:tcPr>
            <w:tcW w:w="420" w:type="dxa"/>
            <w:vAlign w:val="bottom"/>
            <w:gridSpan w:val="3"/>
            <w:vMerge w:val="restart"/>
          </w:tcPr>
          <w:p>
            <w:pPr>
              <w:jc w:val="right"/>
              <w:ind w:right="40"/>
              <w:spacing w:after="0"/>
              <w:rPr>
                <w:sz w:val="20"/>
                <w:szCs w:val="20"/>
                <w:color w:val="auto"/>
              </w:rPr>
            </w:pPr>
            <w:r>
              <w:rPr>
                <w:rFonts w:ascii="Arial Narrow" w:cs="Arial Narrow" w:eastAsia="Arial Narrow" w:hAnsi="Arial Narrow"/>
                <w:sz w:val="20"/>
                <w:szCs w:val="20"/>
                <w:color w:val="auto"/>
              </w:rPr>
              <w:t>$</w:t>
            </w:r>
          </w:p>
        </w:tc>
        <w:tc>
          <w:tcPr>
            <w:tcW w:w="1000" w:type="dxa"/>
            <w:vAlign w:val="bottom"/>
            <w:vMerge w:val="restart"/>
          </w:tcPr>
          <w:p>
            <w:pPr>
              <w:jc w:val="right"/>
              <w:ind w:right="183"/>
              <w:spacing w:after="0"/>
              <w:rPr>
                <w:sz w:val="20"/>
                <w:szCs w:val="20"/>
                <w:color w:val="auto"/>
              </w:rPr>
            </w:pPr>
            <w:r>
              <w:rPr>
                <w:rFonts w:ascii="Arial Narrow" w:cs="Arial Narrow" w:eastAsia="Arial Narrow" w:hAnsi="Arial Narrow"/>
                <w:sz w:val="20"/>
                <w:szCs w:val="20"/>
                <w:color w:val="auto"/>
              </w:rPr>
              <w:t>124,212</w:t>
            </w:r>
          </w:p>
        </w:tc>
        <w:tc>
          <w:tcPr>
            <w:tcW w:w="960" w:type="dxa"/>
            <w:vAlign w:val="bottom"/>
            <w:vMerge w:val="restart"/>
          </w:tcPr>
          <w:p>
            <w:pPr>
              <w:jc w:val="right"/>
              <w:ind w:right="180"/>
              <w:spacing w:after="0"/>
              <w:rPr>
                <w:sz w:val="20"/>
                <w:szCs w:val="20"/>
                <w:color w:val="auto"/>
              </w:rPr>
            </w:pPr>
            <w:r>
              <w:rPr>
                <w:rFonts w:ascii="Arial Narrow" w:cs="Arial Narrow" w:eastAsia="Arial Narrow" w:hAnsi="Arial Narrow"/>
                <w:sz w:val="20"/>
                <w:szCs w:val="20"/>
                <w:color w:val="auto"/>
              </w:rPr>
              <w:t>21.0%</w:t>
            </w:r>
          </w:p>
        </w:tc>
        <w:tc>
          <w:tcPr>
            <w:tcW w:w="280" w:type="dxa"/>
            <w:vAlign w:val="bottom"/>
            <w:gridSpan w:val="2"/>
            <w:vMerge w:val="restart"/>
          </w:tcPr>
          <w:p>
            <w:pPr>
              <w:jc w:val="right"/>
              <w:ind w:right="80"/>
              <w:spacing w:after="0"/>
              <w:rPr>
                <w:sz w:val="20"/>
                <w:szCs w:val="20"/>
                <w:color w:val="auto"/>
              </w:rPr>
            </w:pPr>
            <w:r>
              <w:rPr>
                <w:rFonts w:ascii="Arial Narrow" w:cs="Arial Narrow" w:eastAsia="Arial Narrow" w:hAnsi="Arial Narrow"/>
                <w:sz w:val="20"/>
                <w:szCs w:val="20"/>
                <w:color w:val="auto"/>
              </w:rPr>
              <w:t>$</w:t>
            </w:r>
          </w:p>
        </w:tc>
        <w:tc>
          <w:tcPr>
            <w:tcW w:w="960" w:type="dxa"/>
            <w:vAlign w:val="bottom"/>
            <w:vMerge w:val="restart"/>
          </w:tcPr>
          <w:p>
            <w:pPr>
              <w:jc w:val="right"/>
              <w:ind w:right="181"/>
              <w:spacing w:after="0"/>
              <w:rPr>
                <w:sz w:val="20"/>
                <w:szCs w:val="20"/>
                <w:color w:val="auto"/>
              </w:rPr>
            </w:pPr>
            <w:r>
              <w:rPr>
                <w:rFonts w:ascii="Arial Narrow" w:cs="Arial Narrow" w:eastAsia="Arial Narrow" w:hAnsi="Arial Narrow"/>
                <w:sz w:val="20"/>
                <w:szCs w:val="20"/>
                <w:color w:val="auto"/>
              </w:rPr>
              <w:t>129,766</w:t>
            </w:r>
          </w:p>
        </w:tc>
        <w:tc>
          <w:tcPr>
            <w:tcW w:w="860" w:type="dxa"/>
            <w:vAlign w:val="bottom"/>
            <w:vMerge w:val="restart"/>
          </w:tcPr>
          <w:p>
            <w:pPr>
              <w:jc w:val="right"/>
              <w:ind w:right="80"/>
              <w:spacing w:after="0"/>
              <w:rPr>
                <w:sz w:val="20"/>
                <w:szCs w:val="20"/>
                <w:color w:val="auto"/>
              </w:rPr>
            </w:pPr>
            <w:r>
              <w:rPr>
                <w:rFonts w:ascii="Arial Narrow" w:cs="Arial Narrow" w:eastAsia="Arial Narrow" w:hAnsi="Arial Narrow"/>
                <w:sz w:val="20"/>
                <w:szCs w:val="20"/>
                <w:color w:val="auto"/>
              </w:rPr>
              <w:t>21.0%</w:t>
            </w:r>
          </w:p>
        </w:tc>
        <w:tc>
          <w:tcPr>
            <w:tcW w:w="0" w:type="dxa"/>
            <w:vAlign w:val="bottom"/>
          </w:tcPr>
          <w:p>
            <w:pPr>
              <w:spacing w:after="0"/>
              <w:rPr>
                <w:sz w:val="1"/>
                <w:szCs w:val="1"/>
                <w:color w:val="auto"/>
              </w:rPr>
            </w:pPr>
          </w:p>
        </w:tc>
      </w:tr>
      <w:tr>
        <w:trPr>
          <w:trHeight w:val="167"/>
        </w:trPr>
        <w:tc>
          <w:tcPr>
            <w:tcW w:w="2960" w:type="dxa"/>
            <w:vAlign w:val="bottom"/>
            <w:vMerge w:val="restart"/>
          </w:tcPr>
          <w:p>
            <w:pPr>
              <w:spacing w:after="0"/>
              <w:rPr>
                <w:sz w:val="20"/>
                <w:szCs w:val="20"/>
                <w:color w:val="auto"/>
              </w:rPr>
            </w:pPr>
            <w:r>
              <w:rPr>
                <w:rFonts w:ascii="Arial Narrow" w:cs="Arial Narrow" w:eastAsia="Arial Narrow" w:hAnsi="Arial Narrow"/>
                <w:sz w:val="20"/>
                <w:szCs w:val="20"/>
                <w:b w:val="1"/>
                <w:bCs w:val="1"/>
                <w:color w:val="00085E"/>
              </w:rPr>
              <w:t>Statutory Tax Rate</w:t>
            </w:r>
          </w:p>
        </w:tc>
        <w:tc>
          <w:tcPr>
            <w:tcW w:w="1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20" w:type="dxa"/>
            <w:vAlign w:val="bottom"/>
            <w:gridSpan w:val="3"/>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9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296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96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1000" w:type="dxa"/>
            <w:vAlign w:val="bottom"/>
            <w:tcBorders>
              <w:bottom w:val="single" w:sz="8" w:color="A6A6A6"/>
            </w:tcBorders>
          </w:tcPr>
          <w:p>
            <w:pPr>
              <w:spacing w:after="0"/>
              <w:rPr>
                <w:sz w:val="5"/>
                <w:szCs w:val="5"/>
                <w:color w:val="auto"/>
              </w:rPr>
            </w:pPr>
          </w:p>
        </w:tc>
        <w:tc>
          <w:tcPr>
            <w:tcW w:w="96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960" w:type="dxa"/>
            <w:vAlign w:val="bottom"/>
            <w:tcBorders>
              <w:bottom w:val="single" w:sz="8" w:color="A6A6A6"/>
            </w:tcBorders>
          </w:tcPr>
          <w:p>
            <w:pPr>
              <w:spacing w:after="0"/>
              <w:rPr>
                <w:sz w:val="5"/>
                <w:szCs w:val="5"/>
                <w:color w:val="auto"/>
              </w:rPr>
            </w:pPr>
          </w:p>
        </w:tc>
        <w:tc>
          <w:tcPr>
            <w:tcW w:w="86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287"/>
        </w:trPr>
        <w:tc>
          <w:tcPr>
            <w:tcW w:w="2960" w:type="dxa"/>
            <w:vAlign w:val="bottom"/>
          </w:tcPr>
          <w:p>
            <w:pPr>
              <w:spacing w:after="0"/>
              <w:rPr>
                <w:sz w:val="20"/>
                <w:szCs w:val="20"/>
                <w:color w:val="auto"/>
              </w:rPr>
            </w:pPr>
            <w:r>
              <w:rPr>
                <w:rFonts w:ascii="Arial Narrow" w:cs="Arial Narrow" w:eastAsia="Arial Narrow" w:hAnsi="Arial Narrow"/>
                <w:sz w:val="20"/>
                <w:szCs w:val="20"/>
                <w:b w:val="1"/>
                <w:bCs w:val="1"/>
                <w:color w:val="00085E"/>
              </w:rPr>
              <w:t>State and Local Income Taxes, Net</w:t>
            </w:r>
          </w:p>
        </w:tc>
        <w:tc>
          <w:tcPr>
            <w:tcW w:w="180" w:type="dxa"/>
            <w:vAlign w:val="bottom"/>
          </w:tcPr>
          <w:p>
            <w:pPr>
              <w:spacing w:after="0"/>
              <w:rPr>
                <w:sz w:val="24"/>
                <w:szCs w:val="24"/>
                <w:color w:val="auto"/>
              </w:rPr>
            </w:pPr>
          </w:p>
        </w:tc>
        <w:tc>
          <w:tcPr>
            <w:tcW w:w="960" w:type="dxa"/>
            <w:vAlign w:val="bottom"/>
            <w:vMerge w:val="restart"/>
          </w:tcPr>
          <w:p>
            <w:pPr>
              <w:jc w:val="right"/>
              <w:ind w:right="181"/>
              <w:spacing w:after="0"/>
              <w:rPr>
                <w:sz w:val="20"/>
                <w:szCs w:val="20"/>
                <w:color w:val="auto"/>
              </w:rPr>
            </w:pPr>
            <w:r>
              <w:rPr>
                <w:rFonts w:ascii="Arial Narrow" w:cs="Arial Narrow" w:eastAsia="Arial Narrow" w:hAnsi="Arial Narrow"/>
                <w:sz w:val="20"/>
                <w:szCs w:val="20"/>
                <w:color w:val="auto"/>
              </w:rPr>
              <w:t>13,365</w:t>
            </w:r>
          </w:p>
        </w:tc>
        <w:tc>
          <w:tcPr>
            <w:tcW w:w="78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2.5%</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vMerge w:val="restart"/>
          </w:tcPr>
          <w:p>
            <w:pPr>
              <w:jc w:val="right"/>
              <w:ind w:right="183"/>
              <w:spacing w:after="0"/>
              <w:rPr>
                <w:sz w:val="20"/>
                <w:szCs w:val="20"/>
                <w:color w:val="auto"/>
              </w:rPr>
            </w:pPr>
            <w:r>
              <w:rPr>
                <w:rFonts w:ascii="Arial Narrow" w:cs="Arial Narrow" w:eastAsia="Arial Narrow" w:hAnsi="Arial Narrow"/>
                <w:sz w:val="20"/>
                <w:szCs w:val="20"/>
                <w:color w:val="auto"/>
              </w:rPr>
              <w:t>14,680</w:t>
            </w:r>
          </w:p>
        </w:tc>
        <w:tc>
          <w:tcPr>
            <w:tcW w:w="960" w:type="dxa"/>
            <w:vAlign w:val="bottom"/>
            <w:vMerge w:val="restart"/>
          </w:tcPr>
          <w:p>
            <w:pPr>
              <w:jc w:val="right"/>
              <w:ind w:right="180"/>
              <w:spacing w:after="0"/>
              <w:rPr>
                <w:sz w:val="20"/>
                <w:szCs w:val="20"/>
                <w:color w:val="auto"/>
              </w:rPr>
            </w:pPr>
            <w:r>
              <w:rPr>
                <w:rFonts w:ascii="Arial Narrow" w:cs="Arial Narrow" w:eastAsia="Arial Narrow" w:hAnsi="Arial Narrow"/>
                <w:sz w:val="20"/>
                <w:szCs w:val="20"/>
                <w:color w:val="auto"/>
              </w:rPr>
              <w:t>2.5%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vMerge w:val="restart"/>
          </w:tcPr>
          <w:p>
            <w:pPr>
              <w:jc w:val="right"/>
              <w:ind w:right="181"/>
              <w:spacing w:after="0"/>
              <w:rPr>
                <w:sz w:val="20"/>
                <w:szCs w:val="20"/>
                <w:color w:val="auto"/>
              </w:rPr>
            </w:pPr>
            <w:r>
              <w:rPr>
                <w:rFonts w:ascii="Arial Narrow" w:cs="Arial Narrow" w:eastAsia="Arial Narrow" w:hAnsi="Arial Narrow"/>
                <w:sz w:val="20"/>
                <w:szCs w:val="20"/>
                <w:color w:val="auto"/>
              </w:rPr>
              <w:t>18,172</w:t>
            </w:r>
          </w:p>
        </w:tc>
        <w:tc>
          <w:tcPr>
            <w:tcW w:w="860" w:type="dxa"/>
            <w:vAlign w:val="bottom"/>
            <w:vMerge w:val="restart"/>
          </w:tcPr>
          <w:p>
            <w:pPr>
              <w:jc w:val="right"/>
              <w:ind w:right="80"/>
              <w:spacing w:after="0"/>
              <w:rPr>
                <w:sz w:val="20"/>
                <w:szCs w:val="20"/>
                <w:color w:val="auto"/>
              </w:rPr>
            </w:pPr>
            <w:r>
              <w:rPr>
                <w:rFonts w:ascii="Arial Narrow" w:cs="Arial Narrow" w:eastAsia="Arial Narrow" w:hAnsi="Arial Narrow"/>
                <w:sz w:val="20"/>
                <w:szCs w:val="20"/>
                <w:color w:val="auto"/>
              </w:rPr>
              <w:t>2.9%</w:t>
            </w:r>
          </w:p>
        </w:tc>
        <w:tc>
          <w:tcPr>
            <w:tcW w:w="0" w:type="dxa"/>
            <w:vAlign w:val="bottom"/>
          </w:tcPr>
          <w:p>
            <w:pPr>
              <w:spacing w:after="0"/>
              <w:rPr>
                <w:sz w:val="1"/>
                <w:szCs w:val="1"/>
                <w:color w:val="auto"/>
              </w:rPr>
            </w:pPr>
          </w:p>
        </w:tc>
      </w:tr>
      <w:tr>
        <w:trPr>
          <w:trHeight w:val="167"/>
        </w:trPr>
        <w:tc>
          <w:tcPr>
            <w:tcW w:w="2960" w:type="dxa"/>
            <w:vAlign w:val="bottom"/>
            <w:vMerge w:val="restart"/>
          </w:tcPr>
          <w:p>
            <w:pPr>
              <w:spacing w:after="0"/>
              <w:rPr>
                <w:sz w:val="20"/>
                <w:szCs w:val="20"/>
                <w:color w:val="auto"/>
              </w:rPr>
            </w:pPr>
            <w:r>
              <w:rPr>
                <w:rFonts w:ascii="Arial Narrow" w:cs="Arial Narrow" w:eastAsia="Arial Narrow" w:hAnsi="Arial Narrow"/>
                <w:sz w:val="20"/>
                <w:szCs w:val="20"/>
                <w:b w:val="1"/>
                <w:bCs w:val="1"/>
                <w:color w:val="00085E"/>
              </w:rPr>
              <w:t xml:space="preserve">of Federal Income Tax Effect </w:t>
            </w:r>
            <w:r>
              <w:rPr>
                <w:rFonts w:ascii="Arial Narrow" w:cs="Arial Narrow" w:eastAsia="Arial Narrow" w:hAnsi="Arial Narrow"/>
                <w:sz w:val="13"/>
                <w:szCs w:val="13"/>
                <w:b w:val="1"/>
                <w:bCs w:val="1"/>
                <w:color w:val="00085E"/>
              </w:rPr>
              <w:t>(1)</w:t>
            </w:r>
          </w:p>
        </w:tc>
        <w:tc>
          <w:tcPr>
            <w:tcW w:w="1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9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296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96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1000" w:type="dxa"/>
            <w:vAlign w:val="bottom"/>
            <w:tcBorders>
              <w:bottom w:val="single" w:sz="8" w:color="A6A6A6"/>
            </w:tcBorders>
          </w:tcPr>
          <w:p>
            <w:pPr>
              <w:spacing w:after="0"/>
              <w:rPr>
                <w:sz w:val="5"/>
                <w:szCs w:val="5"/>
                <w:color w:val="auto"/>
              </w:rPr>
            </w:pPr>
          </w:p>
        </w:tc>
        <w:tc>
          <w:tcPr>
            <w:tcW w:w="96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960" w:type="dxa"/>
            <w:vAlign w:val="bottom"/>
            <w:tcBorders>
              <w:bottom w:val="single" w:sz="8" w:color="A6A6A6"/>
            </w:tcBorders>
          </w:tcPr>
          <w:p>
            <w:pPr>
              <w:spacing w:after="0"/>
              <w:rPr>
                <w:sz w:val="5"/>
                <w:szCs w:val="5"/>
                <w:color w:val="auto"/>
              </w:rPr>
            </w:pPr>
          </w:p>
        </w:tc>
        <w:tc>
          <w:tcPr>
            <w:tcW w:w="86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2960" w:type="dxa"/>
            <w:vAlign w:val="bottom"/>
          </w:tcPr>
          <w:p>
            <w:pPr>
              <w:spacing w:after="0"/>
              <w:rPr>
                <w:sz w:val="20"/>
                <w:szCs w:val="20"/>
                <w:color w:val="auto"/>
              </w:rPr>
            </w:pPr>
            <w:r>
              <w:rPr>
                <w:rFonts w:ascii="Arial Narrow" w:cs="Arial Narrow" w:eastAsia="Arial Narrow" w:hAnsi="Arial Narrow"/>
                <w:sz w:val="20"/>
                <w:szCs w:val="20"/>
                <w:b w:val="1"/>
                <w:bCs w:val="1"/>
                <w:color w:val="00085E"/>
              </w:rPr>
              <w:t>Tax Credits</w:t>
            </w:r>
          </w:p>
        </w:tc>
        <w:tc>
          <w:tcPr>
            <w:tcW w:w="180" w:type="dxa"/>
            <w:vAlign w:val="bottom"/>
          </w:tcPr>
          <w:p>
            <w:pPr>
              <w:spacing w:after="0"/>
              <w:rPr>
                <w:sz w:val="24"/>
                <w:szCs w:val="24"/>
                <w:color w:val="auto"/>
              </w:rPr>
            </w:pPr>
          </w:p>
        </w:tc>
        <w:tc>
          <w:tcPr>
            <w:tcW w:w="960" w:type="dxa"/>
            <w:vAlign w:val="bottom"/>
          </w:tcPr>
          <w:p>
            <w:pPr>
              <w:jc w:val="right"/>
              <w:ind w:right="121"/>
              <w:spacing w:after="0"/>
              <w:rPr>
                <w:sz w:val="20"/>
                <w:szCs w:val="20"/>
                <w:color w:val="auto"/>
              </w:rPr>
            </w:pPr>
            <w:r>
              <w:rPr>
                <w:rFonts w:ascii="Arial Narrow" w:cs="Arial Narrow" w:eastAsia="Arial Narrow" w:hAnsi="Arial Narrow"/>
                <w:sz w:val="20"/>
                <w:szCs w:val="20"/>
                <w:color w:val="auto"/>
              </w:rPr>
              <w:t>(2,423)</w:t>
            </w: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(0.4)%</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103"/>
              <w:spacing w:after="0"/>
              <w:rPr>
                <w:sz w:val="20"/>
                <w:szCs w:val="20"/>
                <w:color w:val="auto"/>
              </w:rPr>
            </w:pPr>
            <w:r>
              <w:rPr>
                <w:rFonts w:ascii="Arial Narrow" w:cs="Arial Narrow" w:eastAsia="Arial Narrow" w:hAnsi="Arial Narrow"/>
                <w:sz w:val="20"/>
                <w:szCs w:val="20"/>
                <w:color w:val="auto"/>
              </w:rPr>
              <w:t>(975)</w:t>
            </w:r>
          </w:p>
        </w:tc>
        <w:tc>
          <w:tcPr>
            <w:tcW w:w="960" w:type="dxa"/>
            <w:vAlign w:val="bottom"/>
          </w:tcPr>
          <w:p>
            <w:pPr>
              <w:jc w:val="right"/>
              <w:ind w:right="120"/>
              <w:spacing w:after="0"/>
              <w:rPr>
                <w:sz w:val="20"/>
                <w:szCs w:val="20"/>
                <w:color w:val="auto"/>
              </w:rPr>
            </w:pPr>
            <w:r>
              <w:rPr>
                <w:rFonts w:ascii="Arial Narrow" w:cs="Arial Narrow" w:eastAsia="Arial Narrow" w:hAnsi="Arial Narrow"/>
                <w:sz w:val="20"/>
                <w:szCs w:val="20"/>
                <w:color w:val="auto"/>
              </w:rPr>
              <w:t>(0.2)%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181"/>
              <w:spacing w:after="0"/>
              <w:rPr>
                <w:sz w:val="20"/>
                <w:szCs w:val="20"/>
                <w:color w:val="auto"/>
              </w:rPr>
            </w:pPr>
            <w:r>
              <w:rPr>
                <w:rFonts w:ascii="Arial Narrow" w:cs="Arial Narrow" w:eastAsia="Arial Narrow" w:hAnsi="Arial Narrow"/>
                <w:sz w:val="20"/>
                <w:szCs w:val="20"/>
                <w:color w:val="auto"/>
              </w:rPr>
              <w:t>-</w:t>
            </w:r>
          </w:p>
        </w:tc>
        <w:tc>
          <w:tcPr>
            <w:tcW w:w="860" w:type="dxa"/>
            <w:vAlign w:val="bottom"/>
          </w:tcPr>
          <w:p>
            <w:pPr>
              <w:jc w:val="right"/>
              <w:ind w:right="80"/>
              <w:spacing w:after="0"/>
              <w:rPr>
                <w:sz w:val="20"/>
                <w:szCs w:val="20"/>
                <w:color w:val="auto"/>
              </w:rPr>
            </w:pPr>
            <w:r>
              <w:rPr>
                <w:rFonts w:ascii="Arial Narrow" w:cs="Arial Narrow" w:eastAsia="Arial Narrow" w:hAnsi="Arial Narrow"/>
                <w:sz w:val="20"/>
                <w:szCs w:val="20"/>
                <w:color w:val="auto"/>
              </w:rPr>
              <w:t>0.0%</w:t>
            </w:r>
          </w:p>
        </w:tc>
        <w:tc>
          <w:tcPr>
            <w:tcW w:w="0" w:type="dxa"/>
            <w:vAlign w:val="bottom"/>
          </w:tcPr>
          <w:p>
            <w:pPr>
              <w:spacing w:after="0"/>
              <w:rPr>
                <w:sz w:val="1"/>
                <w:szCs w:val="1"/>
                <w:color w:val="auto"/>
              </w:rPr>
            </w:pPr>
          </w:p>
        </w:tc>
      </w:tr>
      <w:tr>
        <w:trPr>
          <w:trHeight w:val="65"/>
        </w:trPr>
        <w:tc>
          <w:tcPr>
            <w:tcW w:w="296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96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1000" w:type="dxa"/>
            <w:vAlign w:val="bottom"/>
            <w:tcBorders>
              <w:bottom w:val="single" w:sz="8" w:color="A6A6A6"/>
            </w:tcBorders>
          </w:tcPr>
          <w:p>
            <w:pPr>
              <w:spacing w:after="0"/>
              <w:rPr>
                <w:sz w:val="5"/>
                <w:szCs w:val="5"/>
                <w:color w:val="auto"/>
              </w:rPr>
            </w:pPr>
          </w:p>
        </w:tc>
        <w:tc>
          <w:tcPr>
            <w:tcW w:w="96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960" w:type="dxa"/>
            <w:vAlign w:val="bottom"/>
            <w:tcBorders>
              <w:bottom w:val="single" w:sz="8" w:color="A6A6A6"/>
            </w:tcBorders>
          </w:tcPr>
          <w:p>
            <w:pPr>
              <w:spacing w:after="0"/>
              <w:rPr>
                <w:sz w:val="5"/>
                <w:szCs w:val="5"/>
                <w:color w:val="auto"/>
              </w:rPr>
            </w:pPr>
          </w:p>
        </w:tc>
        <w:tc>
          <w:tcPr>
            <w:tcW w:w="86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2960" w:type="dxa"/>
            <w:vAlign w:val="bottom"/>
          </w:tcPr>
          <w:p>
            <w:pPr>
              <w:spacing w:after="0"/>
              <w:rPr>
                <w:sz w:val="20"/>
                <w:szCs w:val="20"/>
                <w:color w:val="auto"/>
              </w:rPr>
            </w:pPr>
            <w:r>
              <w:rPr>
                <w:rFonts w:ascii="Arial Narrow" w:cs="Arial Narrow" w:eastAsia="Arial Narrow" w:hAnsi="Arial Narrow"/>
                <w:sz w:val="20"/>
                <w:szCs w:val="20"/>
                <w:b w:val="1"/>
                <w:bCs w:val="1"/>
                <w:color w:val="00085E"/>
              </w:rPr>
              <w:t>Nontaxable or Nondeductible Items:</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296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96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1000" w:type="dxa"/>
            <w:vAlign w:val="bottom"/>
            <w:tcBorders>
              <w:bottom w:val="single" w:sz="8" w:color="A6A6A6"/>
            </w:tcBorders>
          </w:tcPr>
          <w:p>
            <w:pPr>
              <w:spacing w:after="0"/>
              <w:rPr>
                <w:sz w:val="5"/>
                <w:szCs w:val="5"/>
                <w:color w:val="auto"/>
              </w:rPr>
            </w:pPr>
          </w:p>
        </w:tc>
        <w:tc>
          <w:tcPr>
            <w:tcW w:w="96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960" w:type="dxa"/>
            <w:vAlign w:val="bottom"/>
            <w:tcBorders>
              <w:bottom w:val="single" w:sz="8" w:color="A6A6A6"/>
            </w:tcBorders>
          </w:tcPr>
          <w:p>
            <w:pPr>
              <w:spacing w:after="0"/>
              <w:rPr>
                <w:sz w:val="5"/>
                <w:szCs w:val="5"/>
                <w:color w:val="auto"/>
              </w:rPr>
            </w:pPr>
          </w:p>
        </w:tc>
        <w:tc>
          <w:tcPr>
            <w:tcW w:w="86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287"/>
        </w:trPr>
        <w:tc>
          <w:tcPr>
            <w:tcW w:w="2960" w:type="dxa"/>
            <w:vAlign w:val="bottom"/>
          </w:tcPr>
          <w:p>
            <w:pPr>
              <w:ind w:left="200"/>
              <w:spacing w:after="0"/>
              <w:rPr>
                <w:sz w:val="20"/>
                <w:szCs w:val="20"/>
                <w:color w:val="auto"/>
              </w:rPr>
            </w:pPr>
            <w:r>
              <w:rPr>
                <w:rFonts w:ascii="Arial Narrow" w:cs="Arial Narrow" w:eastAsia="Arial Narrow" w:hAnsi="Arial Narrow"/>
                <w:sz w:val="20"/>
                <w:szCs w:val="20"/>
                <w:b w:val="1"/>
                <w:bCs w:val="1"/>
                <w:color w:val="00085E"/>
              </w:rPr>
              <w:t>Limitation on Officer's</w:t>
            </w:r>
          </w:p>
        </w:tc>
        <w:tc>
          <w:tcPr>
            <w:tcW w:w="180" w:type="dxa"/>
            <w:vAlign w:val="bottom"/>
          </w:tcPr>
          <w:p>
            <w:pPr>
              <w:spacing w:after="0"/>
              <w:rPr>
                <w:sz w:val="24"/>
                <w:szCs w:val="24"/>
                <w:color w:val="auto"/>
              </w:rPr>
            </w:pPr>
          </w:p>
        </w:tc>
        <w:tc>
          <w:tcPr>
            <w:tcW w:w="960" w:type="dxa"/>
            <w:vAlign w:val="bottom"/>
            <w:vMerge w:val="restart"/>
          </w:tcPr>
          <w:p>
            <w:pPr>
              <w:jc w:val="right"/>
              <w:ind w:right="181"/>
              <w:spacing w:after="0"/>
              <w:rPr>
                <w:sz w:val="20"/>
                <w:szCs w:val="20"/>
                <w:color w:val="auto"/>
              </w:rPr>
            </w:pPr>
            <w:r>
              <w:rPr>
                <w:rFonts w:ascii="Arial Narrow" w:cs="Arial Narrow" w:eastAsia="Arial Narrow" w:hAnsi="Arial Narrow"/>
                <w:sz w:val="20"/>
                <w:szCs w:val="20"/>
                <w:color w:val="auto"/>
              </w:rPr>
              <w:t>3,385</w:t>
            </w:r>
          </w:p>
        </w:tc>
        <w:tc>
          <w:tcPr>
            <w:tcW w:w="78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0.6%</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vMerge w:val="restart"/>
          </w:tcPr>
          <w:p>
            <w:pPr>
              <w:jc w:val="right"/>
              <w:ind w:right="183"/>
              <w:spacing w:after="0"/>
              <w:rPr>
                <w:sz w:val="20"/>
                <w:szCs w:val="20"/>
                <w:color w:val="auto"/>
              </w:rPr>
            </w:pPr>
            <w:r>
              <w:rPr>
                <w:rFonts w:ascii="Arial Narrow" w:cs="Arial Narrow" w:eastAsia="Arial Narrow" w:hAnsi="Arial Narrow"/>
                <w:sz w:val="20"/>
                <w:szCs w:val="20"/>
                <w:color w:val="auto"/>
              </w:rPr>
              <w:t>4,843</w:t>
            </w:r>
          </w:p>
        </w:tc>
        <w:tc>
          <w:tcPr>
            <w:tcW w:w="960" w:type="dxa"/>
            <w:vAlign w:val="bottom"/>
            <w:vMerge w:val="restart"/>
          </w:tcPr>
          <w:p>
            <w:pPr>
              <w:jc w:val="right"/>
              <w:ind w:right="180"/>
              <w:spacing w:after="0"/>
              <w:rPr>
                <w:sz w:val="20"/>
                <w:szCs w:val="20"/>
                <w:color w:val="auto"/>
              </w:rPr>
            </w:pPr>
            <w:r>
              <w:rPr>
                <w:rFonts w:ascii="Arial Narrow" w:cs="Arial Narrow" w:eastAsia="Arial Narrow" w:hAnsi="Arial Narrow"/>
                <w:sz w:val="20"/>
                <w:szCs w:val="20"/>
                <w:color w:val="auto"/>
              </w:rPr>
              <w:t>0.8%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vMerge w:val="restart"/>
          </w:tcPr>
          <w:p>
            <w:pPr>
              <w:jc w:val="right"/>
              <w:ind w:right="181"/>
              <w:spacing w:after="0"/>
              <w:rPr>
                <w:sz w:val="20"/>
                <w:szCs w:val="20"/>
                <w:color w:val="auto"/>
              </w:rPr>
            </w:pPr>
            <w:r>
              <w:rPr>
                <w:rFonts w:ascii="Arial Narrow" w:cs="Arial Narrow" w:eastAsia="Arial Narrow" w:hAnsi="Arial Narrow"/>
                <w:sz w:val="20"/>
                <w:szCs w:val="20"/>
                <w:color w:val="auto"/>
              </w:rPr>
              <w:t>6,513</w:t>
            </w:r>
          </w:p>
        </w:tc>
        <w:tc>
          <w:tcPr>
            <w:tcW w:w="860" w:type="dxa"/>
            <w:vAlign w:val="bottom"/>
            <w:vMerge w:val="restart"/>
          </w:tcPr>
          <w:p>
            <w:pPr>
              <w:jc w:val="right"/>
              <w:ind w:right="80"/>
              <w:spacing w:after="0"/>
              <w:rPr>
                <w:sz w:val="20"/>
                <w:szCs w:val="20"/>
                <w:color w:val="auto"/>
              </w:rPr>
            </w:pPr>
            <w:r>
              <w:rPr>
                <w:rFonts w:ascii="Arial Narrow" w:cs="Arial Narrow" w:eastAsia="Arial Narrow" w:hAnsi="Arial Narrow"/>
                <w:sz w:val="20"/>
                <w:szCs w:val="20"/>
                <w:color w:val="auto"/>
              </w:rPr>
              <w:t>1.1%</w:t>
            </w:r>
          </w:p>
        </w:tc>
        <w:tc>
          <w:tcPr>
            <w:tcW w:w="0" w:type="dxa"/>
            <w:vAlign w:val="bottom"/>
          </w:tcPr>
          <w:p>
            <w:pPr>
              <w:spacing w:after="0"/>
              <w:rPr>
                <w:sz w:val="1"/>
                <w:szCs w:val="1"/>
                <w:color w:val="auto"/>
              </w:rPr>
            </w:pPr>
          </w:p>
        </w:tc>
      </w:tr>
      <w:tr>
        <w:trPr>
          <w:trHeight w:val="167"/>
        </w:trPr>
        <w:tc>
          <w:tcPr>
            <w:tcW w:w="2960" w:type="dxa"/>
            <w:vAlign w:val="bottom"/>
            <w:vMerge w:val="restart"/>
          </w:tcPr>
          <w:p>
            <w:pPr>
              <w:ind w:left="200"/>
              <w:spacing w:after="0"/>
              <w:rPr>
                <w:sz w:val="20"/>
                <w:szCs w:val="20"/>
                <w:color w:val="auto"/>
              </w:rPr>
            </w:pPr>
            <w:r>
              <w:rPr>
                <w:rFonts w:ascii="Arial Narrow" w:cs="Arial Narrow" w:eastAsia="Arial Narrow" w:hAnsi="Arial Narrow"/>
                <w:sz w:val="20"/>
                <w:szCs w:val="20"/>
                <w:b w:val="1"/>
                <w:bCs w:val="1"/>
                <w:color w:val="00085E"/>
              </w:rPr>
              <w:t>Compensation</w:t>
            </w:r>
          </w:p>
        </w:tc>
        <w:tc>
          <w:tcPr>
            <w:tcW w:w="1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9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296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96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1000" w:type="dxa"/>
            <w:vAlign w:val="bottom"/>
            <w:tcBorders>
              <w:bottom w:val="single" w:sz="8" w:color="A6A6A6"/>
            </w:tcBorders>
          </w:tcPr>
          <w:p>
            <w:pPr>
              <w:spacing w:after="0"/>
              <w:rPr>
                <w:sz w:val="5"/>
                <w:szCs w:val="5"/>
                <w:color w:val="auto"/>
              </w:rPr>
            </w:pPr>
          </w:p>
        </w:tc>
        <w:tc>
          <w:tcPr>
            <w:tcW w:w="96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960" w:type="dxa"/>
            <w:vAlign w:val="bottom"/>
            <w:tcBorders>
              <w:bottom w:val="single" w:sz="8" w:color="A6A6A6"/>
            </w:tcBorders>
          </w:tcPr>
          <w:p>
            <w:pPr>
              <w:spacing w:after="0"/>
              <w:rPr>
                <w:sz w:val="5"/>
                <w:szCs w:val="5"/>
                <w:color w:val="auto"/>
              </w:rPr>
            </w:pPr>
          </w:p>
        </w:tc>
        <w:tc>
          <w:tcPr>
            <w:tcW w:w="86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2960" w:type="dxa"/>
            <w:vAlign w:val="bottom"/>
          </w:tcPr>
          <w:p>
            <w:pPr>
              <w:ind w:left="200"/>
              <w:spacing w:after="0"/>
              <w:rPr>
                <w:sz w:val="20"/>
                <w:szCs w:val="20"/>
                <w:color w:val="auto"/>
              </w:rPr>
            </w:pPr>
            <w:r>
              <w:rPr>
                <w:rFonts w:ascii="Arial Narrow" w:cs="Arial Narrow" w:eastAsia="Arial Narrow" w:hAnsi="Arial Narrow"/>
                <w:sz w:val="20"/>
                <w:szCs w:val="20"/>
                <w:b w:val="1"/>
                <w:bCs w:val="1"/>
                <w:color w:val="00085E"/>
              </w:rPr>
              <w:t>Other</w:t>
            </w:r>
          </w:p>
        </w:tc>
        <w:tc>
          <w:tcPr>
            <w:tcW w:w="180" w:type="dxa"/>
            <w:vAlign w:val="bottom"/>
          </w:tcPr>
          <w:p>
            <w:pPr>
              <w:spacing w:after="0"/>
              <w:rPr>
                <w:sz w:val="24"/>
                <w:szCs w:val="24"/>
                <w:color w:val="auto"/>
              </w:rPr>
            </w:pPr>
          </w:p>
        </w:tc>
        <w:tc>
          <w:tcPr>
            <w:tcW w:w="960" w:type="dxa"/>
            <w:vAlign w:val="bottom"/>
          </w:tcPr>
          <w:p>
            <w:pPr>
              <w:jc w:val="right"/>
              <w:ind w:right="181"/>
              <w:spacing w:after="0"/>
              <w:rPr>
                <w:sz w:val="20"/>
                <w:szCs w:val="20"/>
                <w:color w:val="auto"/>
              </w:rPr>
            </w:pPr>
            <w:r>
              <w:rPr>
                <w:rFonts w:ascii="Arial Narrow" w:cs="Arial Narrow" w:eastAsia="Arial Narrow" w:hAnsi="Arial Narrow"/>
                <w:sz w:val="20"/>
                <w:szCs w:val="20"/>
                <w:color w:val="auto"/>
              </w:rPr>
              <w:t>649</w:t>
            </w: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0.1%</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183"/>
              <w:spacing w:after="0"/>
              <w:rPr>
                <w:sz w:val="20"/>
                <w:szCs w:val="20"/>
                <w:color w:val="auto"/>
              </w:rPr>
            </w:pPr>
            <w:r>
              <w:rPr>
                <w:rFonts w:ascii="Arial Narrow" w:cs="Arial Narrow" w:eastAsia="Arial Narrow" w:hAnsi="Arial Narrow"/>
                <w:sz w:val="20"/>
                <w:szCs w:val="20"/>
                <w:color w:val="auto"/>
              </w:rPr>
              <w:t>662</w:t>
            </w:r>
          </w:p>
        </w:tc>
        <w:tc>
          <w:tcPr>
            <w:tcW w:w="960" w:type="dxa"/>
            <w:vAlign w:val="bottom"/>
          </w:tcPr>
          <w:p>
            <w:pPr>
              <w:jc w:val="right"/>
              <w:ind w:right="180"/>
              <w:spacing w:after="0"/>
              <w:rPr>
                <w:sz w:val="20"/>
                <w:szCs w:val="20"/>
                <w:color w:val="auto"/>
              </w:rPr>
            </w:pPr>
            <w:r>
              <w:rPr>
                <w:rFonts w:ascii="Arial Narrow" w:cs="Arial Narrow" w:eastAsia="Arial Narrow" w:hAnsi="Arial Narrow"/>
                <w:sz w:val="20"/>
                <w:szCs w:val="20"/>
                <w:color w:val="auto"/>
              </w:rPr>
              <w:t>0.1%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181"/>
              <w:spacing w:after="0"/>
              <w:rPr>
                <w:sz w:val="20"/>
                <w:szCs w:val="20"/>
                <w:color w:val="auto"/>
              </w:rPr>
            </w:pPr>
            <w:r>
              <w:rPr>
                <w:rFonts w:ascii="Arial Narrow" w:cs="Arial Narrow" w:eastAsia="Arial Narrow" w:hAnsi="Arial Narrow"/>
                <w:sz w:val="20"/>
                <w:szCs w:val="20"/>
                <w:color w:val="auto"/>
              </w:rPr>
              <w:t>702</w:t>
            </w:r>
          </w:p>
        </w:tc>
        <w:tc>
          <w:tcPr>
            <w:tcW w:w="860" w:type="dxa"/>
            <w:vAlign w:val="bottom"/>
          </w:tcPr>
          <w:p>
            <w:pPr>
              <w:jc w:val="right"/>
              <w:ind w:right="80"/>
              <w:spacing w:after="0"/>
              <w:rPr>
                <w:sz w:val="20"/>
                <w:szCs w:val="20"/>
                <w:color w:val="auto"/>
              </w:rPr>
            </w:pPr>
            <w:r>
              <w:rPr>
                <w:rFonts w:ascii="Arial Narrow" w:cs="Arial Narrow" w:eastAsia="Arial Narrow" w:hAnsi="Arial Narrow"/>
                <w:sz w:val="20"/>
                <w:szCs w:val="20"/>
                <w:color w:val="auto"/>
              </w:rPr>
              <w:t>0.1%</w:t>
            </w:r>
          </w:p>
        </w:tc>
        <w:tc>
          <w:tcPr>
            <w:tcW w:w="0" w:type="dxa"/>
            <w:vAlign w:val="bottom"/>
          </w:tcPr>
          <w:p>
            <w:pPr>
              <w:spacing w:after="0"/>
              <w:rPr>
                <w:sz w:val="1"/>
                <w:szCs w:val="1"/>
                <w:color w:val="auto"/>
              </w:rPr>
            </w:pPr>
          </w:p>
        </w:tc>
      </w:tr>
      <w:tr>
        <w:trPr>
          <w:trHeight w:val="65"/>
        </w:trPr>
        <w:tc>
          <w:tcPr>
            <w:tcW w:w="296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96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1000" w:type="dxa"/>
            <w:vAlign w:val="bottom"/>
            <w:tcBorders>
              <w:bottom w:val="single" w:sz="8" w:color="A6A6A6"/>
            </w:tcBorders>
          </w:tcPr>
          <w:p>
            <w:pPr>
              <w:spacing w:after="0"/>
              <w:rPr>
                <w:sz w:val="5"/>
                <w:szCs w:val="5"/>
                <w:color w:val="auto"/>
              </w:rPr>
            </w:pPr>
          </w:p>
        </w:tc>
        <w:tc>
          <w:tcPr>
            <w:tcW w:w="96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960" w:type="dxa"/>
            <w:vAlign w:val="bottom"/>
            <w:tcBorders>
              <w:bottom w:val="single" w:sz="8" w:color="A6A6A6"/>
            </w:tcBorders>
          </w:tcPr>
          <w:p>
            <w:pPr>
              <w:spacing w:after="0"/>
              <w:rPr>
                <w:sz w:val="5"/>
                <w:szCs w:val="5"/>
                <w:color w:val="auto"/>
              </w:rPr>
            </w:pPr>
          </w:p>
        </w:tc>
        <w:tc>
          <w:tcPr>
            <w:tcW w:w="86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2960" w:type="dxa"/>
            <w:vAlign w:val="bottom"/>
          </w:tcPr>
          <w:p>
            <w:pPr>
              <w:spacing w:after="0"/>
              <w:rPr>
                <w:sz w:val="20"/>
                <w:szCs w:val="20"/>
                <w:color w:val="auto"/>
              </w:rPr>
            </w:pPr>
            <w:r>
              <w:rPr>
                <w:rFonts w:ascii="Arial Narrow" w:cs="Arial Narrow" w:eastAsia="Arial Narrow" w:hAnsi="Arial Narrow"/>
                <w:sz w:val="20"/>
                <w:szCs w:val="20"/>
                <w:b w:val="1"/>
                <w:bCs w:val="1"/>
                <w:color w:val="00085E"/>
              </w:rPr>
              <w:t>Other Adjustments:</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296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96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1000" w:type="dxa"/>
            <w:vAlign w:val="bottom"/>
            <w:tcBorders>
              <w:bottom w:val="single" w:sz="8" w:color="A6A6A6"/>
            </w:tcBorders>
          </w:tcPr>
          <w:p>
            <w:pPr>
              <w:spacing w:after="0"/>
              <w:rPr>
                <w:sz w:val="5"/>
                <w:szCs w:val="5"/>
                <w:color w:val="auto"/>
              </w:rPr>
            </w:pPr>
          </w:p>
        </w:tc>
        <w:tc>
          <w:tcPr>
            <w:tcW w:w="96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960" w:type="dxa"/>
            <w:vAlign w:val="bottom"/>
            <w:tcBorders>
              <w:bottom w:val="single" w:sz="8" w:color="A6A6A6"/>
            </w:tcBorders>
          </w:tcPr>
          <w:p>
            <w:pPr>
              <w:spacing w:after="0"/>
              <w:rPr>
                <w:sz w:val="5"/>
                <w:szCs w:val="5"/>
                <w:color w:val="auto"/>
              </w:rPr>
            </w:pPr>
          </w:p>
        </w:tc>
        <w:tc>
          <w:tcPr>
            <w:tcW w:w="86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287"/>
        </w:trPr>
        <w:tc>
          <w:tcPr>
            <w:tcW w:w="2960" w:type="dxa"/>
            <w:vAlign w:val="bottom"/>
          </w:tcPr>
          <w:p>
            <w:pPr>
              <w:ind w:left="200"/>
              <w:spacing w:after="0"/>
              <w:rPr>
                <w:sz w:val="20"/>
                <w:szCs w:val="20"/>
                <w:color w:val="auto"/>
              </w:rPr>
            </w:pPr>
            <w:r>
              <w:rPr>
                <w:rFonts w:ascii="Arial Narrow" w:cs="Arial Narrow" w:eastAsia="Arial Narrow" w:hAnsi="Arial Narrow"/>
                <w:sz w:val="20"/>
                <w:szCs w:val="20"/>
                <w:b w:val="1"/>
                <w:bCs w:val="1"/>
                <w:color w:val="00085E"/>
              </w:rPr>
              <w:t>Statutory Depletion in Excess of</w:t>
            </w:r>
          </w:p>
        </w:tc>
        <w:tc>
          <w:tcPr>
            <w:tcW w:w="180" w:type="dxa"/>
            <w:vAlign w:val="bottom"/>
          </w:tcPr>
          <w:p>
            <w:pPr>
              <w:spacing w:after="0"/>
              <w:rPr>
                <w:sz w:val="24"/>
                <w:szCs w:val="24"/>
                <w:color w:val="auto"/>
              </w:rPr>
            </w:pPr>
          </w:p>
        </w:tc>
        <w:tc>
          <w:tcPr>
            <w:tcW w:w="960" w:type="dxa"/>
            <w:vAlign w:val="bottom"/>
            <w:vMerge w:val="restart"/>
          </w:tcPr>
          <w:p>
            <w:pPr>
              <w:jc w:val="right"/>
              <w:ind w:right="121"/>
              <w:spacing w:after="0"/>
              <w:rPr>
                <w:sz w:val="20"/>
                <w:szCs w:val="20"/>
                <w:color w:val="auto"/>
              </w:rPr>
            </w:pPr>
            <w:r>
              <w:rPr>
                <w:rFonts w:ascii="Arial Narrow" w:cs="Arial Narrow" w:eastAsia="Arial Narrow" w:hAnsi="Arial Narrow"/>
                <w:sz w:val="20"/>
                <w:szCs w:val="20"/>
                <w:color w:val="auto"/>
              </w:rPr>
              <w:t>(10,079)</w:t>
            </w:r>
          </w:p>
        </w:tc>
        <w:tc>
          <w:tcPr>
            <w:tcW w:w="780" w:type="dxa"/>
            <w:vAlign w:val="bottom"/>
            <w:vMerge w:val="restart"/>
          </w:tcPr>
          <w:p>
            <w:pPr>
              <w:jc w:val="right"/>
              <w:spacing w:after="0"/>
              <w:rPr>
                <w:sz w:val="20"/>
                <w:szCs w:val="20"/>
                <w:color w:val="auto"/>
              </w:rPr>
            </w:pPr>
            <w:r>
              <w:rPr>
                <w:rFonts w:ascii="Arial Narrow" w:cs="Arial Narrow" w:eastAsia="Arial Narrow" w:hAnsi="Arial Narrow"/>
                <w:sz w:val="20"/>
                <w:szCs w:val="20"/>
                <w:color w:val="auto"/>
              </w:rPr>
              <w:t>(1.9)%</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vMerge w:val="restart"/>
          </w:tcPr>
          <w:p>
            <w:pPr>
              <w:jc w:val="right"/>
              <w:ind w:right="103"/>
              <w:spacing w:after="0"/>
              <w:rPr>
                <w:sz w:val="20"/>
                <w:szCs w:val="20"/>
                <w:color w:val="auto"/>
              </w:rPr>
            </w:pPr>
            <w:r>
              <w:rPr>
                <w:rFonts w:ascii="Arial Narrow" w:cs="Arial Narrow" w:eastAsia="Arial Narrow" w:hAnsi="Arial Narrow"/>
                <w:sz w:val="20"/>
                <w:szCs w:val="20"/>
                <w:color w:val="auto"/>
              </w:rPr>
              <w:t>(9,927)</w:t>
            </w:r>
          </w:p>
        </w:tc>
        <w:tc>
          <w:tcPr>
            <w:tcW w:w="960" w:type="dxa"/>
            <w:vAlign w:val="bottom"/>
            <w:vMerge w:val="restart"/>
          </w:tcPr>
          <w:p>
            <w:pPr>
              <w:jc w:val="right"/>
              <w:ind w:right="120"/>
              <w:spacing w:after="0"/>
              <w:rPr>
                <w:sz w:val="20"/>
                <w:szCs w:val="20"/>
                <w:color w:val="auto"/>
              </w:rPr>
            </w:pPr>
            <w:r>
              <w:rPr>
                <w:rFonts w:ascii="Arial Narrow" w:cs="Arial Narrow" w:eastAsia="Arial Narrow" w:hAnsi="Arial Narrow"/>
                <w:sz w:val="20"/>
                <w:szCs w:val="20"/>
                <w:color w:val="auto"/>
              </w:rPr>
              <w:t>(1.7)%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vMerge w:val="restart"/>
          </w:tcPr>
          <w:p>
            <w:pPr>
              <w:jc w:val="right"/>
              <w:ind w:right="101"/>
              <w:spacing w:after="0"/>
              <w:rPr>
                <w:sz w:val="20"/>
                <w:szCs w:val="20"/>
                <w:color w:val="auto"/>
              </w:rPr>
            </w:pPr>
            <w:r>
              <w:rPr>
                <w:rFonts w:ascii="Arial Narrow" w:cs="Arial Narrow" w:eastAsia="Arial Narrow" w:hAnsi="Arial Narrow"/>
                <w:sz w:val="20"/>
                <w:szCs w:val="20"/>
                <w:color w:val="auto"/>
              </w:rPr>
              <w:t>(9,883)</w:t>
            </w:r>
          </w:p>
        </w:tc>
        <w:tc>
          <w:tcPr>
            <w:tcW w:w="860" w:type="dxa"/>
            <w:vAlign w:val="bottom"/>
            <w:vMerge w:val="restart"/>
          </w:tcPr>
          <w:p>
            <w:pPr>
              <w:jc w:val="right"/>
              <w:ind w:right="20"/>
              <w:spacing w:after="0"/>
              <w:rPr>
                <w:sz w:val="20"/>
                <w:szCs w:val="20"/>
                <w:color w:val="auto"/>
              </w:rPr>
            </w:pPr>
            <w:r>
              <w:rPr>
                <w:rFonts w:ascii="Arial Narrow" w:cs="Arial Narrow" w:eastAsia="Arial Narrow" w:hAnsi="Arial Narrow"/>
                <w:sz w:val="20"/>
                <w:szCs w:val="20"/>
                <w:color w:val="auto"/>
              </w:rPr>
              <w:t>(1.6)%</w:t>
            </w:r>
          </w:p>
        </w:tc>
        <w:tc>
          <w:tcPr>
            <w:tcW w:w="0" w:type="dxa"/>
            <w:vAlign w:val="bottom"/>
          </w:tcPr>
          <w:p>
            <w:pPr>
              <w:spacing w:after="0"/>
              <w:rPr>
                <w:sz w:val="1"/>
                <w:szCs w:val="1"/>
                <w:color w:val="auto"/>
              </w:rPr>
            </w:pPr>
          </w:p>
        </w:tc>
      </w:tr>
      <w:tr>
        <w:trPr>
          <w:trHeight w:val="167"/>
        </w:trPr>
        <w:tc>
          <w:tcPr>
            <w:tcW w:w="2960" w:type="dxa"/>
            <w:vAlign w:val="bottom"/>
            <w:vMerge w:val="restart"/>
          </w:tcPr>
          <w:p>
            <w:pPr>
              <w:ind w:left="200"/>
              <w:spacing w:after="0"/>
              <w:rPr>
                <w:sz w:val="20"/>
                <w:szCs w:val="20"/>
                <w:color w:val="auto"/>
              </w:rPr>
            </w:pPr>
            <w:r>
              <w:rPr>
                <w:rFonts w:ascii="Arial Narrow" w:cs="Arial Narrow" w:eastAsia="Arial Narrow" w:hAnsi="Arial Narrow"/>
                <w:sz w:val="20"/>
                <w:szCs w:val="20"/>
                <w:b w:val="1"/>
                <w:bCs w:val="1"/>
                <w:color w:val="00085E"/>
              </w:rPr>
              <w:t>Cost</w:t>
            </w:r>
          </w:p>
        </w:tc>
        <w:tc>
          <w:tcPr>
            <w:tcW w:w="1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9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296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960" w:type="dxa"/>
            <w:vAlign w:val="bottom"/>
            <w:tcBorders>
              <w:bottom w:val="single" w:sz="8" w:color="A6A6A6"/>
            </w:tcBorders>
          </w:tcPr>
          <w:p>
            <w:pPr>
              <w:spacing w:after="0"/>
              <w:rPr>
                <w:sz w:val="5"/>
                <w:szCs w:val="5"/>
                <w:color w:val="auto"/>
              </w:rPr>
            </w:pPr>
          </w:p>
        </w:tc>
        <w:tc>
          <w:tcPr>
            <w:tcW w:w="78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1000" w:type="dxa"/>
            <w:vAlign w:val="bottom"/>
            <w:tcBorders>
              <w:bottom w:val="single" w:sz="8" w:color="A6A6A6"/>
            </w:tcBorders>
          </w:tcPr>
          <w:p>
            <w:pPr>
              <w:spacing w:after="0"/>
              <w:rPr>
                <w:sz w:val="5"/>
                <w:szCs w:val="5"/>
                <w:color w:val="auto"/>
              </w:rPr>
            </w:pPr>
          </w:p>
        </w:tc>
        <w:tc>
          <w:tcPr>
            <w:tcW w:w="96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960" w:type="dxa"/>
            <w:vAlign w:val="bottom"/>
            <w:tcBorders>
              <w:bottom w:val="single" w:sz="8" w:color="A6A6A6"/>
            </w:tcBorders>
          </w:tcPr>
          <w:p>
            <w:pPr>
              <w:spacing w:after="0"/>
              <w:rPr>
                <w:sz w:val="5"/>
                <w:szCs w:val="5"/>
                <w:color w:val="auto"/>
              </w:rPr>
            </w:pPr>
          </w:p>
        </w:tc>
        <w:tc>
          <w:tcPr>
            <w:tcW w:w="86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2960" w:type="dxa"/>
            <w:vAlign w:val="bottom"/>
          </w:tcPr>
          <w:p>
            <w:pPr>
              <w:ind w:left="200"/>
              <w:spacing w:after="0"/>
              <w:rPr>
                <w:sz w:val="20"/>
                <w:szCs w:val="20"/>
                <w:color w:val="auto"/>
              </w:rPr>
            </w:pPr>
            <w:r>
              <w:rPr>
                <w:rFonts w:ascii="Arial Narrow" w:cs="Arial Narrow" w:eastAsia="Arial Narrow" w:hAnsi="Arial Narrow"/>
                <w:sz w:val="20"/>
                <w:szCs w:val="20"/>
                <w:b w:val="1"/>
                <w:bCs w:val="1"/>
                <w:color w:val="00085E"/>
              </w:rPr>
              <w:t>Other</w:t>
            </w:r>
          </w:p>
        </w:tc>
        <w:tc>
          <w:tcPr>
            <w:tcW w:w="180" w:type="dxa"/>
            <w:vAlign w:val="bottom"/>
          </w:tcPr>
          <w:p>
            <w:pPr>
              <w:spacing w:after="0"/>
              <w:rPr>
                <w:sz w:val="24"/>
                <w:szCs w:val="24"/>
                <w:color w:val="auto"/>
              </w:rPr>
            </w:pPr>
          </w:p>
        </w:tc>
        <w:tc>
          <w:tcPr>
            <w:tcW w:w="960" w:type="dxa"/>
            <w:vAlign w:val="bottom"/>
          </w:tcPr>
          <w:p>
            <w:pPr>
              <w:jc w:val="right"/>
              <w:ind w:right="121"/>
              <w:spacing w:after="0"/>
              <w:rPr>
                <w:sz w:val="20"/>
                <w:szCs w:val="20"/>
                <w:color w:val="auto"/>
              </w:rPr>
            </w:pPr>
            <w:r>
              <w:rPr>
                <w:rFonts w:ascii="Arial Narrow" w:cs="Arial Narrow" w:eastAsia="Arial Narrow" w:hAnsi="Arial Narrow"/>
                <w:sz w:val="20"/>
                <w:szCs w:val="20"/>
                <w:color w:val="auto"/>
              </w:rPr>
              <w:t>(545)</w:t>
            </w:r>
          </w:p>
        </w:tc>
        <w:tc>
          <w:tcPr>
            <w:tcW w:w="780" w:type="dxa"/>
            <w:vAlign w:val="bottom"/>
          </w:tcPr>
          <w:p>
            <w:pPr>
              <w:jc w:val="right"/>
              <w:spacing w:after="0"/>
              <w:rPr>
                <w:sz w:val="20"/>
                <w:szCs w:val="20"/>
                <w:color w:val="auto"/>
              </w:rPr>
            </w:pPr>
            <w:r>
              <w:rPr>
                <w:rFonts w:ascii="Arial Narrow" w:cs="Arial Narrow" w:eastAsia="Arial Narrow" w:hAnsi="Arial Narrow"/>
                <w:sz w:val="20"/>
                <w:szCs w:val="20"/>
                <w:color w:val="auto"/>
              </w:rPr>
              <w:t>(0.1)%</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103"/>
              <w:spacing w:after="0"/>
              <w:rPr>
                <w:sz w:val="20"/>
                <w:szCs w:val="20"/>
                <w:color w:val="auto"/>
              </w:rPr>
            </w:pPr>
            <w:r>
              <w:rPr>
                <w:rFonts w:ascii="Arial Narrow" w:cs="Arial Narrow" w:eastAsia="Arial Narrow" w:hAnsi="Arial Narrow"/>
                <w:sz w:val="20"/>
                <w:szCs w:val="20"/>
                <w:color w:val="auto"/>
              </w:rPr>
              <w:t>(5,426)</w:t>
            </w:r>
          </w:p>
        </w:tc>
        <w:tc>
          <w:tcPr>
            <w:tcW w:w="960" w:type="dxa"/>
            <w:vAlign w:val="bottom"/>
          </w:tcPr>
          <w:p>
            <w:pPr>
              <w:jc w:val="right"/>
              <w:ind w:right="120"/>
              <w:spacing w:after="0"/>
              <w:rPr>
                <w:sz w:val="20"/>
                <w:szCs w:val="20"/>
                <w:color w:val="auto"/>
              </w:rPr>
            </w:pPr>
            <w:r>
              <w:rPr>
                <w:rFonts w:ascii="Arial Narrow" w:cs="Arial Narrow" w:eastAsia="Arial Narrow" w:hAnsi="Arial Narrow"/>
                <w:sz w:val="20"/>
                <w:szCs w:val="20"/>
                <w:color w:val="auto"/>
              </w:rPr>
              <w:t>(0.8)%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101"/>
              <w:spacing w:after="0"/>
              <w:rPr>
                <w:sz w:val="20"/>
                <w:szCs w:val="20"/>
                <w:color w:val="auto"/>
              </w:rPr>
            </w:pPr>
            <w:r>
              <w:rPr>
                <w:rFonts w:ascii="Arial Narrow" w:cs="Arial Narrow" w:eastAsia="Arial Narrow" w:hAnsi="Arial Narrow"/>
                <w:sz w:val="20"/>
                <w:szCs w:val="20"/>
                <w:color w:val="auto"/>
              </w:rPr>
              <w:t>(4,972)</w:t>
            </w:r>
          </w:p>
        </w:tc>
        <w:tc>
          <w:tcPr>
            <w:tcW w:w="860" w:type="dxa"/>
            <w:vAlign w:val="bottom"/>
          </w:tcPr>
          <w:p>
            <w:pPr>
              <w:jc w:val="right"/>
              <w:ind w:right="20"/>
              <w:spacing w:after="0"/>
              <w:rPr>
                <w:sz w:val="20"/>
                <w:szCs w:val="20"/>
                <w:color w:val="auto"/>
              </w:rPr>
            </w:pPr>
            <w:r>
              <w:rPr>
                <w:rFonts w:ascii="Arial Narrow" w:cs="Arial Narrow" w:eastAsia="Arial Narrow" w:hAnsi="Arial Narrow"/>
                <w:sz w:val="20"/>
                <w:szCs w:val="20"/>
                <w:color w:val="auto"/>
              </w:rPr>
              <w:t>(0.8)%</w:t>
            </w:r>
          </w:p>
        </w:tc>
        <w:tc>
          <w:tcPr>
            <w:tcW w:w="0" w:type="dxa"/>
            <w:vAlign w:val="bottom"/>
          </w:tcPr>
          <w:p>
            <w:pPr>
              <w:spacing w:after="0"/>
              <w:rPr>
                <w:sz w:val="1"/>
                <w:szCs w:val="1"/>
                <w:color w:val="auto"/>
              </w:rPr>
            </w:pPr>
          </w:p>
        </w:tc>
      </w:tr>
      <w:tr>
        <w:trPr>
          <w:trHeight w:val="90"/>
        </w:trPr>
        <w:tc>
          <w:tcPr>
            <w:tcW w:w="2960" w:type="dxa"/>
            <w:vAlign w:val="bottom"/>
            <w:tcBorders>
              <w:bottom w:val="single" w:sz="8" w:color="A6A6A6"/>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2"/>
        </w:trPr>
        <w:tc>
          <w:tcPr>
            <w:tcW w:w="2960" w:type="dxa"/>
            <w:vAlign w:val="bottom"/>
          </w:tcPr>
          <w:p>
            <w:pPr>
              <w:spacing w:after="0"/>
              <w:rPr>
                <w:sz w:val="20"/>
                <w:szCs w:val="20"/>
                <w:color w:val="auto"/>
              </w:rPr>
            </w:pPr>
            <w:r>
              <w:rPr>
                <w:rFonts w:ascii="Arial Narrow" w:cs="Arial Narrow" w:eastAsia="Arial Narrow" w:hAnsi="Arial Narrow"/>
                <w:sz w:val="20"/>
                <w:szCs w:val="20"/>
                <w:b w:val="1"/>
                <w:bCs w:val="1"/>
                <w:color w:val="00085E"/>
              </w:rPr>
              <w:t>Total Income Tax Expense /</w:t>
            </w:r>
          </w:p>
        </w:tc>
        <w:tc>
          <w:tcPr>
            <w:tcW w:w="180" w:type="dxa"/>
            <w:vAlign w:val="bottom"/>
            <w:vMerge w:val="restart"/>
          </w:tcPr>
          <w:p>
            <w:pPr>
              <w:jc w:val="right"/>
              <w:spacing w:after="0"/>
              <w:rPr>
                <w:sz w:val="20"/>
                <w:szCs w:val="20"/>
                <w:color w:val="auto"/>
              </w:rPr>
            </w:pPr>
            <w:r>
              <w:rPr>
                <w:rFonts w:ascii="Arial Narrow" w:cs="Arial Narrow" w:eastAsia="Arial Narrow" w:hAnsi="Arial Narrow"/>
                <w:sz w:val="20"/>
                <w:szCs w:val="20"/>
                <w:b w:val="1"/>
                <w:bCs w:val="1"/>
                <w:color w:val="auto"/>
                <w:w w:val="87"/>
              </w:rPr>
              <w:t>$</w:t>
            </w:r>
          </w:p>
        </w:tc>
        <w:tc>
          <w:tcPr>
            <w:tcW w:w="960" w:type="dxa"/>
            <w:vAlign w:val="bottom"/>
            <w:vMerge w:val="restart"/>
          </w:tcPr>
          <w:p>
            <w:pPr>
              <w:jc w:val="right"/>
              <w:ind w:right="181"/>
              <w:spacing w:after="0"/>
              <w:rPr>
                <w:sz w:val="20"/>
                <w:szCs w:val="20"/>
                <w:color w:val="auto"/>
              </w:rPr>
            </w:pPr>
            <w:r>
              <w:rPr>
                <w:rFonts w:ascii="Arial Narrow" w:cs="Arial Narrow" w:eastAsia="Arial Narrow" w:hAnsi="Arial Narrow"/>
                <w:sz w:val="20"/>
                <w:szCs w:val="20"/>
                <w:b w:val="1"/>
                <w:bCs w:val="1"/>
                <w:color w:val="auto"/>
              </w:rPr>
              <w:t>118,167</w:t>
            </w:r>
          </w:p>
        </w:tc>
        <w:tc>
          <w:tcPr>
            <w:tcW w:w="780" w:type="dxa"/>
            <w:vAlign w:val="bottom"/>
            <w:vMerge w:val="restart"/>
          </w:tcPr>
          <w:p>
            <w:pPr>
              <w:jc w:val="right"/>
              <w:spacing w:after="0"/>
              <w:rPr>
                <w:sz w:val="20"/>
                <w:szCs w:val="20"/>
                <w:color w:val="auto"/>
              </w:rPr>
            </w:pPr>
            <w:r>
              <w:rPr>
                <w:rFonts w:ascii="Arial Narrow" w:cs="Arial Narrow" w:eastAsia="Arial Narrow" w:hAnsi="Arial Narrow"/>
                <w:sz w:val="20"/>
                <w:szCs w:val="20"/>
                <w:b w:val="1"/>
                <w:bCs w:val="1"/>
                <w:color w:val="auto"/>
              </w:rPr>
              <w:t>21.8%</w:t>
            </w:r>
          </w:p>
        </w:tc>
        <w:tc>
          <w:tcPr>
            <w:tcW w:w="420" w:type="dxa"/>
            <w:vAlign w:val="bottom"/>
            <w:gridSpan w:val="3"/>
            <w:vMerge w:val="restart"/>
          </w:tcPr>
          <w:p>
            <w:pPr>
              <w:jc w:val="right"/>
              <w:ind w:right="40"/>
              <w:spacing w:after="0"/>
              <w:rPr>
                <w:sz w:val="20"/>
                <w:szCs w:val="20"/>
                <w:color w:val="auto"/>
              </w:rPr>
            </w:pPr>
            <w:r>
              <w:rPr>
                <w:rFonts w:ascii="Arial Narrow" w:cs="Arial Narrow" w:eastAsia="Arial Narrow" w:hAnsi="Arial Narrow"/>
                <w:sz w:val="20"/>
                <w:szCs w:val="20"/>
                <w:b w:val="1"/>
                <w:bCs w:val="1"/>
                <w:color w:val="auto"/>
              </w:rPr>
              <w:t>$</w:t>
            </w:r>
          </w:p>
        </w:tc>
        <w:tc>
          <w:tcPr>
            <w:tcW w:w="1000" w:type="dxa"/>
            <w:vAlign w:val="bottom"/>
            <w:vMerge w:val="restart"/>
          </w:tcPr>
          <w:p>
            <w:pPr>
              <w:jc w:val="right"/>
              <w:ind w:right="183"/>
              <w:spacing w:after="0"/>
              <w:rPr>
                <w:sz w:val="20"/>
                <w:szCs w:val="20"/>
                <w:color w:val="auto"/>
              </w:rPr>
            </w:pPr>
            <w:r>
              <w:rPr>
                <w:rFonts w:ascii="Arial Narrow" w:cs="Arial Narrow" w:eastAsia="Arial Narrow" w:hAnsi="Arial Narrow"/>
                <w:sz w:val="20"/>
                <w:szCs w:val="20"/>
                <w:b w:val="1"/>
                <w:bCs w:val="1"/>
                <w:color w:val="auto"/>
              </w:rPr>
              <w:t>128,069</w:t>
            </w:r>
          </w:p>
        </w:tc>
        <w:tc>
          <w:tcPr>
            <w:tcW w:w="960" w:type="dxa"/>
            <w:vAlign w:val="bottom"/>
            <w:vMerge w:val="restart"/>
          </w:tcPr>
          <w:p>
            <w:pPr>
              <w:jc w:val="right"/>
              <w:ind w:right="180"/>
              <w:spacing w:after="0"/>
              <w:rPr>
                <w:sz w:val="20"/>
                <w:szCs w:val="20"/>
                <w:color w:val="auto"/>
              </w:rPr>
            </w:pPr>
            <w:r>
              <w:rPr>
                <w:rFonts w:ascii="Arial Narrow" w:cs="Arial Narrow" w:eastAsia="Arial Narrow" w:hAnsi="Arial Narrow"/>
                <w:sz w:val="20"/>
                <w:szCs w:val="20"/>
                <w:b w:val="1"/>
                <w:bCs w:val="1"/>
                <w:color w:val="auto"/>
              </w:rPr>
              <w:t>21.7%</w:t>
            </w:r>
          </w:p>
        </w:tc>
        <w:tc>
          <w:tcPr>
            <w:tcW w:w="280" w:type="dxa"/>
            <w:vAlign w:val="bottom"/>
            <w:gridSpan w:val="2"/>
            <w:vMerge w:val="restart"/>
          </w:tcPr>
          <w:p>
            <w:pPr>
              <w:jc w:val="right"/>
              <w:ind w:right="80"/>
              <w:spacing w:after="0"/>
              <w:rPr>
                <w:sz w:val="20"/>
                <w:szCs w:val="20"/>
                <w:color w:val="auto"/>
              </w:rPr>
            </w:pPr>
            <w:r>
              <w:rPr>
                <w:rFonts w:ascii="Arial Narrow" w:cs="Arial Narrow" w:eastAsia="Arial Narrow" w:hAnsi="Arial Narrow"/>
                <w:sz w:val="20"/>
                <w:szCs w:val="20"/>
                <w:b w:val="1"/>
                <w:bCs w:val="1"/>
                <w:color w:val="auto"/>
              </w:rPr>
              <w:t>$</w:t>
            </w:r>
          </w:p>
        </w:tc>
        <w:tc>
          <w:tcPr>
            <w:tcW w:w="960" w:type="dxa"/>
            <w:vAlign w:val="bottom"/>
            <w:vMerge w:val="restart"/>
          </w:tcPr>
          <w:p>
            <w:pPr>
              <w:jc w:val="right"/>
              <w:ind w:right="181"/>
              <w:spacing w:after="0"/>
              <w:rPr>
                <w:sz w:val="20"/>
                <w:szCs w:val="20"/>
                <w:color w:val="auto"/>
              </w:rPr>
            </w:pPr>
            <w:r>
              <w:rPr>
                <w:rFonts w:ascii="Arial Narrow" w:cs="Arial Narrow" w:eastAsia="Arial Narrow" w:hAnsi="Arial Narrow"/>
                <w:sz w:val="20"/>
                <w:szCs w:val="20"/>
                <w:b w:val="1"/>
                <w:bCs w:val="1"/>
                <w:color w:val="auto"/>
              </w:rPr>
              <w:t>140,298</w:t>
            </w:r>
          </w:p>
        </w:tc>
        <w:tc>
          <w:tcPr>
            <w:tcW w:w="860" w:type="dxa"/>
            <w:vAlign w:val="bottom"/>
            <w:vMerge w:val="restart"/>
          </w:tcPr>
          <w:p>
            <w:pPr>
              <w:jc w:val="right"/>
              <w:ind w:right="80"/>
              <w:spacing w:after="0"/>
              <w:rPr>
                <w:sz w:val="20"/>
                <w:szCs w:val="20"/>
                <w:color w:val="auto"/>
              </w:rPr>
            </w:pPr>
            <w:r>
              <w:rPr>
                <w:rFonts w:ascii="Arial Narrow" w:cs="Arial Narrow" w:eastAsia="Arial Narrow" w:hAnsi="Arial Narrow"/>
                <w:sz w:val="20"/>
                <w:szCs w:val="20"/>
                <w:b w:val="1"/>
                <w:bCs w:val="1"/>
                <w:color w:val="auto"/>
              </w:rPr>
              <w:t>22.7%</w:t>
            </w:r>
          </w:p>
        </w:tc>
        <w:tc>
          <w:tcPr>
            <w:tcW w:w="0" w:type="dxa"/>
            <w:vAlign w:val="bottom"/>
          </w:tcPr>
          <w:p>
            <w:pPr>
              <w:spacing w:after="0"/>
              <w:rPr>
                <w:sz w:val="1"/>
                <w:szCs w:val="1"/>
                <w:color w:val="auto"/>
              </w:rPr>
            </w:pPr>
          </w:p>
        </w:tc>
      </w:tr>
      <w:tr>
        <w:trPr>
          <w:trHeight w:val="167"/>
        </w:trPr>
        <w:tc>
          <w:tcPr>
            <w:tcW w:w="2960" w:type="dxa"/>
            <w:vAlign w:val="bottom"/>
            <w:vMerge w:val="restart"/>
          </w:tcPr>
          <w:p>
            <w:pPr>
              <w:spacing w:after="0"/>
              <w:rPr>
                <w:sz w:val="20"/>
                <w:szCs w:val="20"/>
                <w:color w:val="auto"/>
              </w:rPr>
            </w:pPr>
            <w:r>
              <w:rPr>
                <w:rFonts w:ascii="Arial Narrow" w:cs="Arial Narrow" w:eastAsia="Arial Narrow" w:hAnsi="Arial Narrow"/>
                <w:sz w:val="20"/>
                <w:szCs w:val="20"/>
                <w:b w:val="1"/>
                <w:bCs w:val="1"/>
                <w:color w:val="00085E"/>
              </w:rPr>
              <w:t>Effective Tax Rate</w:t>
            </w:r>
          </w:p>
        </w:tc>
        <w:tc>
          <w:tcPr>
            <w:tcW w:w="1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20" w:type="dxa"/>
            <w:vAlign w:val="bottom"/>
            <w:gridSpan w:val="3"/>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9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296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left="720" w:right="1720" w:hanging="518"/>
        <w:spacing w:after="0" w:line="369" w:lineRule="auto"/>
        <w:tabs>
          <w:tab w:leader="none" w:pos="397"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 following states comprised the majority (greater than 50%) of the tax effect in this category for the years ending March 31: 2026: California, Colorado, Pennsylvania, Oklahoma, Iowa, Michigan, Tennessee, Nebraska</w:t>
      </w:r>
    </w:p>
    <w:p>
      <w:pPr>
        <w:ind w:left="720"/>
        <w:spacing w:after="0"/>
        <w:rPr>
          <w:rFonts w:ascii="Arial" w:cs="Arial" w:eastAsia="Arial" w:hAnsi="Arial"/>
          <w:sz w:val="13"/>
          <w:szCs w:val="13"/>
          <w:color w:val="auto"/>
        </w:rPr>
      </w:pPr>
      <w:r>
        <w:rPr>
          <w:rFonts w:ascii="Arial" w:cs="Arial" w:eastAsia="Arial" w:hAnsi="Arial"/>
          <w:sz w:val="13"/>
          <w:szCs w:val="13"/>
          <w:color w:val="auto"/>
        </w:rPr>
        <w:t>2025: Illinois, Colorado, Kentucky, Oklahoma, Missouri</w:t>
      </w:r>
    </w:p>
    <w:p>
      <w:pPr>
        <w:spacing w:after="0" w:line="80" w:lineRule="exact"/>
        <w:rPr>
          <w:rFonts w:ascii="Arial" w:cs="Arial" w:eastAsia="Arial" w:hAnsi="Arial"/>
          <w:sz w:val="13"/>
          <w:szCs w:val="13"/>
          <w:color w:val="auto"/>
        </w:rPr>
      </w:pPr>
    </w:p>
    <w:p>
      <w:pPr>
        <w:ind w:left="720"/>
        <w:spacing w:after="0"/>
        <w:rPr>
          <w:rFonts w:ascii="Arial" w:cs="Arial" w:eastAsia="Arial" w:hAnsi="Arial"/>
          <w:sz w:val="13"/>
          <w:szCs w:val="13"/>
          <w:color w:val="auto"/>
        </w:rPr>
      </w:pPr>
      <w:r>
        <w:rPr>
          <w:rFonts w:ascii="Arial" w:cs="Arial" w:eastAsia="Arial" w:hAnsi="Arial"/>
          <w:sz w:val="13"/>
          <w:szCs w:val="13"/>
          <w:color w:val="auto"/>
        </w:rPr>
        <w:t>2024: Illinois, California, Colorado, Kentucky, Tennessee</w:t>
      </w:r>
    </w:p>
    <w:p>
      <w:pPr>
        <w:spacing w:after="0" w:line="348" w:lineRule="exact"/>
        <w:rPr>
          <w:sz w:val="20"/>
          <w:szCs w:val="20"/>
          <w:color w:val="auto"/>
        </w:rPr>
      </w:pPr>
    </w:p>
    <w:p>
      <w:pPr>
        <w:ind w:left="6240"/>
        <w:spacing w:after="0"/>
        <w:rPr>
          <w:sz w:val="20"/>
          <w:szCs w:val="20"/>
          <w:color w:val="auto"/>
        </w:rPr>
      </w:pPr>
      <w:r>
        <w:rPr>
          <w:rFonts w:ascii="Arial Narrow" w:cs="Arial Narrow" w:eastAsia="Arial Narrow" w:hAnsi="Arial Narrow"/>
          <w:sz w:val="18"/>
          <w:szCs w:val="18"/>
          <w:b w:val="1"/>
          <w:bCs w:val="1"/>
          <w:color w:val="auto"/>
        </w:rPr>
        <w:t>For the Years Ended March 31,</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89"/>
        </w:trPr>
        <w:tc>
          <w:tcPr>
            <w:tcW w:w="528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jc w:val="right"/>
              <w:ind w:right="3"/>
              <w:spacing w:after="0"/>
              <w:rPr>
                <w:sz w:val="20"/>
                <w:szCs w:val="20"/>
                <w:color w:val="auto"/>
              </w:rPr>
            </w:pPr>
            <w:r>
              <w:rPr>
                <w:rFonts w:ascii="Arial Narrow" w:cs="Arial Narrow" w:eastAsia="Arial Narrow" w:hAnsi="Arial Narrow"/>
                <w:sz w:val="18"/>
                <w:szCs w:val="18"/>
                <w:b w:val="1"/>
                <w:bCs w:val="1"/>
                <w:color w:val="auto"/>
              </w:rPr>
              <w:t>2026</w:t>
            </w:r>
          </w:p>
        </w:tc>
        <w:tc>
          <w:tcPr>
            <w:tcW w:w="1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right"/>
              <w:ind w:right="23"/>
              <w:spacing w:after="0"/>
              <w:rPr>
                <w:sz w:val="20"/>
                <w:szCs w:val="20"/>
                <w:color w:val="auto"/>
              </w:rPr>
            </w:pPr>
            <w:r>
              <w:rPr>
                <w:rFonts w:ascii="Arial Narrow" w:cs="Arial Narrow" w:eastAsia="Arial Narrow" w:hAnsi="Arial Narrow"/>
                <w:sz w:val="18"/>
                <w:szCs w:val="18"/>
                <w:b w:val="1"/>
                <w:bCs w:val="1"/>
                <w:color w:val="auto"/>
              </w:rPr>
              <w:t>2025</w:t>
            </w:r>
          </w:p>
        </w:tc>
        <w:tc>
          <w:tcPr>
            <w:tcW w:w="1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jc w:val="right"/>
              <w:spacing w:after="0"/>
              <w:rPr>
                <w:sz w:val="20"/>
                <w:szCs w:val="20"/>
                <w:color w:val="auto"/>
              </w:rPr>
            </w:pPr>
            <w:r>
              <w:rPr>
                <w:rFonts w:ascii="Arial Narrow" w:cs="Arial Narrow" w:eastAsia="Arial Narrow" w:hAnsi="Arial Narrow"/>
                <w:sz w:val="18"/>
                <w:szCs w:val="18"/>
                <w:b w:val="1"/>
                <w:bCs w:val="1"/>
                <w:color w:val="auto"/>
              </w:rPr>
              <w:t>2024</w:t>
            </w:r>
          </w:p>
        </w:tc>
      </w:tr>
      <w:tr>
        <w:trPr>
          <w:trHeight w:val="21"/>
        </w:trPr>
        <w:tc>
          <w:tcPr>
            <w:tcW w:w="5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44"/>
        </w:trPr>
        <w:tc>
          <w:tcPr>
            <w:tcW w:w="5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40" w:type="dxa"/>
            <w:vAlign w:val="bottom"/>
            <w:gridSpan w:val="3"/>
          </w:tcPr>
          <w:p>
            <w:pPr>
              <w:jc w:val="right"/>
              <w:spacing w:after="0"/>
              <w:rPr>
                <w:sz w:val="20"/>
                <w:szCs w:val="20"/>
                <w:color w:val="auto"/>
              </w:rPr>
            </w:pPr>
            <w:r>
              <w:rPr>
                <w:rFonts w:ascii="Arial Narrow" w:cs="Arial Narrow" w:eastAsia="Arial Narrow" w:hAnsi="Arial Narrow"/>
                <w:sz w:val="16"/>
                <w:szCs w:val="16"/>
                <w:color w:val="auto"/>
              </w:rPr>
              <w:t>(dollars in thousands)</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48"/>
        </w:trPr>
        <w:tc>
          <w:tcPr>
            <w:tcW w:w="52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r>
      <w:tr>
        <w:trPr>
          <w:trHeight w:val="344"/>
        </w:trPr>
        <w:tc>
          <w:tcPr>
            <w:tcW w:w="5280" w:type="dxa"/>
            <w:vAlign w:val="bottom"/>
          </w:tcPr>
          <w:p>
            <w:pPr>
              <w:spacing w:after="0"/>
              <w:rPr>
                <w:sz w:val="20"/>
                <w:szCs w:val="20"/>
                <w:color w:val="auto"/>
              </w:rPr>
            </w:pPr>
            <w:r>
              <w:rPr>
                <w:rFonts w:ascii="Arial Narrow" w:cs="Arial Narrow" w:eastAsia="Arial Narrow" w:hAnsi="Arial Narrow"/>
                <w:sz w:val="20"/>
                <w:szCs w:val="20"/>
                <w:b w:val="1"/>
                <w:bCs w:val="1"/>
                <w:color w:val="00085E"/>
              </w:rPr>
              <w:t>Income taxes paid (net of refunds received)</w:t>
            </w: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65"/>
        </w:trPr>
        <w:tc>
          <w:tcPr>
            <w:tcW w:w="5280" w:type="dxa"/>
            <w:vAlign w:val="bottom"/>
            <w:tcBorders>
              <w:bottom w:val="single" w:sz="8" w:color="A6A6A6"/>
            </w:tcBorders>
          </w:tcPr>
          <w:p>
            <w:pPr>
              <w:spacing w:after="0"/>
              <w:rPr>
                <w:sz w:val="5"/>
                <w:szCs w:val="5"/>
                <w:color w:val="auto"/>
              </w:rPr>
            </w:pPr>
          </w:p>
        </w:tc>
        <w:tc>
          <w:tcPr>
            <w:tcW w:w="380" w:type="dxa"/>
            <w:vAlign w:val="bottom"/>
            <w:tcBorders>
              <w:bottom w:val="single" w:sz="8" w:color="A6A6A6"/>
            </w:tcBorders>
          </w:tcPr>
          <w:p>
            <w:pPr>
              <w:spacing w:after="0"/>
              <w:rPr>
                <w:sz w:val="5"/>
                <w:szCs w:val="5"/>
                <w:color w:val="auto"/>
              </w:rPr>
            </w:pPr>
          </w:p>
        </w:tc>
        <w:tc>
          <w:tcPr>
            <w:tcW w:w="920" w:type="dxa"/>
            <w:vAlign w:val="bottom"/>
            <w:tcBorders>
              <w:bottom w:val="single" w:sz="8" w:color="A6A6A6"/>
            </w:tcBorders>
          </w:tcPr>
          <w:p>
            <w:pPr>
              <w:spacing w:after="0"/>
              <w:rPr>
                <w:sz w:val="5"/>
                <w:szCs w:val="5"/>
                <w:color w:val="auto"/>
              </w:rPr>
            </w:pPr>
          </w:p>
        </w:tc>
        <w:tc>
          <w:tcPr>
            <w:tcW w:w="480" w:type="dxa"/>
            <w:vAlign w:val="bottom"/>
            <w:tcBorders>
              <w:bottom w:val="single" w:sz="8" w:color="A6A6A6"/>
            </w:tcBorders>
            <w:gridSpan w:val="2"/>
          </w:tcPr>
          <w:p>
            <w:pPr>
              <w:spacing w:after="0"/>
              <w:rPr>
                <w:sz w:val="5"/>
                <w:szCs w:val="5"/>
                <w:color w:val="auto"/>
              </w:rPr>
            </w:pPr>
          </w:p>
        </w:tc>
        <w:tc>
          <w:tcPr>
            <w:tcW w:w="960" w:type="dxa"/>
            <w:vAlign w:val="bottom"/>
            <w:tcBorders>
              <w:bottom w:val="single" w:sz="8" w:color="A6A6A6"/>
            </w:tcBorders>
          </w:tcPr>
          <w:p>
            <w:pPr>
              <w:spacing w:after="0"/>
              <w:rPr>
                <w:sz w:val="5"/>
                <w:szCs w:val="5"/>
                <w:color w:val="auto"/>
              </w:rPr>
            </w:pPr>
          </w:p>
        </w:tc>
        <w:tc>
          <w:tcPr>
            <w:tcW w:w="480" w:type="dxa"/>
            <w:vAlign w:val="bottom"/>
            <w:tcBorders>
              <w:bottom w:val="single" w:sz="8" w:color="A6A6A6"/>
            </w:tcBorders>
            <w:gridSpan w:val="2"/>
          </w:tcPr>
          <w:p>
            <w:pPr>
              <w:spacing w:after="0"/>
              <w:rPr>
                <w:sz w:val="5"/>
                <w:szCs w:val="5"/>
                <w:color w:val="auto"/>
              </w:rPr>
            </w:pPr>
          </w:p>
        </w:tc>
        <w:tc>
          <w:tcPr>
            <w:tcW w:w="860" w:type="dxa"/>
            <w:vAlign w:val="bottom"/>
            <w:tcBorders>
              <w:bottom w:val="single" w:sz="8" w:color="A6A6A6"/>
            </w:tcBorders>
          </w:tcPr>
          <w:p>
            <w:pPr>
              <w:spacing w:after="0"/>
              <w:rPr>
                <w:sz w:val="5"/>
                <w:szCs w:val="5"/>
                <w:color w:val="auto"/>
              </w:rPr>
            </w:pPr>
          </w:p>
        </w:tc>
      </w:tr>
      <w:tr>
        <w:trPr>
          <w:trHeight w:val="339"/>
        </w:trPr>
        <w:tc>
          <w:tcPr>
            <w:tcW w:w="5280" w:type="dxa"/>
            <w:vAlign w:val="bottom"/>
          </w:tcPr>
          <w:p>
            <w:pPr>
              <w:ind w:left="200"/>
              <w:spacing w:after="0"/>
              <w:rPr>
                <w:sz w:val="20"/>
                <w:szCs w:val="20"/>
                <w:color w:val="auto"/>
              </w:rPr>
            </w:pPr>
            <w:r>
              <w:rPr>
                <w:rFonts w:ascii="Arial Narrow" w:cs="Arial Narrow" w:eastAsia="Arial Narrow" w:hAnsi="Arial Narrow"/>
                <w:sz w:val="20"/>
                <w:szCs w:val="20"/>
                <w:b w:val="1"/>
                <w:bCs w:val="1"/>
                <w:color w:val="00085E"/>
              </w:rPr>
              <w:t>Federal</w:t>
            </w:r>
          </w:p>
        </w:tc>
        <w:tc>
          <w:tcPr>
            <w:tcW w:w="380" w:type="dxa"/>
            <w:vAlign w:val="bottom"/>
          </w:tcPr>
          <w:p>
            <w:pPr>
              <w:jc w:val="right"/>
              <w:ind w:right="210"/>
              <w:spacing w:after="0"/>
              <w:rPr>
                <w:sz w:val="20"/>
                <w:szCs w:val="20"/>
                <w:color w:val="auto"/>
              </w:rPr>
            </w:pPr>
            <w:r>
              <w:rPr>
                <w:rFonts w:ascii="Arial Narrow" w:cs="Arial Narrow" w:eastAsia="Arial Narrow" w:hAnsi="Arial Narrow"/>
                <w:sz w:val="18"/>
                <w:szCs w:val="18"/>
                <w:color w:val="auto"/>
                <w:w w:val="72"/>
              </w:rPr>
              <w:t>$</w:t>
            </w:r>
          </w:p>
        </w:tc>
        <w:tc>
          <w:tcPr>
            <w:tcW w:w="920" w:type="dxa"/>
            <w:vAlign w:val="bottom"/>
          </w:tcPr>
          <w:p>
            <w:pPr>
              <w:jc w:val="right"/>
              <w:ind w:right="3"/>
              <w:spacing w:after="0"/>
              <w:rPr>
                <w:sz w:val="20"/>
                <w:szCs w:val="20"/>
                <w:color w:val="auto"/>
              </w:rPr>
            </w:pPr>
            <w:r>
              <w:rPr>
                <w:rFonts w:ascii="Arial Narrow" w:cs="Arial Narrow" w:eastAsia="Arial Narrow" w:hAnsi="Arial Narrow"/>
                <w:sz w:val="20"/>
                <w:szCs w:val="20"/>
                <w:color w:val="auto"/>
              </w:rPr>
              <w:t>75,000</w:t>
            </w:r>
          </w:p>
        </w:tc>
        <w:tc>
          <w:tcPr>
            <w:tcW w:w="480" w:type="dxa"/>
            <w:vAlign w:val="bottom"/>
            <w:gridSpan w:val="2"/>
          </w:tcPr>
          <w:p>
            <w:pPr>
              <w:jc w:val="right"/>
              <w:ind w:right="260"/>
              <w:spacing w:after="0"/>
              <w:rPr>
                <w:sz w:val="20"/>
                <w:szCs w:val="20"/>
                <w:color w:val="auto"/>
              </w:rPr>
            </w:pPr>
            <w:r>
              <w:rPr>
                <w:rFonts w:ascii="Arial Narrow" w:cs="Arial Narrow" w:eastAsia="Arial Narrow" w:hAnsi="Arial Narrow"/>
                <w:sz w:val="20"/>
                <w:szCs w:val="20"/>
                <w:color w:val="auto"/>
              </w:rPr>
              <w:t>$</w:t>
            </w:r>
          </w:p>
        </w:tc>
        <w:tc>
          <w:tcPr>
            <w:tcW w:w="960" w:type="dxa"/>
            <w:vAlign w:val="bottom"/>
          </w:tcPr>
          <w:p>
            <w:pPr>
              <w:jc w:val="right"/>
              <w:ind w:right="23"/>
              <w:spacing w:after="0"/>
              <w:rPr>
                <w:sz w:val="20"/>
                <w:szCs w:val="20"/>
                <w:color w:val="auto"/>
              </w:rPr>
            </w:pPr>
            <w:r>
              <w:rPr>
                <w:rFonts w:ascii="Arial Narrow" w:cs="Arial Narrow" w:eastAsia="Arial Narrow" w:hAnsi="Arial Narrow"/>
                <w:sz w:val="20"/>
                <w:szCs w:val="20"/>
                <w:color w:val="auto"/>
              </w:rPr>
              <w:t>123,000</w:t>
            </w:r>
          </w:p>
        </w:tc>
        <w:tc>
          <w:tcPr>
            <w:tcW w:w="480" w:type="dxa"/>
            <w:vAlign w:val="bottom"/>
            <w:gridSpan w:val="2"/>
          </w:tcPr>
          <w:p>
            <w:pPr>
              <w:jc w:val="right"/>
              <w:ind w:right="260"/>
              <w:spacing w:after="0"/>
              <w:rPr>
                <w:sz w:val="20"/>
                <w:szCs w:val="20"/>
                <w:color w:val="auto"/>
              </w:rPr>
            </w:pPr>
            <w:r>
              <w:rPr>
                <w:rFonts w:ascii="Arial Narrow" w:cs="Arial Narrow" w:eastAsia="Arial Narrow" w:hAnsi="Arial Narrow"/>
                <w:sz w:val="20"/>
                <w:szCs w:val="20"/>
                <w:color w:val="auto"/>
              </w:rPr>
              <w:t>$</w:t>
            </w:r>
          </w:p>
        </w:tc>
        <w:tc>
          <w:tcPr>
            <w:tcW w:w="860" w:type="dxa"/>
            <w:vAlign w:val="bottom"/>
          </w:tcPr>
          <w:p>
            <w:pPr>
              <w:jc w:val="right"/>
              <w:spacing w:after="0"/>
              <w:rPr>
                <w:sz w:val="20"/>
                <w:szCs w:val="20"/>
                <w:color w:val="auto"/>
              </w:rPr>
            </w:pPr>
            <w:r>
              <w:rPr>
                <w:rFonts w:ascii="Arial Narrow" w:cs="Arial Narrow" w:eastAsia="Arial Narrow" w:hAnsi="Arial Narrow"/>
                <w:sz w:val="20"/>
                <w:szCs w:val="20"/>
                <w:color w:val="auto"/>
              </w:rPr>
              <w:t>104,000</w:t>
            </w:r>
          </w:p>
        </w:tc>
      </w:tr>
      <w:tr>
        <w:trPr>
          <w:trHeight w:val="65"/>
        </w:trPr>
        <w:tc>
          <w:tcPr>
            <w:tcW w:w="5280" w:type="dxa"/>
            <w:vAlign w:val="bottom"/>
            <w:tcBorders>
              <w:bottom w:val="single" w:sz="8" w:color="A6A6A6"/>
            </w:tcBorders>
          </w:tcPr>
          <w:p>
            <w:pPr>
              <w:spacing w:after="0"/>
              <w:rPr>
                <w:sz w:val="5"/>
                <w:szCs w:val="5"/>
                <w:color w:val="auto"/>
              </w:rPr>
            </w:pPr>
          </w:p>
        </w:tc>
        <w:tc>
          <w:tcPr>
            <w:tcW w:w="380" w:type="dxa"/>
            <w:vAlign w:val="bottom"/>
            <w:tcBorders>
              <w:bottom w:val="single" w:sz="8" w:color="A6A6A6"/>
            </w:tcBorders>
          </w:tcPr>
          <w:p>
            <w:pPr>
              <w:spacing w:after="0"/>
              <w:rPr>
                <w:sz w:val="5"/>
                <w:szCs w:val="5"/>
                <w:color w:val="auto"/>
              </w:rPr>
            </w:pPr>
          </w:p>
        </w:tc>
        <w:tc>
          <w:tcPr>
            <w:tcW w:w="92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340" w:type="dxa"/>
            <w:vAlign w:val="bottom"/>
            <w:tcBorders>
              <w:bottom w:val="single" w:sz="8" w:color="A6A6A6"/>
            </w:tcBorders>
          </w:tcPr>
          <w:p>
            <w:pPr>
              <w:spacing w:after="0"/>
              <w:rPr>
                <w:sz w:val="5"/>
                <w:szCs w:val="5"/>
                <w:color w:val="auto"/>
              </w:rPr>
            </w:pPr>
          </w:p>
        </w:tc>
        <w:tc>
          <w:tcPr>
            <w:tcW w:w="96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360" w:type="dxa"/>
            <w:vAlign w:val="bottom"/>
            <w:tcBorders>
              <w:bottom w:val="single" w:sz="8" w:color="A6A6A6"/>
            </w:tcBorders>
          </w:tcPr>
          <w:p>
            <w:pPr>
              <w:spacing w:after="0"/>
              <w:rPr>
                <w:sz w:val="5"/>
                <w:szCs w:val="5"/>
                <w:color w:val="auto"/>
              </w:rPr>
            </w:pPr>
          </w:p>
        </w:tc>
        <w:tc>
          <w:tcPr>
            <w:tcW w:w="860" w:type="dxa"/>
            <w:vAlign w:val="bottom"/>
            <w:tcBorders>
              <w:bottom w:val="single" w:sz="8" w:color="A6A6A6"/>
            </w:tcBorders>
          </w:tcPr>
          <w:p>
            <w:pPr>
              <w:spacing w:after="0"/>
              <w:rPr>
                <w:sz w:val="5"/>
                <w:szCs w:val="5"/>
                <w:color w:val="auto"/>
              </w:rPr>
            </w:pPr>
          </w:p>
        </w:tc>
      </w:tr>
      <w:tr>
        <w:trPr>
          <w:trHeight w:val="339"/>
        </w:trPr>
        <w:tc>
          <w:tcPr>
            <w:tcW w:w="5280" w:type="dxa"/>
            <w:vAlign w:val="bottom"/>
          </w:tcPr>
          <w:p>
            <w:pPr>
              <w:ind w:left="200"/>
              <w:spacing w:after="0"/>
              <w:rPr>
                <w:sz w:val="20"/>
                <w:szCs w:val="20"/>
                <w:color w:val="auto"/>
              </w:rPr>
            </w:pPr>
            <w:r>
              <w:rPr>
                <w:rFonts w:ascii="Arial Narrow" w:cs="Arial Narrow" w:eastAsia="Arial Narrow" w:hAnsi="Arial Narrow"/>
                <w:sz w:val="20"/>
                <w:szCs w:val="20"/>
                <w:b w:val="1"/>
                <w:bCs w:val="1"/>
                <w:color w:val="00085E"/>
              </w:rPr>
              <w:t xml:space="preserve">State </w:t>
            </w:r>
            <w:r>
              <w:rPr>
                <w:rFonts w:ascii="Arial Narrow" w:cs="Arial Narrow" w:eastAsia="Arial Narrow" w:hAnsi="Arial Narrow"/>
                <w:sz w:val="13"/>
                <w:szCs w:val="13"/>
                <w:b w:val="1"/>
                <w:bCs w:val="1"/>
                <w:color w:val="00085E"/>
              </w:rPr>
              <w:t>(1)</w:t>
            </w:r>
          </w:p>
        </w:tc>
        <w:tc>
          <w:tcPr>
            <w:tcW w:w="380" w:type="dxa"/>
            <w:vAlign w:val="bottom"/>
          </w:tcPr>
          <w:p>
            <w:pPr>
              <w:spacing w:after="0"/>
              <w:rPr>
                <w:sz w:val="24"/>
                <w:szCs w:val="24"/>
                <w:color w:val="auto"/>
              </w:rPr>
            </w:pPr>
          </w:p>
        </w:tc>
        <w:tc>
          <w:tcPr>
            <w:tcW w:w="920" w:type="dxa"/>
            <w:vAlign w:val="bottom"/>
          </w:tcPr>
          <w:p>
            <w:pPr>
              <w:jc w:val="right"/>
              <w:ind w:right="3"/>
              <w:spacing w:after="0"/>
              <w:rPr>
                <w:sz w:val="20"/>
                <w:szCs w:val="20"/>
                <w:color w:val="auto"/>
              </w:rPr>
            </w:pPr>
            <w:r>
              <w:rPr>
                <w:rFonts w:ascii="Arial Narrow" w:cs="Arial Narrow" w:eastAsia="Arial Narrow" w:hAnsi="Arial Narrow"/>
                <w:sz w:val="20"/>
                <w:szCs w:val="20"/>
                <w:color w:val="auto"/>
              </w:rPr>
              <w:t>16,771</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jc w:val="right"/>
              <w:ind w:right="23"/>
              <w:spacing w:after="0"/>
              <w:rPr>
                <w:sz w:val="20"/>
                <w:szCs w:val="20"/>
                <w:color w:val="auto"/>
              </w:rPr>
            </w:pPr>
            <w:r>
              <w:rPr>
                <w:rFonts w:ascii="Arial Narrow" w:cs="Arial Narrow" w:eastAsia="Arial Narrow" w:hAnsi="Arial Narrow"/>
                <w:sz w:val="20"/>
                <w:szCs w:val="20"/>
                <w:color w:val="auto"/>
              </w:rPr>
              <w:t>17,786</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Narrow" w:cs="Arial Narrow" w:eastAsia="Arial Narrow" w:hAnsi="Arial Narrow"/>
                <w:sz w:val="20"/>
                <w:szCs w:val="20"/>
                <w:color w:val="auto"/>
              </w:rPr>
              <w:t>20,482</w:t>
            </w:r>
          </w:p>
        </w:tc>
      </w:tr>
      <w:tr>
        <w:trPr>
          <w:trHeight w:val="90"/>
        </w:trPr>
        <w:tc>
          <w:tcPr>
            <w:tcW w:w="5280" w:type="dxa"/>
            <w:vAlign w:val="bottom"/>
            <w:tcBorders>
              <w:bottom w:val="single" w:sz="8" w:color="A6A6A6"/>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r>
      <w:tr>
        <w:trPr>
          <w:trHeight w:val="344"/>
        </w:trPr>
        <w:tc>
          <w:tcPr>
            <w:tcW w:w="5280" w:type="dxa"/>
            <w:vAlign w:val="bottom"/>
          </w:tcPr>
          <w:p>
            <w:pPr>
              <w:spacing w:after="0"/>
              <w:rPr>
                <w:sz w:val="20"/>
                <w:szCs w:val="20"/>
                <w:color w:val="auto"/>
              </w:rPr>
            </w:pPr>
            <w:r>
              <w:rPr>
                <w:rFonts w:ascii="Arial Narrow" w:cs="Arial Narrow" w:eastAsia="Arial Narrow" w:hAnsi="Arial Narrow"/>
                <w:sz w:val="20"/>
                <w:szCs w:val="20"/>
                <w:b w:val="1"/>
                <w:bCs w:val="1"/>
                <w:color w:val="00085E"/>
              </w:rPr>
              <w:t>Total</w:t>
            </w:r>
          </w:p>
        </w:tc>
        <w:tc>
          <w:tcPr>
            <w:tcW w:w="380" w:type="dxa"/>
            <w:vAlign w:val="bottom"/>
          </w:tcPr>
          <w:p>
            <w:pPr>
              <w:jc w:val="right"/>
              <w:ind w:right="210"/>
              <w:spacing w:after="0"/>
              <w:rPr>
                <w:sz w:val="20"/>
                <w:szCs w:val="20"/>
                <w:color w:val="auto"/>
              </w:rPr>
            </w:pPr>
            <w:r>
              <w:rPr>
                <w:rFonts w:ascii="Arial Narrow" w:cs="Arial Narrow" w:eastAsia="Arial Narrow" w:hAnsi="Arial Narrow"/>
                <w:sz w:val="18"/>
                <w:szCs w:val="18"/>
                <w:b w:val="1"/>
                <w:bCs w:val="1"/>
                <w:color w:val="auto"/>
                <w:w w:val="72"/>
              </w:rPr>
              <w:t>$</w:t>
            </w:r>
          </w:p>
        </w:tc>
        <w:tc>
          <w:tcPr>
            <w:tcW w:w="920" w:type="dxa"/>
            <w:vAlign w:val="bottom"/>
          </w:tcPr>
          <w:p>
            <w:pPr>
              <w:jc w:val="right"/>
              <w:ind w:right="3"/>
              <w:spacing w:after="0"/>
              <w:rPr>
                <w:sz w:val="20"/>
                <w:szCs w:val="20"/>
                <w:color w:val="auto"/>
              </w:rPr>
            </w:pPr>
            <w:r>
              <w:rPr>
                <w:rFonts w:ascii="Arial Narrow" w:cs="Arial Narrow" w:eastAsia="Arial Narrow" w:hAnsi="Arial Narrow"/>
                <w:sz w:val="20"/>
                <w:szCs w:val="20"/>
                <w:b w:val="1"/>
                <w:bCs w:val="1"/>
                <w:color w:val="auto"/>
              </w:rPr>
              <w:t>91,771</w:t>
            </w:r>
          </w:p>
        </w:tc>
        <w:tc>
          <w:tcPr>
            <w:tcW w:w="480" w:type="dxa"/>
            <w:vAlign w:val="bottom"/>
            <w:gridSpan w:val="2"/>
          </w:tcPr>
          <w:p>
            <w:pPr>
              <w:jc w:val="right"/>
              <w:ind w:right="260"/>
              <w:spacing w:after="0"/>
              <w:rPr>
                <w:sz w:val="20"/>
                <w:szCs w:val="20"/>
                <w:color w:val="auto"/>
              </w:rPr>
            </w:pPr>
            <w:r>
              <w:rPr>
                <w:rFonts w:ascii="Arial Narrow" w:cs="Arial Narrow" w:eastAsia="Arial Narrow" w:hAnsi="Arial Narrow"/>
                <w:sz w:val="20"/>
                <w:szCs w:val="20"/>
                <w:b w:val="1"/>
                <w:bCs w:val="1"/>
                <w:color w:val="auto"/>
              </w:rPr>
              <w:t>$</w:t>
            </w:r>
          </w:p>
        </w:tc>
        <w:tc>
          <w:tcPr>
            <w:tcW w:w="960" w:type="dxa"/>
            <w:vAlign w:val="bottom"/>
          </w:tcPr>
          <w:p>
            <w:pPr>
              <w:jc w:val="right"/>
              <w:ind w:right="23"/>
              <w:spacing w:after="0"/>
              <w:rPr>
                <w:sz w:val="20"/>
                <w:szCs w:val="20"/>
                <w:color w:val="auto"/>
              </w:rPr>
            </w:pPr>
            <w:r>
              <w:rPr>
                <w:rFonts w:ascii="Arial Narrow" w:cs="Arial Narrow" w:eastAsia="Arial Narrow" w:hAnsi="Arial Narrow"/>
                <w:sz w:val="20"/>
                <w:szCs w:val="20"/>
                <w:b w:val="1"/>
                <w:bCs w:val="1"/>
                <w:color w:val="auto"/>
              </w:rPr>
              <w:t>140,786</w:t>
            </w:r>
          </w:p>
        </w:tc>
        <w:tc>
          <w:tcPr>
            <w:tcW w:w="480" w:type="dxa"/>
            <w:vAlign w:val="bottom"/>
            <w:gridSpan w:val="2"/>
          </w:tcPr>
          <w:p>
            <w:pPr>
              <w:jc w:val="right"/>
              <w:ind w:right="260"/>
              <w:spacing w:after="0"/>
              <w:rPr>
                <w:sz w:val="20"/>
                <w:szCs w:val="20"/>
                <w:color w:val="auto"/>
              </w:rPr>
            </w:pPr>
            <w:r>
              <w:rPr>
                <w:rFonts w:ascii="Arial Narrow" w:cs="Arial Narrow" w:eastAsia="Arial Narrow" w:hAnsi="Arial Narrow"/>
                <w:sz w:val="20"/>
                <w:szCs w:val="20"/>
                <w:b w:val="1"/>
                <w:bCs w:val="1"/>
                <w:color w:val="auto"/>
              </w:rPr>
              <w:t>$</w:t>
            </w:r>
          </w:p>
        </w:tc>
        <w:tc>
          <w:tcPr>
            <w:tcW w:w="860" w:type="dxa"/>
            <w:vAlign w:val="bottom"/>
          </w:tcPr>
          <w:p>
            <w:pPr>
              <w:jc w:val="right"/>
              <w:spacing w:after="0"/>
              <w:rPr>
                <w:sz w:val="20"/>
                <w:szCs w:val="20"/>
                <w:color w:val="auto"/>
              </w:rPr>
            </w:pPr>
            <w:r>
              <w:rPr>
                <w:rFonts w:ascii="Arial Narrow" w:cs="Arial Narrow" w:eastAsia="Arial Narrow" w:hAnsi="Arial Narrow"/>
                <w:sz w:val="20"/>
                <w:szCs w:val="20"/>
                <w:b w:val="1"/>
                <w:bCs w:val="1"/>
                <w:color w:val="auto"/>
              </w:rPr>
              <w:t>124,482</w:t>
            </w:r>
          </w:p>
        </w:tc>
      </w:tr>
      <w:tr>
        <w:trPr>
          <w:trHeight w:val="65"/>
        </w:trPr>
        <w:tc>
          <w:tcPr>
            <w:tcW w:w="528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r>
      <w:tr>
        <w:trPr>
          <w:trHeight w:val="20"/>
        </w:trPr>
        <w:tc>
          <w:tcPr>
            <w:tcW w:w="5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02" w:lineRule="exact"/>
        <w:rPr>
          <w:sz w:val="20"/>
          <w:szCs w:val="20"/>
          <w:color w:val="auto"/>
        </w:rPr>
      </w:pPr>
    </w:p>
    <w:p>
      <w:pPr>
        <w:ind w:left="200"/>
        <w:spacing w:after="0"/>
        <w:rPr>
          <w:sz w:val="20"/>
          <w:szCs w:val="20"/>
          <w:color w:val="auto"/>
        </w:rPr>
      </w:pPr>
      <w:r>
        <w:rPr>
          <w:rFonts w:ascii="Arial" w:cs="Arial" w:eastAsia="Arial" w:hAnsi="Arial"/>
          <w:sz w:val="13"/>
          <w:szCs w:val="13"/>
          <w:color w:val="auto"/>
        </w:rPr>
        <w:t>(1) All state jurisdictions below threshold for period presented.</w:t>
      </w:r>
    </w:p>
    <w:p>
      <w:pPr>
        <w:sectPr>
          <w:pgSz w:w="11880" w:h="15480" w:orient="portrait"/>
          <w:cols w:equalWidth="0" w:num="1">
            <w:col w:w="9360"/>
          </w:cols>
          <w:pgMar w:left="1260" w:top="1267" w:right="1260" w:bottom="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100</w:t>
      </w:r>
    </w:p>
    <w:p>
      <w:pPr>
        <w:sectPr>
          <w:pgSz w:w="11880" w:h="15480" w:orient="portrait"/>
          <w:cols w:equalWidth="0" w:num="1">
            <w:col w:w="9360"/>
          </w:cols>
          <w:pgMar w:left="1260" w:top="1267" w:right="1260" w:bottom="7" w:gutter="0" w:footer="0" w:header="0"/>
          <w:type w:val="continuous"/>
        </w:sectPr>
      </w:pPr>
    </w:p>
    <w:bookmarkStart w:id="108" w:name="page109"/>
    <w:bookmarkEnd w:id="108"/>
    <w:p>
      <w:pPr>
        <w:spacing w:after="0"/>
        <w:rPr>
          <w:sz w:val="20"/>
          <w:szCs w:val="20"/>
          <w:color w:val="auto"/>
        </w:rPr>
      </w:pPr>
      <w:r>
        <w:rPr>
          <w:rFonts w:ascii="Arial" w:cs="Arial" w:eastAsia="Arial" w:hAnsi="Arial"/>
          <w:sz w:val="20"/>
          <w:szCs w:val="20"/>
          <w:color w:val="auto"/>
        </w:rPr>
        <w:t>Components of deferred income taxes are as follows.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9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980" w:type="dxa"/>
            <w:vAlign w:val="bottom"/>
            <w:gridSpan w:val="6"/>
          </w:tcPr>
          <w:p>
            <w:pPr>
              <w:ind w:left="180"/>
              <w:spacing w:after="0"/>
              <w:rPr>
                <w:sz w:val="20"/>
                <w:szCs w:val="20"/>
                <w:color w:val="auto"/>
              </w:rPr>
            </w:pPr>
            <w:r>
              <w:rPr>
                <w:rFonts w:ascii="Arial Narrow" w:cs="Arial Narrow" w:eastAsia="Arial Narrow" w:hAnsi="Arial Narrow"/>
                <w:sz w:val="18"/>
                <w:szCs w:val="18"/>
                <w:b w:val="1"/>
                <w:bCs w:val="1"/>
                <w:color w:val="auto"/>
              </w:rPr>
              <w:t>For the Years Ended March 31,</w:t>
            </w:r>
          </w:p>
        </w:tc>
        <w:tc>
          <w:tcPr>
            <w:tcW w:w="0" w:type="dxa"/>
            <w:vAlign w:val="bottom"/>
          </w:tcPr>
          <w:p>
            <w:pPr>
              <w:spacing w:after="0"/>
              <w:rPr>
                <w:sz w:val="1"/>
                <w:szCs w:val="1"/>
                <w:color w:val="auto"/>
              </w:rPr>
            </w:pPr>
          </w:p>
        </w:tc>
      </w:tr>
      <w:tr>
        <w:trPr>
          <w:trHeight w:val="21"/>
        </w:trPr>
        <w:tc>
          <w:tcPr>
            <w:tcW w:w="49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9"/>
        </w:trPr>
        <w:tc>
          <w:tcPr>
            <w:tcW w:w="49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ind w:right="22"/>
              <w:spacing w:after="0"/>
              <w:rPr>
                <w:sz w:val="20"/>
                <w:szCs w:val="20"/>
                <w:color w:val="auto"/>
              </w:rPr>
            </w:pPr>
            <w:r>
              <w:rPr>
                <w:rFonts w:ascii="Arial Narrow" w:cs="Arial Narrow" w:eastAsia="Arial Narrow" w:hAnsi="Arial Narrow"/>
                <w:sz w:val="18"/>
                <w:szCs w:val="18"/>
                <w:b w:val="1"/>
                <w:bCs w:val="1"/>
                <w:color w:val="auto"/>
              </w:rPr>
              <w:t>2026</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jc w:val="right"/>
              <w:ind w:right="21"/>
              <w:spacing w:after="0"/>
              <w:rPr>
                <w:sz w:val="20"/>
                <w:szCs w:val="20"/>
                <w:color w:val="auto"/>
              </w:rPr>
            </w:pPr>
            <w:r>
              <w:rPr>
                <w:rFonts w:ascii="Arial Narrow" w:cs="Arial Narrow" w:eastAsia="Arial Narrow" w:hAnsi="Arial Narrow"/>
                <w:sz w:val="18"/>
                <w:szCs w:val="18"/>
                <w:b w:val="1"/>
                <w:bCs w:val="1"/>
                <w:color w:val="auto"/>
              </w:rPr>
              <w:t>2025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49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9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gridSpan w:val="4"/>
          </w:tcPr>
          <w:p>
            <w:pPr>
              <w:jc w:val="right"/>
              <w:ind w:right="120"/>
              <w:spacing w:after="0"/>
              <w:rPr>
                <w:sz w:val="20"/>
                <w:szCs w:val="20"/>
                <w:color w:val="auto"/>
              </w:rPr>
            </w:pPr>
            <w:r>
              <w:rPr>
                <w:rFonts w:ascii="Arial Narrow" w:cs="Arial Narrow" w:eastAsia="Arial Narrow" w:hAnsi="Arial Narrow"/>
                <w:sz w:val="16"/>
                <w:szCs w:val="16"/>
                <w:color w:val="auto"/>
              </w:rPr>
              <w:t>(dollars in thousands)</w:t>
            </w: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49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4"/>
        </w:trPr>
        <w:tc>
          <w:tcPr>
            <w:tcW w:w="4940" w:type="dxa"/>
            <w:vAlign w:val="bottom"/>
          </w:tcPr>
          <w:p>
            <w:pPr>
              <w:spacing w:after="0"/>
              <w:rPr>
                <w:sz w:val="20"/>
                <w:szCs w:val="20"/>
                <w:color w:val="auto"/>
              </w:rPr>
            </w:pPr>
            <w:r>
              <w:rPr>
                <w:rFonts w:ascii="Arial Narrow" w:cs="Arial Narrow" w:eastAsia="Arial Narrow" w:hAnsi="Arial Narrow"/>
                <w:sz w:val="20"/>
                <w:szCs w:val="20"/>
                <w:b w:val="1"/>
                <w:bCs w:val="1"/>
                <w:color w:val="auto"/>
              </w:rPr>
              <w:t>Items Giving Rise to Deferred Tax Liabilities</w:t>
            </w: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4940" w:type="dxa"/>
            <w:vAlign w:val="bottom"/>
            <w:tcBorders>
              <w:bottom w:val="single" w:sz="8" w:color="A6A6A6"/>
            </w:tcBorders>
          </w:tcPr>
          <w:p>
            <w:pPr>
              <w:spacing w:after="0"/>
              <w:rPr>
                <w:sz w:val="5"/>
                <w:szCs w:val="5"/>
                <w:color w:val="auto"/>
              </w:rPr>
            </w:pPr>
          </w:p>
        </w:tc>
        <w:tc>
          <w:tcPr>
            <w:tcW w:w="1440" w:type="dxa"/>
            <w:vAlign w:val="bottom"/>
            <w:tcBorders>
              <w:bottom w:val="single" w:sz="8" w:color="A6A6A6"/>
            </w:tcBorders>
            <w:gridSpan w:val="2"/>
          </w:tcPr>
          <w:p>
            <w:pPr>
              <w:spacing w:after="0"/>
              <w:rPr>
                <w:sz w:val="5"/>
                <w:szCs w:val="5"/>
                <w:color w:val="auto"/>
              </w:rPr>
            </w:pPr>
          </w:p>
        </w:tc>
        <w:tc>
          <w:tcPr>
            <w:tcW w:w="120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720" w:type="dxa"/>
            <w:vAlign w:val="bottom"/>
            <w:tcBorders>
              <w:bottom w:val="single" w:sz="8" w:color="A6A6A6"/>
            </w:tcBorders>
            <w:gridSpan w:val="2"/>
          </w:tcPr>
          <w:p>
            <w:pPr>
              <w:spacing w:after="0"/>
              <w:rPr>
                <w:sz w:val="5"/>
                <w:szCs w:val="5"/>
                <w:color w:val="auto"/>
              </w:rPr>
            </w:pPr>
          </w:p>
        </w:tc>
        <w:tc>
          <w:tcPr>
            <w:tcW w:w="90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4940" w:type="dxa"/>
            <w:vAlign w:val="bottom"/>
          </w:tcPr>
          <w:p>
            <w:pPr>
              <w:ind w:left="200"/>
              <w:spacing w:after="0"/>
              <w:rPr>
                <w:sz w:val="20"/>
                <w:szCs w:val="20"/>
                <w:color w:val="auto"/>
              </w:rPr>
            </w:pPr>
            <w:r>
              <w:rPr>
                <w:rFonts w:ascii="Arial Narrow" w:cs="Arial Narrow" w:eastAsia="Arial Narrow" w:hAnsi="Arial Narrow"/>
                <w:sz w:val="20"/>
                <w:szCs w:val="20"/>
                <w:b w:val="1"/>
                <w:bCs w:val="1"/>
                <w:color w:val="00085E"/>
              </w:rPr>
              <w:t>Excess Tax Depreciation and Amortization</w:t>
            </w:r>
          </w:p>
        </w:tc>
        <w:tc>
          <w:tcPr>
            <w:tcW w:w="1440" w:type="dxa"/>
            <w:vAlign w:val="bottom"/>
            <w:gridSpan w:val="2"/>
          </w:tcPr>
          <w:p>
            <w:pPr>
              <w:jc w:val="right"/>
              <w:ind w:right="180"/>
              <w:spacing w:after="0"/>
              <w:rPr>
                <w:sz w:val="20"/>
                <w:szCs w:val="20"/>
                <w:color w:val="auto"/>
              </w:rPr>
            </w:pPr>
            <w:r>
              <w:rPr>
                <w:rFonts w:ascii="Arial Narrow" w:cs="Arial Narrow" w:eastAsia="Arial Narrow" w:hAnsi="Arial Narrow"/>
                <w:sz w:val="20"/>
                <w:szCs w:val="20"/>
                <w:color w:val="auto"/>
              </w:rPr>
              <w:t>$</w:t>
            </w:r>
          </w:p>
        </w:tc>
        <w:tc>
          <w:tcPr>
            <w:tcW w:w="1200" w:type="dxa"/>
            <w:vAlign w:val="bottom"/>
          </w:tcPr>
          <w:p>
            <w:pPr>
              <w:jc w:val="right"/>
              <w:spacing w:after="0"/>
              <w:rPr>
                <w:sz w:val="20"/>
                <w:szCs w:val="20"/>
                <w:color w:val="auto"/>
              </w:rPr>
            </w:pPr>
            <w:r>
              <w:rPr>
                <w:rFonts w:ascii="Arial Narrow" w:cs="Arial Narrow" w:eastAsia="Arial Narrow" w:hAnsi="Arial Narrow"/>
                <w:sz w:val="20"/>
                <w:szCs w:val="20"/>
                <w:color w:val="auto"/>
              </w:rPr>
              <w:t>(271,694)</w:t>
            </w:r>
          </w:p>
        </w:tc>
        <w:tc>
          <w:tcPr>
            <w:tcW w:w="80" w:type="dxa"/>
            <w:vAlign w:val="bottom"/>
          </w:tcPr>
          <w:p>
            <w:pPr>
              <w:spacing w:after="0"/>
              <w:rPr>
                <w:sz w:val="24"/>
                <w:szCs w:val="24"/>
                <w:color w:val="auto"/>
              </w:rPr>
            </w:pPr>
          </w:p>
        </w:tc>
        <w:tc>
          <w:tcPr>
            <w:tcW w:w="720" w:type="dxa"/>
            <w:vAlign w:val="bottom"/>
            <w:gridSpan w:val="2"/>
          </w:tcPr>
          <w:p>
            <w:pPr>
              <w:jc w:val="right"/>
              <w:ind w:right="460"/>
              <w:spacing w:after="0"/>
              <w:rPr>
                <w:sz w:val="20"/>
                <w:szCs w:val="20"/>
                <w:color w:val="auto"/>
              </w:rPr>
            </w:pPr>
            <w:r>
              <w:rPr>
                <w:rFonts w:ascii="Arial Narrow" w:cs="Arial Narrow" w:eastAsia="Arial Narrow" w:hAnsi="Arial Narrow"/>
                <w:sz w:val="20"/>
                <w:szCs w:val="20"/>
                <w:color w:val="auto"/>
              </w:rPr>
              <w:t>$</w:t>
            </w:r>
          </w:p>
        </w:tc>
        <w:tc>
          <w:tcPr>
            <w:tcW w:w="900" w:type="dxa"/>
            <w:vAlign w:val="bottom"/>
          </w:tcPr>
          <w:p>
            <w:pPr>
              <w:jc w:val="right"/>
              <w:spacing w:after="0"/>
              <w:rPr>
                <w:sz w:val="20"/>
                <w:szCs w:val="20"/>
                <w:color w:val="auto"/>
              </w:rPr>
            </w:pPr>
            <w:r>
              <w:rPr>
                <w:rFonts w:ascii="Arial Narrow" w:cs="Arial Narrow" w:eastAsia="Arial Narrow" w:hAnsi="Arial Narrow"/>
                <w:sz w:val="20"/>
                <w:szCs w:val="20"/>
                <w:color w:val="auto"/>
              </w:rPr>
              <w:t>(256,999)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4940" w:type="dxa"/>
            <w:vAlign w:val="bottom"/>
            <w:tcBorders>
              <w:bottom w:val="single" w:sz="8" w:color="A6A6A6"/>
            </w:tcBorders>
          </w:tcPr>
          <w:p>
            <w:pPr>
              <w:spacing w:after="0"/>
              <w:rPr>
                <w:sz w:val="5"/>
                <w:szCs w:val="5"/>
                <w:color w:val="auto"/>
              </w:rPr>
            </w:pPr>
          </w:p>
        </w:tc>
        <w:tc>
          <w:tcPr>
            <w:tcW w:w="1160" w:type="dxa"/>
            <w:vAlign w:val="bottom"/>
            <w:tcBorders>
              <w:bottom w:val="single" w:sz="8" w:color="A6A6A6"/>
            </w:tcBorders>
          </w:tcPr>
          <w:p>
            <w:pPr>
              <w:spacing w:after="0"/>
              <w:rPr>
                <w:sz w:val="5"/>
                <w:szCs w:val="5"/>
                <w:color w:val="auto"/>
              </w:rPr>
            </w:pPr>
          </w:p>
        </w:tc>
        <w:tc>
          <w:tcPr>
            <w:tcW w:w="280" w:type="dxa"/>
            <w:vAlign w:val="bottom"/>
            <w:tcBorders>
              <w:bottom w:val="single" w:sz="8" w:color="A6A6A6"/>
            </w:tcBorders>
          </w:tcPr>
          <w:p>
            <w:pPr>
              <w:spacing w:after="0"/>
              <w:rPr>
                <w:sz w:val="5"/>
                <w:szCs w:val="5"/>
                <w:color w:val="auto"/>
              </w:rPr>
            </w:pPr>
          </w:p>
        </w:tc>
        <w:tc>
          <w:tcPr>
            <w:tcW w:w="120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560" w:type="dxa"/>
            <w:vAlign w:val="bottom"/>
            <w:tcBorders>
              <w:bottom w:val="single" w:sz="8" w:color="A6A6A6"/>
            </w:tcBorders>
          </w:tcPr>
          <w:p>
            <w:pPr>
              <w:spacing w:after="0"/>
              <w:rPr>
                <w:sz w:val="5"/>
                <w:szCs w:val="5"/>
                <w:color w:val="auto"/>
              </w:rPr>
            </w:pPr>
          </w:p>
        </w:tc>
        <w:tc>
          <w:tcPr>
            <w:tcW w:w="90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4940" w:type="dxa"/>
            <w:vAlign w:val="bottom"/>
          </w:tcPr>
          <w:p>
            <w:pPr>
              <w:ind w:left="200"/>
              <w:spacing w:after="0"/>
              <w:rPr>
                <w:sz w:val="20"/>
                <w:szCs w:val="20"/>
                <w:color w:val="auto"/>
              </w:rPr>
            </w:pPr>
            <w:r>
              <w:rPr>
                <w:rFonts w:ascii="Arial Narrow" w:cs="Arial Narrow" w:eastAsia="Arial Narrow" w:hAnsi="Arial Narrow"/>
                <w:sz w:val="20"/>
                <w:szCs w:val="20"/>
                <w:b w:val="1"/>
                <w:bCs w:val="1"/>
                <w:color w:val="00085E"/>
              </w:rPr>
              <w:t>Depletable Assets</w:t>
            </w: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Narrow" w:cs="Arial Narrow" w:eastAsia="Arial Narrow" w:hAnsi="Arial Narrow"/>
                <w:sz w:val="20"/>
                <w:szCs w:val="20"/>
                <w:color w:val="auto"/>
              </w:rPr>
              <w:t>(4,532)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Narrow" w:cs="Arial Narrow" w:eastAsia="Arial Narrow" w:hAnsi="Arial Narrow"/>
                <w:sz w:val="20"/>
                <w:szCs w:val="20"/>
                <w:color w:val="auto"/>
              </w:rPr>
              <w:t>(4,455)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4940" w:type="dxa"/>
            <w:vAlign w:val="bottom"/>
            <w:tcBorders>
              <w:bottom w:val="single" w:sz="8" w:color="A6A6A6"/>
            </w:tcBorders>
          </w:tcPr>
          <w:p>
            <w:pPr>
              <w:spacing w:after="0"/>
              <w:rPr>
                <w:sz w:val="5"/>
                <w:szCs w:val="5"/>
                <w:color w:val="auto"/>
              </w:rPr>
            </w:pPr>
          </w:p>
        </w:tc>
        <w:tc>
          <w:tcPr>
            <w:tcW w:w="1160" w:type="dxa"/>
            <w:vAlign w:val="bottom"/>
            <w:tcBorders>
              <w:bottom w:val="single" w:sz="8" w:color="A6A6A6"/>
            </w:tcBorders>
          </w:tcPr>
          <w:p>
            <w:pPr>
              <w:spacing w:after="0"/>
              <w:rPr>
                <w:sz w:val="5"/>
                <w:szCs w:val="5"/>
                <w:color w:val="auto"/>
              </w:rPr>
            </w:pPr>
          </w:p>
        </w:tc>
        <w:tc>
          <w:tcPr>
            <w:tcW w:w="280" w:type="dxa"/>
            <w:vAlign w:val="bottom"/>
            <w:tcBorders>
              <w:bottom w:val="single" w:sz="8" w:color="A6A6A6"/>
            </w:tcBorders>
          </w:tcPr>
          <w:p>
            <w:pPr>
              <w:spacing w:after="0"/>
              <w:rPr>
                <w:sz w:val="5"/>
                <w:szCs w:val="5"/>
                <w:color w:val="auto"/>
              </w:rPr>
            </w:pPr>
          </w:p>
        </w:tc>
        <w:tc>
          <w:tcPr>
            <w:tcW w:w="120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560" w:type="dxa"/>
            <w:vAlign w:val="bottom"/>
            <w:tcBorders>
              <w:bottom w:val="single" w:sz="8" w:color="A6A6A6"/>
            </w:tcBorders>
          </w:tcPr>
          <w:p>
            <w:pPr>
              <w:spacing w:after="0"/>
              <w:rPr>
                <w:sz w:val="5"/>
                <w:szCs w:val="5"/>
                <w:color w:val="auto"/>
              </w:rPr>
            </w:pPr>
          </w:p>
        </w:tc>
        <w:tc>
          <w:tcPr>
            <w:tcW w:w="90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4940" w:type="dxa"/>
            <w:vAlign w:val="bottom"/>
          </w:tcPr>
          <w:p>
            <w:pPr>
              <w:ind w:left="200"/>
              <w:spacing w:after="0"/>
              <w:rPr>
                <w:sz w:val="20"/>
                <w:szCs w:val="20"/>
                <w:color w:val="auto"/>
              </w:rPr>
            </w:pPr>
            <w:r>
              <w:rPr>
                <w:rFonts w:ascii="Arial Narrow" w:cs="Arial Narrow" w:eastAsia="Arial Narrow" w:hAnsi="Arial Narrow"/>
                <w:sz w:val="20"/>
                <w:szCs w:val="20"/>
                <w:b w:val="1"/>
                <w:bCs w:val="1"/>
                <w:color w:val="00085E"/>
              </w:rPr>
              <w:t>Investment in Joint Venture Basis Differences</w:t>
            </w: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Narrow" w:cs="Arial Narrow" w:eastAsia="Arial Narrow" w:hAnsi="Arial Narrow"/>
                <w:sz w:val="20"/>
                <w:szCs w:val="20"/>
                <w:color w:val="auto"/>
              </w:rPr>
              <w:t>(11,746)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Narrow" w:cs="Arial Narrow" w:eastAsia="Arial Narrow" w:hAnsi="Arial Narrow"/>
                <w:sz w:val="20"/>
                <w:szCs w:val="20"/>
                <w:color w:val="auto"/>
              </w:rPr>
              <w:t>(6,436)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4940" w:type="dxa"/>
            <w:vAlign w:val="bottom"/>
            <w:tcBorders>
              <w:bottom w:val="single" w:sz="8" w:color="A6A6A6"/>
            </w:tcBorders>
          </w:tcPr>
          <w:p>
            <w:pPr>
              <w:spacing w:after="0"/>
              <w:rPr>
                <w:sz w:val="5"/>
                <w:szCs w:val="5"/>
                <w:color w:val="auto"/>
              </w:rPr>
            </w:pPr>
          </w:p>
        </w:tc>
        <w:tc>
          <w:tcPr>
            <w:tcW w:w="1160" w:type="dxa"/>
            <w:vAlign w:val="bottom"/>
            <w:tcBorders>
              <w:bottom w:val="single" w:sz="8" w:color="A6A6A6"/>
            </w:tcBorders>
          </w:tcPr>
          <w:p>
            <w:pPr>
              <w:spacing w:after="0"/>
              <w:rPr>
                <w:sz w:val="5"/>
                <w:szCs w:val="5"/>
                <w:color w:val="auto"/>
              </w:rPr>
            </w:pPr>
          </w:p>
        </w:tc>
        <w:tc>
          <w:tcPr>
            <w:tcW w:w="280" w:type="dxa"/>
            <w:vAlign w:val="bottom"/>
            <w:tcBorders>
              <w:bottom w:val="single" w:sz="8" w:color="A6A6A6"/>
            </w:tcBorders>
          </w:tcPr>
          <w:p>
            <w:pPr>
              <w:spacing w:after="0"/>
              <w:rPr>
                <w:sz w:val="5"/>
                <w:szCs w:val="5"/>
                <w:color w:val="auto"/>
              </w:rPr>
            </w:pPr>
          </w:p>
        </w:tc>
        <w:tc>
          <w:tcPr>
            <w:tcW w:w="120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560" w:type="dxa"/>
            <w:vAlign w:val="bottom"/>
            <w:tcBorders>
              <w:bottom w:val="single" w:sz="8" w:color="A6A6A6"/>
            </w:tcBorders>
          </w:tcPr>
          <w:p>
            <w:pPr>
              <w:spacing w:after="0"/>
              <w:rPr>
                <w:sz w:val="5"/>
                <w:szCs w:val="5"/>
                <w:color w:val="auto"/>
              </w:rPr>
            </w:pPr>
          </w:p>
        </w:tc>
        <w:tc>
          <w:tcPr>
            <w:tcW w:w="90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4940" w:type="dxa"/>
            <w:vAlign w:val="bottom"/>
          </w:tcPr>
          <w:p>
            <w:pPr>
              <w:ind w:left="200"/>
              <w:spacing w:after="0"/>
              <w:rPr>
                <w:sz w:val="20"/>
                <w:szCs w:val="20"/>
                <w:color w:val="auto"/>
              </w:rPr>
            </w:pPr>
            <w:r>
              <w:rPr>
                <w:rFonts w:ascii="Arial Narrow" w:cs="Arial Narrow" w:eastAsia="Arial Narrow" w:hAnsi="Arial Narrow"/>
                <w:sz w:val="20"/>
                <w:szCs w:val="20"/>
                <w:b w:val="1"/>
                <w:bCs w:val="1"/>
                <w:color w:val="00085E"/>
              </w:rPr>
              <w:t>Right-of-Use Assets</w:t>
            </w: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Narrow" w:cs="Arial Narrow" w:eastAsia="Arial Narrow" w:hAnsi="Arial Narrow"/>
                <w:sz w:val="20"/>
                <w:szCs w:val="20"/>
                <w:color w:val="auto"/>
              </w:rPr>
              <w:t>(7,699)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Narrow" w:cs="Arial Narrow" w:eastAsia="Arial Narrow" w:hAnsi="Arial Narrow"/>
                <w:sz w:val="20"/>
                <w:szCs w:val="20"/>
                <w:color w:val="auto"/>
              </w:rPr>
              <w:t>(7,996)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4940" w:type="dxa"/>
            <w:vAlign w:val="bottom"/>
            <w:tcBorders>
              <w:bottom w:val="single" w:sz="8" w:color="A6A6A6"/>
            </w:tcBorders>
          </w:tcPr>
          <w:p>
            <w:pPr>
              <w:spacing w:after="0"/>
              <w:rPr>
                <w:sz w:val="5"/>
                <w:szCs w:val="5"/>
                <w:color w:val="auto"/>
              </w:rPr>
            </w:pPr>
          </w:p>
        </w:tc>
        <w:tc>
          <w:tcPr>
            <w:tcW w:w="1160" w:type="dxa"/>
            <w:vAlign w:val="bottom"/>
            <w:tcBorders>
              <w:bottom w:val="single" w:sz="8" w:color="A6A6A6"/>
            </w:tcBorders>
          </w:tcPr>
          <w:p>
            <w:pPr>
              <w:spacing w:after="0"/>
              <w:rPr>
                <w:sz w:val="5"/>
                <w:szCs w:val="5"/>
                <w:color w:val="auto"/>
              </w:rPr>
            </w:pPr>
          </w:p>
        </w:tc>
        <w:tc>
          <w:tcPr>
            <w:tcW w:w="280" w:type="dxa"/>
            <w:vAlign w:val="bottom"/>
            <w:tcBorders>
              <w:bottom w:val="single" w:sz="8" w:color="A6A6A6"/>
            </w:tcBorders>
          </w:tcPr>
          <w:p>
            <w:pPr>
              <w:spacing w:after="0"/>
              <w:rPr>
                <w:sz w:val="5"/>
                <w:szCs w:val="5"/>
                <w:color w:val="auto"/>
              </w:rPr>
            </w:pPr>
          </w:p>
        </w:tc>
        <w:tc>
          <w:tcPr>
            <w:tcW w:w="1280" w:type="dxa"/>
            <w:vAlign w:val="bottom"/>
            <w:tcBorders>
              <w:bottom w:val="single" w:sz="8" w:color="A6A6A6"/>
            </w:tcBorders>
            <w:gridSpan w:val="2"/>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560" w:type="dxa"/>
            <w:vAlign w:val="bottom"/>
            <w:tcBorders>
              <w:bottom w:val="single" w:sz="8" w:color="A6A6A6"/>
            </w:tcBorders>
          </w:tcPr>
          <w:p>
            <w:pPr>
              <w:spacing w:after="0"/>
              <w:rPr>
                <w:sz w:val="5"/>
                <w:szCs w:val="5"/>
                <w:color w:val="auto"/>
              </w:rPr>
            </w:pPr>
          </w:p>
        </w:tc>
        <w:tc>
          <w:tcPr>
            <w:tcW w:w="90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4940" w:type="dxa"/>
            <w:vAlign w:val="bottom"/>
          </w:tcPr>
          <w:p>
            <w:pPr>
              <w:ind w:left="200"/>
              <w:spacing w:after="0"/>
              <w:rPr>
                <w:sz w:val="20"/>
                <w:szCs w:val="20"/>
                <w:color w:val="auto"/>
              </w:rPr>
            </w:pPr>
            <w:r>
              <w:rPr>
                <w:rFonts w:ascii="Arial Narrow" w:cs="Arial Narrow" w:eastAsia="Arial Narrow" w:hAnsi="Arial Narrow"/>
                <w:sz w:val="20"/>
                <w:szCs w:val="20"/>
                <w:b w:val="1"/>
                <w:bCs w:val="1"/>
                <w:color w:val="00085E"/>
              </w:rPr>
              <w:t>Inventory</w:t>
            </w: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gridSpan w:val="2"/>
          </w:tcPr>
          <w:p>
            <w:pPr>
              <w:jc w:val="right"/>
              <w:ind w:right="200"/>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Narrow" w:cs="Arial Narrow" w:eastAsia="Arial Narrow" w:hAnsi="Arial Narrow"/>
                <w:sz w:val="20"/>
                <w:szCs w:val="20"/>
                <w:color w:val="auto"/>
              </w:rPr>
              <w:t>(1,276)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4940" w:type="dxa"/>
            <w:vAlign w:val="bottom"/>
            <w:tcBorders>
              <w:bottom w:val="single" w:sz="8" w:color="A6A6A6"/>
            </w:tcBorders>
          </w:tcPr>
          <w:p>
            <w:pPr>
              <w:spacing w:after="0"/>
              <w:rPr>
                <w:sz w:val="5"/>
                <w:szCs w:val="5"/>
                <w:color w:val="auto"/>
              </w:rPr>
            </w:pPr>
          </w:p>
        </w:tc>
        <w:tc>
          <w:tcPr>
            <w:tcW w:w="1160" w:type="dxa"/>
            <w:vAlign w:val="bottom"/>
            <w:tcBorders>
              <w:bottom w:val="single" w:sz="8" w:color="A6A6A6"/>
            </w:tcBorders>
          </w:tcPr>
          <w:p>
            <w:pPr>
              <w:spacing w:after="0"/>
              <w:rPr>
                <w:sz w:val="5"/>
                <w:szCs w:val="5"/>
                <w:color w:val="auto"/>
              </w:rPr>
            </w:pPr>
          </w:p>
        </w:tc>
        <w:tc>
          <w:tcPr>
            <w:tcW w:w="280" w:type="dxa"/>
            <w:vAlign w:val="bottom"/>
            <w:tcBorders>
              <w:bottom w:val="single" w:sz="8" w:color="A6A6A6"/>
            </w:tcBorders>
          </w:tcPr>
          <w:p>
            <w:pPr>
              <w:spacing w:after="0"/>
              <w:rPr>
                <w:sz w:val="5"/>
                <w:szCs w:val="5"/>
                <w:color w:val="auto"/>
              </w:rPr>
            </w:pPr>
          </w:p>
        </w:tc>
        <w:tc>
          <w:tcPr>
            <w:tcW w:w="120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560" w:type="dxa"/>
            <w:vAlign w:val="bottom"/>
            <w:tcBorders>
              <w:bottom w:val="single" w:sz="8" w:color="A6A6A6"/>
            </w:tcBorders>
          </w:tcPr>
          <w:p>
            <w:pPr>
              <w:spacing w:after="0"/>
              <w:rPr>
                <w:sz w:val="5"/>
                <w:szCs w:val="5"/>
                <w:color w:val="auto"/>
              </w:rPr>
            </w:pPr>
          </w:p>
        </w:tc>
        <w:tc>
          <w:tcPr>
            <w:tcW w:w="90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4940" w:type="dxa"/>
            <w:vAlign w:val="bottom"/>
          </w:tcPr>
          <w:p>
            <w:pPr>
              <w:ind w:left="200"/>
              <w:spacing w:after="0"/>
              <w:rPr>
                <w:sz w:val="20"/>
                <w:szCs w:val="20"/>
                <w:color w:val="auto"/>
              </w:rPr>
            </w:pPr>
            <w:r>
              <w:rPr>
                <w:rFonts w:ascii="Arial Narrow" w:cs="Arial Narrow" w:eastAsia="Arial Narrow" w:hAnsi="Arial Narrow"/>
                <w:sz w:val="20"/>
                <w:szCs w:val="20"/>
                <w:b w:val="1"/>
                <w:bCs w:val="1"/>
                <w:color w:val="00085E"/>
              </w:rPr>
              <w:t>Other</w:t>
            </w: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Narrow" w:cs="Arial Narrow" w:eastAsia="Arial Narrow" w:hAnsi="Arial Narrow"/>
                <w:sz w:val="20"/>
                <w:szCs w:val="20"/>
                <w:color w:val="auto"/>
              </w:rPr>
              <w:t>(3,679)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Narrow" w:cs="Arial Narrow" w:eastAsia="Arial Narrow" w:hAnsi="Arial Narrow"/>
                <w:sz w:val="20"/>
                <w:szCs w:val="20"/>
                <w:color w:val="auto"/>
              </w:rPr>
              <w:t>—</w:t>
            </w:r>
          </w:p>
        </w:tc>
        <w:tc>
          <w:tcPr>
            <w:tcW w:w="0" w:type="dxa"/>
            <w:vAlign w:val="bottom"/>
          </w:tcPr>
          <w:p>
            <w:pPr>
              <w:spacing w:after="0"/>
              <w:rPr>
                <w:sz w:val="1"/>
                <w:szCs w:val="1"/>
                <w:color w:val="auto"/>
              </w:rPr>
            </w:pPr>
          </w:p>
        </w:tc>
      </w:tr>
      <w:tr>
        <w:trPr>
          <w:trHeight w:val="90"/>
        </w:trPr>
        <w:tc>
          <w:tcPr>
            <w:tcW w:w="4940" w:type="dxa"/>
            <w:vAlign w:val="bottom"/>
            <w:tcBorders>
              <w:bottom w:val="single" w:sz="8" w:color="A6A6A6"/>
            </w:tcBorders>
          </w:tcPr>
          <w:p>
            <w:pPr>
              <w:spacing w:after="0"/>
              <w:rPr>
                <w:sz w:val="7"/>
                <w:szCs w:val="7"/>
                <w:color w:val="auto"/>
              </w:rPr>
            </w:pPr>
          </w:p>
        </w:tc>
        <w:tc>
          <w:tcPr>
            <w:tcW w:w="1160" w:type="dxa"/>
            <w:vAlign w:val="bottom"/>
            <w:tcBorders>
              <w:bottom w:val="single" w:sz="8" w:color="A6A6A6"/>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4"/>
        </w:trPr>
        <w:tc>
          <w:tcPr>
            <w:tcW w:w="4940" w:type="dxa"/>
            <w:vAlign w:val="bottom"/>
          </w:tcPr>
          <w:p>
            <w:pPr>
              <w:ind w:left="200"/>
              <w:spacing w:after="0"/>
              <w:rPr>
                <w:sz w:val="20"/>
                <w:szCs w:val="20"/>
                <w:color w:val="auto"/>
              </w:rPr>
            </w:pPr>
            <w:r>
              <w:rPr>
                <w:rFonts w:ascii="Arial Narrow" w:cs="Arial Narrow" w:eastAsia="Arial Narrow" w:hAnsi="Arial Narrow"/>
                <w:sz w:val="20"/>
                <w:szCs w:val="20"/>
                <w:b w:val="1"/>
                <w:bCs w:val="1"/>
                <w:color w:val="auto"/>
              </w:rPr>
              <w:t>Total Deferred Tax Liabilities</w:t>
            </w:r>
          </w:p>
        </w:tc>
        <w:tc>
          <w:tcPr>
            <w:tcW w:w="1440" w:type="dxa"/>
            <w:vAlign w:val="bottom"/>
            <w:gridSpan w:val="2"/>
          </w:tcPr>
          <w:p>
            <w:pPr>
              <w:jc w:val="right"/>
              <w:ind w:right="180"/>
              <w:spacing w:after="0"/>
              <w:rPr>
                <w:sz w:val="20"/>
                <w:szCs w:val="20"/>
                <w:color w:val="auto"/>
              </w:rPr>
            </w:pPr>
            <w:r>
              <w:rPr>
                <w:rFonts w:ascii="Arial Narrow" w:cs="Arial Narrow" w:eastAsia="Arial Narrow" w:hAnsi="Arial Narrow"/>
                <w:sz w:val="20"/>
                <w:szCs w:val="20"/>
                <w:b w:val="1"/>
                <w:bCs w:val="1"/>
                <w:color w:val="auto"/>
              </w:rPr>
              <w:t>$</w:t>
            </w:r>
          </w:p>
        </w:tc>
        <w:tc>
          <w:tcPr>
            <w:tcW w:w="1200" w:type="dxa"/>
            <w:vAlign w:val="bottom"/>
          </w:tcPr>
          <w:p>
            <w:pPr>
              <w:jc w:val="right"/>
              <w:spacing w:after="0"/>
              <w:rPr>
                <w:sz w:val="20"/>
                <w:szCs w:val="20"/>
                <w:color w:val="auto"/>
              </w:rPr>
            </w:pPr>
            <w:r>
              <w:rPr>
                <w:rFonts w:ascii="Arial Narrow" w:cs="Arial Narrow" w:eastAsia="Arial Narrow" w:hAnsi="Arial Narrow"/>
                <w:sz w:val="20"/>
                <w:szCs w:val="20"/>
                <w:b w:val="1"/>
                <w:bCs w:val="1"/>
                <w:color w:val="auto"/>
              </w:rPr>
              <w:t>(299,350)</w:t>
            </w:r>
          </w:p>
        </w:tc>
        <w:tc>
          <w:tcPr>
            <w:tcW w:w="80" w:type="dxa"/>
            <w:vAlign w:val="bottom"/>
          </w:tcPr>
          <w:p>
            <w:pPr>
              <w:spacing w:after="0"/>
              <w:rPr>
                <w:sz w:val="24"/>
                <w:szCs w:val="24"/>
                <w:color w:val="auto"/>
              </w:rPr>
            </w:pPr>
          </w:p>
        </w:tc>
        <w:tc>
          <w:tcPr>
            <w:tcW w:w="720" w:type="dxa"/>
            <w:vAlign w:val="bottom"/>
            <w:gridSpan w:val="2"/>
          </w:tcPr>
          <w:p>
            <w:pPr>
              <w:jc w:val="right"/>
              <w:ind w:right="460"/>
              <w:spacing w:after="0"/>
              <w:rPr>
                <w:sz w:val="20"/>
                <w:szCs w:val="20"/>
                <w:color w:val="auto"/>
              </w:rPr>
            </w:pPr>
            <w:r>
              <w:rPr>
                <w:rFonts w:ascii="Arial Narrow" w:cs="Arial Narrow" w:eastAsia="Arial Narrow" w:hAnsi="Arial Narrow"/>
                <w:sz w:val="20"/>
                <w:szCs w:val="20"/>
                <w:b w:val="1"/>
                <w:bCs w:val="1"/>
                <w:color w:val="auto"/>
              </w:rPr>
              <w:t>$</w:t>
            </w:r>
          </w:p>
        </w:tc>
        <w:tc>
          <w:tcPr>
            <w:tcW w:w="900" w:type="dxa"/>
            <w:vAlign w:val="bottom"/>
          </w:tcPr>
          <w:p>
            <w:pPr>
              <w:jc w:val="right"/>
              <w:spacing w:after="0"/>
              <w:rPr>
                <w:sz w:val="20"/>
                <w:szCs w:val="20"/>
                <w:color w:val="auto"/>
              </w:rPr>
            </w:pPr>
            <w:r>
              <w:rPr>
                <w:rFonts w:ascii="Arial Narrow" w:cs="Arial Narrow" w:eastAsia="Arial Narrow" w:hAnsi="Arial Narrow"/>
                <w:sz w:val="20"/>
                <w:szCs w:val="20"/>
                <w:b w:val="1"/>
                <w:bCs w:val="1"/>
                <w:color w:val="auto"/>
              </w:rPr>
              <w:t>(277,162)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4940" w:type="dxa"/>
            <w:vAlign w:val="bottom"/>
            <w:tcBorders>
              <w:bottom w:val="single" w:sz="8" w:color="A6A6A6"/>
            </w:tcBorders>
          </w:tcPr>
          <w:p>
            <w:pPr>
              <w:spacing w:after="0"/>
              <w:rPr>
                <w:sz w:val="5"/>
                <w:szCs w:val="5"/>
                <w:color w:val="auto"/>
              </w:rPr>
            </w:pPr>
          </w:p>
        </w:tc>
        <w:tc>
          <w:tcPr>
            <w:tcW w:w="1160" w:type="dxa"/>
            <w:vAlign w:val="bottom"/>
            <w:tcBorders>
              <w:bottom w:val="single" w:sz="8" w:color="A6A6A6"/>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Arial Narrow" w:cs="Arial Narrow" w:eastAsia="Arial Narrow" w:hAnsi="Arial Narrow"/>
                <w:sz w:val="20"/>
                <w:szCs w:val="20"/>
                <w:b w:val="1"/>
                <w:bCs w:val="1"/>
                <w:color w:val="auto"/>
              </w:rPr>
              <w:t>Items Giving Rise to Deferred Tax Assets</w:t>
            </w:r>
          </w:p>
        </w:tc>
        <w:tc>
          <w:tcPr>
            <w:tcW w:w="1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494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4940" w:type="dxa"/>
            <w:vAlign w:val="bottom"/>
            <w:tcBorders>
              <w:bottom w:val="single" w:sz="8" w:color="A6A6A6"/>
            </w:tcBorders>
          </w:tcPr>
          <w:p>
            <w:pPr>
              <w:spacing w:after="0"/>
              <w:rPr>
                <w:sz w:val="5"/>
                <w:szCs w:val="5"/>
                <w:color w:val="auto"/>
              </w:rPr>
            </w:pPr>
          </w:p>
        </w:tc>
        <w:tc>
          <w:tcPr>
            <w:tcW w:w="1440" w:type="dxa"/>
            <w:vAlign w:val="bottom"/>
            <w:tcBorders>
              <w:bottom w:val="single" w:sz="8" w:color="A6A6A6"/>
            </w:tcBorders>
            <w:gridSpan w:val="2"/>
          </w:tcPr>
          <w:p>
            <w:pPr>
              <w:spacing w:after="0"/>
              <w:rPr>
                <w:sz w:val="5"/>
                <w:szCs w:val="5"/>
                <w:color w:val="auto"/>
              </w:rPr>
            </w:pPr>
          </w:p>
        </w:tc>
        <w:tc>
          <w:tcPr>
            <w:tcW w:w="120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720" w:type="dxa"/>
            <w:vAlign w:val="bottom"/>
            <w:tcBorders>
              <w:bottom w:val="single" w:sz="8" w:color="A6A6A6"/>
            </w:tcBorders>
            <w:gridSpan w:val="2"/>
          </w:tcPr>
          <w:p>
            <w:pPr>
              <w:spacing w:after="0"/>
              <w:rPr>
                <w:sz w:val="5"/>
                <w:szCs w:val="5"/>
                <w:color w:val="auto"/>
              </w:rPr>
            </w:pPr>
          </w:p>
        </w:tc>
        <w:tc>
          <w:tcPr>
            <w:tcW w:w="90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4940" w:type="dxa"/>
            <w:vAlign w:val="bottom"/>
          </w:tcPr>
          <w:p>
            <w:pPr>
              <w:ind w:left="200"/>
              <w:spacing w:after="0"/>
              <w:rPr>
                <w:sz w:val="20"/>
                <w:szCs w:val="20"/>
                <w:color w:val="auto"/>
              </w:rPr>
            </w:pPr>
            <w:r>
              <w:rPr>
                <w:rFonts w:ascii="Arial Narrow" w:cs="Arial Narrow" w:eastAsia="Arial Narrow" w:hAnsi="Arial Narrow"/>
                <w:sz w:val="20"/>
                <w:szCs w:val="20"/>
                <w:b w:val="1"/>
                <w:bCs w:val="1"/>
                <w:color w:val="00085E"/>
              </w:rPr>
              <w:t>Change in Accruals</w:t>
            </w:r>
          </w:p>
        </w:tc>
        <w:tc>
          <w:tcPr>
            <w:tcW w:w="1440" w:type="dxa"/>
            <w:vAlign w:val="bottom"/>
            <w:gridSpan w:val="2"/>
          </w:tcPr>
          <w:p>
            <w:pPr>
              <w:jc w:val="right"/>
              <w:ind w:right="180"/>
              <w:spacing w:after="0"/>
              <w:rPr>
                <w:sz w:val="20"/>
                <w:szCs w:val="20"/>
                <w:color w:val="auto"/>
              </w:rPr>
            </w:pPr>
            <w:r>
              <w:rPr>
                <w:rFonts w:ascii="Arial Narrow" w:cs="Arial Narrow" w:eastAsia="Arial Narrow" w:hAnsi="Arial Narrow"/>
                <w:sz w:val="20"/>
                <w:szCs w:val="20"/>
                <w:color w:val="auto"/>
              </w:rPr>
              <w:t>$</w:t>
            </w:r>
          </w:p>
        </w:tc>
        <w:tc>
          <w:tcPr>
            <w:tcW w:w="1200" w:type="dxa"/>
            <w:vAlign w:val="bottom"/>
          </w:tcPr>
          <w:p>
            <w:pPr>
              <w:jc w:val="right"/>
              <w:ind w:right="22"/>
              <w:spacing w:after="0"/>
              <w:rPr>
                <w:sz w:val="20"/>
                <w:szCs w:val="20"/>
                <w:color w:val="auto"/>
              </w:rPr>
            </w:pPr>
            <w:r>
              <w:rPr>
                <w:rFonts w:ascii="Arial Narrow" w:cs="Arial Narrow" w:eastAsia="Arial Narrow" w:hAnsi="Arial Narrow"/>
                <w:sz w:val="20"/>
                <w:szCs w:val="20"/>
                <w:color w:val="auto"/>
              </w:rPr>
              <w:t>7,902</w:t>
            </w:r>
          </w:p>
        </w:tc>
        <w:tc>
          <w:tcPr>
            <w:tcW w:w="80" w:type="dxa"/>
            <w:vAlign w:val="bottom"/>
          </w:tcPr>
          <w:p>
            <w:pPr>
              <w:spacing w:after="0"/>
              <w:rPr>
                <w:sz w:val="24"/>
                <w:szCs w:val="24"/>
                <w:color w:val="auto"/>
              </w:rPr>
            </w:pPr>
          </w:p>
        </w:tc>
        <w:tc>
          <w:tcPr>
            <w:tcW w:w="720" w:type="dxa"/>
            <w:vAlign w:val="bottom"/>
            <w:gridSpan w:val="2"/>
          </w:tcPr>
          <w:p>
            <w:pPr>
              <w:jc w:val="right"/>
              <w:ind w:right="460"/>
              <w:spacing w:after="0"/>
              <w:rPr>
                <w:sz w:val="20"/>
                <w:szCs w:val="20"/>
                <w:color w:val="auto"/>
              </w:rPr>
            </w:pPr>
            <w:r>
              <w:rPr>
                <w:rFonts w:ascii="Arial Narrow" w:cs="Arial Narrow" w:eastAsia="Arial Narrow" w:hAnsi="Arial Narrow"/>
                <w:sz w:val="20"/>
                <w:szCs w:val="20"/>
                <w:color w:val="auto"/>
              </w:rPr>
              <w:t>$</w:t>
            </w:r>
          </w:p>
        </w:tc>
        <w:tc>
          <w:tcPr>
            <w:tcW w:w="900" w:type="dxa"/>
            <w:vAlign w:val="bottom"/>
          </w:tcPr>
          <w:p>
            <w:pPr>
              <w:jc w:val="right"/>
              <w:ind w:right="21"/>
              <w:spacing w:after="0"/>
              <w:rPr>
                <w:sz w:val="20"/>
                <w:szCs w:val="20"/>
                <w:color w:val="auto"/>
              </w:rPr>
            </w:pPr>
            <w:r>
              <w:rPr>
                <w:rFonts w:ascii="Arial Narrow" w:cs="Arial Narrow" w:eastAsia="Arial Narrow" w:hAnsi="Arial Narrow"/>
                <w:sz w:val="20"/>
                <w:szCs w:val="20"/>
                <w:color w:val="auto"/>
              </w:rPr>
              <w:t>12,866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4940" w:type="dxa"/>
            <w:vAlign w:val="bottom"/>
            <w:tcBorders>
              <w:bottom w:val="single" w:sz="8" w:color="A6A6A6"/>
            </w:tcBorders>
          </w:tcPr>
          <w:p>
            <w:pPr>
              <w:spacing w:after="0"/>
              <w:rPr>
                <w:sz w:val="5"/>
                <w:szCs w:val="5"/>
                <w:color w:val="auto"/>
              </w:rPr>
            </w:pPr>
          </w:p>
        </w:tc>
        <w:tc>
          <w:tcPr>
            <w:tcW w:w="1160" w:type="dxa"/>
            <w:vAlign w:val="bottom"/>
            <w:tcBorders>
              <w:bottom w:val="single" w:sz="8" w:color="A6A6A6"/>
            </w:tcBorders>
          </w:tcPr>
          <w:p>
            <w:pPr>
              <w:spacing w:after="0"/>
              <w:rPr>
                <w:sz w:val="5"/>
                <w:szCs w:val="5"/>
                <w:color w:val="auto"/>
              </w:rPr>
            </w:pPr>
          </w:p>
        </w:tc>
        <w:tc>
          <w:tcPr>
            <w:tcW w:w="280" w:type="dxa"/>
            <w:vAlign w:val="bottom"/>
            <w:tcBorders>
              <w:bottom w:val="single" w:sz="8" w:color="A6A6A6"/>
            </w:tcBorders>
          </w:tcPr>
          <w:p>
            <w:pPr>
              <w:spacing w:after="0"/>
              <w:rPr>
                <w:sz w:val="5"/>
                <w:szCs w:val="5"/>
                <w:color w:val="auto"/>
              </w:rPr>
            </w:pPr>
          </w:p>
        </w:tc>
        <w:tc>
          <w:tcPr>
            <w:tcW w:w="120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560" w:type="dxa"/>
            <w:vAlign w:val="bottom"/>
            <w:tcBorders>
              <w:bottom w:val="single" w:sz="8" w:color="A6A6A6"/>
            </w:tcBorders>
          </w:tcPr>
          <w:p>
            <w:pPr>
              <w:spacing w:after="0"/>
              <w:rPr>
                <w:sz w:val="5"/>
                <w:szCs w:val="5"/>
                <w:color w:val="auto"/>
              </w:rPr>
            </w:pPr>
          </w:p>
        </w:tc>
        <w:tc>
          <w:tcPr>
            <w:tcW w:w="90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4940" w:type="dxa"/>
            <w:vAlign w:val="bottom"/>
          </w:tcPr>
          <w:p>
            <w:pPr>
              <w:ind w:left="200"/>
              <w:spacing w:after="0"/>
              <w:rPr>
                <w:sz w:val="20"/>
                <w:szCs w:val="20"/>
                <w:color w:val="auto"/>
              </w:rPr>
            </w:pPr>
            <w:r>
              <w:rPr>
                <w:rFonts w:ascii="Arial Narrow" w:cs="Arial Narrow" w:eastAsia="Arial Narrow" w:hAnsi="Arial Narrow"/>
                <w:sz w:val="20"/>
                <w:szCs w:val="20"/>
                <w:b w:val="1"/>
                <w:bCs w:val="1"/>
                <w:color w:val="00085E"/>
              </w:rPr>
              <w:t>Bad Debts</w:t>
            </w: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right"/>
              <w:ind w:right="22"/>
              <w:spacing w:after="0"/>
              <w:rPr>
                <w:sz w:val="20"/>
                <w:szCs w:val="20"/>
                <w:color w:val="auto"/>
              </w:rPr>
            </w:pPr>
            <w:r>
              <w:rPr>
                <w:rFonts w:ascii="Arial Narrow" w:cs="Arial Narrow" w:eastAsia="Arial Narrow" w:hAnsi="Arial Narrow"/>
                <w:sz w:val="20"/>
                <w:szCs w:val="20"/>
                <w:color w:val="auto"/>
              </w:rPr>
              <w:t>1,500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jc w:val="right"/>
              <w:ind w:right="21"/>
              <w:spacing w:after="0"/>
              <w:rPr>
                <w:sz w:val="20"/>
                <w:szCs w:val="20"/>
                <w:color w:val="auto"/>
              </w:rPr>
            </w:pPr>
            <w:r>
              <w:rPr>
                <w:rFonts w:ascii="Arial Narrow" w:cs="Arial Narrow" w:eastAsia="Arial Narrow" w:hAnsi="Arial Narrow"/>
                <w:sz w:val="20"/>
                <w:szCs w:val="20"/>
                <w:color w:val="auto"/>
              </w:rPr>
              <w:t>1,551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4940" w:type="dxa"/>
            <w:vAlign w:val="bottom"/>
            <w:tcBorders>
              <w:bottom w:val="single" w:sz="8" w:color="A6A6A6"/>
            </w:tcBorders>
          </w:tcPr>
          <w:p>
            <w:pPr>
              <w:spacing w:after="0"/>
              <w:rPr>
                <w:sz w:val="5"/>
                <w:szCs w:val="5"/>
                <w:color w:val="auto"/>
              </w:rPr>
            </w:pPr>
          </w:p>
        </w:tc>
        <w:tc>
          <w:tcPr>
            <w:tcW w:w="1160" w:type="dxa"/>
            <w:vAlign w:val="bottom"/>
            <w:tcBorders>
              <w:bottom w:val="single" w:sz="8" w:color="A6A6A6"/>
            </w:tcBorders>
          </w:tcPr>
          <w:p>
            <w:pPr>
              <w:spacing w:after="0"/>
              <w:rPr>
                <w:sz w:val="5"/>
                <w:szCs w:val="5"/>
                <w:color w:val="auto"/>
              </w:rPr>
            </w:pPr>
          </w:p>
        </w:tc>
        <w:tc>
          <w:tcPr>
            <w:tcW w:w="280" w:type="dxa"/>
            <w:vAlign w:val="bottom"/>
            <w:tcBorders>
              <w:bottom w:val="single" w:sz="8" w:color="A6A6A6"/>
            </w:tcBorders>
          </w:tcPr>
          <w:p>
            <w:pPr>
              <w:spacing w:after="0"/>
              <w:rPr>
                <w:sz w:val="5"/>
                <w:szCs w:val="5"/>
                <w:color w:val="auto"/>
              </w:rPr>
            </w:pPr>
          </w:p>
        </w:tc>
        <w:tc>
          <w:tcPr>
            <w:tcW w:w="120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560" w:type="dxa"/>
            <w:vAlign w:val="bottom"/>
            <w:tcBorders>
              <w:bottom w:val="single" w:sz="8" w:color="A6A6A6"/>
            </w:tcBorders>
          </w:tcPr>
          <w:p>
            <w:pPr>
              <w:spacing w:after="0"/>
              <w:rPr>
                <w:sz w:val="5"/>
                <w:szCs w:val="5"/>
                <w:color w:val="auto"/>
              </w:rPr>
            </w:pPr>
          </w:p>
        </w:tc>
        <w:tc>
          <w:tcPr>
            <w:tcW w:w="90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4940" w:type="dxa"/>
            <w:vAlign w:val="bottom"/>
          </w:tcPr>
          <w:p>
            <w:pPr>
              <w:ind w:left="200"/>
              <w:spacing w:after="0"/>
              <w:rPr>
                <w:sz w:val="20"/>
                <w:szCs w:val="20"/>
                <w:color w:val="auto"/>
              </w:rPr>
            </w:pPr>
            <w:r>
              <w:rPr>
                <w:rFonts w:ascii="Arial Narrow" w:cs="Arial Narrow" w:eastAsia="Arial Narrow" w:hAnsi="Arial Narrow"/>
                <w:sz w:val="20"/>
                <w:szCs w:val="20"/>
                <w:b w:val="1"/>
                <w:bCs w:val="1"/>
                <w:color w:val="00085E"/>
              </w:rPr>
              <w:t>Long-Term Incentive Compensation Plan</w:t>
            </w: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right"/>
              <w:ind w:right="22"/>
              <w:spacing w:after="0"/>
              <w:rPr>
                <w:sz w:val="20"/>
                <w:szCs w:val="20"/>
                <w:color w:val="auto"/>
              </w:rPr>
            </w:pPr>
            <w:r>
              <w:rPr>
                <w:rFonts w:ascii="Arial Narrow" w:cs="Arial Narrow" w:eastAsia="Arial Narrow" w:hAnsi="Arial Narrow"/>
                <w:sz w:val="20"/>
                <w:szCs w:val="20"/>
                <w:color w:val="auto"/>
              </w:rPr>
              <w:t>5,898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jc w:val="right"/>
              <w:ind w:right="21"/>
              <w:spacing w:after="0"/>
              <w:rPr>
                <w:sz w:val="20"/>
                <w:szCs w:val="20"/>
                <w:color w:val="auto"/>
              </w:rPr>
            </w:pPr>
            <w:r>
              <w:rPr>
                <w:rFonts w:ascii="Arial Narrow" w:cs="Arial Narrow" w:eastAsia="Arial Narrow" w:hAnsi="Arial Narrow"/>
                <w:sz w:val="20"/>
                <w:szCs w:val="20"/>
                <w:color w:val="auto"/>
              </w:rPr>
              <w:t>4,609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4940" w:type="dxa"/>
            <w:vAlign w:val="bottom"/>
            <w:tcBorders>
              <w:bottom w:val="single" w:sz="8" w:color="A6A6A6"/>
            </w:tcBorders>
          </w:tcPr>
          <w:p>
            <w:pPr>
              <w:spacing w:after="0"/>
              <w:rPr>
                <w:sz w:val="5"/>
                <w:szCs w:val="5"/>
                <w:color w:val="auto"/>
              </w:rPr>
            </w:pPr>
          </w:p>
        </w:tc>
        <w:tc>
          <w:tcPr>
            <w:tcW w:w="1160" w:type="dxa"/>
            <w:vAlign w:val="bottom"/>
            <w:tcBorders>
              <w:bottom w:val="single" w:sz="8" w:color="A6A6A6"/>
            </w:tcBorders>
          </w:tcPr>
          <w:p>
            <w:pPr>
              <w:spacing w:after="0"/>
              <w:rPr>
                <w:sz w:val="5"/>
                <w:szCs w:val="5"/>
                <w:color w:val="auto"/>
              </w:rPr>
            </w:pPr>
          </w:p>
        </w:tc>
        <w:tc>
          <w:tcPr>
            <w:tcW w:w="280" w:type="dxa"/>
            <w:vAlign w:val="bottom"/>
            <w:tcBorders>
              <w:bottom w:val="single" w:sz="8" w:color="A6A6A6"/>
            </w:tcBorders>
          </w:tcPr>
          <w:p>
            <w:pPr>
              <w:spacing w:after="0"/>
              <w:rPr>
                <w:sz w:val="5"/>
                <w:szCs w:val="5"/>
                <w:color w:val="auto"/>
              </w:rPr>
            </w:pPr>
          </w:p>
        </w:tc>
        <w:tc>
          <w:tcPr>
            <w:tcW w:w="120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560" w:type="dxa"/>
            <w:vAlign w:val="bottom"/>
            <w:tcBorders>
              <w:bottom w:val="single" w:sz="8" w:color="A6A6A6"/>
            </w:tcBorders>
          </w:tcPr>
          <w:p>
            <w:pPr>
              <w:spacing w:after="0"/>
              <w:rPr>
                <w:sz w:val="5"/>
                <w:szCs w:val="5"/>
                <w:color w:val="auto"/>
              </w:rPr>
            </w:pPr>
          </w:p>
        </w:tc>
        <w:tc>
          <w:tcPr>
            <w:tcW w:w="90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4940" w:type="dxa"/>
            <w:vAlign w:val="bottom"/>
          </w:tcPr>
          <w:p>
            <w:pPr>
              <w:ind w:left="200"/>
              <w:spacing w:after="0"/>
              <w:rPr>
                <w:sz w:val="20"/>
                <w:szCs w:val="20"/>
                <w:color w:val="auto"/>
              </w:rPr>
            </w:pPr>
            <w:r>
              <w:rPr>
                <w:rFonts w:ascii="Arial Narrow" w:cs="Arial Narrow" w:eastAsia="Arial Narrow" w:hAnsi="Arial Narrow"/>
                <w:sz w:val="20"/>
                <w:szCs w:val="20"/>
                <w:b w:val="1"/>
                <w:bCs w:val="1"/>
                <w:color w:val="00085E"/>
              </w:rPr>
              <w:t>Credits and Other Carryforwards</w:t>
            </w: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right"/>
              <w:ind w:right="22"/>
              <w:spacing w:after="0"/>
              <w:rPr>
                <w:sz w:val="20"/>
                <w:szCs w:val="20"/>
                <w:color w:val="auto"/>
              </w:rPr>
            </w:pPr>
            <w:r>
              <w:rPr>
                <w:rFonts w:ascii="Arial Narrow" w:cs="Arial Narrow" w:eastAsia="Arial Narrow" w:hAnsi="Arial Narrow"/>
                <w:sz w:val="20"/>
                <w:szCs w:val="20"/>
                <w:color w:val="auto"/>
              </w:rPr>
              <w:t>9,436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jc w:val="right"/>
              <w:ind w:right="21"/>
              <w:spacing w:after="0"/>
              <w:rPr>
                <w:sz w:val="20"/>
                <w:szCs w:val="20"/>
                <w:color w:val="auto"/>
              </w:rPr>
            </w:pPr>
            <w:r>
              <w:rPr>
                <w:rFonts w:ascii="Arial Narrow" w:cs="Arial Narrow" w:eastAsia="Arial Narrow" w:hAnsi="Arial Narrow"/>
                <w:sz w:val="20"/>
                <w:szCs w:val="20"/>
                <w:color w:val="auto"/>
              </w:rPr>
              <w:t>9,905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4940" w:type="dxa"/>
            <w:vAlign w:val="bottom"/>
            <w:tcBorders>
              <w:bottom w:val="single" w:sz="8" w:color="A6A6A6"/>
            </w:tcBorders>
          </w:tcPr>
          <w:p>
            <w:pPr>
              <w:spacing w:after="0"/>
              <w:rPr>
                <w:sz w:val="5"/>
                <w:szCs w:val="5"/>
                <w:color w:val="auto"/>
              </w:rPr>
            </w:pPr>
          </w:p>
        </w:tc>
        <w:tc>
          <w:tcPr>
            <w:tcW w:w="1160" w:type="dxa"/>
            <w:vAlign w:val="bottom"/>
            <w:tcBorders>
              <w:bottom w:val="single" w:sz="8" w:color="A6A6A6"/>
            </w:tcBorders>
          </w:tcPr>
          <w:p>
            <w:pPr>
              <w:spacing w:after="0"/>
              <w:rPr>
                <w:sz w:val="5"/>
                <w:szCs w:val="5"/>
                <w:color w:val="auto"/>
              </w:rPr>
            </w:pPr>
          </w:p>
        </w:tc>
        <w:tc>
          <w:tcPr>
            <w:tcW w:w="280" w:type="dxa"/>
            <w:vAlign w:val="bottom"/>
            <w:tcBorders>
              <w:bottom w:val="single" w:sz="8" w:color="A6A6A6"/>
            </w:tcBorders>
          </w:tcPr>
          <w:p>
            <w:pPr>
              <w:spacing w:after="0"/>
              <w:rPr>
                <w:sz w:val="5"/>
                <w:szCs w:val="5"/>
                <w:color w:val="auto"/>
              </w:rPr>
            </w:pPr>
          </w:p>
        </w:tc>
        <w:tc>
          <w:tcPr>
            <w:tcW w:w="120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560" w:type="dxa"/>
            <w:vAlign w:val="bottom"/>
            <w:tcBorders>
              <w:bottom w:val="single" w:sz="8" w:color="A6A6A6"/>
            </w:tcBorders>
          </w:tcPr>
          <w:p>
            <w:pPr>
              <w:spacing w:after="0"/>
              <w:rPr>
                <w:sz w:val="5"/>
                <w:szCs w:val="5"/>
                <w:color w:val="auto"/>
              </w:rPr>
            </w:pPr>
          </w:p>
        </w:tc>
        <w:tc>
          <w:tcPr>
            <w:tcW w:w="90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4940" w:type="dxa"/>
            <w:vAlign w:val="bottom"/>
          </w:tcPr>
          <w:p>
            <w:pPr>
              <w:ind w:left="200"/>
              <w:spacing w:after="0"/>
              <w:rPr>
                <w:sz w:val="20"/>
                <w:szCs w:val="20"/>
                <w:color w:val="auto"/>
              </w:rPr>
            </w:pPr>
            <w:r>
              <w:rPr>
                <w:rFonts w:ascii="Arial Narrow" w:cs="Arial Narrow" w:eastAsia="Arial Narrow" w:hAnsi="Arial Narrow"/>
                <w:sz w:val="20"/>
                <w:szCs w:val="20"/>
                <w:b w:val="1"/>
                <w:bCs w:val="1"/>
                <w:color w:val="00085E"/>
              </w:rPr>
              <w:t>Lease Liability</w:t>
            </w: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right"/>
              <w:ind w:right="22"/>
              <w:spacing w:after="0"/>
              <w:rPr>
                <w:sz w:val="20"/>
                <w:szCs w:val="20"/>
                <w:color w:val="auto"/>
              </w:rPr>
            </w:pPr>
            <w:r>
              <w:rPr>
                <w:rFonts w:ascii="Arial Narrow" w:cs="Arial Narrow" w:eastAsia="Arial Narrow" w:hAnsi="Arial Narrow"/>
                <w:sz w:val="20"/>
                <w:szCs w:val="20"/>
                <w:color w:val="auto"/>
              </w:rPr>
              <w:t>9,475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jc w:val="right"/>
              <w:ind w:right="21"/>
              <w:spacing w:after="0"/>
              <w:rPr>
                <w:sz w:val="20"/>
                <w:szCs w:val="20"/>
                <w:color w:val="auto"/>
              </w:rPr>
            </w:pPr>
            <w:r>
              <w:rPr>
                <w:rFonts w:ascii="Arial Narrow" w:cs="Arial Narrow" w:eastAsia="Arial Narrow" w:hAnsi="Arial Narrow"/>
                <w:sz w:val="20"/>
                <w:szCs w:val="20"/>
                <w:color w:val="auto"/>
              </w:rPr>
              <w:t>9,303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4940" w:type="dxa"/>
            <w:vAlign w:val="bottom"/>
            <w:tcBorders>
              <w:bottom w:val="single" w:sz="8" w:color="A6A6A6"/>
            </w:tcBorders>
          </w:tcPr>
          <w:p>
            <w:pPr>
              <w:spacing w:after="0"/>
              <w:rPr>
                <w:sz w:val="5"/>
                <w:szCs w:val="5"/>
                <w:color w:val="auto"/>
              </w:rPr>
            </w:pPr>
          </w:p>
        </w:tc>
        <w:tc>
          <w:tcPr>
            <w:tcW w:w="1160" w:type="dxa"/>
            <w:vAlign w:val="bottom"/>
            <w:tcBorders>
              <w:bottom w:val="single" w:sz="8" w:color="A6A6A6"/>
            </w:tcBorders>
          </w:tcPr>
          <w:p>
            <w:pPr>
              <w:spacing w:after="0"/>
              <w:rPr>
                <w:sz w:val="5"/>
                <w:szCs w:val="5"/>
                <w:color w:val="auto"/>
              </w:rPr>
            </w:pPr>
          </w:p>
        </w:tc>
        <w:tc>
          <w:tcPr>
            <w:tcW w:w="280" w:type="dxa"/>
            <w:vAlign w:val="bottom"/>
            <w:tcBorders>
              <w:bottom w:val="single" w:sz="8" w:color="A6A6A6"/>
            </w:tcBorders>
          </w:tcPr>
          <w:p>
            <w:pPr>
              <w:spacing w:after="0"/>
              <w:rPr>
                <w:sz w:val="5"/>
                <w:szCs w:val="5"/>
                <w:color w:val="auto"/>
              </w:rPr>
            </w:pPr>
          </w:p>
        </w:tc>
        <w:tc>
          <w:tcPr>
            <w:tcW w:w="120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560" w:type="dxa"/>
            <w:vAlign w:val="bottom"/>
            <w:tcBorders>
              <w:bottom w:val="single" w:sz="8" w:color="A6A6A6"/>
            </w:tcBorders>
          </w:tcPr>
          <w:p>
            <w:pPr>
              <w:spacing w:after="0"/>
              <w:rPr>
                <w:sz w:val="5"/>
                <w:szCs w:val="5"/>
                <w:color w:val="auto"/>
              </w:rPr>
            </w:pPr>
          </w:p>
        </w:tc>
        <w:tc>
          <w:tcPr>
            <w:tcW w:w="90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4940" w:type="dxa"/>
            <w:vAlign w:val="bottom"/>
          </w:tcPr>
          <w:p>
            <w:pPr>
              <w:ind w:left="200"/>
              <w:spacing w:after="0"/>
              <w:rPr>
                <w:sz w:val="20"/>
                <w:szCs w:val="20"/>
                <w:color w:val="auto"/>
              </w:rPr>
            </w:pPr>
            <w:r>
              <w:rPr>
                <w:rFonts w:ascii="Arial Narrow" w:cs="Arial Narrow" w:eastAsia="Arial Narrow" w:hAnsi="Arial Narrow"/>
                <w:sz w:val="20"/>
                <w:szCs w:val="20"/>
                <w:b w:val="1"/>
                <w:bCs w:val="1"/>
                <w:color w:val="00085E"/>
              </w:rPr>
              <w:t>Inventory</w:t>
            </w: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right"/>
              <w:ind w:right="22"/>
              <w:spacing w:after="0"/>
              <w:rPr>
                <w:sz w:val="20"/>
                <w:szCs w:val="20"/>
                <w:color w:val="auto"/>
              </w:rPr>
            </w:pPr>
            <w:r>
              <w:rPr>
                <w:rFonts w:ascii="Arial Narrow" w:cs="Arial Narrow" w:eastAsia="Arial Narrow" w:hAnsi="Arial Narrow"/>
                <w:sz w:val="20"/>
                <w:szCs w:val="20"/>
                <w:color w:val="auto"/>
              </w:rPr>
              <w:t>5,182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Narrow" w:cs="Arial Narrow" w:eastAsia="Arial Narrow" w:hAnsi="Arial Narrow"/>
                <w:sz w:val="20"/>
                <w:szCs w:val="20"/>
                <w:color w:val="auto"/>
              </w:rPr>
              <w:t>—</w:t>
            </w:r>
          </w:p>
        </w:tc>
        <w:tc>
          <w:tcPr>
            <w:tcW w:w="0" w:type="dxa"/>
            <w:vAlign w:val="bottom"/>
          </w:tcPr>
          <w:p>
            <w:pPr>
              <w:spacing w:after="0"/>
              <w:rPr>
                <w:sz w:val="1"/>
                <w:szCs w:val="1"/>
                <w:color w:val="auto"/>
              </w:rPr>
            </w:pPr>
          </w:p>
        </w:tc>
      </w:tr>
      <w:tr>
        <w:trPr>
          <w:trHeight w:val="65"/>
        </w:trPr>
        <w:tc>
          <w:tcPr>
            <w:tcW w:w="4940" w:type="dxa"/>
            <w:vAlign w:val="bottom"/>
            <w:tcBorders>
              <w:bottom w:val="single" w:sz="8" w:color="A6A6A6"/>
            </w:tcBorders>
          </w:tcPr>
          <w:p>
            <w:pPr>
              <w:spacing w:after="0"/>
              <w:rPr>
                <w:sz w:val="5"/>
                <w:szCs w:val="5"/>
                <w:color w:val="auto"/>
              </w:rPr>
            </w:pPr>
          </w:p>
        </w:tc>
        <w:tc>
          <w:tcPr>
            <w:tcW w:w="1160" w:type="dxa"/>
            <w:vAlign w:val="bottom"/>
            <w:tcBorders>
              <w:bottom w:val="single" w:sz="8" w:color="A6A6A6"/>
            </w:tcBorders>
          </w:tcPr>
          <w:p>
            <w:pPr>
              <w:spacing w:after="0"/>
              <w:rPr>
                <w:sz w:val="5"/>
                <w:szCs w:val="5"/>
                <w:color w:val="auto"/>
              </w:rPr>
            </w:pPr>
          </w:p>
        </w:tc>
        <w:tc>
          <w:tcPr>
            <w:tcW w:w="280" w:type="dxa"/>
            <w:vAlign w:val="bottom"/>
            <w:tcBorders>
              <w:bottom w:val="single" w:sz="8" w:color="A6A6A6"/>
            </w:tcBorders>
          </w:tcPr>
          <w:p>
            <w:pPr>
              <w:spacing w:after="0"/>
              <w:rPr>
                <w:sz w:val="5"/>
                <w:szCs w:val="5"/>
                <w:color w:val="auto"/>
              </w:rPr>
            </w:pPr>
          </w:p>
        </w:tc>
        <w:tc>
          <w:tcPr>
            <w:tcW w:w="120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560" w:type="dxa"/>
            <w:vAlign w:val="bottom"/>
            <w:tcBorders>
              <w:bottom w:val="single" w:sz="8" w:color="A6A6A6"/>
            </w:tcBorders>
          </w:tcPr>
          <w:p>
            <w:pPr>
              <w:spacing w:after="0"/>
              <w:rPr>
                <w:sz w:val="5"/>
                <w:szCs w:val="5"/>
                <w:color w:val="auto"/>
              </w:rPr>
            </w:pPr>
          </w:p>
        </w:tc>
        <w:tc>
          <w:tcPr>
            <w:tcW w:w="90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4940" w:type="dxa"/>
            <w:vAlign w:val="bottom"/>
          </w:tcPr>
          <w:p>
            <w:pPr>
              <w:ind w:left="200"/>
              <w:spacing w:after="0"/>
              <w:rPr>
                <w:sz w:val="20"/>
                <w:szCs w:val="20"/>
                <w:color w:val="auto"/>
              </w:rPr>
            </w:pPr>
            <w:r>
              <w:rPr>
                <w:rFonts w:ascii="Arial Narrow" w:cs="Arial Narrow" w:eastAsia="Arial Narrow" w:hAnsi="Arial Narrow"/>
                <w:sz w:val="20"/>
                <w:szCs w:val="20"/>
                <w:b w:val="1"/>
                <w:bCs w:val="1"/>
                <w:color w:val="00085E"/>
              </w:rPr>
              <w:t>Pension</w:t>
            </w: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right"/>
              <w:ind w:right="22"/>
              <w:spacing w:after="0"/>
              <w:rPr>
                <w:sz w:val="20"/>
                <w:szCs w:val="20"/>
                <w:color w:val="auto"/>
              </w:rPr>
            </w:pPr>
            <w:r>
              <w:rPr>
                <w:rFonts w:ascii="Arial Narrow" w:cs="Arial Narrow" w:eastAsia="Arial Narrow" w:hAnsi="Arial Narrow"/>
                <w:sz w:val="20"/>
                <w:szCs w:val="20"/>
                <w:color w:val="auto"/>
              </w:rPr>
              <w:t>1,395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jc w:val="right"/>
              <w:ind w:right="21"/>
              <w:spacing w:after="0"/>
              <w:rPr>
                <w:sz w:val="20"/>
                <w:szCs w:val="20"/>
                <w:color w:val="auto"/>
              </w:rPr>
            </w:pPr>
            <w:r>
              <w:rPr>
                <w:rFonts w:ascii="Arial Narrow" w:cs="Arial Narrow" w:eastAsia="Arial Narrow" w:hAnsi="Arial Narrow"/>
                <w:sz w:val="20"/>
                <w:szCs w:val="20"/>
                <w:color w:val="auto"/>
              </w:rPr>
              <w:t>984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4940" w:type="dxa"/>
            <w:vAlign w:val="bottom"/>
            <w:tcBorders>
              <w:bottom w:val="single" w:sz="8" w:color="A6A6A6"/>
            </w:tcBorders>
          </w:tcPr>
          <w:p>
            <w:pPr>
              <w:spacing w:after="0"/>
              <w:rPr>
                <w:sz w:val="5"/>
                <w:szCs w:val="5"/>
                <w:color w:val="auto"/>
              </w:rPr>
            </w:pPr>
          </w:p>
        </w:tc>
        <w:tc>
          <w:tcPr>
            <w:tcW w:w="1160" w:type="dxa"/>
            <w:vAlign w:val="bottom"/>
            <w:tcBorders>
              <w:bottom w:val="single" w:sz="8" w:color="A6A6A6"/>
            </w:tcBorders>
          </w:tcPr>
          <w:p>
            <w:pPr>
              <w:spacing w:after="0"/>
              <w:rPr>
                <w:sz w:val="5"/>
                <w:szCs w:val="5"/>
                <w:color w:val="auto"/>
              </w:rPr>
            </w:pPr>
          </w:p>
        </w:tc>
        <w:tc>
          <w:tcPr>
            <w:tcW w:w="280" w:type="dxa"/>
            <w:vAlign w:val="bottom"/>
            <w:tcBorders>
              <w:bottom w:val="single" w:sz="8" w:color="A6A6A6"/>
            </w:tcBorders>
          </w:tcPr>
          <w:p>
            <w:pPr>
              <w:spacing w:after="0"/>
              <w:rPr>
                <w:sz w:val="5"/>
                <w:szCs w:val="5"/>
                <w:color w:val="auto"/>
              </w:rPr>
            </w:pPr>
          </w:p>
        </w:tc>
        <w:tc>
          <w:tcPr>
            <w:tcW w:w="1280" w:type="dxa"/>
            <w:vAlign w:val="bottom"/>
            <w:tcBorders>
              <w:bottom w:val="single" w:sz="8" w:color="A6A6A6"/>
            </w:tcBorders>
            <w:gridSpan w:val="2"/>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560" w:type="dxa"/>
            <w:vAlign w:val="bottom"/>
            <w:tcBorders>
              <w:bottom w:val="single" w:sz="8" w:color="A6A6A6"/>
            </w:tcBorders>
          </w:tcPr>
          <w:p>
            <w:pPr>
              <w:spacing w:after="0"/>
              <w:rPr>
                <w:sz w:val="5"/>
                <w:szCs w:val="5"/>
                <w:color w:val="auto"/>
              </w:rPr>
            </w:pPr>
          </w:p>
        </w:tc>
        <w:tc>
          <w:tcPr>
            <w:tcW w:w="90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4940" w:type="dxa"/>
            <w:vAlign w:val="bottom"/>
          </w:tcPr>
          <w:p>
            <w:pPr>
              <w:ind w:left="200"/>
              <w:spacing w:after="0"/>
              <w:rPr>
                <w:sz w:val="20"/>
                <w:szCs w:val="20"/>
                <w:color w:val="auto"/>
              </w:rPr>
            </w:pPr>
            <w:r>
              <w:rPr>
                <w:rFonts w:ascii="Arial Narrow" w:cs="Arial Narrow" w:eastAsia="Arial Narrow" w:hAnsi="Arial Narrow"/>
                <w:sz w:val="20"/>
                <w:szCs w:val="20"/>
                <w:b w:val="1"/>
                <w:bCs w:val="1"/>
                <w:color w:val="00085E"/>
              </w:rPr>
              <w:t>Other</w:t>
            </w: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gridSpan w:val="2"/>
          </w:tcPr>
          <w:p>
            <w:pPr>
              <w:jc w:val="right"/>
              <w:ind w:right="200"/>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jc w:val="right"/>
              <w:ind w:right="21"/>
              <w:spacing w:after="0"/>
              <w:rPr>
                <w:sz w:val="20"/>
                <w:szCs w:val="20"/>
                <w:color w:val="auto"/>
              </w:rPr>
            </w:pPr>
            <w:r>
              <w:rPr>
                <w:rFonts w:ascii="Arial Narrow" w:cs="Arial Narrow" w:eastAsia="Arial Narrow" w:hAnsi="Arial Narrow"/>
                <w:sz w:val="20"/>
                <w:szCs w:val="20"/>
                <w:color w:val="auto"/>
              </w:rPr>
              <w:t>1,002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4940" w:type="dxa"/>
            <w:vAlign w:val="bottom"/>
            <w:tcBorders>
              <w:bottom w:val="single" w:sz="8" w:color="A6A6A6"/>
            </w:tcBorders>
          </w:tcPr>
          <w:p>
            <w:pPr>
              <w:spacing w:after="0"/>
              <w:rPr>
                <w:sz w:val="7"/>
                <w:szCs w:val="7"/>
                <w:color w:val="auto"/>
              </w:rPr>
            </w:pPr>
          </w:p>
        </w:tc>
        <w:tc>
          <w:tcPr>
            <w:tcW w:w="1160" w:type="dxa"/>
            <w:vAlign w:val="bottom"/>
            <w:tcBorders>
              <w:bottom w:val="single" w:sz="8" w:color="A6A6A6"/>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80" w:type="dxa"/>
            <w:vAlign w:val="bottom"/>
            <w:tcBorders>
              <w:bottom w:val="single" w:sz="8" w:color="A6A6A6"/>
            </w:tcBorders>
          </w:tcPr>
          <w:p>
            <w:pPr>
              <w:spacing w:after="0"/>
              <w:rPr>
                <w:sz w:val="7"/>
                <w:szCs w:val="7"/>
                <w:color w:val="auto"/>
              </w:rPr>
            </w:pPr>
          </w:p>
        </w:tc>
        <w:tc>
          <w:tcPr>
            <w:tcW w:w="160" w:type="dxa"/>
            <w:vAlign w:val="bottom"/>
            <w:tcBorders>
              <w:bottom w:val="single" w:sz="8" w:color="A6A6A6"/>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80" w:type="dxa"/>
            <w:vAlign w:val="bottom"/>
            <w:tcBorders>
              <w:bottom w:val="single" w:sz="8" w:color="A6A6A6"/>
            </w:tcBorders>
          </w:tcPr>
          <w:p>
            <w:pPr>
              <w:spacing w:after="0"/>
              <w:rPr>
                <w:sz w:val="7"/>
                <w:szCs w:val="7"/>
                <w:color w:val="auto"/>
              </w:rPr>
            </w:pPr>
          </w:p>
        </w:tc>
        <w:tc>
          <w:tcPr>
            <w:tcW w:w="0" w:type="dxa"/>
            <w:vAlign w:val="bottom"/>
          </w:tcPr>
          <w:p>
            <w:pPr>
              <w:spacing w:after="0"/>
              <w:rPr>
                <w:sz w:val="1"/>
                <w:szCs w:val="1"/>
                <w:color w:val="auto"/>
              </w:rPr>
            </w:pPr>
          </w:p>
        </w:tc>
      </w:tr>
      <w:tr>
        <w:trPr>
          <w:trHeight w:val="344"/>
        </w:trPr>
        <w:tc>
          <w:tcPr>
            <w:tcW w:w="4940" w:type="dxa"/>
            <w:vAlign w:val="bottom"/>
          </w:tcPr>
          <w:p>
            <w:pPr>
              <w:ind w:left="200"/>
              <w:spacing w:after="0"/>
              <w:rPr>
                <w:sz w:val="20"/>
                <w:szCs w:val="20"/>
                <w:color w:val="auto"/>
              </w:rPr>
            </w:pPr>
            <w:r>
              <w:rPr>
                <w:rFonts w:ascii="Arial Narrow" w:cs="Arial Narrow" w:eastAsia="Arial Narrow" w:hAnsi="Arial Narrow"/>
                <w:sz w:val="20"/>
                <w:szCs w:val="20"/>
                <w:b w:val="1"/>
                <w:bCs w:val="1"/>
                <w:color w:val="00085E"/>
              </w:rPr>
              <w:t>Subtotal</w:t>
            </w: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right"/>
              <w:ind w:right="22"/>
              <w:spacing w:after="0"/>
              <w:rPr>
                <w:sz w:val="20"/>
                <w:szCs w:val="20"/>
                <w:color w:val="auto"/>
              </w:rPr>
            </w:pPr>
            <w:r>
              <w:rPr>
                <w:rFonts w:ascii="Arial Narrow" w:cs="Arial Narrow" w:eastAsia="Arial Narrow" w:hAnsi="Arial Narrow"/>
                <w:sz w:val="20"/>
                <w:szCs w:val="20"/>
                <w:color w:val="auto"/>
              </w:rPr>
              <w:t>40,788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jc w:val="right"/>
              <w:ind w:right="21"/>
              <w:spacing w:after="0"/>
              <w:rPr>
                <w:sz w:val="20"/>
                <w:szCs w:val="20"/>
                <w:color w:val="auto"/>
              </w:rPr>
            </w:pPr>
            <w:r>
              <w:rPr>
                <w:rFonts w:ascii="Arial Narrow" w:cs="Arial Narrow" w:eastAsia="Arial Narrow" w:hAnsi="Arial Narrow"/>
                <w:sz w:val="20"/>
                <w:szCs w:val="20"/>
                <w:color w:val="auto"/>
              </w:rPr>
              <w:t>40,220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4940" w:type="dxa"/>
            <w:vAlign w:val="bottom"/>
            <w:tcBorders>
              <w:bottom w:val="single" w:sz="8" w:color="A6A6A6"/>
            </w:tcBorders>
          </w:tcPr>
          <w:p>
            <w:pPr>
              <w:spacing w:after="0"/>
              <w:rPr>
                <w:sz w:val="5"/>
                <w:szCs w:val="5"/>
                <w:color w:val="auto"/>
              </w:rPr>
            </w:pPr>
          </w:p>
        </w:tc>
        <w:tc>
          <w:tcPr>
            <w:tcW w:w="1160" w:type="dxa"/>
            <w:vAlign w:val="bottom"/>
            <w:tcBorders>
              <w:bottom w:val="single" w:sz="8" w:color="A6A6A6"/>
            </w:tcBorders>
          </w:tcPr>
          <w:p>
            <w:pPr>
              <w:spacing w:after="0"/>
              <w:rPr>
                <w:sz w:val="5"/>
                <w:szCs w:val="5"/>
                <w:color w:val="auto"/>
              </w:rPr>
            </w:pPr>
          </w:p>
        </w:tc>
        <w:tc>
          <w:tcPr>
            <w:tcW w:w="280" w:type="dxa"/>
            <w:vAlign w:val="bottom"/>
            <w:tcBorders>
              <w:bottom w:val="single" w:sz="8" w:color="A6A6A6"/>
            </w:tcBorders>
          </w:tcPr>
          <w:p>
            <w:pPr>
              <w:spacing w:after="0"/>
              <w:rPr>
                <w:sz w:val="5"/>
                <w:szCs w:val="5"/>
                <w:color w:val="auto"/>
              </w:rPr>
            </w:pPr>
          </w:p>
        </w:tc>
        <w:tc>
          <w:tcPr>
            <w:tcW w:w="120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560" w:type="dxa"/>
            <w:vAlign w:val="bottom"/>
            <w:tcBorders>
              <w:bottom w:val="single" w:sz="8" w:color="A6A6A6"/>
            </w:tcBorders>
          </w:tcPr>
          <w:p>
            <w:pPr>
              <w:spacing w:after="0"/>
              <w:rPr>
                <w:sz w:val="5"/>
                <w:szCs w:val="5"/>
                <w:color w:val="auto"/>
              </w:rPr>
            </w:pPr>
          </w:p>
        </w:tc>
        <w:tc>
          <w:tcPr>
            <w:tcW w:w="90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4940" w:type="dxa"/>
            <w:vAlign w:val="bottom"/>
          </w:tcPr>
          <w:p>
            <w:pPr>
              <w:ind w:left="200"/>
              <w:spacing w:after="0"/>
              <w:rPr>
                <w:sz w:val="20"/>
                <w:szCs w:val="20"/>
                <w:color w:val="auto"/>
              </w:rPr>
            </w:pPr>
            <w:r>
              <w:rPr>
                <w:rFonts w:ascii="Arial Narrow" w:cs="Arial Narrow" w:eastAsia="Arial Narrow" w:hAnsi="Arial Narrow"/>
                <w:sz w:val="20"/>
                <w:szCs w:val="20"/>
                <w:b w:val="1"/>
                <w:bCs w:val="1"/>
                <w:color w:val="00085E"/>
              </w:rPr>
              <w:t>Valuation Allowance</w:t>
            </w: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Narrow" w:cs="Arial Narrow" w:eastAsia="Arial Narrow" w:hAnsi="Arial Narrow"/>
                <w:sz w:val="20"/>
                <w:szCs w:val="20"/>
                <w:color w:val="auto"/>
              </w:rPr>
              <w:t>(4,100)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Narrow" w:cs="Arial Narrow" w:eastAsia="Arial Narrow" w:hAnsi="Arial Narrow"/>
                <w:sz w:val="20"/>
                <w:szCs w:val="20"/>
                <w:color w:val="auto"/>
              </w:rPr>
              <w:t>(3,000)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4940" w:type="dxa"/>
            <w:vAlign w:val="bottom"/>
            <w:tcBorders>
              <w:bottom w:val="single" w:sz="8" w:color="A6A6A6"/>
            </w:tcBorders>
          </w:tcPr>
          <w:p>
            <w:pPr>
              <w:spacing w:after="0"/>
              <w:rPr>
                <w:sz w:val="7"/>
                <w:szCs w:val="7"/>
                <w:color w:val="auto"/>
              </w:rPr>
            </w:pPr>
          </w:p>
        </w:tc>
        <w:tc>
          <w:tcPr>
            <w:tcW w:w="1160" w:type="dxa"/>
            <w:vAlign w:val="bottom"/>
            <w:tcBorders>
              <w:bottom w:val="single" w:sz="8" w:color="A6A6A6"/>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4"/>
        </w:trPr>
        <w:tc>
          <w:tcPr>
            <w:tcW w:w="4940" w:type="dxa"/>
            <w:vAlign w:val="bottom"/>
          </w:tcPr>
          <w:p>
            <w:pPr>
              <w:ind w:left="200"/>
              <w:spacing w:after="0"/>
              <w:rPr>
                <w:sz w:val="20"/>
                <w:szCs w:val="20"/>
                <w:color w:val="auto"/>
              </w:rPr>
            </w:pPr>
            <w:r>
              <w:rPr>
                <w:rFonts w:ascii="Arial Narrow" w:cs="Arial Narrow" w:eastAsia="Arial Narrow" w:hAnsi="Arial Narrow"/>
                <w:sz w:val="20"/>
                <w:szCs w:val="20"/>
                <w:b w:val="1"/>
                <w:bCs w:val="1"/>
                <w:color w:val="auto"/>
              </w:rPr>
              <w:t>Total Deferred Tax Assets</w:t>
            </w: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right"/>
              <w:ind w:right="22"/>
              <w:spacing w:after="0"/>
              <w:rPr>
                <w:sz w:val="20"/>
                <w:szCs w:val="20"/>
                <w:color w:val="auto"/>
              </w:rPr>
            </w:pPr>
            <w:r>
              <w:rPr>
                <w:rFonts w:ascii="Arial Narrow" w:cs="Arial Narrow" w:eastAsia="Arial Narrow" w:hAnsi="Arial Narrow"/>
                <w:sz w:val="20"/>
                <w:szCs w:val="20"/>
                <w:color w:val="auto"/>
              </w:rPr>
              <w:t>36,688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jc w:val="right"/>
              <w:ind w:right="21"/>
              <w:spacing w:after="0"/>
              <w:rPr>
                <w:sz w:val="20"/>
                <w:szCs w:val="20"/>
                <w:color w:val="auto"/>
              </w:rPr>
            </w:pPr>
            <w:r>
              <w:rPr>
                <w:rFonts w:ascii="Arial Narrow" w:cs="Arial Narrow" w:eastAsia="Arial Narrow" w:hAnsi="Arial Narrow"/>
                <w:sz w:val="20"/>
                <w:szCs w:val="20"/>
                <w:color w:val="auto"/>
              </w:rPr>
              <w:t>37,220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4940" w:type="dxa"/>
            <w:vAlign w:val="bottom"/>
            <w:tcBorders>
              <w:bottom w:val="single" w:sz="8" w:color="A6A6A6"/>
            </w:tcBorders>
          </w:tcPr>
          <w:p>
            <w:pPr>
              <w:spacing w:after="0"/>
              <w:rPr>
                <w:sz w:val="7"/>
                <w:szCs w:val="7"/>
                <w:color w:val="auto"/>
              </w:rPr>
            </w:pPr>
          </w:p>
        </w:tc>
        <w:tc>
          <w:tcPr>
            <w:tcW w:w="1160" w:type="dxa"/>
            <w:vAlign w:val="bottom"/>
            <w:tcBorders>
              <w:bottom w:val="single" w:sz="8" w:color="A6A6A6"/>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4"/>
        </w:trPr>
        <w:tc>
          <w:tcPr>
            <w:tcW w:w="4940" w:type="dxa"/>
            <w:vAlign w:val="bottom"/>
          </w:tcPr>
          <w:p>
            <w:pPr>
              <w:spacing w:after="0"/>
              <w:rPr>
                <w:sz w:val="20"/>
                <w:szCs w:val="20"/>
                <w:color w:val="auto"/>
              </w:rPr>
            </w:pPr>
            <w:r>
              <w:rPr>
                <w:rFonts w:ascii="Arial Narrow" w:cs="Arial Narrow" w:eastAsia="Arial Narrow" w:hAnsi="Arial Narrow"/>
                <w:sz w:val="20"/>
                <w:szCs w:val="20"/>
                <w:b w:val="1"/>
                <w:bCs w:val="1"/>
                <w:color w:val="auto"/>
              </w:rPr>
              <w:t>Deferred Income Taxes, net</w:t>
            </w:r>
          </w:p>
        </w:tc>
        <w:tc>
          <w:tcPr>
            <w:tcW w:w="1440" w:type="dxa"/>
            <w:vAlign w:val="bottom"/>
            <w:gridSpan w:val="2"/>
          </w:tcPr>
          <w:p>
            <w:pPr>
              <w:jc w:val="right"/>
              <w:ind w:right="180"/>
              <w:spacing w:after="0"/>
              <w:rPr>
                <w:sz w:val="20"/>
                <w:szCs w:val="20"/>
                <w:color w:val="auto"/>
              </w:rPr>
            </w:pPr>
            <w:r>
              <w:rPr>
                <w:rFonts w:ascii="Arial Narrow" w:cs="Arial Narrow" w:eastAsia="Arial Narrow" w:hAnsi="Arial Narrow"/>
                <w:sz w:val="20"/>
                <w:szCs w:val="20"/>
                <w:b w:val="1"/>
                <w:bCs w:val="1"/>
                <w:color w:val="auto"/>
              </w:rPr>
              <w:t>$</w:t>
            </w:r>
          </w:p>
        </w:tc>
        <w:tc>
          <w:tcPr>
            <w:tcW w:w="1200" w:type="dxa"/>
            <w:vAlign w:val="bottom"/>
          </w:tcPr>
          <w:p>
            <w:pPr>
              <w:jc w:val="right"/>
              <w:spacing w:after="0"/>
              <w:rPr>
                <w:sz w:val="20"/>
                <w:szCs w:val="20"/>
                <w:color w:val="auto"/>
              </w:rPr>
            </w:pPr>
            <w:r>
              <w:rPr>
                <w:rFonts w:ascii="Arial Narrow" w:cs="Arial Narrow" w:eastAsia="Arial Narrow" w:hAnsi="Arial Narrow"/>
                <w:sz w:val="20"/>
                <w:szCs w:val="20"/>
                <w:b w:val="1"/>
                <w:bCs w:val="1"/>
                <w:color w:val="auto"/>
              </w:rPr>
              <w:t>(262,662)</w:t>
            </w:r>
          </w:p>
        </w:tc>
        <w:tc>
          <w:tcPr>
            <w:tcW w:w="80" w:type="dxa"/>
            <w:vAlign w:val="bottom"/>
          </w:tcPr>
          <w:p>
            <w:pPr>
              <w:spacing w:after="0"/>
              <w:rPr>
                <w:sz w:val="24"/>
                <w:szCs w:val="24"/>
                <w:color w:val="auto"/>
              </w:rPr>
            </w:pPr>
          </w:p>
        </w:tc>
        <w:tc>
          <w:tcPr>
            <w:tcW w:w="720" w:type="dxa"/>
            <w:vAlign w:val="bottom"/>
            <w:gridSpan w:val="2"/>
          </w:tcPr>
          <w:p>
            <w:pPr>
              <w:jc w:val="right"/>
              <w:ind w:right="460"/>
              <w:spacing w:after="0"/>
              <w:rPr>
                <w:sz w:val="20"/>
                <w:szCs w:val="20"/>
                <w:color w:val="auto"/>
              </w:rPr>
            </w:pPr>
            <w:r>
              <w:rPr>
                <w:rFonts w:ascii="Arial Narrow" w:cs="Arial Narrow" w:eastAsia="Arial Narrow" w:hAnsi="Arial Narrow"/>
                <w:sz w:val="20"/>
                <w:szCs w:val="20"/>
                <w:b w:val="1"/>
                <w:bCs w:val="1"/>
                <w:color w:val="auto"/>
              </w:rPr>
              <w:t>$</w:t>
            </w:r>
          </w:p>
        </w:tc>
        <w:tc>
          <w:tcPr>
            <w:tcW w:w="900" w:type="dxa"/>
            <w:vAlign w:val="bottom"/>
          </w:tcPr>
          <w:p>
            <w:pPr>
              <w:jc w:val="right"/>
              <w:spacing w:after="0"/>
              <w:rPr>
                <w:sz w:val="20"/>
                <w:szCs w:val="20"/>
                <w:color w:val="auto"/>
              </w:rPr>
            </w:pPr>
            <w:r>
              <w:rPr>
                <w:rFonts w:ascii="Arial Narrow" w:cs="Arial Narrow" w:eastAsia="Arial Narrow" w:hAnsi="Arial Narrow"/>
                <w:sz w:val="20"/>
                <w:szCs w:val="20"/>
                <w:b w:val="1"/>
                <w:bCs w:val="1"/>
                <w:color w:val="auto"/>
              </w:rPr>
              <w:t>(239,942)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49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ind w:right="240"/>
        <w:spacing w:after="0" w:line="292" w:lineRule="auto"/>
        <w:rPr>
          <w:sz w:val="20"/>
          <w:szCs w:val="20"/>
          <w:color w:val="auto"/>
        </w:rPr>
      </w:pPr>
      <w:r>
        <w:rPr>
          <w:rFonts w:ascii="Arial" w:cs="Arial" w:eastAsia="Arial" w:hAnsi="Arial"/>
          <w:sz w:val="20"/>
          <w:szCs w:val="20"/>
          <w:color w:val="auto"/>
        </w:rPr>
        <w:t>We record Deferred Tax Assets and Liabilities based upon estimates of their realizable value with such estimates based upon likely future tax consequences. In assessing the need for a Valuation Allowance, we consider both positive and negative evidence related to the likelihood of realization of the Deferred Tax Assets. If, based on the weight of available evidence, it is more likely than not that a Deferred Tax Asset will not be realized, we record a Valuation Allowance.</w:t>
      </w:r>
    </w:p>
    <w:p>
      <w:pPr>
        <w:spacing w:after="0" w:line="71" w:lineRule="exact"/>
        <w:rPr>
          <w:sz w:val="20"/>
          <w:szCs w:val="20"/>
          <w:color w:val="auto"/>
        </w:rPr>
      </w:pPr>
    </w:p>
    <w:p>
      <w:pPr>
        <w:ind w:right="80"/>
        <w:spacing w:after="0" w:line="355" w:lineRule="auto"/>
        <w:rPr>
          <w:sz w:val="20"/>
          <w:szCs w:val="20"/>
          <w:color w:val="auto"/>
        </w:rPr>
      </w:pPr>
      <w:r>
        <w:rPr>
          <w:rFonts w:ascii="Arial" w:cs="Arial" w:eastAsia="Arial" w:hAnsi="Arial"/>
          <w:sz w:val="19"/>
          <w:szCs w:val="19"/>
          <w:color w:val="auto"/>
        </w:rPr>
        <w:t>We had state net operating loss carryforward deferred tax assets of $1.6 million at both March 31, 2026 and 2025, net of Valuation Allowances. We have state income tax credit carryforward deferred tax assets</w:t>
      </w:r>
    </w:p>
    <w:p>
      <w:pPr>
        <w:sectPr>
          <w:pgSz w:w="11880" w:h="15480" w:orient="portrait"/>
          <w:cols w:equalWidth="0" w:num="1">
            <w:col w:w="9360"/>
          </w:cols>
          <w:pgMar w:left="1260" w:top="1267" w:right="1260" w:bottom="7"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101</w:t>
      </w:r>
    </w:p>
    <w:p>
      <w:pPr>
        <w:sectPr>
          <w:pgSz w:w="11880" w:h="15480" w:orient="portrait"/>
          <w:cols w:equalWidth="0" w:num="1">
            <w:col w:w="9360"/>
          </w:cols>
          <w:pgMar w:left="1260" w:top="1267" w:right="1260" w:bottom="7" w:gutter="0" w:footer="0" w:header="0"/>
          <w:type w:val="continuous"/>
        </w:sectPr>
      </w:pPr>
    </w:p>
    <w:bookmarkStart w:id="109" w:name="page110"/>
    <w:bookmarkEnd w:id="109"/>
    <w:p>
      <w:pPr>
        <w:ind w:right="260"/>
        <w:spacing w:after="0" w:line="325" w:lineRule="auto"/>
        <w:rPr>
          <w:sz w:val="20"/>
          <w:szCs w:val="20"/>
          <w:color w:val="auto"/>
        </w:rPr>
      </w:pPr>
      <w:r>
        <w:rPr>
          <w:rFonts w:ascii="Arial" w:cs="Arial" w:eastAsia="Arial" w:hAnsi="Arial"/>
          <w:sz w:val="20"/>
          <w:szCs w:val="20"/>
          <w:color w:val="auto"/>
        </w:rPr>
        <w:t>of $7.9 million at March 31, 2026, and $8.3 million at March 31, 2025, net of Valuation Allowances. The state income tax credits may be carried forward indefinitely.</w:t>
      </w:r>
    </w:p>
    <w:p>
      <w:pPr>
        <w:spacing w:after="0" w:line="37" w:lineRule="exact"/>
        <w:rPr>
          <w:sz w:val="20"/>
          <w:szCs w:val="20"/>
          <w:color w:val="auto"/>
        </w:rPr>
      </w:pPr>
    </w:p>
    <w:p>
      <w:pPr>
        <w:ind w:right="660"/>
        <w:spacing w:after="0" w:line="355" w:lineRule="auto"/>
        <w:rPr>
          <w:sz w:val="20"/>
          <w:szCs w:val="20"/>
          <w:color w:val="auto"/>
        </w:rPr>
      </w:pPr>
      <w:r>
        <w:rPr>
          <w:rFonts w:ascii="Arial" w:cs="Arial" w:eastAsia="Arial" w:hAnsi="Arial"/>
          <w:sz w:val="19"/>
          <w:szCs w:val="19"/>
          <w:color w:val="auto"/>
        </w:rPr>
        <w:t>We file income tax returns in U.S. federal and various state jurisdictions. The Company is currently subject to U.S. federal income tax examinations for the year ended March 31, 2023, and forward.</w:t>
      </w:r>
    </w:p>
    <w:p>
      <w:pPr>
        <w:spacing w:after="0" w:line="14" w:lineRule="exact"/>
        <w:rPr>
          <w:sz w:val="20"/>
          <w:szCs w:val="20"/>
          <w:color w:val="auto"/>
        </w:rPr>
      </w:pPr>
    </w:p>
    <w:p>
      <w:pPr>
        <w:ind w:right="100"/>
        <w:spacing w:after="0" w:line="290" w:lineRule="auto"/>
        <w:rPr>
          <w:sz w:val="20"/>
          <w:szCs w:val="20"/>
          <w:color w:val="auto"/>
        </w:rPr>
      </w:pPr>
      <w:r>
        <w:rPr>
          <w:rFonts w:ascii="Arial" w:cs="Arial" w:eastAsia="Arial" w:hAnsi="Arial"/>
          <w:sz w:val="20"/>
          <w:szCs w:val="20"/>
          <w:color w:val="auto"/>
        </w:rPr>
        <w:t>On July 4, 2025, H.R.1 - One Big Beautiful Bill Act (OBBBA) was signed into law. The OBBBA, among other provisions, makes permanent 100% bonus depreciation and restores expensing of domestic research expenditures. Changes in tax laws are recognized in the period of enactment. OBBBA did not have a material impact on the Company’s annual income tax rate or income tax expense, but the bonus depreciation provisions of the act have affected the timing of income tax payments in current periods and will affect the timing of income tax payments in future periods.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085E"/>
        </w:rPr>
        <w:t>Uncertain Tax Positions</w:t>
      </w:r>
    </w:p>
    <w:p>
      <w:pPr>
        <w:spacing w:after="0" w:line="160" w:lineRule="exact"/>
        <w:rPr>
          <w:sz w:val="20"/>
          <w:szCs w:val="20"/>
          <w:color w:val="auto"/>
        </w:rPr>
      </w:pPr>
    </w:p>
    <w:p>
      <w:pPr>
        <w:ind w:right="60"/>
        <w:spacing w:after="0" w:line="296" w:lineRule="auto"/>
        <w:rPr>
          <w:sz w:val="20"/>
          <w:szCs w:val="20"/>
          <w:color w:val="auto"/>
        </w:rPr>
      </w:pPr>
      <w:r>
        <w:rPr>
          <w:rFonts w:ascii="Arial" w:cs="Arial" w:eastAsia="Arial" w:hAnsi="Arial"/>
          <w:sz w:val="20"/>
          <w:szCs w:val="20"/>
          <w:color w:val="auto"/>
        </w:rPr>
        <w:t>We are subject to audit examinations at federal, state, and local levels by tax authorities in those jurisdictions who may challenge the treatment or reporting of any return item. The tax matters challenged by the tax authorities are typically complex; therefore, the ultimate outcome of these challenges is subject to uncertainty.</w:t>
      </w:r>
    </w:p>
    <w:p>
      <w:pPr>
        <w:spacing w:after="0" w:line="65" w:lineRule="exact"/>
        <w:rPr>
          <w:sz w:val="20"/>
          <w:szCs w:val="20"/>
          <w:color w:val="auto"/>
        </w:rPr>
      </w:pPr>
    </w:p>
    <w:p>
      <w:pPr>
        <w:ind w:right="160"/>
        <w:spacing w:after="0" w:line="296" w:lineRule="auto"/>
        <w:rPr>
          <w:sz w:val="20"/>
          <w:szCs w:val="20"/>
          <w:color w:val="auto"/>
        </w:rPr>
      </w:pPr>
      <w:r>
        <w:rPr>
          <w:rFonts w:ascii="Arial" w:cs="Arial" w:eastAsia="Arial" w:hAnsi="Arial"/>
          <w:sz w:val="20"/>
          <w:szCs w:val="20"/>
          <w:color w:val="auto"/>
        </w:rPr>
        <w:t>We review and assess all tax positions subject to uncertainty on a more-likely-than-not standard with respect to the ultimate outcome if challenged. We measure and record tax benefit or expense only when the more-likely-than-not threshold is met. The changes in unrecognized tax benefits for the years ended March 31, 2026, 2025, and 2024 were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53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60" w:type="dxa"/>
            <w:vAlign w:val="bottom"/>
            <w:gridSpan w:val="6"/>
          </w:tcPr>
          <w:p>
            <w:pPr>
              <w:jc w:val="right"/>
              <w:ind w:right="240"/>
              <w:spacing w:after="0"/>
              <w:rPr>
                <w:sz w:val="20"/>
                <w:szCs w:val="20"/>
                <w:color w:val="auto"/>
              </w:rPr>
            </w:pPr>
            <w:r>
              <w:rPr>
                <w:rFonts w:ascii="Arial Narrow" w:cs="Arial Narrow" w:eastAsia="Arial Narrow" w:hAnsi="Arial Narrow"/>
                <w:sz w:val="18"/>
                <w:szCs w:val="18"/>
                <w:b w:val="1"/>
                <w:bCs w:val="1"/>
                <w:color w:val="auto"/>
              </w:rPr>
              <w:t>For the Years Ended March 31,</w:t>
            </w:r>
          </w:p>
        </w:tc>
        <w:tc>
          <w:tcPr>
            <w:tcW w:w="740" w:type="dxa"/>
            <w:vAlign w:val="bottom"/>
          </w:tcPr>
          <w:p>
            <w:pPr>
              <w:spacing w:after="0"/>
              <w:rPr>
                <w:sz w:val="22"/>
                <w:szCs w:val="22"/>
                <w:color w:val="auto"/>
              </w:rPr>
            </w:pPr>
          </w:p>
        </w:tc>
      </w:tr>
      <w:tr>
        <w:trPr>
          <w:trHeight w:val="21"/>
        </w:trPr>
        <w:tc>
          <w:tcPr>
            <w:tcW w:w="5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69"/>
        </w:trPr>
        <w:tc>
          <w:tcPr>
            <w:tcW w:w="5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ind w:right="2"/>
              <w:spacing w:after="0"/>
              <w:rPr>
                <w:sz w:val="20"/>
                <w:szCs w:val="20"/>
                <w:color w:val="auto"/>
              </w:rPr>
            </w:pPr>
            <w:r>
              <w:rPr>
                <w:rFonts w:ascii="Arial Narrow" w:cs="Arial Narrow" w:eastAsia="Arial Narrow" w:hAnsi="Arial Narrow"/>
                <w:sz w:val="18"/>
                <w:szCs w:val="18"/>
                <w:b w:val="1"/>
                <w:bCs w:val="1"/>
                <w:color w:val="auto"/>
              </w:rPr>
              <w:t>2026</w:t>
            </w: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Narrow" w:cs="Arial Narrow" w:eastAsia="Arial Narrow" w:hAnsi="Arial Narrow"/>
                <w:sz w:val="18"/>
                <w:szCs w:val="18"/>
                <w:b w:val="1"/>
                <w:bCs w:val="1"/>
                <w:color w:val="auto"/>
              </w:rPr>
              <w:t>2025</w:t>
            </w: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jc w:val="right"/>
              <w:ind w:right="1"/>
              <w:spacing w:after="0"/>
              <w:rPr>
                <w:sz w:val="20"/>
                <w:szCs w:val="20"/>
                <w:color w:val="auto"/>
              </w:rPr>
            </w:pPr>
            <w:r>
              <w:rPr>
                <w:rFonts w:ascii="Arial Narrow" w:cs="Arial Narrow" w:eastAsia="Arial Narrow" w:hAnsi="Arial Narrow"/>
                <w:sz w:val="18"/>
                <w:szCs w:val="18"/>
                <w:b w:val="1"/>
                <w:bCs w:val="1"/>
                <w:color w:val="auto"/>
              </w:rPr>
              <w:t>2024</w:t>
            </w:r>
          </w:p>
        </w:tc>
      </w:tr>
      <w:tr>
        <w:trPr>
          <w:trHeight w:val="21"/>
        </w:trPr>
        <w:tc>
          <w:tcPr>
            <w:tcW w:w="5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44"/>
        </w:trPr>
        <w:tc>
          <w:tcPr>
            <w:tcW w:w="5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80" w:type="dxa"/>
            <w:vAlign w:val="bottom"/>
            <w:gridSpan w:val="3"/>
          </w:tcPr>
          <w:p>
            <w:pPr>
              <w:jc w:val="right"/>
              <w:spacing w:after="0"/>
              <w:rPr>
                <w:sz w:val="20"/>
                <w:szCs w:val="20"/>
                <w:color w:val="auto"/>
              </w:rPr>
            </w:pPr>
            <w:r>
              <w:rPr>
                <w:rFonts w:ascii="Arial Narrow" w:cs="Arial Narrow" w:eastAsia="Arial Narrow" w:hAnsi="Arial Narrow"/>
                <w:sz w:val="16"/>
                <w:szCs w:val="16"/>
                <w:color w:val="auto"/>
              </w:rPr>
              <w:t>(dollars in thousands)</w:t>
            </w: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48"/>
        </w:trPr>
        <w:tc>
          <w:tcPr>
            <w:tcW w:w="53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gridSpan w:val="2"/>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gridSpan w:val="2"/>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r>
      <w:tr>
        <w:trPr>
          <w:trHeight w:val="344"/>
        </w:trPr>
        <w:tc>
          <w:tcPr>
            <w:tcW w:w="5340" w:type="dxa"/>
            <w:vAlign w:val="bottom"/>
          </w:tcPr>
          <w:p>
            <w:pPr>
              <w:spacing w:after="0"/>
              <w:rPr>
                <w:sz w:val="20"/>
                <w:szCs w:val="20"/>
                <w:color w:val="auto"/>
              </w:rPr>
            </w:pPr>
            <w:r>
              <w:rPr>
                <w:rFonts w:ascii="Arial Narrow" w:cs="Arial Narrow" w:eastAsia="Arial Narrow" w:hAnsi="Arial Narrow"/>
                <w:sz w:val="20"/>
                <w:szCs w:val="20"/>
                <w:b w:val="1"/>
                <w:bCs w:val="1"/>
                <w:color w:val="00085E"/>
              </w:rPr>
              <w:t>Balance at Beginning of Year</w:t>
            </w:r>
          </w:p>
        </w:tc>
        <w:tc>
          <w:tcPr>
            <w:tcW w:w="420" w:type="dxa"/>
            <w:vAlign w:val="bottom"/>
          </w:tcPr>
          <w:p>
            <w:pPr>
              <w:jc w:val="right"/>
              <w:ind w:right="220"/>
              <w:spacing w:after="0"/>
              <w:rPr>
                <w:sz w:val="20"/>
                <w:szCs w:val="20"/>
                <w:color w:val="auto"/>
              </w:rPr>
            </w:pPr>
            <w:r>
              <w:rPr>
                <w:rFonts w:ascii="Arial Narrow" w:cs="Arial Narrow" w:eastAsia="Arial Narrow" w:hAnsi="Arial Narrow"/>
                <w:sz w:val="20"/>
                <w:szCs w:val="20"/>
                <w:color w:val="auto"/>
                <w:w w:val="87"/>
              </w:rPr>
              <w:t>$</w:t>
            </w:r>
          </w:p>
        </w:tc>
        <w:tc>
          <w:tcPr>
            <w:tcW w:w="840" w:type="dxa"/>
            <w:vAlign w:val="bottom"/>
          </w:tcPr>
          <w:p>
            <w:pPr>
              <w:jc w:val="right"/>
              <w:ind w:right="2"/>
              <w:spacing w:after="0"/>
              <w:rPr>
                <w:sz w:val="20"/>
                <w:szCs w:val="20"/>
                <w:color w:val="auto"/>
              </w:rPr>
            </w:pPr>
            <w:r>
              <w:rPr>
                <w:rFonts w:ascii="Arial Narrow" w:cs="Arial Narrow" w:eastAsia="Arial Narrow" w:hAnsi="Arial Narrow"/>
                <w:sz w:val="20"/>
                <w:szCs w:val="20"/>
                <w:color w:val="auto"/>
              </w:rPr>
              <w:t>—</w:t>
            </w:r>
          </w:p>
        </w:tc>
        <w:tc>
          <w:tcPr>
            <w:tcW w:w="520" w:type="dxa"/>
            <w:vAlign w:val="bottom"/>
            <w:gridSpan w:val="2"/>
          </w:tcPr>
          <w:p>
            <w:pPr>
              <w:jc w:val="right"/>
              <w:ind w:right="300"/>
              <w:spacing w:after="0"/>
              <w:rPr>
                <w:sz w:val="20"/>
                <w:szCs w:val="20"/>
                <w:color w:val="auto"/>
              </w:rPr>
            </w:pPr>
            <w:r>
              <w:rPr>
                <w:rFonts w:ascii="Arial Narrow" w:cs="Arial Narrow" w:eastAsia="Arial Narrow" w:hAnsi="Arial Narrow"/>
                <w:sz w:val="20"/>
                <w:szCs w:val="20"/>
                <w:color w:val="auto"/>
              </w:rPr>
              <w:t>$</w:t>
            </w:r>
          </w:p>
        </w:tc>
        <w:tc>
          <w:tcPr>
            <w:tcW w:w="860" w:type="dxa"/>
            <w:vAlign w:val="bottom"/>
          </w:tcPr>
          <w:p>
            <w:pPr>
              <w:jc w:val="right"/>
              <w:ind w:right="21"/>
              <w:spacing w:after="0"/>
              <w:rPr>
                <w:sz w:val="20"/>
                <w:szCs w:val="20"/>
                <w:color w:val="auto"/>
              </w:rPr>
            </w:pPr>
            <w:r>
              <w:rPr>
                <w:rFonts w:ascii="Arial Narrow" w:cs="Arial Narrow" w:eastAsia="Arial Narrow" w:hAnsi="Arial Narrow"/>
                <w:sz w:val="20"/>
                <w:szCs w:val="20"/>
                <w:color w:val="auto"/>
              </w:rPr>
              <w:t>1,284</w:t>
            </w:r>
          </w:p>
        </w:tc>
        <w:tc>
          <w:tcPr>
            <w:tcW w:w="640" w:type="dxa"/>
            <w:vAlign w:val="bottom"/>
            <w:gridSpan w:val="2"/>
          </w:tcPr>
          <w:p>
            <w:pPr>
              <w:jc w:val="right"/>
              <w:ind w:right="420"/>
              <w:spacing w:after="0"/>
              <w:rPr>
                <w:sz w:val="20"/>
                <w:szCs w:val="20"/>
                <w:color w:val="auto"/>
              </w:rPr>
            </w:pPr>
            <w:r>
              <w:rPr>
                <w:rFonts w:ascii="Arial Narrow" w:cs="Arial Narrow" w:eastAsia="Arial Narrow" w:hAnsi="Arial Narrow"/>
                <w:sz w:val="20"/>
                <w:szCs w:val="20"/>
                <w:color w:val="auto"/>
              </w:rPr>
              <w:t>$</w:t>
            </w:r>
          </w:p>
        </w:tc>
        <w:tc>
          <w:tcPr>
            <w:tcW w:w="740" w:type="dxa"/>
            <w:vAlign w:val="bottom"/>
          </w:tcPr>
          <w:p>
            <w:pPr>
              <w:jc w:val="right"/>
              <w:ind w:right="1"/>
              <w:spacing w:after="0"/>
              <w:rPr>
                <w:sz w:val="20"/>
                <w:szCs w:val="20"/>
                <w:color w:val="auto"/>
              </w:rPr>
            </w:pPr>
            <w:r>
              <w:rPr>
                <w:rFonts w:ascii="Arial Narrow" w:cs="Arial Narrow" w:eastAsia="Arial Narrow" w:hAnsi="Arial Narrow"/>
                <w:sz w:val="20"/>
                <w:szCs w:val="20"/>
                <w:color w:val="auto"/>
              </w:rPr>
              <w:t>1,284</w:t>
            </w:r>
          </w:p>
        </w:tc>
      </w:tr>
      <w:tr>
        <w:trPr>
          <w:trHeight w:val="65"/>
        </w:trPr>
        <w:tc>
          <w:tcPr>
            <w:tcW w:w="5340" w:type="dxa"/>
            <w:vAlign w:val="bottom"/>
            <w:tcBorders>
              <w:bottom w:val="single" w:sz="8" w:color="A6A6A6"/>
            </w:tcBorders>
          </w:tcPr>
          <w:p>
            <w:pPr>
              <w:spacing w:after="0"/>
              <w:rPr>
                <w:sz w:val="5"/>
                <w:szCs w:val="5"/>
                <w:color w:val="auto"/>
              </w:rPr>
            </w:pPr>
          </w:p>
        </w:tc>
        <w:tc>
          <w:tcPr>
            <w:tcW w:w="420" w:type="dxa"/>
            <w:vAlign w:val="bottom"/>
            <w:tcBorders>
              <w:bottom w:val="single" w:sz="8" w:color="A6A6A6"/>
            </w:tcBorders>
          </w:tcPr>
          <w:p>
            <w:pPr>
              <w:spacing w:after="0"/>
              <w:rPr>
                <w:sz w:val="5"/>
                <w:szCs w:val="5"/>
                <w:color w:val="auto"/>
              </w:rPr>
            </w:pPr>
          </w:p>
        </w:tc>
        <w:tc>
          <w:tcPr>
            <w:tcW w:w="84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380" w:type="dxa"/>
            <w:vAlign w:val="bottom"/>
            <w:tcBorders>
              <w:bottom w:val="single" w:sz="8" w:color="A6A6A6"/>
            </w:tcBorders>
          </w:tcPr>
          <w:p>
            <w:pPr>
              <w:spacing w:after="0"/>
              <w:rPr>
                <w:sz w:val="5"/>
                <w:szCs w:val="5"/>
                <w:color w:val="auto"/>
              </w:rPr>
            </w:pPr>
          </w:p>
        </w:tc>
        <w:tc>
          <w:tcPr>
            <w:tcW w:w="86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50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r>
      <w:tr>
        <w:trPr>
          <w:trHeight w:val="339"/>
        </w:trPr>
        <w:tc>
          <w:tcPr>
            <w:tcW w:w="5340" w:type="dxa"/>
            <w:vAlign w:val="bottom"/>
          </w:tcPr>
          <w:p>
            <w:pPr>
              <w:ind w:left="200"/>
              <w:spacing w:after="0"/>
              <w:rPr>
                <w:sz w:val="20"/>
                <w:szCs w:val="20"/>
                <w:color w:val="auto"/>
              </w:rPr>
            </w:pPr>
            <w:r>
              <w:rPr>
                <w:rFonts w:ascii="Arial Narrow" w:cs="Arial Narrow" w:eastAsia="Arial Narrow" w:hAnsi="Arial Narrow"/>
                <w:sz w:val="20"/>
                <w:szCs w:val="20"/>
                <w:b w:val="1"/>
                <w:bCs w:val="1"/>
                <w:color w:val="00085E"/>
              </w:rPr>
              <w:t>Increase for Tax Positions Related to</w:t>
            </w: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65"/>
        </w:trPr>
        <w:tc>
          <w:tcPr>
            <w:tcW w:w="5340" w:type="dxa"/>
            <w:vAlign w:val="bottom"/>
            <w:tcBorders>
              <w:bottom w:val="single" w:sz="8" w:color="A6A6A6"/>
            </w:tcBorders>
          </w:tcPr>
          <w:p>
            <w:pPr>
              <w:spacing w:after="0"/>
              <w:rPr>
                <w:sz w:val="5"/>
                <w:szCs w:val="5"/>
                <w:color w:val="auto"/>
              </w:rPr>
            </w:pPr>
          </w:p>
        </w:tc>
        <w:tc>
          <w:tcPr>
            <w:tcW w:w="420" w:type="dxa"/>
            <w:vAlign w:val="bottom"/>
            <w:tcBorders>
              <w:bottom w:val="single" w:sz="8" w:color="A6A6A6"/>
            </w:tcBorders>
          </w:tcPr>
          <w:p>
            <w:pPr>
              <w:spacing w:after="0"/>
              <w:rPr>
                <w:sz w:val="5"/>
                <w:szCs w:val="5"/>
                <w:color w:val="auto"/>
              </w:rPr>
            </w:pPr>
          </w:p>
        </w:tc>
        <w:tc>
          <w:tcPr>
            <w:tcW w:w="84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380" w:type="dxa"/>
            <w:vAlign w:val="bottom"/>
            <w:tcBorders>
              <w:bottom w:val="single" w:sz="8" w:color="A6A6A6"/>
            </w:tcBorders>
          </w:tcPr>
          <w:p>
            <w:pPr>
              <w:spacing w:after="0"/>
              <w:rPr>
                <w:sz w:val="5"/>
                <w:szCs w:val="5"/>
                <w:color w:val="auto"/>
              </w:rPr>
            </w:pPr>
          </w:p>
        </w:tc>
        <w:tc>
          <w:tcPr>
            <w:tcW w:w="86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50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r>
      <w:tr>
        <w:trPr>
          <w:trHeight w:val="339"/>
        </w:trPr>
        <w:tc>
          <w:tcPr>
            <w:tcW w:w="5340" w:type="dxa"/>
            <w:vAlign w:val="bottom"/>
          </w:tcPr>
          <w:p>
            <w:pPr>
              <w:ind w:left="620"/>
              <w:spacing w:after="0"/>
              <w:rPr>
                <w:sz w:val="20"/>
                <w:szCs w:val="20"/>
                <w:color w:val="auto"/>
              </w:rPr>
            </w:pPr>
            <w:r>
              <w:rPr>
                <w:rFonts w:ascii="Arial Narrow" w:cs="Arial Narrow" w:eastAsia="Arial Narrow" w:hAnsi="Arial Narrow"/>
                <w:sz w:val="20"/>
                <w:szCs w:val="20"/>
                <w:b w:val="1"/>
                <w:bCs w:val="1"/>
                <w:color w:val="00085E"/>
              </w:rPr>
              <w:t>Current Year</w:t>
            </w:r>
          </w:p>
        </w:tc>
        <w:tc>
          <w:tcPr>
            <w:tcW w:w="420" w:type="dxa"/>
            <w:vAlign w:val="bottom"/>
          </w:tcPr>
          <w:p>
            <w:pPr>
              <w:spacing w:after="0"/>
              <w:rPr>
                <w:sz w:val="24"/>
                <w:szCs w:val="24"/>
                <w:color w:val="auto"/>
              </w:rPr>
            </w:pPr>
          </w:p>
        </w:tc>
        <w:tc>
          <w:tcPr>
            <w:tcW w:w="840" w:type="dxa"/>
            <w:vAlign w:val="bottom"/>
          </w:tcPr>
          <w:p>
            <w:pPr>
              <w:jc w:val="right"/>
              <w:ind w:right="2"/>
              <w:spacing w:after="0"/>
              <w:rPr>
                <w:sz w:val="20"/>
                <w:szCs w:val="20"/>
                <w:color w:val="auto"/>
              </w:rPr>
            </w:pPr>
            <w:r>
              <w:rPr>
                <w:rFonts w:ascii="Arial Narrow" w:cs="Arial Narrow" w:eastAsia="Arial Narrow" w:hAnsi="Arial Narrow"/>
                <w:sz w:val="20"/>
                <w:szCs w:val="20"/>
                <w:color w:val="auto"/>
              </w:rPr>
              <w:t>600</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ind w:right="21"/>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jc w:val="right"/>
              <w:ind w:right="1"/>
              <w:spacing w:after="0"/>
              <w:rPr>
                <w:sz w:val="20"/>
                <w:szCs w:val="20"/>
                <w:color w:val="auto"/>
              </w:rPr>
            </w:pPr>
            <w:r>
              <w:rPr>
                <w:rFonts w:ascii="Arial Narrow" w:cs="Arial Narrow" w:eastAsia="Arial Narrow" w:hAnsi="Arial Narrow"/>
                <w:sz w:val="20"/>
                <w:szCs w:val="20"/>
                <w:color w:val="auto"/>
              </w:rPr>
              <w:t>—</w:t>
            </w:r>
          </w:p>
        </w:tc>
      </w:tr>
      <w:tr>
        <w:trPr>
          <w:trHeight w:val="65"/>
        </w:trPr>
        <w:tc>
          <w:tcPr>
            <w:tcW w:w="5340" w:type="dxa"/>
            <w:vAlign w:val="bottom"/>
            <w:tcBorders>
              <w:bottom w:val="single" w:sz="8" w:color="A6A6A6"/>
            </w:tcBorders>
          </w:tcPr>
          <w:p>
            <w:pPr>
              <w:spacing w:after="0"/>
              <w:rPr>
                <w:sz w:val="5"/>
                <w:szCs w:val="5"/>
                <w:color w:val="auto"/>
              </w:rPr>
            </w:pPr>
          </w:p>
        </w:tc>
        <w:tc>
          <w:tcPr>
            <w:tcW w:w="420" w:type="dxa"/>
            <w:vAlign w:val="bottom"/>
            <w:tcBorders>
              <w:bottom w:val="single" w:sz="8" w:color="A6A6A6"/>
            </w:tcBorders>
          </w:tcPr>
          <w:p>
            <w:pPr>
              <w:spacing w:after="0"/>
              <w:rPr>
                <w:sz w:val="5"/>
                <w:szCs w:val="5"/>
                <w:color w:val="auto"/>
              </w:rPr>
            </w:pPr>
          </w:p>
        </w:tc>
        <w:tc>
          <w:tcPr>
            <w:tcW w:w="84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380" w:type="dxa"/>
            <w:vAlign w:val="bottom"/>
            <w:tcBorders>
              <w:bottom w:val="single" w:sz="8" w:color="A6A6A6"/>
            </w:tcBorders>
          </w:tcPr>
          <w:p>
            <w:pPr>
              <w:spacing w:after="0"/>
              <w:rPr>
                <w:sz w:val="5"/>
                <w:szCs w:val="5"/>
                <w:color w:val="auto"/>
              </w:rPr>
            </w:pPr>
          </w:p>
        </w:tc>
        <w:tc>
          <w:tcPr>
            <w:tcW w:w="86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50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r>
      <w:tr>
        <w:trPr>
          <w:trHeight w:val="339"/>
        </w:trPr>
        <w:tc>
          <w:tcPr>
            <w:tcW w:w="5340" w:type="dxa"/>
            <w:vAlign w:val="bottom"/>
          </w:tcPr>
          <w:p>
            <w:pPr>
              <w:ind w:left="620"/>
              <w:spacing w:after="0"/>
              <w:rPr>
                <w:sz w:val="20"/>
                <w:szCs w:val="20"/>
                <w:color w:val="auto"/>
              </w:rPr>
            </w:pPr>
            <w:r>
              <w:rPr>
                <w:rFonts w:ascii="Arial Narrow" w:cs="Arial Narrow" w:eastAsia="Arial Narrow" w:hAnsi="Arial Narrow"/>
                <w:sz w:val="20"/>
                <w:szCs w:val="20"/>
                <w:b w:val="1"/>
                <w:bCs w:val="1"/>
                <w:color w:val="00085E"/>
              </w:rPr>
              <w:t>Prior Year</w:t>
            </w:r>
          </w:p>
        </w:tc>
        <w:tc>
          <w:tcPr>
            <w:tcW w:w="420" w:type="dxa"/>
            <w:vAlign w:val="bottom"/>
          </w:tcPr>
          <w:p>
            <w:pPr>
              <w:spacing w:after="0"/>
              <w:rPr>
                <w:sz w:val="24"/>
                <w:szCs w:val="24"/>
                <w:color w:val="auto"/>
              </w:rPr>
            </w:pPr>
          </w:p>
        </w:tc>
        <w:tc>
          <w:tcPr>
            <w:tcW w:w="840" w:type="dxa"/>
            <w:vAlign w:val="bottom"/>
          </w:tcPr>
          <w:p>
            <w:pPr>
              <w:jc w:val="right"/>
              <w:ind w:right="2"/>
              <w:spacing w:after="0"/>
              <w:rPr>
                <w:sz w:val="20"/>
                <w:szCs w:val="20"/>
                <w:color w:val="auto"/>
              </w:rPr>
            </w:pPr>
            <w:r>
              <w:rPr>
                <w:rFonts w:ascii="Arial Narrow" w:cs="Arial Narrow" w:eastAsia="Arial Narrow" w:hAnsi="Arial Narrow"/>
                <w:sz w:val="20"/>
                <w:szCs w:val="20"/>
                <w:color w:val="auto"/>
              </w:rPr>
              <w:t>600</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ind w:right="21"/>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jc w:val="right"/>
              <w:ind w:right="1"/>
              <w:spacing w:after="0"/>
              <w:rPr>
                <w:sz w:val="20"/>
                <w:szCs w:val="20"/>
                <w:color w:val="auto"/>
              </w:rPr>
            </w:pPr>
            <w:r>
              <w:rPr>
                <w:rFonts w:ascii="Arial Narrow" w:cs="Arial Narrow" w:eastAsia="Arial Narrow" w:hAnsi="Arial Narrow"/>
                <w:sz w:val="20"/>
                <w:szCs w:val="20"/>
                <w:color w:val="auto"/>
              </w:rPr>
              <w:t>—</w:t>
            </w:r>
          </w:p>
        </w:tc>
      </w:tr>
      <w:tr>
        <w:trPr>
          <w:trHeight w:val="65"/>
        </w:trPr>
        <w:tc>
          <w:tcPr>
            <w:tcW w:w="5340" w:type="dxa"/>
            <w:vAlign w:val="bottom"/>
            <w:tcBorders>
              <w:bottom w:val="single" w:sz="8" w:color="A6A6A6"/>
            </w:tcBorders>
          </w:tcPr>
          <w:p>
            <w:pPr>
              <w:spacing w:after="0"/>
              <w:rPr>
                <w:sz w:val="5"/>
                <w:szCs w:val="5"/>
                <w:color w:val="auto"/>
              </w:rPr>
            </w:pPr>
          </w:p>
        </w:tc>
        <w:tc>
          <w:tcPr>
            <w:tcW w:w="420" w:type="dxa"/>
            <w:vAlign w:val="bottom"/>
            <w:tcBorders>
              <w:bottom w:val="single" w:sz="8" w:color="A6A6A6"/>
            </w:tcBorders>
          </w:tcPr>
          <w:p>
            <w:pPr>
              <w:spacing w:after="0"/>
              <w:rPr>
                <w:sz w:val="5"/>
                <w:szCs w:val="5"/>
                <w:color w:val="auto"/>
              </w:rPr>
            </w:pPr>
          </w:p>
        </w:tc>
        <w:tc>
          <w:tcPr>
            <w:tcW w:w="84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380" w:type="dxa"/>
            <w:vAlign w:val="bottom"/>
            <w:tcBorders>
              <w:bottom w:val="single" w:sz="8" w:color="A6A6A6"/>
            </w:tcBorders>
          </w:tcPr>
          <w:p>
            <w:pPr>
              <w:spacing w:after="0"/>
              <w:rPr>
                <w:sz w:val="5"/>
                <w:szCs w:val="5"/>
                <w:color w:val="auto"/>
              </w:rPr>
            </w:pPr>
          </w:p>
        </w:tc>
        <w:tc>
          <w:tcPr>
            <w:tcW w:w="86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50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r>
      <w:tr>
        <w:trPr>
          <w:trHeight w:val="339"/>
        </w:trPr>
        <w:tc>
          <w:tcPr>
            <w:tcW w:w="5340" w:type="dxa"/>
            <w:vAlign w:val="bottom"/>
          </w:tcPr>
          <w:p>
            <w:pPr>
              <w:ind w:left="200"/>
              <w:spacing w:after="0"/>
              <w:rPr>
                <w:sz w:val="20"/>
                <w:szCs w:val="20"/>
                <w:color w:val="auto"/>
              </w:rPr>
            </w:pPr>
            <w:r>
              <w:rPr>
                <w:rFonts w:ascii="Arial Narrow" w:cs="Arial Narrow" w:eastAsia="Arial Narrow" w:hAnsi="Arial Narrow"/>
                <w:sz w:val="20"/>
                <w:szCs w:val="20"/>
                <w:b w:val="1"/>
                <w:bCs w:val="1"/>
                <w:color w:val="00085E"/>
              </w:rPr>
              <w:t>Decrease Related to Prior Tax Positions</w:t>
            </w: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65"/>
        </w:trPr>
        <w:tc>
          <w:tcPr>
            <w:tcW w:w="5340" w:type="dxa"/>
            <w:vAlign w:val="bottom"/>
            <w:tcBorders>
              <w:bottom w:val="single" w:sz="8" w:color="A6A6A6"/>
            </w:tcBorders>
          </w:tcPr>
          <w:p>
            <w:pPr>
              <w:spacing w:after="0"/>
              <w:rPr>
                <w:sz w:val="5"/>
                <w:szCs w:val="5"/>
                <w:color w:val="auto"/>
              </w:rPr>
            </w:pPr>
          </w:p>
        </w:tc>
        <w:tc>
          <w:tcPr>
            <w:tcW w:w="420" w:type="dxa"/>
            <w:vAlign w:val="bottom"/>
            <w:tcBorders>
              <w:bottom w:val="single" w:sz="8" w:color="A6A6A6"/>
            </w:tcBorders>
          </w:tcPr>
          <w:p>
            <w:pPr>
              <w:spacing w:after="0"/>
              <w:rPr>
                <w:sz w:val="5"/>
                <w:szCs w:val="5"/>
                <w:color w:val="auto"/>
              </w:rPr>
            </w:pPr>
          </w:p>
        </w:tc>
        <w:tc>
          <w:tcPr>
            <w:tcW w:w="84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380" w:type="dxa"/>
            <w:vAlign w:val="bottom"/>
            <w:tcBorders>
              <w:bottom w:val="single" w:sz="8" w:color="A6A6A6"/>
            </w:tcBorders>
          </w:tcPr>
          <w:p>
            <w:pPr>
              <w:spacing w:after="0"/>
              <w:rPr>
                <w:sz w:val="5"/>
                <w:szCs w:val="5"/>
                <w:color w:val="auto"/>
              </w:rPr>
            </w:pPr>
          </w:p>
        </w:tc>
        <w:tc>
          <w:tcPr>
            <w:tcW w:w="86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50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r>
      <w:tr>
        <w:trPr>
          <w:trHeight w:val="339"/>
        </w:trPr>
        <w:tc>
          <w:tcPr>
            <w:tcW w:w="5340" w:type="dxa"/>
            <w:vAlign w:val="bottom"/>
          </w:tcPr>
          <w:p>
            <w:pPr>
              <w:ind w:left="620"/>
              <w:spacing w:after="0"/>
              <w:rPr>
                <w:sz w:val="20"/>
                <w:szCs w:val="20"/>
                <w:color w:val="auto"/>
              </w:rPr>
            </w:pPr>
            <w:r>
              <w:rPr>
                <w:rFonts w:ascii="Arial Narrow" w:cs="Arial Narrow" w:eastAsia="Arial Narrow" w:hAnsi="Arial Narrow"/>
                <w:sz w:val="20"/>
                <w:szCs w:val="20"/>
                <w:b w:val="1"/>
                <w:bCs w:val="1"/>
                <w:color w:val="00085E"/>
              </w:rPr>
              <w:t>Prior Year</w:t>
            </w:r>
          </w:p>
        </w:tc>
        <w:tc>
          <w:tcPr>
            <w:tcW w:w="420" w:type="dxa"/>
            <w:vAlign w:val="bottom"/>
          </w:tcPr>
          <w:p>
            <w:pPr>
              <w:spacing w:after="0"/>
              <w:rPr>
                <w:sz w:val="24"/>
                <w:szCs w:val="24"/>
                <w:color w:val="auto"/>
              </w:rPr>
            </w:pPr>
          </w:p>
        </w:tc>
        <w:tc>
          <w:tcPr>
            <w:tcW w:w="840" w:type="dxa"/>
            <w:vAlign w:val="bottom"/>
          </w:tcPr>
          <w:p>
            <w:pPr>
              <w:jc w:val="right"/>
              <w:ind w:right="2"/>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Narrow" w:cs="Arial Narrow" w:eastAsia="Arial Narrow" w:hAnsi="Arial Narrow"/>
                <w:sz w:val="20"/>
                <w:szCs w:val="20"/>
                <w:color w:val="auto"/>
              </w:rPr>
              <w:t>(1,284)</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jc w:val="right"/>
              <w:ind w:right="1"/>
              <w:spacing w:after="0"/>
              <w:rPr>
                <w:sz w:val="20"/>
                <w:szCs w:val="20"/>
                <w:color w:val="auto"/>
              </w:rPr>
            </w:pPr>
            <w:r>
              <w:rPr>
                <w:rFonts w:ascii="Arial Narrow" w:cs="Arial Narrow" w:eastAsia="Arial Narrow" w:hAnsi="Arial Narrow"/>
                <w:sz w:val="20"/>
                <w:szCs w:val="20"/>
                <w:color w:val="auto"/>
              </w:rPr>
              <w:t>—</w:t>
            </w:r>
          </w:p>
        </w:tc>
      </w:tr>
      <w:tr>
        <w:trPr>
          <w:trHeight w:val="65"/>
        </w:trPr>
        <w:tc>
          <w:tcPr>
            <w:tcW w:w="5340" w:type="dxa"/>
            <w:vAlign w:val="bottom"/>
            <w:tcBorders>
              <w:bottom w:val="single" w:sz="8" w:color="A6A6A6"/>
            </w:tcBorders>
          </w:tcPr>
          <w:p>
            <w:pPr>
              <w:spacing w:after="0"/>
              <w:rPr>
                <w:sz w:val="5"/>
                <w:szCs w:val="5"/>
                <w:color w:val="auto"/>
              </w:rPr>
            </w:pPr>
          </w:p>
        </w:tc>
        <w:tc>
          <w:tcPr>
            <w:tcW w:w="420" w:type="dxa"/>
            <w:vAlign w:val="bottom"/>
            <w:tcBorders>
              <w:bottom w:val="single" w:sz="8" w:color="A6A6A6"/>
            </w:tcBorders>
          </w:tcPr>
          <w:p>
            <w:pPr>
              <w:spacing w:after="0"/>
              <w:rPr>
                <w:sz w:val="5"/>
                <w:szCs w:val="5"/>
                <w:color w:val="auto"/>
              </w:rPr>
            </w:pPr>
          </w:p>
        </w:tc>
        <w:tc>
          <w:tcPr>
            <w:tcW w:w="84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380" w:type="dxa"/>
            <w:vAlign w:val="bottom"/>
            <w:tcBorders>
              <w:bottom w:val="single" w:sz="8" w:color="A6A6A6"/>
            </w:tcBorders>
          </w:tcPr>
          <w:p>
            <w:pPr>
              <w:spacing w:after="0"/>
              <w:rPr>
                <w:sz w:val="5"/>
                <w:szCs w:val="5"/>
                <w:color w:val="auto"/>
              </w:rPr>
            </w:pPr>
          </w:p>
        </w:tc>
        <w:tc>
          <w:tcPr>
            <w:tcW w:w="86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50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r>
      <w:tr>
        <w:trPr>
          <w:trHeight w:val="339"/>
        </w:trPr>
        <w:tc>
          <w:tcPr>
            <w:tcW w:w="5340" w:type="dxa"/>
            <w:vAlign w:val="bottom"/>
          </w:tcPr>
          <w:p>
            <w:pPr>
              <w:ind w:left="200"/>
              <w:spacing w:after="0"/>
              <w:rPr>
                <w:sz w:val="20"/>
                <w:szCs w:val="20"/>
                <w:color w:val="auto"/>
              </w:rPr>
            </w:pPr>
            <w:r>
              <w:rPr>
                <w:rFonts w:ascii="Arial Narrow" w:cs="Arial Narrow" w:eastAsia="Arial Narrow" w:hAnsi="Arial Narrow"/>
                <w:sz w:val="20"/>
                <w:szCs w:val="20"/>
                <w:b w:val="1"/>
                <w:bCs w:val="1"/>
                <w:color w:val="00085E"/>
              </w:rPr>
              <w:t>Settlements</w:t>
            </w:r>
          </w:p>
        </w:tc>
        <w:tc>
          <w:tcPr>
            <w:tcW w:w="420" w:type="dxa"/>
            <w:vAlign w:val="bottom"/>
          </w:tcPr>
          <w:p>
            <w:pPr>
              <w:spacing w:after="0"/>
              <w:rPr>
                <w:sz w:val="24"/>
                <w:szCs w:val="24"/>
                <w:color w:val="auto"/>
              </w:rPr>
            </w:pPr>
          </w:p>
        </w:tc>
        <w:tc>
          <w:tcPr>
            <w:tcW w:w="840" w:type="dxa"/>
            <w:vAlign w:val="bottom"/>
          </w:tcPr>
          <w:p>
            <w:pPr>
              <w:jc w:val="right"/>
              <w:ind w:right="2"/>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ind w:right="21"/>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jc w:val="right"/>
              <w:ind w:right="1"/>
              <w:spacing w:after="0"/>
              <w:rPr>
                <w:sz w:val="20"/>
                <w:szCs w:val="20"/>
                <w:color w:val="auto"/>
              </w:rPr>
            </w:pPr>
            <w:r>
              <w:rPr>
                <w:rFonts w:ascii="Arial Narrow" w:cs="Arial Narrow" w:eastAsia="Arial Narrow" w:hAnsi="Arial Narrow"/>
                <w:sz w:val="20"/>
                <w:szCs w:val="20"/>
                <w:color w:val="auto"/>
              </w:rPr>
              <w:t>—</w:t>
            </w:r>
          </w:p>
        </w:tc>
      </w:tr>
      <w:tr>
        <w:trPr>
          <w:trHeight w:val="65"/>
        </w:trPr>
        <w:tc>
          <w:tcPr>
            <w:tcW w:w="5340" w:type="dxa"/>
            <w:vAlign w:val="bottom"/>
            <w:tcBorders>
              <w:bottom w:val="single" w:sz="8" w:color="A6A6A6"/>
            </w:tcBorders>
          </w:tcPr>
          <w:p>
            <w:pPr>
              <w:spacing w:after="0"/>
              <w:rPr>
                <w:sz w:val="5"/>
                <w:szCs w:val="5"/>
                <w:color w:val="auto"/>
              </w:rPr>
            </w:pPr>
          </w:p>
        </w:tc>
        <w:tc>
          <w:tcPr>
            <w:tcW w:w="420" w:type="dxa"/>
            <w:vAlign w:val="bottom"/>
            <w:tcBorders>
              <w:bottom w:val="single" w:sz="8" w:color="A6A6A6"/>
            </w:tcBorders>
          </w:tcPr>
          <w:p>
            <w:pPr>
              <w:spacing w:after="0"/>
              <w:rPr>
                <w:sz w:val="5"/>
                <w:szCs w:val="5"/>
                <w:color w:val="auto"/>
              </w:rPr>
            </w:pPr>
          </w:p>
        </w:tc>
        <w:tc>
          <w:tcPr>
            <w:tcW w:w="84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380" w:type="dxa"/>
            <w:vAlign w:val="bottom"/>
            <w:tcBorders>
              <w:bottom w:val="single" w:sz="8" w:color="A6A6A6"/>
            </w:tcBorders>
          </w:tcPr>
          <w:p>
            <w:pPr>
              <w:spacing w:after="0"/>
              <w:rPr>
                <w:sz w:val="5"/>
                <w:szCs w:val="5"/>
                <w:color w:val="auto"/>
              </w:rPr>
            </w:pPr>
          </w:p>
        </w:tc>
        <w:tc>
          <w:tcPr>
            <w:tcW w:w="86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50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r>
      <w:tr>
        <w:trPr>
          <w:trHeight w:val="339"/>
        </w:trPr>
        <w:tc>
          <w:tcPr>
            <w:tcW w:w="5340" w:type="dxa"/>
            <w:vAlign w:val="bottom"/>
          </w:tcPr>
          <w:p>
            <w:pPr>
              <w:ind w:left="200"/>
              <w:spacing w:after="0"/>
              <w:rPr>
                <w:sz w:val="20"/>
                <w:szCs w:val="20"/>
                <w:color w:val="auto"/>
              </w:rPr>
            </w:pPr>
            <w:r>
              <w:rPr>
                <w:rFonts w:ascii="Arial Narrow" w:cs="Arial Narrow" w:eastAsia="Arial Narrow" w:hAnsi="Arial Narrow"/>
                <w:sz w:val="20"/>
                <w:szCs w:val="20"/>
                <w:b w:val="1"/>
                <w:bCs w:val="1"/>
                <w:color w:val="00085E"/>
              </w:rPr>
              <w:t>Expirations</w:t>
            </w:r>
          </w:p>
        </w:tc>
        <w:tc>
          <w:tcPr>
            <w:tcW w:w="420" w:type="dxa"/>
            <w:vAlign w:val="bottom"/>
          </w:tcPr>
          <w:p>
            <w:pPr>
              <w:spacing w:after="0"/>
              <w:rPr>
                <w:sz w:val="24"/>
                <w:szCs w:val="24"/>
                <w:color w:val="auto"/>
              </w:rPr>
            </w:pPr>
          </w:p>
        </w:tc>
        <w:tc>
          <w:tcPr>
            <w:tcW w:w="840" w:type="dxa"/>
            <w:vAlign w:val="bottom"/>
          </w:tcPr>
          <w:p>
            <w:pPr>
              <w:jc w:val="right"/>
              <w:ind w:right="2"/>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ind w:right="21"/>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jc w:val="right"/>
              <w:ind w:right="1"/>
              <w:spacing w:after="0"/>
              <w:rPr>
                <w:sz w:val="20"/>
                <w:szCs w:val="20"/>
                <w:color w:val="auto"/>
              </w:rPr>
            </w:pPr>
            <w:r>
              <w:rPr>
                <w:rFonts w:ascii="Arial Narrow" w:cs="Arial Narrow" w:eastAsia="Arial Narrow" w:hAnsi="Arial Narrow"/>
                <w:sz w:val="20"/>
                <w:szCs w:val="20"/>
                <w:color w:val="auto"/>
              </w:rPr>
              <w:t>—</w:t>
            </w:r>
          </w:p>
        </w:tc>
      </w:tr>
      <w:tr>
        <w:trPr>
          <w:trHeight w:val="90"/>
        </w:trPr>
        <w:tc>
          <w:tcPr>
            <w:tcW w:w="5340" w:type="dxa"/>
            <w:vAlign w:val="bottom"/>
            <w:tcBorders>
              <w:bottom w:val="single" w:sz="8" w:color="A6A6A6"/>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r>
      <w:tr>
        <w:trPr>
          <w:trHeight w:val="344"/>
        </w:trPr>
        <w:tc>
          <w:tcPr>
            <w:tcW w:w="5340" w:type="dxa"/>
            <w:vAlign w:val="bottom"/>
          </w:tcPr>
          <w:p>
            <w:pPr>
              <w:spacing w:after="0"/>
              <w:rPr>
                <w:sz w:val="20"/>
                <w:szCs w:val="20"/>
                <w:color w:val="auto"/>
              </w:rPr>
            </w:pPr>
            <w:r>
              <w:rPr>
                <w:rFonts w:ascii="Arial Narrow" w:cs="Arial Narrow" w:eastAsia="Arial Narrow" w:hAnsi="Arial Narrow"/>
                <w:sz w:val="20"/>
                <w:szCs w:val="20"/>
                <w:b w:val="1"/>
                <w:bCs w:val="1"/>
                <w:color w:val="00085E"/>
              </w:rPr>
              <w:t>Balance at End of Year</w:t>
            </w:r>
          </w:p>
        </w:tc>
        <w:tc>
          <w:tcPr>
            <w:tcW w:w="420" w:type="dxa"/>
            <w:vAlign w:val="bottom"/>
          </w:tcPr>
          <w:p>
            <w:pPr>
              <w:jc w:val="right"/>
              <w:ind w:right="220"/>
              <w:spacing w:after="0"/>
              <w:rPr>
                <w:sz w:val="20"/>
                <w:szCs w:val="20"/>
                <w:color w:val="auto"/>
              </w:rPr>
            </w:pPr>
            <w:r>
              <w:rPr>
                <w:rFonts w:ascii="Arial Narrow" w:cs="Arial Narrow" w:eastAsia="Arial Narrow" w:hAnsi="Arial Narrow"/>
                <w:sz w:val="20"/>
                <w:szCs w:val="20"/>
                <w:b w:val="1"/>
                <w:bCs w:val="1"/>
                <w:color w:val="auto"/>
                <w:w w:val="87"/>
              </w:rPr>
              <w:t>$</w:t>
            </w:r>
          </w:p>
        </w:tc>
        <w:tc>
          <w:tcPr>
            <w:tcW w:w="840" w:type="dxa"/>
            <w:vAlign w:val="bottom"/>
          </w:tcPr>
          <w:p>
            <w:pPr>
              <w:jc w:val="right"/>
              <w:ind w:right="2"/>
              <w:spacing w:after="0"/>
              <w:rPr>
                <w:sz w:val="20"/>
                <w:szCs w:val="20"/>
                <w:color w:val="auto"/>
              </w:rPr>
            </w:pPr>
            <w:r>
              <w:rPr>
                <w:rFonts w:ascii="Arial Narrow" w:cs="Arial Narrow" w:eastAsia="Arial Narrow" w:hAnsi="Arial Narrow"/>
                <w:sz w:val="20"/>
                <w:szCs w:val="20"/>
                <w:b w:val="1"/>
                <w:bCs w:val="1"/>
                <w:color w:val="auto"/>
              </w:rPr>
              <w:t>1,200</w:t>
            </w:r>
          </w:p>
        </w:tc>
        <w:tc>
          <w:tcPr>
            <w:tcW w:w="520" w:type="dxa"/>
            <w:vAlign w:val="bottom"/>
            <w:gridSpan w:val="2"/>
          </w:tcPr>
          <w:p>
            <w:pPr>
              <w:jc w:val="right"/>
              <w:ind w:right="300"/>
              <w:spacing w:after="0"/>
              <w:rPr>
                <w:sz w:val="20"/>
                <w:szCs w:val="20"/>
                <w:color w:val="auto"/>
              </w:rPr>
            </w:pPr>
            <w:r>
              <w:rPr>
                <w:rFonts w:ascii="Arial Narrow" w:cs="Arial Narrow" w:eastAsia="Arial Narrow" w:hAnsi="Arial Narrow"/>
                <w:sz w:val="20"/>
                <w:szCs w:val="20"/>
                <w:b w:val="1"/>
                <w:bCs w:val="1"/>
                <w:color w:val="auto"/>
              </w:rPr>
              <w:t>$</w:t>
            </w:r>
          </w:p>
        </w:tc>
        <w:tc>
          <w:tcPr>
            <w:tcW w:w="860" w:type="dxa"/>
            <w:vAlign w:val="bottom"/>
          </w:tcPr>
          <w:p>
            <w:pPr>
              <w:jc w:val="right"/>
              <w:ind w:right="21"/>
              <w:spacing w:after="0"/>
              <w:rPr>
                <w:sz w:val="20"/>
                <w:szCs w:val="20"/>
                <w:color w:val="auto"/>
              </w:rPr>
            </w:pPr>
            <w:r>
              <w:rPr>
                <w:rFonts w:ascii="Arial Narrow" w:cs="Arial Narrow" w:eastAsia="Arial Narrow" w:hAnsi="Arial Narrow"/>
                <w:sz w:val="20"/>
                <w:szCs w:val="20"/>
                <w:b w:val="1"/>
                <w:bCs w:val="1"/>
                <w:color w:val="auto"/>
              </w:rPr>
              <w:t>—</w:t>
            </w:r>
          </w:p>
        </w:tc>
        <w:tc>
          <w:tcPr>
            <w:tcW w:w="640" w:type="dxa"/>
            <w:vAlign w:val="bottom"/>
            <w:gridSpan w:val="2"/>
          </w:tcPr>
          <w:p>
            <w:pPr>
              <w:jc w:val="right"/>
              <w:ind w:right="420"/>
              <w:spacing w:after="0"/>
              <w:rPr>
                <w:sz w:val="20"/>
                <w:szCs w:val="20"/>
                <w:color w:val="auto"/>
              </w:rPr>
            </w:pPr>
            <w:r>
              <w:rPr>
                <w:rFonts w:ascii="Arial Narrow" w:cs="Arial Narrow" w:eastAsia="Arial Narrow" w:hAnsi="Arial Narrow"/>
                <w:sz w:val="20"/>
                <w:szCs w:val="20"/>
                <w:b w:val="1"/>
                <w:bCs w:val="1"/>
                <w:color w:val="auto"/>
              </w:rPr>
              <w:t>$</w:t>
            </w:r>
          </w:p>
        </w:tc>
        <w:tc>
          <w:tcPr>
            <w:tcW w:w="740" w:type="dxa"/>
            <w:vAlign w:val="bottom"/>
          </w:tcPr>
          <w:p>
            <w:pPr>
              <w:jc w:val="right"/>
              <w:ind w:right="1"/>
              <w:spacing w:after="0"/>
              <w:rPr>
                <w:sz w:val="20"/>
                <w:szCs w:val="20"/>
                <w:color w:val="auto"/>
              </w:rPr>
            </w:pPr>
            <w:r>
              <w:rPr>
                <w:rFonts w:ascii="Arial Narrow" w:cs="Arial Narrow" w:eastAsia="Arial Narrow" w:hAnsi="Arial Narrow"/>
                <w:sz w:val="20"/>
                <w:szCs w:val="20"/>
                <w:b w:val="1"/>
                <w:bCs w:val="1"/>
                <w:color w:val="auto"/>
              </w:rPr>
              <w:t>1,284</w:t>
            </w:r>
          </w:p>
        </w:tc>
      </w:tr>
      <w:tr>
        <w:trPr>
          <w:trHeight w:val="65"/>
        </w:trPr>
        <w:tc>
          <w:tcPr>
            <w:tcW w:w="5340" w:type="dxa"/>
            <w:vAlign w:val="bottom"/>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r>
      <w:tr>
        <w:trPr>
          <w:trHeight w:val="20"/>
        </w:trPr>
        <w:tc>
          <w:tcPr>
            <w:tcW w:w="5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398" w:lineRule="exact"/>
        <w:rPr>
          <w:sz w:val="20"/>
          <w:szCs w:val="20"/>
          <w:color w:val="auto"/>
        </w:rPr>
      </w:pPr>
    </w:p>
    <w:p>
      <w:pPr>
        <w:spacing w:after="0"/>
        <w:rPr>
          <w:sz w:val="20"/>
          <w:szCs w:val="20"/>
          <w:color w:val="auto"/>
        </w:rPr>
      </w:pPr>
      <w:r>
        <w:rPr>
          <w:rFonts w:ascii="Arial" w:cs="Arial" w:eastAsia="Arial" w:hAnsi="Arial"/>
          <w:sz w:val="20"/>
          <w:szCs w:val="20"/>
          <w:color w:val="auto"/>
        </w:rPr>
        <w:t>We classify interest and penalties related to uncertain tax positions as current income tax expense.</w:t>
      </w:r>
    </w:p>
    <w:p>
      <w:pPr>
        <w:sectPr>
          <w:pgSz w:w="11880" w:h="15480" w:orient="portrait"/>
          <w:cols w:equalWidth="0" w:num="1">
            <w:col w:w="9360"/>
          </w:cols>
          <w:pgMar w:left="1260" w:top="1267" w:right="1260" w:bottom="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102</w:t>
      </w:r>
    </w:p>
    <w:p>
      <w:pPr>
        <w:sectPr>
          <w:pgSz w:w="11880" w:h="15480" w:orient="portrait"/>
          <w:cols w:equalWidth="0" w:num="1">
            <w:col w:w="9360"/>
          </w:cols>
          <w:pgMar w:left="1260" w:top="1267" w:right="1260" w:bottom="7" w:gutter="0" w:footer="0" w:header="0"/>
          <w:type w:val="continuous"/>
        </w:sectPr>
      </w:pPr>
    </w:p>
    <w:bookmarkStart w:id="110" w:name="page111"/>
    <w:bookmarkEnd w:id="110"/>
    <w:p>
      <w:pPr>
        <w:spacing w:after="0"/>
        <w:rPr>
          <w:sz w:val="20"/>
          <w:szCs w:val="20"/>
          <w:color w:val="auto"/>
        </w:rPr>
      </w:pPr>
      <w:r>
        <w:rPr>
          <w:rFonts w:ascii="Arial" w:cs="Arial" w:eastAsia="Arial" w:hAnsi="Arial"/>
          <w:sz w:val="22"/>
          <w:szCs w:val="22"/>
          <w:b w:val="1"/>
          <w:bCs w:val="1"/>
          <w:color w:val="00085E"/>
        </w:rPr>
        <w:t>(J) COMMITMENTS AND CONTINGENCIES</w:t>
      </w:r>
    </w:p>
    <w:p>
      <w:pPr>
        <w:spacing w:after="0" w:line="161" w:lineRule="exact"/>
        <w:rPr>
          <w:sz w:val="20"/>
          <w:szCs w:val="20"/>
          <w:color w:val="auto"/>
        </w:rPr>
      </w:pPr>
    </w:p>
    <w:p>
      <w:pPr>
        <w:spacing w:after="0" w:line="287" w:lineRule="auto"/>
        <w:rPr>
          <w:sz w:val="20"/>
          <w:szCs w:val="20"/>
          <w:color w:val="auto"/>
        </w:rPr>
      </w:pPr>
      <w:r>
        <w:rPr>
          <w:rFonts w:ascii="Arial" w:cs="Arial" w:eastAsia="Arial" w:hAnsi="Arial"/>
          <w:sz w:val="20"/>
          <w:szCs w:val="20"/>
          <w:color w:val="auto"/>
        </w:rPr>
        <w:t>Our operations and properties are subject to extensive and changing federal, state, and local laws; regulations and ordinances governing the protection of the environment; as well as laws relating to worker health and workplace safety. We carefully consider the requirements mandated by such laws and regulations and have procedures in place at all our operating units to monitor compliance. Any matters that are identified as potential exposures under these laws and regulations are carefully reviewed by management to determine our potential liability. Although management is not aware of any material exposures that require an accrual under generally accepted accounting principles, there can be no assurance that prior or future operations will not ultimately result in violations, claims, or other liabilities associated with these regulations.</w:t>
      </w:r>
    </w:p>
    <w:p>
      <w:pPr>
        <w:spacing w:after="0" w:line="75" w:lineRule="exact"/>
        <w:rPr>
          <w:sz w:val="20"/>
          <w:szCs w:val="20"/>
          <w:color w:val="auto"/>
        </w:rPr>
      </w:pPr>
    </w:p>
    <w:p>
      <w:pPr>
        <w:ind w:right="40"/>
        <w:spacing w:after="0" w:line="292" w:lineRule="auto"/>
        <w:rPr>
          <w:sz w:val="20"/>
          <w:szCs w:val="20"/>
          <w:color w:val="auto"/>
        </w:rPr>
      </w:pPr>
      <w:r>
        <w:rPr>
          <w:rFonts w:ascii="Arial" w:cs="Arial" w:eastAsia="Arial" w:hAnsi="Arial"/>
          <w:sz w:val="20"/>
          <w:szCs w:val="20"/>
          <w:color w:val="auto"/>
        </w:rPr>
        <w:t>We have certain deductible limits under our workers’ compensation and liability insurance policies for which reserves are established based on the undiscounted estimated costs of known and anticipated claims. We have entered into standby letter of credit agreements relating to workers’ compensation, auto, and general liability self-insurance. At March 31, 2026, we had contingent liabilities under these outstanding letters of credit of approximately $9.9 million.</w:t>
      </w:r>
    </w:p>
    <w:p>
      <w:pPr>
        <w:spacing w:after="0" w:line="71" w:lineRule="exact"/>
        <w:rPr>
          <w:sz w:val="20"/>
          <w:szCs w:val="20"/>
          <w:color w:val="auto"/>
        </w:rPr>
      </w:pPr>
    </w:p>
    <w:p>
      <w:pPr>
        <w:ind w:right="240"/>
        <w:spacing w:after="0" w:line="292" w:lineRule="auto"/>
        <w:rPr>
          <w:sz w:val="20"/>
          <w:szCs w:val="20"/>
          <w:color w:val="auto"/>
        </w:rPr>
      </w:pPr>
      <w:r>
        <w:rPr>
          <w:rFonts w:ascii="Arial" w:cs="Arial" w:eastAsia="Arial" w:hAnsi="Arial"/>
          <w:sz w:val="20"/>
          <w:szCs w:val="20"/>
          <w:color w:val="auto"/>
        </w:rPr>
        <w:t>We are currently contingently liable for performance under $48.7 million in performance bonds required by certain states and municipalities, and their related agencies. The bonds are principally for certain reclamation obligations and mining permits. We have indemnified the underwriting insurance company against any exposure under the performance bonds. In our experience, no material claims have been made against these financial instruments.</w:t>
      </w: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085E"/>
        </w:rPr>
        <w:t>Other</w:t>
      </w:r>
    </w:p>
    <w:p>
      <w:pPr>
        <w:spacing w:after="0" w:line="161" w:lineRule="exact"/>
        <w:rPr>
          <w:sz w:val="20"/>
          <w:szCs w:val="20"/>
          <w:color w:val="auto"/>
        </w:rPr>
      </w:pPr>
    </w:p>
    <w:p>
      <w:pPr>
        <w:ind w:right="20"/>
        <w:spacing w:after="0" w:line="287" w:lineRule="auto"/>
        <w:rPr>
          <w:sz w:val="20"/>
          <w:szCs w:val="20"/>
          <w:color w:val="auto"/>
        </w:rPr>
      </w:pPr>
      <w:r>
        <w:rPr>
          <w:rFonts w:ascii="Arial" w:cs="Arial" w:eastAsia="Arial" w:hAnsi="Arial"/>
          <w:sz w:val="20"/>
          <w:szCs w:val="20"/>
          <w:color w:val="auto"/>
        </w:rPr>
        <w:t>In the ordinary course of business, we execute contracts involving indemnifications that are standard in the industry and indemnifications specific to a transaction, such as the sale of a business. These indemnifications might include claims relating to any of the following: environmental and tax matters; intellectual property rights; governmental regulations and employment-related matters; customer, supplier, construction contractor, and other commercial contractual relationships; and financial matters. While the maximum amount to which we may be exposed under such agreements cannot be estimated, it is the opinion of management that these indemnifications are not expected to have a material adverse effect on the Company’s consolidated financial position, results of operations, or cash flows. We currently have no outstanding guarantees of third-party debt.</w:t>
      </w:r>
    </w:p>
    <w:p>
      <w:pPr>
        <w:spacing w:after="0" w:line="75" w:lineRule="exact"/>
        <w:rPr>
          <w:sz w:val="20"/>
          <w:szCs w:val="20"/>
          <w:color w:val="auto"/>
        </w:rPr>
      </w:pPr>
    </w:p>
    <w:p>
      <w:pPr>
        <w:ind w:right="200"/>
        <w:spacing w:after="0" w:line="325" w:lineRule="auto"/>
        <w:rPr>
          <w:sz w:val="20"/>
          <w:szCs w:val="20"/>
          <w:color w:val="auto"/>
        </w:rPr>
      </w:pPr>
      <w:r>
        <w:rPr>
          <w:rFonts w:ascii="Arial" w:cs="Arial" w:eastAsia="Arial" w:hAnsi="Arial"/>
          <w:sz w:val="20"/>
          <w:szCs w:val="20"/>
          <w:color w:val="auto"/>
        </w:rPr>
        <w:t>We have certain forward purchase contracts, primarily for natural gas, that expire during calendar years 2026 and 2027. The contracts comprise approximately 30% of our anticipated natural gas usage.</w:t>
      </w:r>
    </w:p>
    <w:p>
      <w:pPr>
        <w:sectPr>
          <w:pgSz w:w="11880" w:h="15480" w:orient="portrait"/>
          <w:cols w:equalWidth="0" w:num="1">
            <w:col w:w="9340"/>
          </w:cols>
          <w:pgMar w:left="1260" w:top="1243" w:right="1280" w:bottom="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103</w:t>
      </w:r>
    </w:p>
    <w:p>
      <w:pPr>
        <w:sectPr>
          <w:pgSz w:w="11880" w:h="15480" w:orient="portrait"/>
          <w:cols w:equalWidth="0" w:num="1">
            <w:col w:w="9340"/>
          </w:cols>
          <w:pgMar w:left="1260" w:top="1243" w:right="1280" w:bottom="7" w:gutter="0" w:footer="0" w:header="0"/>
          <w:type w:val="continuous"/>
        </w:sectPr>
      </w:pPr>
    </w:p>
    <w:bookmarkStart w:id="111" w:name="page112"/>
    <w:bookmarkEnd w:id="111"/>
    <w:p>
      <w:pPr>
        <w:spacing w:after="0"/>
        <w:rPr>
          <w:sz w:val="20"/>
          <w:szCs w:val="20"/>
          <w:color w:val="auto"/>
        </w:rPr>
      </w:pPr>
      <w:r>
        <w:rPr>
          <w:rFonts w:ascii="Arial" w:cs="Arial" w:eastAsia="Arial" w:hAnsi="Arial"/>
          <w:sz w:val="22"/>
          <w:szCs w:val="22"/>
          <w:b w:val="1"/>
          <w:bCs w:val="1"/>
          <w:color w:val="00085E"/>
        </w:rPr>
        <w:t>(K) EQUITY AWARDS</w:t>
      </w:r>
    </w:p>
    <w:p>
      <w:pPr>
        <w:spacing w:after="0" w:line="161" w:lineRule="exact"/>
        <w:rPr>
          <w:sz w:val="20"/>
          <w:szCs w:val="20"/>
          <w:color w:val="auto"/>
        </w:rPr>
      </w:pPr>
    </w:p>
    <w:p>
      <w:pPr>
        <w:ind w:right="140"/>
        <w:spacing w:after="0" w:line="290" w:lineRule="auto"/>
        <w:rPr>
          <w:sz w:val="20"/>
          <w:szCs w:val="20"/>
          <w:color w:val="auto"/>
        </w:rPr>
      </w:pPr>
      <w:r>
        <w:rPr>
          <w:rFonts w:ascii="Arial" w:cs="Arial" w:eastAsia="Arial" w:hAnsi="Arial"/>
          <w:sz w:val="20"/>
          <w:szCs w:val="20"/>
          <w:color w:val="auto"/>
        </w:rPr>
        <w:t>On August 3, 2023, our stockholders approved the Eagle Materials Inc. 2023 Equity Incentive Plan (the 2023 Plan), which reserves 1,425,000 shares for future grants of stock awards. Under the terms of the 2023 Plan, we can issue equity awards, including stock options, restricted stock units, restricted stock, and stock appreciation rights to employees of the Company, members of the Board of Directors, consultants, independent contractors, and agents of the Company. The Compensation Committee of our Board (the Compensation Committee) specifies grant terms for awards under the Plan.</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085E"/>
        </w:rPr>
        <w:t>Fiscal 2026 Equity Awards</w:t>
      </w:r>
    </w:p>
    <w:p>
      <w:pPr>
        <w:spacing w:after="0" w:line="154" w:lineRule="exact"/>
        <w:rPr>
          <w:sz w:val="20"/>
          <w:szCs w:val="20"/>
          <w:color w:val="auto"/>
        </w:rPr>
      </w:pPr>
    </w:p>
    <w:p>
      <w:pPr>
        <w:ind w:right="80"/>
        <w:spacing w:after="0" w:line="286" w:lineRule="auto"/>
        <w:rPr>
          <w:sz w:val="20"/>
          <w:szCs w:val="20"/>
          <w:color w:val="auto"/>
        </w:rPr>
      </w:pPr>
      <w:r>
        <w:rPr>
          <w:rFonts w:ascii="Arial" w:cs="Arial" w:eastAsia="Arial" w:hAnsi="Arial"/>
          <w:sz w:val="20"/>
          <w:szCs w:val="20"/>
          <w:color w:val="auto"/>
        </w:rPr>
        <w:t>In May 2025, the Compensation Committee awarded to certain officers and key employees an aggregate of 29,273 performance stock units and 14,712 performance stock options, as compensation for achievement of the target level of performance (collectively, the Performance Stock Awards). For the Performance Stock Awards to be earned, the Company must achieve performance vesting criteria as modified based on the Company’s average absolute total stockholder return during the performance period. The performance vesting criteria are based on certain levels of average annual return on equity (as defined in the Performance Stock Award Agreements) ranging from 10.0% to 20.0% measured at the end of fiscal 2028 (three-year performance period) as modified by total stockholder return. Performance outcomes (taking into account both criteria) will result in a threshold vesting percentage of 50% of target, and maximum performance will result in a vesting percentage of 200% of target. If the threshold vesting percentage is not achieved, none of the Performance Stock Awards will be earned.</w:t>
      </w:r>
    </w:p>
    <w:p>
      <w:pPr>
        <w:spacing w:after="0" w:line="75" w:lineRule="exact"/>
        <w:rPr>
          <w:sz w:val="20"/>
          <w:szCs w:val="20"/>
          <w:color w:val="auto"/>
        </w:rPr>
      </w:pPr>
    </w:p>
    <w:p>
      <w:pPr>
        <w:ind w:right="160"/>
        <w:spacing w:after="0" w:line="296" w:lineRule="auto"/>
        <w:rPr>
          <w:sz w:val="20"/>
          <w:szCs w:val="20"/>
          <w:color w:val="auto"/>
        </w:rPr>
      </w:pPr>
      <w:r>
        <w:rPr>
          <w:rFonts w:ascii="Arial" w:cs="Arial" w:eastAsia="Arial" w:hAnsi="Arial"/>
          <w:sz w:val="20"/>
          <w:szCs w:val="20"/>
          <w:color w:val="auto"/>
        </w:rPr>
        <w:t>Our Performance Stock Awards are evaluated on a quarterly basis with adjustments to compensation expense based on the likelihood of the performance targets being achieved or exceeded. The maximum expense for our outstanding Performance Stock Awards is approximately $17.4 million. Any forfeitures are recognized as a reduction to expense in the period in which they occur.</w:t>
      </w:r>
    </w:p>
    <w:p>
      <w:pPr>
        <w:spacing w:after="0" w:line="65" w:lineRule="exact"/>
        <w:rPr>
          <w:sz w:val="20"/>
          <w:szCs w:val="20"/>
          <w:color w:val="auto"/>
        </w:rPr>
      </w:pPr>
    </w:p>
    <w:p>
      <w:pPr>
        <w:ind w:right="20"/>
        <w:spacing w:after="0" w:line="303" w:lineRule="auto"/>
        <w:rPr>
          <w:sz w:val="20"/>
          <w:szCs w:val="20"/>
          <w:color w:val="auto"/>
        </w:rPr>
      </w:pPr>
      <w:r>
        <w:rPr>
          <w:rFonts w:ascii="Arial" w:cs="Arial" w:eastAsia="Arial" w:hAnsi="Arial"/>
          <w:sz w:val="20"/>
          <w:szCs w:val="20"/>
          <w:color w:val="auto"/>
        </w:rPr>
        <w:t>The fair value of the above Performance Stock Awards was determined using a Monte Carlo simulation. The following are key inputs in the Monte Carlo analysis for the Fiscal 2026 Employee Performance Stock Award.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594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1340" w:type="dxa"/>
            <w:vAlign w:val="bottom"/>
          </w:tcPr>
          <w:p>
            <w:pPr>
              <w:jc w:val="right"/>
              <w:ind w:right="302"/>
              <w:spacing w:after="0"/>
              <w:rPr>
                <w:sz w:val="20"/>
                <w:szCs w:val="20"/>
                <w:color w:val="auto"/>
              </w:rPr>
            </w:pPr>
            <w:r>
              <w:rPr>
                <w:rFonts w:ascii="Arial Narrow" w:cs="Arial Narrow" w:eastAsia="Arial Narrow" w:hAnsi="Arial Narrow"/>
                <w:sz w:val="18"/>
                <w:szCs w:val="18"/>
                <w:b w:val="1"/>
                <w:bCs w:val="1"/>
                <w:color w:val="auto"/>
              </w:rPr>
              <w:t>2026</w:t>
            </w:r>
          </w:p>
        </w:tc>
      </w:tr>
      <w:tr>
        <w:trPr>
          <w:trHeight w:val="46"/>
        </w:trPr>
        <w:tc>
          <w:tcPr>
            <w:tcW w:w="594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344"/>
        </w:trPr>
        <w:tc>
          <w:tcPr>
            <w:tcW w:w="5940" w:type="dxa"/>
            <w:vAlign w:val="bottom"/>
          </w:tcPr>
          <w:p>
            <w:pPr>
              <w:spacing w:after="0"/>
              <w:rPr>
                <w:sz w:val="20"/>
                <w:szCs w:val="20"/>
                <w:color w:val="auto"/>
              </w:rPr>
            </w:pPr>
            <w:r>
              <w:rPr>
                <w:rFonts w:ascii="Arial Narrow" w:cs="Arial Narrow" w:eastAsia="Arial Narrow" w:hAnsi="Arial Narrow"/>
                <w:sz w:val="20"/>
                <w:szCs w:val="20"/>
                <w:b w:val="1"/>
                <w:bCs w:val="1"/>
                <w:color w:val="00085E"/>
              </w:rPr>
              <w:t>Measurement Period</w:t>
            </w:r>
          </w:p>
        </w:tc>
        <w:tc>
          <w:tcPr>
            <w:tcW w:w="2080" w:type="dxa"/>
            <w:vAlign w:val="bottom"/>
          </w:tcPr>
          <w:p>
            <w:pPr>
              <w:spacing w:after="0"/>
              <w:rPr>
                <w:sz w:val="24"/>
                <w:szCs w:val="24"/>
                <w:color w:val="auto"/>
              </w:rPr>
            </w:pPr>
          </w:p>
        </w:tc>
        <w:tc>
          <w:tcPr>
            <w:tcW w:w="1340" w:type="dxa"/>
            <w:vAlign w:val="bottom"/>
          </w:tcPr>
          <w:p>
            <w:pPr>
              <w:jc w:val="right"/>
              <w:ind w:right="302"/>
              <w:spacing w:after="0"/>
              <w:rPr>
                <w:sz w:val="20"/>
                <w:szCs w:val="20"/>
                <w:color w:val="auto"/>
              </w:rPr>
            </w:pPr>
            <w:r>
              <w:rPr>
                <w:rFonts w:ascii="Arial Narrow" w:cs="Arial Narrow" w:eastAsia="Arial Narrow" w:hAnsi="Arial Narrow"/>
                <w:sz w:val="20"/>
                <w:szCs w:val="20"/>
                <w:color w:val="auto"/>
              </w:rPr>
              <w:t>2.86</w:t>
            </w:r>
          </w:p>
        </w:tc>
      </w:tr>
      <w:tr>
        <w:trPr>
          <w:trHeight w:val="65"/>
        </w:trPr>
        <w:tc>
          <w:tcPr>
            <w:tcW w:w="5940" w:type="dxa"/>
            <w:vAlign w:val="bottom"/>
            <w:tcBorders>
              <w:bottom w:val="single" w:sz="8" w:color="A6A6A6"/>
            </w:tcBorders>
          </w:tcPr>
          <w:p>
            <w:pPr>
              <w:spacing w:after="0"/>
              <w:rPr>
                <w:sz w:val="5"/>
                <w:szCs w:val="5"/>
                <w:color w:val="auto"/>
              </w:rPr>
            </w:pPr>
          </w:p>
        </w:tc>
        <w:tc>
          <w:tcPr>
            <w:tcW w:w="2080" w:type="dxa"/>
            <w:vAlign w:val="bottom"/>
            <w:tcBorders>
              <w:bottom w:val="single" w:sz="8" w:color="A6A6A6"/>
            </w:tcBorders>
          </w:tcPr>
          <w:p>
            <w:pPr>
              <w:spacing w:after="0"/>
              <w:rPr>
                <w:sz w:val="5"/>
                <w:szCs w:val="5"/>
                <w:color w:val="auto"/>
              </w:rPr>
            </w:pPr>
          </w:p>
        </w:tc>
        <w:tc>
          <w:tcPr>
            <w:tcW w:w="1340" w:type="dxa"/>
            <w:vAlign w:val="bottom"/>
            <w:tcBorders>
              <w:bottom w:val="single" w:sz="8" w:color="A6A6A6"/>
            </w:tcBorders>
          </w:tcPr>
          <w:p>
            <w:pPr>
              <w:spacing w:after="0"/>
              <w:rPr>
                <w:sz w:val="5"/>
                <w:szCs w:val="5"/>
                <w:color w:val="auto"/>
              </w:rPr>
            </w:pPr>
          </w:p>
        </w:tc>
      </w:tr>
      <w:tr>
        <w:trPr>
          <w:trHeight w:val="339"/>
        </w:trPr>
        <w:tc>
          <w:tcPr>
            <w:tcW w:w="5940" w:type="dxa"/>
            <w:vAlign w:val="bottom"/>
          </w:tcPr>
          <w:p>
            <w:pPr>
              <w:spacing w:after="0"/>
              <w:rPr>
                <w:sz w:val="20"/>
                <w:szCs w:val="20"/>
                <w:color w:val="auto"/>
              </w:rPr>
            </w:pPr>
            <w:r>
              <w:rPr>
                <w:rFonts w:ascii="Arial Narrow" w:cs="Arial Narrow" w:eastAsia="Arial Narrow" w:hAnsi="Arial Narrow"/>
                <w:sz w:val="20"/>
                <w:szCs w:val="20"/>
                <w:b w:val="1"/>
                <w:bCs w:val="1"/>
                <w:color w:val="00085E"/>
              </w:rPr>
              <w:t>Risk-Free Interest Rate</w:t>
            </w:r>
          </w:p>
        </w:tc>
        <w:tc>
          <w:tcPr>
            <w:tcW w:w="2080" w:type="dxa"/>
            <w:vAlign w:val="bottom"/>
          </w:tcPr>
          <w:p>
            <w:pPr>
              <w:spacing w:after="0"/>
              <w:rPr>
                <w:sz w:val="24"/>
                <w:szCs w:val="24"/>
                <w:color w:val="auto"/>
              </w:rPr>
            </w:pPr>
          </w:p>
        </w:tc>
        <w:tc>
          <w:tcPr>
            <w:tcW w:w="1340" w:type="dxa"/>
            <w:vAlign w:val="bottom"/>
          </w:tcPr>
          <w:p>
            <w:pPr>
              <w:jc w:val="right"/>
              <w:ind w:right="142"/>
              <w:spacing w:after="0"/>
              <w:rPr>
                <w:sz w:val="20"/>
                <w:szCs w:val="20"/>
                <w:color w:val="auto"/>
              </w:rPr>
            </w:pPr>
            <w:r>
              <w:rPr>
                <w:rFonts w:ascii="Arial Narrow" w:cs="Arial Narrow" w:eastAsia="Arial Narrow" w:hAnsi="Arial Narrow"/>
                <w:sz w:val="20"/>
                <w:szCs w:val="20"/>
                <w:color w:val="auto"/>
              </w:rPr>
              <w:t>4.0%</w:t>
            </w:r>
          </w:p>
        </w:tc>
      </w:tr>
      <w:tr>
        <w:trPr>
          <w:trHeight w:val="65"/>
        </w:trPr>
        <w:tc>
          <w:tcPr>
            <w:tcW w:w="5940" w:type="dxa"/>
            <w:vAlign w:val="bottom"/>
            <w:tcBorders>
              <w:bottom w:val="single" w:sz="8" w:color="A6A6A6"/>
            </w:tcBorders>
          </w:tcPr>
          <w:p>
            <w:pPr>
              <w:spacing w:after="0"/>
              <w:rPr>
                <w:sz w:val="5"/>
                <w:szCs w:val="5"/>
                <w:color w:val="auto"/>
              </w:rPr>
            </w:pPr>
          </w:p>
        </w:tc>
        <w:tc>
          <w:tcPr>
            <w:tcW w:w="2080" w:type="dxa"/>
            <w:vAlign w:val="bottom"/>
            <w:tcBorders>
              <w:bottom w:val="single" w:sz="8" w:color="A6A6A6"/>
            </w:tcBorders>
          </w:tcPr>
          <w:p>
            <w:pPr>
              <w:spacing w:after="0"/>
              <w:rPr>
                <w:sz w:val="5"/>
                <w:szCs w:val="5"/>
                <w:color w:val="auto"/>
              </w:rPr>
            </w:pPr>
          </w:p>
        </w:tc>
        <w:tc>
          <w:tcPr>
            <w:tcW w:w="1340" w:type="dxa"/>
            <w:vAlign w:val="bottom"/>
            <w:tcBorders>
              <w:bottom w:val="single" w:sz="8" w:color="A6A6A6"/>
            </w:tcBorders>
          </w:tcPr>
          <w:p>
            <w:pPr>
              <w:spacing w:after="0"/>
              <w:rPr>
                <w:sz w:val="5"/>
                <w:szCs w:val="5"/>
                <w:color w:val="auto"/>
              </w:rPr>
            </w:pPr>
          </w:p>
        </w:tc>
      </w:tr>
      <w:tr>
        <w:trPr>
          <w:trHeight w:val="339"/>
        </w:trPr>
        <w:tc>
          <w:tcPr>
            <w:tcW w:w="5940" w:type="dxa"/>
            <w:vAlign w:val="bottom"/>
          </w:tcPr>
          <w:p>
            <w:pPr>
              <w:spacing w:after="0"/>
              <w:rPr>
                <w:sz w:val="20"/>
                <w:szCs w:val="20"/>
                <w:color w:val="auto"/>
              </w:rPr>
            </w:pPr>
            <w:r>
              <w:rPr>
                <w:rFonts w:ascii="Arial Narrow" w:cs="Arial Narrow" w:eastAsia="Arial Narrow" w:hAnsi="Arial Narrow"/>
                <w:sz w:val="20"/>
                <w:szCs w:val="20"/>
                <w:b w:val="1"/>
                <w:bCs w:val="1"/>
                <w:color w:val="00085E"/>
              </w:rPr>
              <w:t>Dividend Yield</w:t>
            </w:r>
          </w:p>
        </w:tc>
        <w:tc>
          <w:tcPr>
            <w:tcW w:w="2080" w:type="dxa"/>
            <w:vAlign w:val="bottom"/>
          </w:tcPr>
          <w:p>
            <w:pPr>
              <w:spacing w:after="0"/>
              <w:rPr>
                <w:sz w:val="24"/>
                <w:szCs w:val="24"/>
                <w:color w:val="auto"/>
              </w:rPr>
            </w:pPr>
          </w:p>
        </w:tc>
        <w:tc>
          <w:tcPr>
            <w:tcW w:w="1340" w:type="dxa"/>
            <w:vAlign w:val="bottom"/>
          </w:tcPr>
          <w:p>
            <w:pPr>
              <w:jc w:val="right"/>
              <w:ind w:right="142"/>
              <w:spacing w:after="0"/>
              <w:rPr>
                <w:sz w:val="20"/>
                <w:szCs w:val="20"/>
                <w:color w:val="auto"/>
              </w:rPr>
            </w:pPr>
            <w:r>
              <w:rPr>
                <w:rFonts w:ascii="Arial Narrow" w:cs="Arial Narrow" w:eastAsia="Arial Narrow" w:hAnsi="Arial Narrow"/>
                <w:sz w:val="20"/>
                <w:szCs w:val="20"/>
                <w:color w:val="auto"/>
              </w:rPr>
              <w:t>0.5%</w:t>
            </w:r>
          </w:p>
        </w:tc>
      </w:tr>
      <w:tr>
        <w:trPr>
          <w:trHeight w:val="65"/>
        </w:trPr>
        <w:tc>
          <w:tcPr>
            <w:tcW w:w="5940" w:type="dxa"/>
            <w:vAlign w:val="bottom"/>
            <w:tcBorders>
              <w:bottom w:val="single" w:sz="8" w:color="A6A6A6"/>
            </w:tcBorders>
          </w:tcPr>
          <w:p>
            <w:pPr>
              <w:spacing w:after="0"/>
              <w:rPr>
                <w:sz w:val="5"/>
                <w:szCs w:val="5"/>
                <w:color w:val="auto"/>
              </w:rPr>
            </w:pPr>
          </w:p>
        </w:tc>
        <w:tc>
          <w:tcPr>
            <w:tcW w:w="2080" w:type="dxa"/>
            <w:vAlign w:val="bottom"/>
            <w:tcBorders>
              <w:bottom w:val="single" w:sz="8" w:color="A6A6A6"/>
            </w:tcBorders>
          </w:tcPr>
          <w:p>
            <w:pPr>
              <w:spacing w:after="0"/>
              <w:rPr>
                <w:sz w:val="5"/>
                <w:szCs w:val="5"/>
                <w:color w:val="auto"/>
              </w:rPr>
            </w:pPr>
          </w:p>
        </w:tc>
        <w:tc>
          <w:tcPr>
            <w:tcW w:w="1340" w:type="dxa"/>
            <w:vAlign w:val="bottom"/>
            <w:tcBorders>
              <w:bottom w:val="single" w:sz="8" w:color="A6A6A6"/>
            </w:tcBorders>
          </w:tcPr>
          <w:p>
            <w:pPr>
              <w:spacing w:after="0"/>
              <w:rPr>
                <w:sz w:val="5"/>
                <w:szCs w:val="5"/>
                <w:color w:val="auto"/>
              </w:rPr>
            </w:pPr>
          </w:p>
        </w:tc>
      </w:tr>
      <w:tr>
        <w:trPr>
          <w:trHeight w:val="339"/>
        </w:trPr>
        <w:tc>
          <w:tcPr>
            <w:tcW w:w="5940" w:type="dxa"/>
            <w:vAlign w:val="bottom"/>
          </w:tcPr>
          <w:p>
            <w:pPr>
              <w:spacing w:after="0"/>
              <w:rPr>
                <w:sz w:val="20"/>
                <w:szCs w:val="20"/>
                <w:color w:val="auto"/>
              </w:rPr>
            </w:pPr>
            <w:r>
              <w:rPr>
                <w:rFonts w:ascii="Arial Narrow" w:cs="Arial Narrow" w:eastAsia="Arial Narrow" w:hAnsi="Arial Narrow"/>
                <w:sz w:val="20"/>
                <w:szCs w:val="20"/>
                <w:b w:val="1"/>
                <w:bCs w:val="1"/>
                <w:color w:val="00085E"/>
              </w:rPr>
              <w:t>Volatility</w:t>
            </w:r>
          </w:p>
        </w:tc>
        <w:tc>
          <w:tcPr>
            <w:tcW w:w="2080" w:type="dxa"/>
            <w:vAlign w:val="bottom"/>
          </w:tcPr>
          <w:p>
            <w:pPr>
              <w:spacing w:after="0"/>
              <w:rPr>
                <w:sz w:val="24"/>
                <w:szCs w:val="24"/>
                <w:color w:val="auto"/>
              </w:rPr>
            </w:pPr>
          </w:p>
        </w:tc>
        <w:tc>
          <w:tcPr>
            <w:tcW w:w="1340" w:type="dxa"/>
            <w:vAlign w:val="bottom"/>
          </w:tcPr>
          <w:p>
            <w:pPr>
              <w:jc w:val="right"/>
              <w:ind w:right="142"/>
              <w:spacing w:after="0"/>
              <w:rPr>
                <w:sz w:val="20"/>
                <w:szCs w:val="20"/>
                <w:color w:val="auto"/>
              </w:rPr>
            </w:pPr>
            <w:r>
              <w:rPr>
                <w:rFonts w:ascii="Arial Narrow" w:cs="Arial Narrow" w:eastAsia="Arial Narrow" w:hAnsi="Arial Narrow"/>
                <w:sz w:val="20"/>
                <w:szCs w:val="20"/>
                <w:color w:val="auto"/>
              </w:rPr>
              <w:t>31.3%</w:t>
            </w:r>
          </w:p>
        </w:tc>
      </w:tr>
      <w:tr>
        <w:trPr>
          <w:trHeight w:val="65"/>
        </w:trPr>
        <w:tc>
          <w:tcPr>
            <w:tcW w:w="5940" w:type="dxa"/>
            <w:vAlign w:val="bottom"/>
            <w:tcBorders>
              <w:bottom w:val="single" w:sz="8" w:color="A6A6A6"/>
            </w:tcBorders>
          </w:tcPr>
          <w:p>
            <w:pPr>
              <w:spacing w:after="0"/>
              <w:rPr>
                <w:sz w:val="5"/>
                <w:szCs w:val="5"/>
                <w:color w:val="auto"/>
              </w:rPr>
            </w:pPr>
          </w:p>
        </w:tc>
        <w:tc>
          <w:tcPr>
            <w:tcW w:w="2080" w:type="dxa"/>
            <w:vAlign w:val="bottom"/>
            <w:tcBorders>
              <w:bottom w:val="single" w:sz="8" w:color="A6A6A6"/>
            </w:tcBorders>
          </w:tcPr>
          <w:p>
            <w:pPr>
              <w:spacing w:after="0"/>
              <w:rPr>
                <w:sz w:val="5"/>
                <w:szCs w:val="5"/>
                <w:color w:val="auto"/>
              </w:rPr>
            </w:pPr>
          </w:p>
        </w:tc>
        <w:tc>
          <w:tcPr>
            <w:tcW w:w="1340" w:type="dxa"/>
            <w:vAlign w:val="bottom"/>
            <w:tcBorders>
              <w:bottom w:val="single" w:sz="8" w:color="A6A6A6"/>
            </w:tcBorders>
          </w:tcPr>
          <w:p>
            <w:pPr>
              <w:spacing w:after="0"/>
              <w:rPr>
                <w:sz w:val="5"/>
                <w:szCs w:val="5"/>
                <w:color w:val="auto"/>
              </w:rPr>
            </w:pPr>
          </w:p>
        </w:tc>
      </w:tr>
      <w:tr>
        <w:trPr>
          <w:trHeight w:val="339"/>
        </w:trPr>
        <w:tc>
          <w:tcPr>
            <w:tcW w:w="5940" w:type="dxa"/>
            <w:vAlign w:val="bottom"/>
          </w:tcPr>
          <w:p>
            <w:pPr>
              <w:spacing w:after="0"/>
              <w:rPr>
                <w:sz w:val="20"/>
                <w:szCs w:val="20"/>
                <w:color w:val="auto"/>
              </w:rPr>
            </w:pPr>
            <w:r>
              <w:rPr>
                <w:rFonts w:ascii="Arial Narrow" w:cs="Arial Narrow" w:eastAsia="Arial Narrow" w:hAnsi="Arial Narrow"/>
                <w:sz w:val="20"/>
                <w:szCs w:val="20"/>
                <w:b w:val="1"/>
                <w:bCs w:val="1"/>
                <w:color w:val="00085E"/>
              </w:rPr>
              <w:t>Estimated Fair Value of Market-Based PSA at Grant Date</w:t>
            </w:r>
          </w:p>
        </w:tc>
        <w:tc>
          <w:tcPr>
            <w:tcW w:w="2080" w:type="dxa"/>
            <w:vAlign w:val="bottom"/>
          </w:tcPr>
          <w:p>
            <w:pPr>
              <w:jc w:val="right"/>
              <w:ind w:right="360"/>
              <w:spacing w:after="0"/>
              <w:rPr>
                <w:sz w:val="20"/>
                <w:szCs w:val="20"/>
                <w:color w:val="auto"/>
              </w:rPr>
            </w:pPr>
            <w:r>
              <w:rPr>
                <w:rFonts w:ascii="Arial Narrow" w:cs="Arial Narrow" w:eastAsia="Arial Narrow" w:hAnsi="Arial Narrow"/>
                <w:sz w:val="20"/>
                <w:szCs w:val="20"/>
                <w:color w:val="auto"/>
              </w:rPr>
              <w:t>$</w:t>
            </w:r>
          </w:p>
        </w:tc>
        <w:tc>
          <w:tcPr>
            <w:tcW w:w="1340" w:type="dxa"/>
            <w:vAlign w:val="bottom"/>
          </w:tcPr>
          <w:p>
            <w:pPr>
              <w:jc w:val="right"/>
              <w:ind w:right="302"/>
              <w:spacing w:after="0"/>
              <w:rPr>
                <w:sz w:val="20"/>
                <w:szCs w:val="20"/>
                <w:color w:val="auto"/>
              </w:rPr>
            </w:pPr>
            <w:r>
              <w:rPr>
                <w:rFonts w:ascii="Arial Narrow" w:cs="Arial Narrow" w:eastAsia="Arial Narrow" w:hAnsi="Arial Narrow"/>
                <w:sz w:val="20"/>
                <w:szCs w:val="20"/>
                <w:color w:val="auto"/>
              </w:rPr>
              <w:t>213.66</w:t>
            </w:r>
          </w:p>
        </w:tc>
      </w:tr>
      <w:tr>
        <w:trPr>
          <w:trHeight w:val="65"/>
        </w:trPr>
        <w:tc>
          <w:tcPr>
            <w:tcW w:w="5940" w:type="dxa"/>
            <w:vAlign w:val="bottom"/>
            <w:tcBorders>
              <w:bottom w:val="single" w:sz="8" w:color="A6A6A6"/>
            </w:tcBorders>
          </w:tcPr>
          <w:p>
            <w:pPr>
              <w:spacing w:after="0"/>
              <w:rPr>
                <w:sz w:val="5"/>
                <w:szCs w:val="5"/>
                <w:color w:val="auto"/>
              </w:rPr>
            </w:pPr>
          </w:p>
        </w:tc>
        <w:tc>
          <w:tcPr>
            <w:tcW w:w="2080" w:type="dxa"/>
            <w:vAlign w:val="bottom"/>
            <w:tcBorders>
              <w:bottom w:val="single" w:sz="8" w:color="A6A6A6"/>
            </w:tcBorders>
          </w:tcPr>
          <w:p>
            <w:pPr>
              <w:spacing w:after="0"/>
              <w:rPr>
                <w:sz w:val="5"/>
                <w:szCs w:val="5"/>
                <w:color w:val="auto"/>
              </w:rPr>
            </w:pPr>
          </w:p>
        </w:tc>
        <w:tc>
          <w:tcPr>
            <w:tcW w:w="1340" w:type="dxa"/>
            <w:vAlign w:val="bottom"/>
            <w:tcBorders>
              <w:bottom w:val="single" w:sz="8" w:color="A6A6A6"/>
            </w:tcBorders>
          </w:tcPr>
          <w:p>
            <w:pPr>
              <w:spacing w:after="0"/>
              <w:rPr>
                <w:sz w:val="5"/>
                <w:szCs w:val="5"/>
                <w:color w:val="auto"/>
              </w:rPr>
            </w:pPr>
          </w:p>
        </w:tc>
      </w:tr>
    </w:tbl>
    <w:p>
      <w:pPr>
        <w:spacing w:after="0" w:line="248" w:lineRule="exact"/>
        <w:rPr>
          <w:sz w:val="20"/>
          <w:szCs w:val="20"/>
          <w:color w:val="auto"/>
        </w:rPr>
      </w:pPr>
    </w:p>
    <w:p>
      <w:pPr>
        <w:ind w:right="80"/>
        <w:spacing w:after="0" w:line="306" w:lineRule="auto"/>
        <w:rPr>
          <w:sz w:val="20"/>
          <w:szCs w:val="20"/>
          <w:color w:val="auto"/>
        </w:rPr>
      </w:pPr>
      <w:r>
        <w:rPr>
          <w:rFonts w:ascii="Arial" w:cs="Arial" w:eastAsia="Arial" w:hAnsi="Arial"/>
          <w:sz w:val="19"/>
          <w:szCs w:val="19"/>
          <w:color w:val="auto"/>
        </w:rPr>
        <w:t>In addition to the Performance Stock Awards discussed above, the Compensation Committee approved the granting to certain officers and key employees an aggregate of 14,712 time-vesting stock options, which vest ratably over three years (the Fiscal 2026 Employee Time-Vesting Stock Option Grant) and 29,273 shares of time-vesting restricted stock units, which vest ratably over three years (the Fiscal 2026 Employee Restricted Stock Unit Time-Vesting Award). The Fiscal 2026 Employee Restricted Stock Unit Time-Vesting Award was valued at the closing price of the stock on the grant date and is being expensed over a three-year period. The Fiscal 2026 Employee Time-Vesting Stock Option Grant was valued at its</w:t>
      </w:r>
    </w:p>
    <w:p>
      <w:pPr>
        <w:sectPr>
          <w:pgSz w:w="11880" w:h="15480" w:orient="portrait"/>
          <w:cols w:equalWidth="0" w:num="1">
            <w:col w:w="9360"/>
          </w:cols>
          <w:pgMar w:left="1260" w:top="1243" w:right="1260" w:bottom="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104</w:t>
      </w:r>
    </w:p>
    <w:p>
      <w:pPr>
        <w:sectPr>
          <w:pgSz w:w="11880" w:h="15480" w:orient="portrait"/>
          <w:cols w:equalWidth="0" w:num="1">
            <w:col w:w="9360"/>
          </w:cols>
          <w:pgMar w:left="1260" w:top="1243" w:right="1260" w:bottom="7" w:gutter="0" w:footer="0" w:header="0"/>
          <w:type w:val="continuous"/>
        </w:sectPr>
      </w:pPr>
    </w:p>
    <w:bookmarkStart w:id="112" w:name="page113"/>
    <w:bookmarkEnd w:id="112"/>
    <w:p>
      <w:pPr>
        <w:ind w:right="340"/>
        <w:spacing w:after="0" w:line="325" w:lineRule="auto"/>
        <w:rPr>
          <w:sz w:val="20"/>
          <w:szCs w:val="20"/>
          <w:color w:val="auto"/>
        </w:rPr>
      </w:pPr>
      <w:r>
        <w:rPr>
          <w:rFonts w:ascii="Arial" w:cs="Arial" w:eastAsia="Arial" w:hAnsi="Arial"/>
          <w:sz w:val="20"/>
          <w:szCs w:val="20"/>
          <w:color w:val="auto"/>
        </w:rPr>
        <w:t>grant date using the Black-Scholes option pricing model, which used similar inputs as the Monte Carlo analysis shown above.</w:t>
      </w:r>
    </w:p>
    <w:p>
      <w:pPr>
        <w:spacing w:after="0" w:line="147" w:lineRule="exact"/>
        <w:rPr>
          <w:sz w:val="20"/>
          <w:szCs w:val="20"/>
          <w:color w:val="auto"/>
        </w:rPr>
      </w:pPr>
    </w:p>
    <w:p>
      <w:pPr>
        <w:ind w:right="160"/>
        <w:spacing w:after="0" w:line="292" w:lineRule="auto"/>
        <w:rPr>
          <w:sz w:val="20"/>
          <w:szCs w:val="20"/>
          <w:color w:val="auto"/>
        </w:rPr>
      </w:pPr>
      <w:r>
        <w:rPr>
          <w:rFonts w:ascii="Arial" w:cs="Arial" w:eastAsia="Arial" w:hAnsi="Arial"/>
          <w:sz w:val="20"/>
          <w:szCs w:val="20"/>
          <w:color w:val="auto"/>
        </w:rPr>
        <w:t>In August 2025, the Compensation Committee granted 9,735 shares of time-vesting restricted stock to members of the Board of Directors (the Fiscal 2026 Board of Directors Restricted Stock Award). Restricted stock granted under the Fiscal 2026 Board of Directors Restricted Stock Award vest one year after the grant date and were valued at the closing price of the stock on the grant date. The value of the Fiscal 2026 Board of Directors Restricted Stock Award is being expensed over a one-year period.</w:t>
      </w:r>
    </w:p>
    <w:p>
      <w:pPr>
        <w:spacing w:after="0" w:line="71" w:lineRule="exact"/>
        <w:rPr>
          <w:sz w:val="20"/>
          <w:szCs w:val="20"/>
          <w:color w:val="auto"/>
        </w:rPr>
      </w:pPr>
    </w:p>
    <w:p>
      <w:pPr>
        <w:ind w:right="60"/>
        <w:spacing w:after="0" w:line="292" w:lineRule="auto"/>
        <w:rPr>
          <w:sz w:val="20"/>
          <w:szCs w:val="20"/>
          <w:color w:val="auto"/>
        </w:rPr>
      </w:pPr>
      <w:r>
        <w:rPr>
          <w:rFonts w:ascii="Arial" w:cs="Arial" w:eastAsia="Arial" w:hAnsi="Arial"/>
          <w:sz w:val="20"/>
          <w:szCs w:val="20"/>
          <w:color w:val="auto"/>
        </w:rPr>
        <w:t>In addition to the awards described above, we may issue equity awards, including stock options, restricted stock, and restricted stock units, to certain employees from time to time. Any options issued are valued using the Black-Scholes options pricing model on the grant date and expensed over the vesting period, while restricted stock and restricted stock units are valued using the closing price on the date of grant and expensed over the vesting period.</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00085E"/>
        </w:rPr>
        <w:t>STOCK OPTIONS</w:t>
      </w:r>
    </w:p>
    <w:p>
      <w:pPr>
        <w:spacing w:after="0" w:line="152" w:lineRule="exact"/>
        <w:rPr>
          <w:sz w:val="20"/>
          <w:szCs w:val="20"/>
          <w:color w:val="auto"/>
        </w:rPr>
      </w:pPr>
    </w:p>
    <w:p>
      <w:pPr>
        <w:ind w:right="40"/>
        <w:spacing w:after="0" w:line="296" w:lineRule="auto"/>
        <w:rPr>
          <w:sz w:val="20"/>
          <w:szCs w:val="20"/>
          <w:color w:val="auto"/>
        </w:rPr>
      </w:pPr>
      <w:r>
        <w:rPr>
          <w:rFonts w:ascii="Arial" w:cs="Arial" w:eastAsia="Arial" w:hAnsi="Arial"/>
          <w:sz w:val="20"/>
          <w:szCs w:val="20"/>
          <w:color w:val="auto"/>
        </w:rPr>
        <w:t>Stock option expense for all outstanding stock option awards was approximately $1.8 million, $1.2 million and $2.0 million for the years ended March 31, 2026, 2025, and 2024, respectively. At March 31, 2026, there was approximately $2.3 million of unrecognized compensation expense related to outstanding stock options, which is expected to be recognized over a weighted-average period of 1.9 years.</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shows stock option activity for the years presented.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28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320" w:type="dxa"/>
            <w:vAlign w:val="bottom"/>
            <w:gridSpan w:val="6"/>
          </w:tcPr>
          <w:p>
            <w:pPr>
              <w:jc w:val="right"/>
              <w:spacing w:after="0"/>
              <w:rPr>
                <w:sz w:val="20"/>
                <w:szCs w:val="20"/>
                <w:color w:val="auto"/>
              </w:rPr>
            </w:pPr>
            <w:r>
              <w:rPr>
                <w:rFonts w:ascii="Arial Narrow" w:cs="Arial Narrow" w:eastAsia="Arial Narrow" w:hAnsi="Arial Narrow"/>
                <w:sz w:val="18"/>
                <w:szCs w:val="18"/>
                <w:b w:val="1"/>
                <w:bCs w:val="1"/>
                <w:color w:val="auto"/>
              </w:rPr>
              <w:t>For the Years Ended March 31,</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
        </w:trPr>
        <w:tc>
          <w:tcPr>
            <w:tcW w:w="2800" w:type="dxa"/>
            <w:vAlign w:val="bottom"/>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4"/>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3"/>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2"/>
        </w:trPr>
        <w:tc>
          <w:tcPr>
            <w:tcW w:w="2800" w:type="dxa"/>
            <w:vAlign w:val="bottom"/>
          </w:tcPr>
          <w:p>
            <w:pPr>
              <w:spacing w:after="0"/>
              <w:rPr>
                <w:sz w:val="24"/>
                <w:szCs w:val="24"/>
                <w:color w:val="auto"/>
              </w:rPr>
            </w:pPr>
          </w:p>
        </w:tc>
        <w:tc>
          <w:tcPr>
            <w:tcW w:w="1200" w:type="dxa"/>
            <w:vAlign w:val="bottom"/>
            <w:gridSpan w:val="3"/>
          </w:tcPr>
          <w:p>
            <w:pPr>
              <w:jc w:val="right"/>
              <w:ind w:right="60"/>
              <w:spacing w:after="0"/>
              <w:rPr>
                <w:sz w:val="20"/>
                <w:szCs w:val="20"/>
                <w:color w:val="auto"/>
              </w:rPr>
            </w:pPr>
            <w:r>
              <w:rPr>
                <w:rFonts w:ascii="Arial Narrow" w:cs="Arial Narrow" w:eastAsia="Arial Narrow" w:hAnsi="Arial Narrow"/>
                <w:sz w:val="18"/>
                <w:szCs w:val="18"/>
                <w:b w:val="1"/>
                <w:bCs w:val="1"/>
                <w:color w:val="auto"/>
              </w:rPr>
              <w:t>2026</w:t>
            </w:r>
          </w:p>
        </w:tc>
        <w:tc>
          <w:tcPr>
            <w:tcW w:w="840" w:type="dxa"/>
            <w:vAlign w:val="bottom"/>
          </w:tcPr>
          <w:p>
            <w:pPr>
              <w:spacing w:after="0"/>
              <w:rPr>
                <w:sz w:val="24"/>
                <w:szCs w:val="24"/>
                <w:color w:val="auto"/>
              </w:rPr>
            </w:pPr>
          </w:p>
        </w:tc>
        <w:tc>
          <w:tcPr>
            <w:tcW w:w="1380" w:type="dxa"/>
            <w:vAlign w:val="bottom"/>
            <w:gridSpan w:val="5"/>
          </w:tcPr>
          <w:p>
            <w:pPr>
              <w:jc w:val="right"/>
              <w:ind w:right="40"/>
              <w:spacing w:after="0"/>
              <w:rPr>
                <w:sz w:val="20"/>
                <w:szCs w:val="20"/>
                <w:color w:val="auto"/>
              </w:rPr>
            </w:pPr>
            <w:r>
              <w:rPr>
                <w:rFonts w:ascii="Arial Narrow" w:cs="Arial Narrow" w:eastAsia="Arial Narrow" w:hAnsi="Arial Narrow"/>
                <w:sz w:val="18"/>
                <w:szCs w:val="18"/>
                <w:b w:val="1"/>
                <w:bCs w:val="1"/>
                <w:color w:val="auto"/>
              </w:rPr>
              <w:t>2025</w:t>
            </w:r>
          </w:p>
        </w:tc>
        <w:tc>
          <w:tcPr>
            <w:tcW w:w="940" w:type="dxa"/>
            <w:vAlign w:val="bottom"/>
          </w:tcPr>
          <w:p>
            <w:pPr>
              <w:spacing w:after="0"/>
              <w:rPr>
                <w:sz w:val="24"/>
                <w:szCs w:val="24"/>
                <w:color w:val="auto"/>
              </w:rPr>
            </w:pPr>
          </w:p>
        </w:tc>
        <w:tc>
          <w:tcPr>
            <w:tcW w:w="1300" w:type="dxa"/>
            <w:vAlign w:val="bottom"/>
            <w:gridSpan w:val="4"/>
          </w:tcPr>
          <w:p>
            <w:pPr>
              <w:jc w:val="right"/>
              <w:ind w:right="60"/>
              <w:spacing w:after="0"/>
              <w:rPr>
                <w:sz w:val="20"/>
                <w:szCs w:val="20"/>
                <w:color w:val="auto"/>
              </w:rPr>
            </w:pPr>
            <w:r>
              <w:rPr>
                <w:rFonts w:ascii="Arial Narrow" w:cs="Arial Narrow" w:eastAsia="Arial Narrow" w:hAnsi="Arial Narrow"/>
                <w:sz w:val="18"/>
                <w:szCs w:val="18"/>
                <w:b w:val="1"/>
                <w:bCs w:val="1"/>
                <w:color w:val="auto"/>
              </w:rPr>
              <w:t>2024</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8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8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Narrow" w:cs="Arial Narrow" w:eastAsia="Arial Narrow" w:hAnsi="Arial Narrow"/>
                <w:sz w:val="18"/>
                <w:szCs w:val="18"/>
                <w:b w:val="1"/>
                <w:bCs w:val="1"/>
                <w:color w:val="auto"/>
              </w:rPr>
              <w:t>Weighted-</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Arial Narrow" w:cs="Arial Narrow" w:eastAsia="Arial Narrow" w:hAnsi="Arial Narrow"/>
                <w:sz w:val="18"/>
                <w:szCs w:val="18"/>
                <w:b w:val="1"/>
                <w:bCs w:val="1"/>
                <w:color w:val="auto"/>
              </w:rPr>
              <w:t>Weighted-</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Narrow" w:cs="Arial Narrow" w:eastAsia="Arial Narrow" w:hAnsi="Arial Narrow"/>
                <w:sz w:val="18"/>
                <w:szCs w:val="18"/>
                <w:b w:val="1"/>
                <w:bCs w:val="1"/>
                <w:color w:val="auto"/>
              </w:rPr>
              <w:t>Weighted-</w:t>
            </w:r>
          </w:p>
        </w:tc>
        <w:tc>
          <w:tcPr>
            <w:tcW w:w="0" w:type="dxa"/>
            <w:vAlign w:val="bottom"/>
          </w:tcPr>
          <w:p>
            <w:pPr>
              <w:spacing w:after="0"/>
              <w:rPr>
                <w:sz w:val="1"/>
                <w:szCs w:val="1"/>
                <w:color w:val="auto"/>
              </w:rPr>
            </w:pPr>
          </w:p>
        </w:tc>
      </w:tr>
      <w:tr>
        <w:trPr>
          <w:trHeight w:val="207"/>
        </w:trPr>
        <w:tc>
          <w:tcPr>
            <w:tcW w:w="28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Narrow" w:cs="Arial Narrow" w:eastAsia="Arial Narrow" w:hAnsi="Arial Narrow"/>
                <w:sz w:val="18"/>
                <w:szCs w:val="18"/>
                <w:b w:val="1"/>
                <w:bCs w:val="1"/>
                <w:color w:val="auto"/>
              </w:rPr>
              <w:t>Average</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90"/>
              <w:spacing w:after="0"/>
              <w:rPr>
                <w:sz w:val="20"/>
                <w:szCs w:val="20"/>
                <w:color w:val="auto"/>
              </w:rPr>
            </w:pPr>
            <w:r>
              <w:rPr>
                <w:rFonts w:ascii="Arial Narrow" w:cs="Arial Narrow" w:eastAsia="Arial Narrow" w:hAnsi="Arial Narrow"/>
                <w:sz w:val="18"/>
                <w:szCs w:val="18"/>
                <w:b w:val="1"/>
                <w:bCs w:val="1"/>
                <w:color w:val="auto"/>
              </w:rPr>
              <w:t>Average</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50"/>
              <w:spacing w:after="0"/>
              <w:rPr>
                <w:sz w:val="20"/>
                <w:szCs w:val="20"/>
                <w:color w:val="auto"/>
              </w:rPr>
            </w:pPr>
            <w:r>
              <w:rPr>
                <w:rFonts w:ascii="Arial Narrow" w:cs="Arial Narrow" w:eastAsia="Arial Narrow" w:hAnsi="Arial Narrow"/>
                <w:sz w:val="18"/>
                <w:szCs w:val="18"/>
                <w:b w:val="1"/>
                <w:bCs w:val="1"/>
                <w:color w:val="auto"/>
              </w:rPr>
              <w:t>Average</w:t>
            </w:r>
          </w:p>
        </w:tc>
        <w:tc>
          <w:tcPr>
            <w:tcW w:w="0" w:type="dxa"/>
            <w:vAlign w:val="bottom"/>
          </w:tcPr>
          <w:p>
            <w:pPr>
              <w:spacing w:after="0"/>
              <w:rPr>
                <w:sz w:val="1"/>
                <w:szCs w:val="1"/>
                <w:color w:val="auto"/>
              </w:rPr>
            </w:pPr>
          </w:p>
        </w:tc>
      </w:tr>
      <w:tr>
        <w:trPr>
          <w:trHeight w:val="207"/>
        </w:trPr>
        <w:tc>
          <w:tcPr>
            <w:tcW w:w="2800" w:type="dxa"/>
            <w:vAlign w:val="bottom"/>
          </w:tcPr>
          <w:p>
            <w:pPr>
              <w:spacing w:after="0"/>
              <w:rPr>
                <w:sz w:val="17"/>
                <w:szCs w:val="17"/>
                <w:color w:val="auto"/>
              </w:rPr>
            </w:pPr>
          </w:p>
        </w:tc>
        <w:tc>
          <w:tcPr>
            <w:tcW w:w="980" w:type="dxa"/>
            <w:vAlign w:val="bottom"/>
          </w:tcPr>
          <w:p>
            <w:pPr>
              <w:jc w:val="right"/>
              <w:ind w:right="90"/>
              <w:spacing w:after="0"/>
              <w:rPr>
                <w:sz w:val="20"/>
                <w:szCs w:val="20"/>
                <w:color w:val="auto"/>
              </w:rPr>
            </w:pPr>
            <w:r>
              <w:rPr>
                <w:rFonts w:ascii="Arial Narrow" w:cs="Arial Narrow" w:eastAsia="Arial Narrow" w:hAnsi="Arial Narrow"/>
                <w:sz w:val="18"/>
                <w:szCs w:val="18"/>
                <w:b w:val="1"/>
                <w:bCs w:val="1"/>
                <w:color w:val="auto"/>
              </w:rPr>
              <w:t>Number</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Narrow" w:cs="Arial Narrow" w:eastAsia="Arial Narrow" w:hAnsi="Arial Narrow"/>
                <w:sz w:val="18"/>
                <w:szCs w:val="18"/>
                <w:b w:val="1"/>
                <w:bCs w:val="1"/>
                <w:color w:val="auto"/>
              </w:rPr>
              <w:t>Exercise</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ind w:right="110"/>
              <w:spacing w:after="0"/>
              <w:rPr>
                <w:sz w:val="20"/>
                <w:szCs w:val="20"/>
                <w:color w:val="auto"/>
              </w:rPr>
            </w:pPr>
            <w:r>
              <w:rPr>
                <w:rFonts w:ascii="Arial Narrow" w:cs="Arial Narrow" w:eastAsia="Arial Narrow" w:hAnsi="Arial Narrow"/>
                <w:sz w:val="18"/>
                <w:szCs w:val="18"/>
                <w:b w:val="1"/>
                <w:bCs w:val="1"/>
                <w:color w:val="auto"/>
              </w:rPr>
              <w:t>Number</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90"/>
              <w:spacing w:after="0"/>
              <w:rPr>
                <w:sz w:val="20"/>
                <w:szCs w:val="20"/>
                <w:color w:val="auto"/>
              </w:rPr>
            </w:pPr>
            <w:r>
              <w:rPr>
                <w:rFonts w:ascii="Arial Narrow" w:cs="Arial Narrow" w:eastAsia="Arial Narrow" w:hAnsi="Arial Narrow"/>
                <w:sz w:val="18"/>
                <w:szCs w:val="18"/>
                <w:b w:val="1"/>
                <w:bCs w:val="1"/>
                <w:color w:val="auto"/>
              </w:rPr>
              <w:t>Exercise</w:t>
            </w:r>
          </w:p>
        </w:tc>
        <w:tc>
          <w:tcPr>
            <w:tcW w:w="100" w:type="dxa"/>
            <w:vAlign w:val="bottom"/>
          </w:tcPr>
          <w:p>
            <w:pPr>
              <w:spacing w:after="0"/>
              <w:rPr>
                <w:sz w:val="17"/>
                <w:szCs w:val="17"/>
                <w:color w:val="auto"/>
              </w:rPr>
            </w:pPr>
          </w:p>
        </w:tc>
        <w:tc>
          <w:tcPr>
            <w:tcW w:w="980" w:type="dxa"/>
            <w:vAlign w:val="bottom"/>
          </w:tcPr>
          <w:p>
            <w:pPr>
              <w:jc w:val="right"/>
              <w:ind w:right="90"/>
              <w:spacing w:after="0"/>
              <w:rPr>
                <w:sz w:val="20"/>
                <w:szCs w:val="20"/>
                <w:color w:val="auto"/>
              </w:rPr>
            </w:pPr>
            <w:r>
              <w:rPr>
                <w:rFonts w:ascii="Arial Narrow" w:cs="Arial Narrow" w:eastAsia="Arial Narrow" w:hAnsi="Arial Narrow"/>
                <w:sz w:val="18"/>
                <w:szCs w:val="18"/>
                <w:b w:val="1"/>
                <w:bCs w:val="1"/>
                <w:color w:val="auto"/>
              </w:rPr>
              <w:t>Number</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50"/>
              <w:spacing w:after="0"/>
              <w:rPr>
                <w:sz w:val="20"/>
                <w:szCs w:val="20"/>
                <w:color w:val="auto"/>
              </w:rPr>
            </w:pPr>
            <w:r>
              <w:rPr>
                <w:rFonts w:ascii="Arial Narrow" w:cs="Arial Narrow" w:eastAsia="Arial Narrow" w:hAnsi="Arial Narrow"/>
                <w:sz w:val="18"/>
                <w:szCs w:val="18"/>
                <w:b w:val="1"/>
                <w:bCs w:val="1"/>
                <w:color w:val="auto"/>
              </w:rPr>
              <w:t>Exercise</w:t>
            </w:r>
          </w:p>
        </w:tc>
        <w:tc>
          <w:tcPr>
            <w:tcW w:w="0" w:type="dxa"/>
            <w:vAlign w:val="bottom"/>
          </w:tcPr>
          <w:p>
            <w:pPr>
              <w:spacing w:after="0"/>
              <w:rPr>
                <w:sz w:val="1"/>
                <w:szCs w:val="1"/>
                <w:color w:val="auto"/>
              </w:rPr>
            </w:pPr>
          </w:p>
        </w:tc>
      </w:tr>
      <w:tr>
        <w:trPr>
          <w:trHeight w:val="254"/>
        </w:trPr>
        <w:tc>
          <w:tcPr>
            <w:tcW w:w="2800" w:type="dxa"/>
            <w:vAlign w:val="bottom"/>
          </w:tcPr>
          <w:p>
            <w:pPr>
              <w:spacing w:after="0"/>
              <w:rPr>
                <w:sz w:val="22"/>
                <w:szCs w:val="22"/>
                <w:color w:val="auto"/>
              </w:rPr>
            </w:pPr>
          </w:p>
        </w:tc>
        <w:tc>
          <w:tcPr>
            <w:tcW w:w="980" w:type="dxa"/>
            <w:vAlign w:val="bottom"/>
          </w:tcPr>
          <w:p>
            <w:pPr>
              <w:jc w:val="right"/>
              <w:ind w:right="90"/>
              <w:spacing w:after="0"/>
              <w:rPr>
                <w:sz w:val="20"/>
                <w:szCs w:val="20"/>
                <w:color w:val="auto"/>
              </w:rPr>
            </w:pPr>
            <w:r>
              <w:rPr>
                <w:rFonts w:ascii="Arial Narrow" w:cs="Arial Narrow" w:eastAsia="Arial Narrow" w:hAnsi="Arial Narrow"/>
                <w:sz w:val="18"/>
                <w:szCs w:val="18"/>
                <w:b w:val="1"/>
                <w:bCs w:val="1"/>
                <w:color w:val="auto"/>
              </w:rPr>
              <w:t>of Shares</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Narrow" w:cs="Arial Narrow" w:eastAsia="Arial Narrow" w:hAnsi="Arial Narrow"/>
                <w:sz w:val="18"/>
                <w:szCs w:val="18"/>
                <w:b w:val="1"/>
                <w:bCs w:val="1"/>
                <w:color w:val="auto"/>
              </w:rPr>
              <w:t>Price</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jc w:val="right"/>
              <w:ind w:right="110"/>
              <w:spacing w:after="0"/>
              <w:rPr>
                <w:sz w:val="20"/>
                <w:szCs w:val="20"/>
                <w:color w:val="auto"/>
              </w:rPr>
            </w:pPr>
            <w:r>
              <w:rPr>
                <w:rFonts w:ascii="Arial Narrow" w:cs="Arial Narrow" w:eastAsia="Arial Narrow" w:hAnsi="Arial Narrow"/>
                <w:sz w:val="18"/>
                <w:szCs w:val="18"/>
                <w:b w:val="1"/>
                <w:bCs w:val="1"/>
                <w:color w:val="auto"/>
              </w:rPr>
              <w:t>of Shares</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jc w:val="right"/>
              <w:ind w:right="90"/>
              <w:spacing w:after="0"/>
              <w:rPr>
                <w:sz w:val="20"/>
                <w:szCs w:val="20"/>
                <w:color w:val="auto"/>
              </w:rPr>
            </w:pPr>
            <w:r>
              <w:rPr>
                <w:rFonts w:ascii="Arial Narrow" w:cs="Arial Narrow" w:eastAsia="Arial Narrow" w:hAnsi="Arial Narrow"/>
                <w:sz w:val="18"/>
                <w:szCs w:val="18"/>
                <w:b w:val="1"/>
                <w:bCs w:val="1"/>
                <w:color w:val="auto"/>
              </w:rPr>
              <w:t>Price</w:t>
            </w:r>
          </w:p>
        </w:tc>
        <w:tc>
          <w:tcPr>
            <w:tcW w:w="100" w:type="dxa"/>
            <w:vAlign w:val="bottom"/>
          </w:tcPr>
          <w:p>
            <w:pPr>
              <w:spacing w:after="0"/>
              <w:rPr>
                <w:sz w:val="22"/>
                <w:szCs w:val="22"/>
                <w:color w:val="auto"/>
              </w:rPr>
            </w:pPr>
          </w:p>
        </w:tc>
        <w:tc>
          <w:tcPr>
            <w:tcW w:w="980" w:type="dxa"/>
            <w:vAlign w:val="bottom"/>
          </w:tcPr>
          <w:p>
            <w:pPr>
              <w:jc w:val="right"/>
              <w:ind w:right="90"/>
              <w:spacing w:after="0"/>
              <w:rPr>
                <w:sz w:val="20"/>
                <w:szCs w:val="20"/>
                <w:color w:val="auto"/>
              </w:rPr>
            </w:pPr>
            <w:r>
              <w:rPr>
                <w:rFonts w:ascii="Arial Narrow" w:cs="Arial Narrow" w:eastAsia="Arial Narrow" w:hAnsi="Arial Narrow"/>
                <w:sz w:val="18"/>
                <w:szCs w:val="18"/>
                <w:b w:val="1"/>
                <w:bCs w:val="1"/>
                <w:color w:val="auto"/>
              </w:rPr>
              <w:t>of Shares</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50"/>
              <w:spacing w:after="0"/>
              <w:rPr>
                <w:sz w:val="20"/>
                <w:szCs w:val="20"/>
                <w:color w:val="auto"/>
              </w:rPr>
            </w:pPr>
            <w:r>
              <w:rPr>
                <w:rFonts w:ascii="Arial Narrow" w:cs="Arial Narrow" w:eastAsia="Arial Narrow" w:hAnsi="Arial Narrow"/>
                <w:sz w:val="18"/>
                <w:szCs w:val="18"/>
                <w:b w:val="1"/>
                <w:bCs w:val="1"/>
                <w:color w:val="auto"/>
              </w:rPr>
              <w:t>Price</w:t>
            </w:r>
          </w:p>
        </w:tc>
        <w:tc>
          <w:tcPr>
            <w:tcW w:w="0" w:type="dxa"/>
            <w:vAlign w:val="bottom"/>
          </w:tcPr>
          <w:p>
            <w:pPr>
              <w:spacing w:after="0"/>
              <w:rPr>
                <w:sz w:val="1"/>
                <w:szCs w:val="1"/>
                <w:color w:val="auto"/>
              </w:rPr>
            </w:pPr>
          </w:p>
        </w:tc>
      </w:tr>
      <w:tr>
        <w:trPr>
          <w:trHeight w:val="46"/>
        </w:trPr>
        <w:tc>
          <w:tcPr>
            <w:tcW w:w="28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800" w:type="dxa"/>
            <w:vAlign w:val="bottom"/>
          </w:tcPr>
          <w:p>
            <w:pPr>
              <w:spacing w:after="0"/>
              <w:rPr>
                <w:sz w:val="20"/>
                <w:szCs w:val="20"/>
                <w:color w:val="auto"/>
              </w:rPr>
            </w:pPr>
            <w:r>
              <w:rPr>
                <w:rFonts w:ascii="Arial Narrow" w:cs="Arial Narrow" w:eastAsia="Arial Narrow" w:hAnsi="Arial Narrow"/>
                <w:sz w:val="18"/>
                <w:szCs w:val="18"/>
                <w:b w:val="1"/>
                <w:bCs w:val="1"/>
                <w:color w:val="auto"/>
              </w:rPr>
              <w:t>Outstanding Options at</w:t>
            </w:r>
          </w:p>
        </w:tc>
        <w:tc>
          <w:tcPr>
            <w:tcW w:w="980" w:type="dxa"/>
            <w:vAlign w:val="bottom"/>
            <w:vMerge w:val="restart"/>
          </w:tcPr>
          <w:p>
            <w:pPr>
              <w:jc w:val="right"/>
              <w:ind w:right="90"/>
              <w:spacing w:after="0"/>
              <w:rPr>
                <w:sz w:val="20"/>
                <w:szCs w:val="20"/>
                <w:color w:val="auto"/>
              </w:rPr>
            </w:pPr>
            <w:r>
              <w:rPr>
                <w:rFonts w:ascii="Arial Narrow" w:cs="Arial Narrow" w:eastAsia="Arial Narrow" w:hAnsi="Arial Narrow"/>
                <w:sz w:val="18"/>
                <w:szCs w:val="18"/>
                <w:color w:val="auto"/>
              </w:rPr>
              <w:t>184,233</w:t>
            </w:r>
          </w:p>
        </w:tc>
        <w:tc>
          <w:tcPr>
            <w:tcW w:w="220" w:type="dxa"/>
            <w:vAlign w:val="bottom"/>
            <w:gridSpan w:val="2"/>
            <w:vMerge w:val="restart"/>
          </w:tcPr>
          <w:p>
            <w:pPr>
              <w:jc w:val="right"/>
              <w:ind w:right="40"/>
              <w:spacing w:after="0"/>
              <w:rPr>
                <w:sz w:val="20"/>
                <w:szCs w:val="20"/>
                <w:color w:val="auto"/>
              </w:rPr>
            </w:pPr>
            <w:r>
              <w:rPr>
                <w:rFonts w:ascii="Arial Narrow" w:cs="Arial Narrow" w:eastAsia="Arial Narrow" w:hAnsi="Arial Narrow"/>
                <w:sz w:val="18"/>
                <w:szCs w:val="18"/>
                <w:color w:val="auto"/>
              </w:rPr>
              <w:t>$</w:t>
            </w:r>
          </w:p>
        </w:tc>
        <w:tc>
          <w:tcPr>
            <w:tcW w:w="840" w:type="dxa"/>
            <w:vAlign w:val="bottom"/>
            <w:vMerge w:val="restart"/>
          </w:tcPr>
          <w:p>
            <w:pPr>
              <w:jc w:val="right"/>
              <w:spacing w:after="0"/>
              <w:rPr>
                <w:sz w:val="20"/>
                <w:szCs w:val="20"/>
                <w:color w:val="auto"/>
              </w:rPr>
            </w:pPr>
            <w:r>
              <w:rPr>
                <w:rFonts w:ascii="Arial Narrow" w:cs="Arial Narrow" w:eastAsia="Arial Narrow" w:hAnsi="Arial Narrow"/>
                <w:sz w:val="18"/>
                <w:szCs w:val="18"/>
                <w:color w:val="auto"/>
              </w:rPr>
              <w:t>95.75</w:t>
            </w:r>
          </w:p>
        </w:tc>
        <w:tc>
          <w:tcPr>
            <w:tcW w:w="1180" w:type="dxa"/>
            <w:vAlign w:val="bottom"/>
            <w:gridSpan w:val="3"/>
            <w:vMerge w:val="restart"/>
          </w:tcPr>
          <w:p>
            <w:pPr>
              <w:jc w:val="right"/>
              <w:ind w:right="110"/>
              <w:spacing w:after="0"/>
              <w:rPr>
                <w:sz w:val="20"/>
                <w:szCs w:val="20"/>
                <w:color w:val="auto"/>
              </w:rPr>
            </w:pPr>
            <w:r>
              <w:rPr>
                <w:rFonts w:ascii="Arial Narrow" w:cs="Arial Narrow" w:eastAsia="Arial Narrow" w:hAnsi="Arial Narrow"/>
                <w:sz w:val="18"/>
                <w:szCs w:val="18"/>
                <w:color w:val="auto"/>
              </w:rPr>
              <w:t>252,364</w:t>
            </w:r>
          </w:p>
        </w:tc>
        <w:tc>
          <w:tcPr>
            <w:tcW w:w="200" w:type="dxa"/>
            <w:vAlign w:val="bottom"/>
            <w:gridSpan w:val="2"/>
            <w:vMerge w:val="restart"/>
          </w:tcPr>
          <w:p>
            <w:pPr>
              <w:jc w:val="right"/>
              <w:ind w:right="40"/>
              <w:spacing w:after="0"/>
              <w:rPr>
                <w:sz w:val="20"/>
                <w:szCs w:val="20"/>
                <w:color w:val="auto"/>
              </w:rPr>
            </w:pPr>
            <w:r>
              <w:rPr>
                <w:rFonts w:ascii="Arial Narrow" w:cs="Arial Narrow" w:eastAsia="Arial Narrow" w:hAnsi="Arial Narrow"/>
                <w:sz w:val="18"/>
                <w:szCs w:val="18"/>
                <w:color w:val="auto"/>
              </w:rPr>
              <w:t>$</w:t>
            </w:r>
          </w:p>
        </w:tc>
        <w:tc>
          <w:tcPr>
            <w:tcW w:w="940" w:type="dxa"/>
            <w:vAlign w:val="bottom"/>
            <w:vMerge w:val="restart"/>
          </w:tcPr>
          <w:p>
            <w:pPr>
              <w:jc w:val="right"/>
              <w:ind w:right="90"/>
              <w:spacing w:after="0"/>
              <w:rPr>
                <w:sz w:val="20"/>
                <w:szCs w:val="20"/>
                <w:color w:val="auto"/>
              </w:rPr>
            </w:pPr>
            <w:r>
              <w:rPr>
                <w:rFonts w:ascii="Arial Narrow" w:cs="Arial Narrow" w:eastAsia="Arial Narrow" w:hAnsi="Arial Narrow"/>
                <w:sz w:val="18"/>
                <w:szCs w:val="18"/>
                <w:color w:val="auto"/>
              </w:rPr>
              <w:t>91.28</w:t>
            </w:r>
          </w:p>
        </w:tc>
        <w:tc>
          <w:tcPr>
            <w:tcW w:w="1080" w:type="dxa"/>
            <w:vAlign w:val="bottom"/>
            <w:gridSpan w:val="2"/>
            <w:vMerge w:val="restart"/>
          </w:tcPr>
          <w:p>
            <w:pPr>
              <w:jc w:val="right"/>
              <w:ind w:right="90"/>
              <w:spacing w:after="0"/>
              <w:rPr>
                <w:sz w:val="20"/>
                <w:szCs w:val="20"/>
                <w:color w:val="auto"/>
              </w:rPr>
            </w:pPr>
            <w:r>
              <w:rPr>
                <w:rFonts w:ascii="Arial Narrow" w:cs="Arial Narrow" w:eastAsia="Arial Narrow" w:hAnsi="Arial Narrow"/>
                <w:sz w:val="18"/>
                <w:szCs w:val="18"/>
                <w:color w:val="auto"/>
              </w:rPr>
              <w:t>436,949</w:t>
            </w:r>
          </w:p>
        </w:tc>
        <w:tc>
          <w:tcPr>
            <w:tcW w:w="220" w:type="dxa"/>
            <w:vAlign w:val="bottom"/>
            <w:gridSpan w:val="2"/>
            <w:vMerge w:val="restart"/>
          </w:tcPr>
          <w:p>
            <w:pPr>
              <w:jc w:val="right"/>
              <w:ind w:right="60"/>
              <w:spacing w:after="0"/>
              <w:rPr>
                <w:sz w:val="20"/>
                <w:szCs w:val="20"/>
                <w:color w:val="auto"/>
              </w:rPr>
            </w:pPr>
            <w:r>
              <w:rPr>
                <w:rFonts w:ascii="Arial Narrow" w:cs="Arial Narrow" w:eastAsia="Arial Narrow" w:hAnsi="Arial Narrow"/>
                <w:sz w:val="18"/>
                <w:szCs w:val="18"/>
                <w:color w:val="auto"/>
              </w:rPr>
              <w:t>$</w:t>
            </w:r>
          </w:p>
        </w:tc>
        <w:tc>
          <w:tcPr>
            <w:tcW w:w="900" w:type="dxa"/>
            <w:vAlign w:val="bottom"/>
            <w:vMerge w:val="restart"/>
          </w:tcPr>
          <w:p>
            <w:pPr>
              <w:jc w:val="right"/>
              <w:ind w:right="50"/>
              <w:spacing w:after="0"/>
              <w:rPr>
                <w:sz w:val="20"/>
                <w:szCs w:val="20"/>
                <w:color w:val="auto"/>
              </w:rPr>
            </w:pPr>
            <w:r>
              <w:rPr>
                <w:rFonts w:ascii="Arial Narrow" w:cs="Arial Narrow" w:eastAsia="Arial Narrow" w:hAnsi="Arial Narrow"/>
                <w:sz w:val="18"/>
                <w:szCs w:val="18"/>
                <w:color w:val="auto"/>
              </w:rPr>
              <w:t>89.69</w:t>
            </w:r>
          </w:p>
        </w:tc>
        <w:tc>
          <w:tcPr>
            <w:tcW w:w="0" w:type="dxa"/>
            <w:vAlign w:val="bottom"/>
          </w:tcPr>
          <w:p>
            <w:pPr>
              <w:spacing w:after="0"/>
              <w:rPr>
                <w:sz w:val="1"/>
                <w:szCs w:val="1"/>
                <w:color w:val="auto"/>
              </w:rPr>
            </w:pPr>
          </w:p>
        </w:tc>
      </w:tr>
      <w:tr>
        <w:trPr>
          <w:trHeight w:val="150"/>
        </w:trPr>
        <w:tc>
          <w:tcPr>
            <w:tcW w:w="2800" w:type="dxa"/>
            <w:vAlign w:val="bottom"/>
            <w:vMerge w:val="restart"/>
          </w:tcPr>
          <w:p>
            <w:pPr>
              <w:ind w:left="120"/>
              <w:spacing w:after="0"/>
              <w:rPr>
                <w:sz w:val="20"/>
                <w:szCs w:val="20"/>
                <w:color w:val="auto"/>
              </w:rPr>
            </w:pPr>
            <w:r>
              <w:rPr>
                <w:rFonts w:ascii="Arial Narrow" w:cs="Arial Narrow" w:eastAsia="Arial Narrow" w:hAnsi="Arial Narrow"/>
                <w:sz w:val="18"/>
                <w:szCs w:val="18"/>
                <w:b w:val="1"/>
                <w:bCs w:val="1"/>
                <w:color w:val="auto"/>
              </w:rPr>
              <w:t>Beginning of Year</w:t>
            </w:r>
          </w:p>
        </w:tc>
        <w:tc>
          <w:tcPr>
            <w:tcW w:w="980" w:type="dxa"/>
            <w:vAlign w:val="bottom"/>
            <w:vMerge w:val="continue"/>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1180" w:type="dxa"/>
            <w:vAlign w:val="bottom"/>
            <w:gridSpan w:val="3"/>
            <w:vMerge w:val="continue"/>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8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4"/>
        </w:trPr>
        <w:tc>
          <w:tcPr>
            <w:tcW w:w="2800" w:type="dxa"/>
            <w:vAlign w:val="bottom"/>
            <w:tcBorders>
              <w:bottom w:val="single" w:sz="8" w:color="A6A6A6"/>
            </w:tcBorders>
          </w:tcPr>
          <w:p>
            <w:pPr>
              <w:spacing w:after="0"/>
              <w:rPr>
                <w:sz w:val="3"/>
                <w:szCs w:val="3"/>
                <w:color w:val="auto"/>
              </w:rPr>
            </w:pPr>
          </w:p>
        </w:tc>
        <w:tc>
          <w:tcPr>
            <w:tcW w:w="980" w:type="dxa"/>
            <w:vAlign w:val="bottom"/>
            <w:tcBorders>
              <w:bottom w:val="single" w:sz="8" w:color="A6A6A6"/>
            </w:tcBorders>
          </w:tcPr>
          <w:p>
            <w:pPr>
              <w:spacing w:after="0"/>
              <w:rPr>
                <w:sz w:val="3"/>
                <w:szCs w:val="3"/>
                <w:color w:val="auto"/>
              </w:rPr>
            </w:pPr>
          </w:p>
        </w:tc>
        <w:tc>
          <w:tcPr>
            <w:tcW w:w="8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840" w:type="dxa"/>
            <w:vAlign w:val="bottom"/>
            <w:tcBorders>
              <w:bottom w:val="single" w:sz="8" w:color="A6A6A6"/>
            </w:tcBorders>
          </w:tcPr>
          <w:p>
            <w:pPr>
              <w:spacing w:after="0"/>
              <w:rPr>
                <w:sz w:val="3"/>
                <w:szCs w:val="3"/>
                <w:color w:val="auto"/>
              </w:rPr>
            </w:pPr>
          </w:p>
        </w:tc>
        <w:tc>
          <w:tcPr>
            <w:tcW w:w="1180" w:type="dxa"/>
            <w:vAlign w:val="bottom"/>
            <w:tcBorders>
              <w:bottom w:val="single" w:sz="8" w:color="A6A6A6"/>
            </w:tcBorders>
            <w:gridSpan w:val="3"/>
          </w:tcPr>
          <w:p>
            <w:pPr>
              <w:spacing w:after="0"/>
              <w:rPr>
                <w:sz w:val="3"/>
                <w:szCs w:val="3"/>
                <w:color w:val="auto"/>
              </w:rPr>
            </w:pPr>
          </w:p>
        </w:tc>
        <w:tc>
          <w:tcPr>
            <w:tcW w:w="8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080" w:type="dxa"/>
            <w:vAlign w:val="bottom"/>
            <w:tcBorders>
              <w:bottom w:val="single" w:sz="8" w:color="A6A6A6"/>
            </w:tcBorders>
            <w:gridSpan w:val="2"/>
          </w:tcPr>
          <w:p>
            <w:pPr>
              <w:spacing w:after="0"/>
              <w:rPr>
                <w:sz w:val="3"/>
                <w:szCs w:val="3"/>
                <w:color w:val="auto"/>
              </w:rPr>
            </w:pPr>
          </w:p>
        </w:tc>
        <w:tc>
          <w:tcPr>
            <w:tcW w:w="8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92"/>
        </w:trPr>
        <w:tc>
          <w:tcPr>
            <w:tcW w:w="2800" w:type="dxa"/>
            <w:vAlign w:val="bottom"/>
          </w:tcPr>
          <w:p>
            <w:pPr>
              <w:ind w:left="100"/>
              <w:spacing w:after="0"/>
              <w:rPr>
                <w:sz w:val="20"/>
                <w:szCs w:val="20"/>
                <w:color w:val="auto"/>
              </w:rPr>
            </w:pPr>
            <w:r>
              <w:rPr>
                <w:rFonts w:ascii="Arial Narrow" w:cs="Arial Narrow" w:eastAsia="Arial Narrow" w:hAnsi="Arial Narrow"/>
                <w:sz w:val="18"/>
                <w:szCs w:val="18"/>
                <w:b w:val="1"/>
                <w:bCs w:val="1"/>
                <w:color w:val="00085E"/>
              </w:rPr>
              <w:t>Granted</w:t>
            </w:r>
          </w:p>
        </w:tc>
        <w:tc>
          <w:tcPr>
            <w:tcW w:w="980" w:type="dxa"/>
            <w:vAlign w:val="bottom"/>
          </w:tcPr>
          <w:p>
            <w:pPr>
              <w:jc w:val="right"/>
              <w:ind w:right="90"/>
              <w:spacing w:after="0"/>
              <w:rPr>
                <w:sz w:val="20"/>
                <w:szCs w:val="20"/>
                <w:color w:val="auto"/>
              </w:rPr>
            </w:pPr>
            <w:r>
              <w:rPr>
                <w:rFonts w:ascii="Arial Narrow" w:cs="Arial Narrow" w:eastAsia="Arial Narrow" w:hAnsi="Arial Narrow"/>
                <w:sz w:val="18"/>
                <w:szCs w:val="18"/>
                <w:color w:val="auto"/>
              </w:rPr>
              <w:t>29,424</w:t>
            </w:r>
          </w:p>
        </w:tc>
        <w:tc>
          <w:tcPr>
            <w:tcW w:w="220" w:type="dxa"/>
            <w:vAlign w:val="bottom"/>
            <w:gridSpan w:val="2"/>
          </w:tcPr>
          <w:p>
            <w:pPr>
              <w:jc w:val="right"/>
              <w:ind w:right="40"/>
              <w:spacing w:after="0"/>
              <w:rPr>
                <w:sz w:val="20"/>
                <w:szCs w:val="20"/>
                <w:color w:val="auto"/>
              </w:rPr>
            </w:pPr>
            <w:r>
              <w:rPr>
                <w:rFonts w:ascii="Arial Narrow" w:cs="Arial Narrow" w:eastAsia="Arial Narrow" w:hAnsi="Arial Narrow"/>
                <w:sz w:val="18"/>
                <w:szCs w:val="18"/>
                <w:color w:val="auto"/>
              </w:rPr>
              <w:t>$</w:t>
            </w:r>
          </w:p>
        </w:tc>
        <w:tc>
          <w:tcPr>
            <w:tcW w:w="840" w:type="dxa"/>
            <w:vAlign w:val="bottom"/>
          </w:tcPr>
          <w:p>
            <w:pPr>
              <w:jc w:val="right"/>
              <w:spacing w:after="0"/>
              <w:rPr>
                <w:sz w:val="20"/>
                <w:szCs w:val="20"/>
                <w:color w:val="auto"/>
              </w:rPr>
            </w:pPr>
            <w:r>
              <w:rPr>
                <w:rFonts w:ascii="Arial Narrow" w:cs="Arial Narrow" w:eastAsia="Arial Narrow" w:hAnsi="Arial Narrow"/>
                <w:sz w:val="18"/>
                <w:szCs w:val="18"/>
                <w:color w:val="auto"/>
              </w:rPr>
              <w:t>213.66</w:t>
            </w:r>
          </w:p>
        </w:tc>
        <w:tc>
          <w:tcPr>
            <w:tcW w:w="1180" w:type="dxa"/>
            <w:vAlign w:val="bottom"/>
            <w:gridSpan w:val="3"/>
          </w:tcPr>
          <w:p>
            <w:pPr>
              <w:jc w:val="right"/>
              <w:ind w:right="110"/>
              <w:spacing w:after="0"/>
              <w:rPr>
                <w:sz w:val="20"/>
                <w:szCs w:val="20"/>
                <w:color w:val="auto"/>
              </w:rPr>
            </w:pPr>
            <w:r>
              <w:rPr>
                <w:rFonts w:ascii="Arial Narrow" w:cs="Arial Narrow" w:eastAsia="Arial Narrow" w:hAnsi="Arial Narrow"/>
                <w:sz w:val="18"/>
                <w:szCs w:val="18"/>
                <w:color w:val="auto"/>
              </w:rPr>
              <w:t>5,476</w:t>
            </w:r>
          </w:p>
        </w:tc>
        <w:tc>
          <w:tcPr>
            <w:tcW w:w="200" w:type="dxa"/>
            <w:vAlign w:val="bottom"/>
            <w:gridSpan w:val="2"/>
          </w:tcPr>
          <w:p>
            <w:pPr>
              <w:jc w:val="right"/>
              <w:ind w:right="40"/>
              <w:spacing w:after="0"/>
              <w:rPr>
                <w:sz w:val="20"/>
                <w:szCs w:val="20"/>
                <w:color w:val="auto"/>
              </w:rPr>
            </w:pPr>
            <w:r>
              <w:rPr>
                <w:rFonts w:ascii="Arial Narrow" w:cs="Arial Narrow" w:eastAsia="Arial Narrow" w:hAnsi="Arial Narrow"/>
                <w:sz w:val="18"/>
                <w:szCs w:val="18"/>
                <w:color w:val="auto"/>
              </w:rPr>
              <w:t>$</w:t>
            </w:r>
          </w:p>
        </w:tc>
        <w:tc>
          <w:tcPr>
            <w:tcW w:w="940" w:type="dxa"/>
            <w:vAlign w:val="bottom"/>
          </w:tcPr>
          <w:p>
            <w:pPr>
              <w:jc w:val="right"/>
              <w:ind w:right="90"/>
              <w:spacing w:after="0"/>
              <w:rPr>
                <w:sz w:val="20"/>
                <w:szCs w:val="20"/>
                <w:color w:val="auto"/>
              </w:rPr>
            </w:pPr>
            <w:r>
              <w:rPr>
                <w:rFonts w:ascii="Arial Narrow" w:cs="Arial Narrow" w:eastAsia="Arial Narrow" w:hAnsi="Arial Narrow"/>
                <w:sz w:val="18"/>
                <w:szCs w:val="18"/>
                <w:color w:val="auto"/>
              </w:rPr>
              <w:t>244.92</w:t>
            </w:r>
          </w:p>
        </w:tc>
        <w:tc>
          <w:tcPr>
            <w:tcW w:w="1080" w:type="dxa"/>
            <w:vAlign w:val="bottom"/>
            <w:gridSpan w:val="2"/>
          </w:tcPr>
          <w:p>
            <w:pPr>
              <w:jc w:val="right"/>
              <w:ind w:right="90"/>
              <w:spacing w:after="0"/>
              <w:rPr>
                <w:sz w:val="20"/>
                <w:szCs w:val="20"/>
                <w:color w:val="auto"/>
              </w:rPr>
            </w:pPr>
            <w:r>
              <w:rPr>
                <w:rFonts w:ascii="Arial Narrow" w:cs="Arial Narrow" w:eastAsia="Arial Narrow" w:hAnsi="Arial Narrow"/>
                <w:sz w:val="18"/>
                <w:szCs w:val="18"/>
                <w:color w:val="auto"/>
              </w:rPr>
              <w:t>5,558</w:t>
            </w:r>
          </w:p>
        </w:tc>
        <w:tc>
          <w:tcPr>
            <w:tcW w:w="220" w:type="dxa"/>
            <w:vAlign w:val="bottom"/>
            <w:gridSpan w:val="2"/>
          </w:tcPr>
          <w:p>
            <w:pPr>
              <w:jc w:val="right"/>
              <w:ind w:right="60"/>
              <w:spacing w:after="0"/>
              <w:rPr>
                <w:sz w:val="20"/>
                <w:szCs w:val="20"/>
                <w:color w:val="auto"/>
              </w:rPr>
            </w:pPr>
            <w:r>
              <w:rPr>
                <w:rFonts w:ascii="Arial Narrow" w:cs="Arial Narrow" w:eastAsia="Arial Narrow" w:hAnsi="Arial Narrow"/>
                <w:sz w:val="18"/>
                <w:szCs w:val="18"/>
                <w:color w:val="auto"/>
              </w:rPr>
              <w:t>$</w:t>
            </w:r>
          </w:p>
        </w:tc>
        <w:tc>
          <w:tcPr>
            <w:tcW w:w="900" w:type="dxa"/>
            <w:vAlign w:val="bottom"/>
          </w:tcPr>
          <w:p>
            <w:pPr>
              <w:jc w:val="right"/>
              <w:ind w:right="50"/>
              <w:spacing w:after="0"/>
              <w:rPr>
                <w:sz w:val="20"/>
                <w:szCs w:val="20"/>
                <w:color w:val="auto"/>
              </w:rPr>
            </w:pPr>
            <w:r>
              <w:rPr>
                <w:rFonts w:ascii="Arial Narrow" w:cs="Arial Narrow" w:eastAsia="Arial Narrow" w:hAnsi="Arial Narrow"/>
                <w:sz w:val="18"/>
                <w:szCs w:val="18"/>
                <w:color w:val="auto"/>
              </w:rPr>
              <w:t>172.62</w:t>
            </w:r>
          </w:p>
        </w:tc>
        <w:tc>
          <w:tcPr>
            <w:tcW w:w="0" w:type="dxa"/>
            <w:vAlign w:val="bottom"/>
          </w:tcPr>
          <w:p>
            <w:pPr>
              <w:spacing w:after="0"/>
              <w:rPr>
                <w:sz w:val="1"/>
                <w:szCs w:val="1"/>
                <w:color w:val="auto"/>
              </w:rPr>
            </w:pPr>
          </w:p>
        </w:tc>
      </w:tr>
      <w:tr>
        <w:trPr>
          <w:trHeight w:val="44"/>
        </w:trPr>
        <w:tc>
          <w:tcPr>
            <w:tcW w:w="2800" w:type="dxa"/>
            <w:vAlign w:val="bottom"/>
            <w:tcBorders>
              <w:bottom w:val="single" w:sz="8" w:color="A6A6A6"/>
            </w:tcBorders>
          </w:tcPr>
          <w:p>
            <w:pPr>
              <w:spacing w:after="0"/>
              <w:rPr>
                <w:sz w:val="3"/>
                <w:szCs w:val="3"/>
                <w:color w:val="auto"/>
              </w:rPr>
            </w:pPr>
          </w:p>
        </w:tc>
        <w:tc>
          <w:tcPr>
            <w:tcW w:w="980" w:type="dxa"/>
            <w:vAlign w:val="bottom"/>
            <w:tcBorders>
              <w:bottom w:val="single" w:sz="8" w:color="A6A6A6"/>
            </w:tcBorders>
          </w:tcPr>
          <w:p>
            <w:pPr>
              <w:spacing w:after="0"/>
              <w:rPr>
                <w:sz w:val="3"/>
                <w:szCs w:val="3"/>
                <w:color w:val="auto"/>
              </w:rPr>
            </w:pPr>
          </w:p>
        </w:tc>
        <w:tc>
          <w:tcPr>
            <w:tcW w:w="8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840" w:type="dxa"/>
            <w:vAlign w:val="bottom"/>
            <w:tcBorders>
              <w:bottom w:val="single" w:sz="8" w:color="A6A6A6"/>
            </w:tcBorders>
          </w:tcPr>
          <w:p>
            <w:pPr>
              <w:spacing w:after="0"/>
              <w:rPr>
                <w:sz w:val="3"/>
                <w:szCs w:val="3"/>
                <w:color w:val="auto"/>
              </w:rPr>
            </w:pPr>
          </w:p>
        </w:tc>
        <w:tc>
          <w:tcPr>
            <w:tcW w:w="1180" w:type="dxa"/>
            <w:vAlign w:val="bottom"/>
            <w:tcBorders>
              <w:bottom w:val="single" w:sz="8" w:color="A6A6A6"/>
            </w:tcBorders>
            <w:gridSpan w:val="3"/>
          </w:tcPr>
          <w:p>
            <w:pPr>
              <w:spacing w:after="0"/>
              <w:rPr>
                <w:sz w:val="3"/>
                <w:szCs w:val="3"/>
                <w:color w:val="auto"/>
              </w:rPr>
            </w:pPr>
          </w:p>
        </w:tc>
        <w:tc>
          <w:tcPr>
            <w:tcW w:w="8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080" w:type="dxa"/>
            <w:vAlign w:val="bottom"/>
            <w:tcBorders>
              <w:bottom w:val="single" w:sz="8" w:color="A6A6A6"/>
            </w:tcBorders>
            <w:gridSpan w:val="2"/>
          </w:tcPr>
          <w:p>
            <w:pPr>
              <w:spacing w:after="0"/>
              <w:rPr>
                <w:sz w:val="3"/>
                <w:szCs w:val="3"/>
                <w:color w:val="auto"/>
              </w:rPr>
            </w:pPr>
          </w:p>
        </w:tc>
        <w:tc>
          <w:tcPr>
            <w:tcW w:w="8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92"/>
        </w:trPr>
        <w:tc>
          <w:tcPr>
            <w:tcW w:w="2800" w:type="dxa"/>
            <w:vAlign w:val="bottom"/>
          </w:tcPr>
          <w:p>
            <w:pPr>
              <w:ind w:left="100"/>
              <w:spacing w:after="0"/>
              <w:rPr>
                <w:sz w:val="20"/>
                <w:szCs w:val="20"/>
                <w:color w:val="auto"/>
              </w:rPr>
            </w:pPr>
            <w:r>
              <w:rPr>
                <w:rFonts w:ascii="Arial Narrow" w:cs="Arial Narrow" w:eastAsia="Arial Narrow" w:hAnsi="Arial Narrow"/>
                <w:sz w:val="18"/>
                <w:szCs w:val="18"/>
                <w:b w:val="1"/>
                <w:bCs w:val="1"/>
                <w:color w:val="00085E"/>
              </w:rPr>
              <w:t>Exercised</w:t>
            </w:r>
          </w:p>
        </w:tc>
        <w:tc>
          <w:tcPr>
            <w:tcW w:w="980" w:type="dxa"/>
            <w:vAlign w:val="bottom"/>
          </w:tcPr>
          <w:p>
            <w:pPr>
              <w:jc w:val="right"/>
              <w:ind w:right="30"/>
              <w:spacing w:after="0"/>
              <w:rPr>
                <w:sz w:val="20"/>
                <w:szCs w:val="20"/>
                <w:color w:val="auto"/>
              </w:rPr>
            </w:pPr>
            <w:r>
              <w:rPr>
                <w:rFonts w:ascii="Arial Narrow" w:cs="Arial Narrow" w:eastAsia="Arial Narrow" w:hAnsi="Arial Narrow"/>
                <w:sz w:val="18"/>
                <w:szCs w:val="18"/>
                <w:color w:val="auto"/>
              </w:rPr>
              <w:t>(6,936)</w:t>
            </w:r>
          </w:p>
        </w:tc>
        <w:tc>
          <w:tcPr>
            <w:tcW w:w="220" w:type="dxa"/>
            <w:vAlign w:val="bottom"/>
            <w:gridSpan w:val="2"/>
          </w:tcPr>
          <w:p>
            <w:pPr>
              <w:jc w:val="right"/>
              <w:ind w:right="40"/>
              <w:spacing w:after="0"/>
              <w:rPr>
                <w:sz w:val="20"/>
                <w:szCs w:val="20"/>
                <w:color w:val="auto"/>
              </w:rPr>
            </w:pPr>
            <w:r>
              <w:rPr>
                <w:rFonts w:ascii="Arial Narrow" w:cs="Arial Narrow" w:eastAsia="Arial Narrow" w:hAnsi="Arial Narrow"/>
                <w:sz w:val="18"/>
                <w:szCs w:val="18"/>
                <w:color w:val="auto"/>
              </w:rPr>
              <w:t>$</w:t>
            </w:r>
          </w:p>
        </w:tc>
        <w:tc>
          <w:tcPr>
            <w:tcW w:w="840" w:type="dxa"/>
            <w:vAlign w:val="bottom"/>
          </w:tcPr>
          <w:p>
            <w:pPr>
              <w:jc w:val="right"/>
              <w:spacing w:after="0"/>
              <w:rPr>
                <w:sz w:val="20"/>
                <w:szCs w:val="20"/>
                <w:color w:val="auto"/>
              </w:rPr>
            </w:pPr>
            <w:r>
              <w:rPr>
                <w:rFonts w:ascii="Arial Narrow" w:cs="Arial Narrow" w:eastAsia="Arial Narrow" w:hAnsi="Arial Narrow"/>
                <w:sz w:val="18"/>
                <w:szCs w:val="18"/>
                <w:color w:val="auto"/>
              </w:rPr>
              <w:t>77.10</w:t>
            </w:r>
          </w:p>
        </w:tc>
        <w:tc>
          <w:tcPr>
            <w:tcW w:w="1180" w:type="dxa"/>
            <w:vAlign w:val="bottom"/>
            <w:gridSpan w:val="3"/>
          </w:tcPr>
          <w:p>
            <w:pPr>
              <w:jc w:val="right"/>
              <w:ind w:right="50"/>
              <w:spacing w:after="0"/>
              <w:rPr>
                <w:sz w:val="20"/>
                <w:szCs w:val="20"/>
                <w:color w:val="auto"/>
              </w:rPr>
            </w:pPr>
            <w:r>
              <w:rPr>
                <w:rFonts w:ascii="Arial Narrow" w:cs="Arial Narrow" w:eastAsia="Arial Narrow" w:hAnsi="Arial Narrow"/>
                <w:sz w:val="18"/>
                <w:szCs w:val="18"/>
                <w:color w:val="auto"/>
              </w:rPr>
              <w:t>(72,553)</w:t>
            </w:r>
          </w:p>
        </w:tc>
        <w:tc>
          <w:tcPr>
            <w:tcW w:w="200" w:type="dxa"/>
            <w:vAlign w:val="bottom"/>
            <w:gridSpan w:val="2"/>
          </w:tcPr>
          <w:p>
            <w:pPr>
              <w:jc w:val="right"/>
              <w:ind w:right="40"/>
              <w:spacing w:after="0"/>
              <w:rPr>
                <w:sz w:val="20"/>
                <w:szCs w:val="20"/>
                <w:color w:val="auto"/>
              </w:rPr>
            </w:pPr>
            <w:r>
              <w:rPr>
                <w:rFonts w:ascii="Arial Narrow" w:cs="Arial Narrow" w:eastAsia="Arial Narrow" w:hAnsi="Arial Narrow"/>
                <w:sz w:val="18"/>
                <w:szCs w:val="18"/>
                <w:color w:val="auto"/>
              </w:rPr>
              <w:t>$</w:t>
            </w:r>
          </w:p>
        </w:tc>
        <w:tc>
          <w:tcPr>
            <w:tcW w:w="940" w:type="dxa"/>
            <w:vAlign w:val="bottom"/>
          </w:tcPr>
          <w:p>
            <w:pPr>
              <w:jc w:val="right"/>
              <w:ind w:right="90"/>
              <w:spacing w:after="0"/>
              <w:rPr>
                <w:sz w:val="20"/>
                <w:szCs w:val="20"/>
                <w:color w:val="auto"/>
              </w:rPr>
            </w:pPr>
            <w:r>
              <w:rPr>
                <w:rFonts w:ascii="Arial Narrow" w:cs="Arial Narrow" w:eastAsia="Arial Narrow" w:hAnsi="Arial Narrow"/>
                <w:sz w:val="18"/>
                <w:szCs w:val="18"/>
                <w:color w:val="auto"/>
              </w:rPr>
              <w:t>90.20</w:t>
            </w:r>
          </w:p>
        </w:tc>
        <w:tc>
          <w:tcPr>
            <w:tcW w:w="1080" w:type="dxa"/>
            <w:vAlign w:val="bottom"/>
            <w:gridSpan w:val="2"/>
          </w:tcPr>
          <w:p>
            <w:pPr>
              <w:jc w:val="right"/>
              <w:ind w:right="30"/>
              <w:spacing w:after="0"/>
              <w:rPr>
                <w:sz w:val="20"/>
                <w:szCs w:val="20"/>
                <w:color w:val="auto"/>
              </w:rPr>
            </w:pPr>
            <w:r>
              <w:rPr>
                <w:rFonts w:ascii="Arial Narrow" w:cs="Arial Narrow" w:eastAsia="Arial Narrow" w:hAnsi="Arial Narrow"/>
                <w:sz w:val="18"/>
                <w:szCs w:val="18"/>
                <w:color w:val="auto"/>
              </w:rPr>
              <w:t>(189,143)</w:t>
            </w:r>
          </w:p>
        </w:tc>
        <w:tc>
          <w:tcPr>
            <w:tcW w:w="220" w:type="dxa"/>
            <w:vAlign w:val="bottom"/>
            <w:gridSpan w:val="2"/>
          </w:tcPr>
          <w:p>
            <w:pPr>
              <w:jc w:val="right"/>
              <w:ind w:right="60"/>
              <w:spacing w:after="0"/>
              <w:rPr>
                <w:sz w:val="20"/>
                <w:szCs w:val="20"/>
                <w:color w:val="auto"/>
              </w:rPr>
            </w:pPr>
            <w:r>
              <w:rPr>
                <w:rFonts w:ascii="Arial Narrow" w:cs="Arial Narrow" w:eastAsia="Arial Narrow" w:hAnsi="Arial Narrow"/>
                <w:sz w:val="18"/>
                <w:szCs w:val="18"/>
                <w:color w:val="auto"/>
              </w:rPr>
              <w:t>$</w:t>
            </w:r>
          </w:p>
        </w:tc>
        <w:tc>
          <w:tcPr>
            <w:tcW w:w="900" w:type="dxa"/>
            <w:vAlign w:val="bottom"/>
          </w:tcPr>
          <w:p>
            <w:pPr>
              <w:jc w:val="right"/>
              <w:ind w:right="50"/>
              <w:spacing w:after="0"/>
              <w:rPr>
                <w:sz w:val="20"/>
                <w:szCs w:val="20"/>
                <w:color w:val="auto"/>
              </w:rPr>
            </w:pPr>
            <w:r>
              <w:rPr>
                <w:rFonts w:ascii="Arial Narrow" w:cs="Arial Narrow" w:eastAsia="Arial Narrow" w:hAnsi="Arial Narrow"/>
                <w:sz w:val="18"/>
                <w:szCs w:val="18"/>
                <w:color w:val="auto"/>
              </w:rPr>
              <w:t>90.40</w:t>
            </w:r>
          </w:p>
        </w:tc>
        <w:tc>
          <w:tcPr>
            <w:tcW w:w="0" w:type="dxa"/>
            <w:vAlign w:val="bottom"/>
          </w:tcPr>
          <w:p>
            <w:pPr>
              <w:spacing w:after="0"/>
              <w:rPr>
                <w:sz w:val="1"/>
                <w:szCs w:val="1"/>
                <w:color w:val="auto"/>
              </w:rPr>
            </w:pPr>
          </w:p>
        </w:tc>
      </w:tr>
      <w:tr>
        <w:trPr>
          <w:trHeight w:val="44"/>
        </w:trPr>
        <w:tc>
          <w:tcPr>
            <w:tcW w:w="2800" w:type="dxa"/>
            <w:vAlign w:val="bottom"/>
            <w:tcBorders>
              <w:bottom w:val="single" w:sz="8" w:color="A6A6A6"/>
            </w:tcBorders>
          </w:tcPr>
          <w:p>
            <w:pPr>
              <w:spacing w:after="0"/>
              <w:rPr>
                <w:sz w:val="3"/>
                <w:szCs w:val="3"/>
                <w:color w:val="auto"/>
              </w:rPr>
            </w:pPr>
          </w:p>
        </w:tc>
        <w:tc>
          <w:tcPr>
            <w:tcW w:w="980" w:type="dxa"/>
            <w:vAlign w:val="bottom"/>
            <w:tcBorders>
              <w:bottom w:val="single" w:sz="8" w:color="A6A6A6"/>
            </w:tcBorders>
          </w:tcPr>
          <w:p>
            <w:pPr>
              <w:spacing w:after="0"/>
              <w:rPr>
                <w:sz w:val="3"/>
                <w:szCs w:val="3"/>
                <w:color w:val="auto"/>
              </w:rPr>
            </w:pPr>
          </w:p>
        </w:tc>
        <w:tc>
          <w:tcPr>
            <w:tcW w:w="8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840" w:type="dxa"/>
            <w:vAlign w:val="bottom"/>
            <w:tcBorders>
              <w:bottom w:val="single" w:sz="8" w:color="A6A6A6"/>
            </w:tcBorders>
          </w:tcPr>
          <w:p>
            <w:pPr>
              <w:spacing w:after="0"/>
              <w:rPr>
                <w:sz w:val="3"/>
                <w:szCs w:val="3"/>
                <w:color w:val="auto"/>
              </w:rPr>
            </w:pPr>
          </w:p>
        </w:tc>
        <w:tc>
          <w:tcPr>
            <w:tcW w:w="1180" w:type="dxa"/>
            <w:vAlign w:val="bottom"/>
            <w:tcBorders>
              <w:bottom w:val="single" w:sz="8" w:color="A6A6A6"/>
            </w:tcBorders>
            <w:gridSpan w:val="3"/>
          </w:tcPr>
          <w:p>
            <w:pPr>
              <w:spacing w:after="0"/>
              <w:rPr>
                <w:sz w:val="3"/>
                <w:szCs w:val="3"/>
                <w:color w:val="auto"/>
              </w:rPr>
            </w:pPr>
          </w:p>
        </w:tc>
        <w:tc>
          <w:tcPr>
            <w:tcW w:w="8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080" w:type="dxa"/>
            <w:vAlign w:val="bottom"/>
            <w:tcBorders>
              <w:bottom w:val="single" w:sz="8" w:color="A6A6A6"/>
            </w:tcBorders>
            <w:gridSpan w:val="2"/>
          </w:tcPr>
          <w:p>
            <w:pPr>
              <w:spacing w:after="0"/>
              <w:rPr>
                <w:sz w:val="3"/>
                <w:szCs w:val="3"/>
                <w:color w:val="auto"/>
              </w:rPr>
            </w:pPr>
          </w:p>
        </w:tc>
        <w:tc>
          <w:tcPr>
            <w:tcW w:w="8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r>
        <w:trPr>
          <w:trHeight w:val="292"/>
        </w:trPr>
        <w:tc>
          <w:tcPr>
            <w:tcW w:w="2800" w:type="dxa"/>
            <w:vAlign w:val="bottom"/>
          </w:tcPr>
          <w:p>
            <w:pPr>
              <w:ind w:left="100"/>
              <w:spacing w:after="0"/>
              <w:rPr>
                <w:sz w:val="20"/>
                <w:szCs w:val="20"/>
                <w:color w:val="auto"/>
              </w:rPr>
            </w:pPr>
            <w:r>
              <w:rPr>
                <w:rFonts w:ascii="Arial Narrow" w:cs="Arial Narrow" w:eastAsia="Arial Narrow" w:hAnsi="Arial Narrow"/>
                <w:sz w:val="18"/>
                <w:szCs w:val="18"/>
                <w:b w:val="1"/>
                <w:bCs w:val="1"/>
                <w:color w:val="00085E"/>
              </w:rPr>
              <w:t>Cancelled</w:t>
            </w:r>
          </w:p>
        </w:tc>
        <w:tc>
          <w:tcPr>
            <w:tcW w:w="980" w:type="dxa"/>
            <w:vAlign w:val="bottom"/>
          </w:tcPr>
          <w:p>
            <w:pPr>
              <w:jc w:val="right"/>
              <w:ind w:right="90"/>
              <w:spacing w:after="0"/>
              <w:rPr>
                <w:sz w:val="20"/>
                <w:szCs w:val="20"/>
                <w:color w:val="auto"/>
              </w:rPr>
            </w:pPr>
            <w:r>
              <w:rPr>
                <w:rFonts w:ascii="Arial Narrow" w:cs="Arial Narrow" w:eastAsia="Arial Narrow" w:hAnsi="Arial Narrow"/>
                <w:sz w:val="18"/>
                <w:szCs w:val="18"/>
                <w:color w:val="auto"/>
              </w:rPr>
              <w:t>—</w:t>
            </w:r>
          </w:p>
        </w:tc>
        <w:tc>
          <w:tcPr>
            <w:tcW w:w="220" w:type="dxa"/>
            <w:vAlign w:val="bottom"/>
            <w:gridSpan w:val="2"/>
          </w:tcPr>
          <w:p>
            <w:pPr>
              <w:jc w:val="right"/>
              <w:ind w:right="40"/>
              <w:spacing w:after="0"/>
              <w:rPr>
                <w:sz w:val="20"/>
                <w:szCs w:val="20"/>
                <w:color w:val="auto"/>
              </w:rPr>
            </w:pPr>
            <w:r>
              <w:rPr>
                <w:rFonts w:ascii="Arial Narrow" w:cs="Arial Narrow" w:eastAsia="Arial Narrow" w:hAnsi="Arial Narrow"/>
                <w:sz w:val="18"/>
                <w:szCs w:val="18"/>
                <w:color w:val="auto"/>
              </w:rPr>
              <w:t>$</w:t>
            </w:r>
          </w:p>
        </w:tc>
        <w:tc>
          <w:tcPr>
            <w:tcW w:w="840" w:type="dxa"/>
            <w:vAlign w:val="bottom"/>
          </w:tcPr>
          <w:p>
            <w:pPr>
              <w:jc w:val="right"/>
              <w:spacing w:after="0"/>
              <w:rPr>
                <w:sz w:val="20"/>
                <w:szCs w:val="20"/>
                <w:color w:val="auto"/>
              </w:rPr>
            </w:pPr>
            <w:r>
              <w:rPr>
                <w:rFonts w:ascii="Arial Narrow" w:cs="Arial Narrow" w:eastAsia="Arial Narrow" w:hAnsi="Arial Narrow"/>
                <w:sz w:val="18"/>
                <w:szCs w:val="18"/>
                <w:color w:val="auto"/>
              </w:rPr>
              <w:t>—</w:t>
            </w:r>
          </w:p>
        </w:tc>
        <w:tc>
          <w:tcPr>
            <w:tcW w:w="1180" w:type="dxa"/>
            <w:vAlign w:val="bottom"/>
            <w:gridSpan w:val="3"/>
          </w:tcPr>
          <w:p>
            <w:pPr>
              <w:jc w:val="right"/>
              <w:ind w:right="50"/>
              <w:spacing w:after="0"/>
              <w:rPr>
                <w:sz w:val="20"/>
                <w:szCs w:val="20"/>
                <w:color w:val="auto"/>
              </w:rPr>
            </w:pPr>
            <w:r>
              <w:rPr>
                <w:rFonts w:ascii="Arial Narrow" w:cs="Arial Narrow" w:eastAsia="Arial Narrow" w:hAnsi="Arial Narrow"/>
                <w:sz w:val="18"/>
                <w:szCs w:val="18"/>
                <w:color w:val="auto"/>
              </w:rPr>
              <w:t>(1,054)</w:t>
            </w:r>
          </w:p>
        </w:tc>
        <w:tc>
          <w:tcPr>
            <w:tcW w:w="200" w:type="dxa"/>
            <w:vAlign w:val="bottom"/>
            <w:gridSpan w:val="2"/>
          </w:tcPr>
          <w:p>
            <w:pPr>
              <w:jc w:val="right"/>
              <w:ind w:right="40"/>
              <w:spacing w:after="0"/>
              <w:rPr>
                <w:sz w:val="20"/>
                <w:szCs w:val="20"/>
                <w:color w:val="auto"/>
              </w:rPr>
            </w:pPr>
            <w:r>
              <w:rPr>
                <w:rFonts w:ascii="Arial Narrow" w:cs="Arial Narrow" w:eastAsia="Arial Narrow" w:hAnsi="Arial Narrow"/>
                <w:sz w:val="18"/>
                <w:szCs w:val="18"/>
                <w:color w:val="auto"/>
              </w:rPr>
              <w:t>$</w:t>
            </w:r>
          </w:p>
        </w:tc>
        <w:tc>
          <w:tcPr>
            <w:tcW w:w="940" w:type="dxa"/>
            <w:vAlign w:val="bottom"/>
          </w:tcPr>
          <w:p>
            <w:pPr>
              <w:jc w:val="right"/>
              <w:ind w:right="90"/>
              <w:spacing w:after="0"/>
              <w:rPr>
                <w:sz w:val="20"/>
                <w:szCs w:val="20"/>
                <w:color w:val="auto"/>
              </w:rPr>
            </w:pPr>
            <w:r>
              <w:rPr>
                <w:rFonts w:ascii="Arial Narrow" w:cs="Arial Narrow" w:eastAsia="Arial Narrow" w:hAnsi="Arial Narrow"/>
                <w:sz w:val="18"/>
                <w:szCs w:val="18"/>
                <w:color w:val="auto"/>
              </w:rPr>
              <w:t>125.97</w:t>
            </w:r>
          </w:p>
        </w:tc>
        <w:tc>
          <w:tcPr>
            <w:tcW w:w="1080" w:type="dxa"/>
            <w:vAlign w:val="bottom"/>
            <w:gridSpan w:val="2"/>
          </w:tcPr>
          <w:p>
            <w:pPr>
              <w:jc w:val="right"/>
              <w:ind w:right="30"/>
              <w:spacing w:after="0"/>
              <w:rPr>
                <w:sz w:val="20"/>
                <w:szCs w:val="20"/>
                <w:color w:val="auto"/>
              </w:rPr>
            </w:pPr>
            <w:r>
              <w:rPr>
                <w:rFonts w:ascii="Arial Narrow" w:cs="Arial Narrow" w:eastAsia="Arial Narrow" w:hAnsi="Arial Narrow"/>
                <w:sz w:val="18"/>
                <w:szCs w:val="18"/>
                <w:color w:val="auto"/>
              </w:rPr>
              <w:t>(1,000)</w:t>
            </w:r>
          </w:p>
        </w:tc>
        <w:tc>
          <w:tcPr>
            <w:tcW w:w="220" w:type="dxa"/>
            <w:vAlign w:val="bottom"/>
            <w:gridSpan w:val="2"/>
          </w:tcPr>
          <w:p>
            <w:pPr>
              <w:jc w:val="right"/>
              <w:ind w:right="60"/>
              <w:spacing w:after="0"/>
              <w:rPr>
                <w:sz w:val="20"/>
                <w:szCs w:val="20"/>
                <w:color w:val="auto"/>
              </w:rPr>
            </w:pPr>
            <w:r>
              <w:rPr>
                <w:rFonts w:ascii="Arial Narrow" w:cs="Arial Narrow" w:eastAsia="Arial Narrow" w:hAnsi="Arial Narrow"/>
                <w:sz w:val="18"/>
                <w:szCs w:val="18"/>
                <w:color w:val="auto"/>
              </w:rPr>
              <w:t>$</w:t>
            </w:r>
          </w:p>
        </w:tc>
        <w:tc>
          <w:tcPr>
            <w:tcW w:w="900" w:type="dxa"/>
            <w:vAlign w:val="bottom"/>
          </w:tcPr>
          <w:p>
            <w:pPr>
              <w:jc w:val="right"/>
              <w:ind w:right="50"/>
              <w:spacing w:after="0"/>
              <w:rPr>
                <w:sz w:val="20"/>
                <w:szCs w:val="20"/>
                <w:color w:val="auto"/>
              </w:rPr>
            </w:pPr>
            <w:r>
              <w:rPr>
                <w:rFonts w:ascii="Arial Narrow" w:cs="Arial Narrow" w:eastAsia="Arial Narrow" w:hAnsi="Arial Narrow"/>
                <w:sz w:val="18"/>
                <w:szCs w:val="18"/>
                <w:color w:val="auto"/>
              </w:rPr>
              <w:t>73.37</w:t>
            </w:r>
          </w:p>
        </w:tc>
        <w:tc>
          <w:tcPr>
            <w:tcW w:w="0" w:type="dxa"/>
            <w:vAlign w:val="bottom"/>
          </w:tcPr>
          <w:p>
            <w:pPr>
              <w:spacing w:after="0"/>
              <w:rPr>
                <w:sz w:val="1"/>
                <w:szCs w:val="1"/>
                <w:color w:val="auto"/>
              </w:rPr>
            </w:pPr>
          </w:p>
        </w:tc>
      </w:tr>
      <w:tr>
        <w:trPr>
          <w:trHeight w:val="69"/>
        </w:trPr>
        <w:tc>
          <w:tcPr>
            <w:tcW w:w="2800" w:type="dxa"/>
            <w:vAlign w:val="bottom"/>
            <w:tcBorders>
              <w:bottom w:val="single" w:sz="8" w:color="A6A6A6"/>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800" w:type="dxa"/>
            <w:vAlign w:val="bottom"/>
          </w:tcPr>
          <w:p>
            <w:pPr>
              <w:spacing w:after="0"/>
              <w:rPr>
                <w:sz w:val="20"/>
                <w:szCs w:val="20"/>
                <w:color w:val="auto"/>
              </w:rPr>
            </w:pPr>
            <w:r>
              <w:rPr>
                <w:rFonts w:ascii="Arial Narrow" w:cs="Arial Narrow" w:eastAsia="Arial Narrow" w:hAnsi="Arial Narrow"/>
                <w:sz w:val="18"/>
                <w:szCs w:val="18"/>
                <w:b w:val="1"/>
                <w:bCs w:val="1"/>
                <w:color w:val="00085E"/>
              </w:rPr>
              <w:t>Outstanding Options at End of</w:t>
            </w: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2800" w:type="dxa"/>
            <w:vAlign w:val="bottom"/>
          </w:tcPr>
          <w:p>
            <w:pPr>
              <w:ind w:left="120"/>
              <w:spacing w:after="0"/>
              <w:rPr>
                <w:sz w:val="20"/>
                <w:szCs w:val="20"/>
                <w:color w:val="auto"/>
              </w:rPr>
            </w:pPr>
            <w:r>
              <w:rPr>
                <w:rFonts w:ascii="Arial Narrow" w:cs="Arial Narrow" w:eastAsia="Arial Narrow" w:hAnsi="Arial Narrow"/>
                <w:sz w:val="18"/>
                <w:szCs w:val="18"/>
                <w:b w:val="1"/>
                <w:bCs w:val="1"/>
                <w:color w:val="00085E"/>
              </w:rPr>
              <w:t>Year</w:t>
            </w:r>
          </w:p>
        </w:tc>
        <w:tc>
          <w:tcPr>
            <w:tcW w:w="980" w:type="dxa"/>
            <w:vAlign w:val="bottom"/>
          </w:tcPr>
          <w:p>
            <w:pPr>
              <w:jc w:val="right"/>
              <w:ind w:right="90"/>
              <w:spacing w:after="0"/>
              <w:rPr>
                <w:sz w:val="20"/>
                <w:szCs w:val="20"/>
                <w:color w:val="auto"/>
              </w:rPr>
            </w:pPr>
            <w:r>
              <w:rPr>
                <w:rFonts w:ascii="Arial Narrow" w:cs="Arial Narrow" w:eastAsia="Arial Narrow" w:hAnsi="Arial Narrow"/>
                <w:sz w:val="18"/>
                <w:szCs w:val="18"/>
                <w:b w:val="1"/>
                <w:bCs w:val="1"/>
                <w:color w:val="auto"/>
              </w:rPr>
              <w:t>206,721</w:t>
            </w:r>
          </w:p>
        </w:tc>
        <w:tc>
          <w:tcPr>
            <w:tcW w:w="220" w:type="dxa"/>
            <w:vAlign w:val="bottom"/>
            <w:gridSpan w:val="2"/>
          </w:tcPr>
          <w:p>
            <w:pPr>
              <w:jc w:val="right"/>
              <w:ind w:right="40"/>
              <w:spacing w:after="0"/>
              <w:rPr>
                <w:sz w:val="20"/>
                <w:szCs w:val="20"/>
                <w:color w:val="auto"/>
              </w:rPr>
            </w:pPr>
            <w:r>
              <w:rPr>
                <w:rFonts w:ascii="Arial Narrow" w:cs="Arial Narrow" w:eastAsia="Arial Narrow" w:hAnsi="Arial Narrow"/>
                <w:sz w:val="18"/>
                <w:szCs w:val="18"/>
                <w:color w:val="auto"/>
              </w:rPr>
              <w:t>$</w:t>
            </w:r>
          </w:p>
        </w:tc>
        <w:tc>
          <w:tcPr>
            <w:tcW w:w="840" w:type="dxa"/>
            <w:vAlign w:val="bottom"/>
          </w:tcPr>
          <w:p>
            <w:pPr>
              <w:jc w:val="right"/>
              <w:spacing w:after="0"/>
              <w:rPr>
                <w:sz w:val="20"/>
                <w:szCs w:val="20"/>
                <w:color w:val="auto"/>
              </w:rPr>
            </w:pPr>
            <w:r>
              <w:rPr>
                <w:rFonts w:ascii="Arial Narrow" w:cs="Arial Narrow" w:eastAsia="Arial Narrow" w:hAnsi="Arial Narrow"/>
                <w:sz w:val="18"/>
                <w:szCs w:val="18"/>
                <w:color w:val="auto"/>
              </w:rPr>
              <w:t>113.16</w:t>
            </w:r>
          </w:p>
        </w:tc>
        <w:tc>
          <w:tcPr>
            <w:tcW w:w="1180" w:type="dxa"/>
            <w:vAlign w:val="bottom"/>
            <w:gridSpan w:val="3"/>
          </w:tcPr>
          <w:p>
            <w:pPr>
              <w:jc w:val="right"/>
              <w:ind w:right="110"/>
              <w:spacing w:after="0"/>
              <w:rPr>
                <w:sz w:val="20"/>
                <w:szCs w:val="20"/>
                <w:color w:val="auto"/>
              </w:rPr>
            </w:pPr>
            <w:r>
              <w:rPr>
                <w:rFonts w:ascii="Arial Narrow" w:cs="Arial Narrow" w:eastAsia="Arial Narrow" w:hAnsi="Arial Narrow"/>
                <w:sz w:val="18"/>
                <w:szCs w:val="18"/>
                <w:b w:val="1"/>
                <w:bCs w:val="1"/>
                <w:color w:val="auto"/>
              </w:rPr>
              <w:t>184,233</w:t>
            </w:r>
          </w:p>
        </w:tc>
        <w:tc>
          <w:tcPr>
            <w:tcW w:w="200" w:type="dxa"/>
            <w:vAlign w:val="bottom"/>
            <w:gridSpan w:val="2"/>
          </w:tcPr>
          <w:p>
            <w:pPr>
              <w:jc w:val="right"/>
              <w:ind w:right="40"/>
              <w:spacing w:after="0"/>
              <w:rPr>
                <w:sz w:val="20"/>
                <w:szCs w:val="20"/>
                <w:color w:val="auto"/>
              </w:rPr>
            </w:pPr>
            <w:r>
              <w:rPr>
                <w:rFonts w:ascii="Arial Narrow" w:cs="Arial Narrow" w:eastAsia="Arial Narrow" w:hAnsi="Arial Narrow"/>
                <w:sz w:val="18"/>
                <w:szCs w:val="18"/>
                <w:color w:val="auto"/>
              </w:rPr>
              <w:t>$</w:t>
            </w:r>
          </w:p>
        </w:tc>
        <w:tc>
          <w:tcPr>
            <w:tcW w:w="940" w:type="dxa"/>
            <w:vAlign w:val="bottom"/>
          </w:tcPr>
          <w:p>
            <w:pPr>
              <w:jc w:val="right"/>
              <w:ind w:right="90"/>
              <w:spacing w:after="0"/>
              <w:rPr>
                <w:sz w:val="20"/>
                <w:szCs w:val="20"/>
                <w:color w:val="auto"/>
              </w:rPr>
            </w:pPr>
            <w:r>
              <w:rPr>
                <w:rFonts w:ascii="Arial Narrow" w:cs="Arial Narrow" w:eastAsia="Arial Narrow" w:hAnsi="Arial Narrow"/>
                <w:sz w:val="18"/>
                <w:szCs w:val="18"/>
                <w:color w:val="auto"/>
              </w:rPr>
              <w:t>95.75</w:t>
            </w:r>
          </w:p>
        </w:tc>
        <w:tc>
          <w:tcPr>
            <w:tcW w:w="1080" w:type="dxa"/>
            <w:vAlign w:val="bottom"/>
            <w:gridSpan w:val="2"/>
          </w:tcPr>
          <w:p>
            <w:pPr>
              <w:jc w:val="right"/>
              <w:ind w:right="90"/>
              <w:spacing w:after="0"/>
              <w:rPr>
                <w:sz w:val="20"/>
                <w:szCs w:val="20"/>
                <w:color w:val="auto"/>
              </w:rPr>
            </w:pPr>
            <w:r>
              <w:rPr>
                <w:rFonts w:ascii="Arial Narrow" w:cs="Arial Narrow" w:eastAsia="Arial Narrow" w:hAnsi="Arial Narrow"/>
                <w:sz w:val="18"/>
                <w:szCs w:val="18"/>
                <w:b w:val="1"/>
                <w:bCs w:val="1"/>
                <w:color w:val="auto"/>
              </w:rPr>
              <w:t>252,364</w:t>
            </w:r>
          </w:p>
        </w:tc>
        <w:tc>
          <w:tcPr>
            <w:tcW w:w="220" w:type="dxa"/>
            <w:vAlign w:val="bottom"/>
            <w:gridSpan w:val="2"/>
          </w:tcPr>
          <w:p>
            <w:pPr>
              <w:jc w:val="right"/>
              <w:ind w:right="60"/>
              <w:spacing w:after="0"/>
              <w:rPr>
                <w:sz w:val="20"/>
                <w:szCs w:val="20"/>
                <w:color w:val="auto"/>
              </w:rPr>
            </w:pPr>
            <w:r>
              <w:rPr>
                <w:rFonts w:ascii="Arial Narrow" w:cs="Arial Narrow" w:eastAsia="Arial Narrow" w:hAnsi="Arial Narrow"/>
                <w:sz w:val="18"/>
                <w:szCs w:val="18"/>
                <w:color w:val="auto"/>
              </w:rPr>
              <w:t>$</w:t>
            </w:r>
          </w:p>
        </w:tc>
        <w:tc>
          <w:tcPr>
            <w:tcW w:w="900" w:type="dxa"/>
            <w:vAlign w:val="bottom"/>
          </w:tcPr>
          <w:p>
            <w:pPr>
              <w:jc w:val="right"/>
              <w:ind w:right="50"/>
              <w:spacing w:after="0"/>
              <w:rPr>
                <w:sz w:val="20"/>
                <w:szCs w:val="20"/>
                <w:color w:val="auto"/>
              </w:rPr>
            </w:pPr>
            <w:r>
              <w:rPr>
                <w:rFonts w:ascii="Arial Narrow" w:cs="Arial Narrow" w:eastAsia="Arial Narrow" w:hAnsi="Arial Narrow"/>
                <w:sz w:val="18"/>
                <w:szCs w:val="18"/>
                <w:color w:val="auto"/>
              </w:rPr>
              <w:t>91.28</w:t>
            </w:r>
          </w:p>
        </w:tc>
        <w:tc>
          <w:tcPr>
            <w:tcW w:w="0" w:type="dxa"/>
            <w:vAlign w:val="bottom"/>
          </w:tcPr>
          <w:p>
            <w:pPr>
              <w:spacing w:after="0"/>
              <w:rPr>
                <w:sz w:val="1"/>
                <w:szCs w:val="1"/>
                <w:color w:val="auto"/>
              </w:rPr>
            </w:pPr>
          </w:p>
        </w:tc>
      </w:tr>
      <w:tr>
        <w:trPr>
          <w:trHeight w:val="69"/>
        </w:trPr>
        <w:tc>
          <w:tcPr>
            <w:tcW w:w="2800" w:type="dxa"/>
            <w:vAlign w:val="bottom"/>
            <w:tcBorders>
              <w:bottom w:val="single" w:sz="8" w:color="A6A6A6"/>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84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94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90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800" w:type="dxa"/>
            <w:vAlign w:val="bottom"/>
          </w:tcPr>
          <w:p>
            <w:pPr>
              <w:spacing w:after="0"/>
              <w:rPr>
                <w:sz w:val="20"/>
                <w:szCs w:val="20"/>
                <w:color w:val="auto"/>
              </w:rPr>
            </w:pPr>
            <w:r>
              <w:rPr>
                <w:rFonts w:ascii="Arial Narrow" w:cs="Arial Narrow" w:eastAsia="Arial Narrow" w:hAnsi="Arial Narrow"/>
                <w:sz w:val="18"/>
                <w:szCs w:val="18"/>
                <w:b w:val="1"/>
                <w:bCs w:val="1"/>
                <w:color w:val="00085E"/>
              </w:rPr>
              <w:t>Options Exercisable at End of</w:t>
            </w: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2800" w:type="dxa"/>
            <w:vAlign w:val="bottom"/>
          </w:tcPr>
          <w:p>
            <w:pPr>
              <w:ind w:left="120"/>
              <w:spacing w:after="0"/>
              <w:rPr>
                <w:sz w:val="20"/>
                <w:szCs w:val="20"/>
                <w:color w:val="auto"/>
              </w:rPr>
            </w:pPr>
            <w:r>
              <w:rPr>
                <w:rFonts w:ascii="Arial Narrow" w:cs="Arial Narrow" w:eastAsia="Arial Narrow" w:hAnsi="Arial Narrow"/>
                <w:sz w:val="18"/>
                <w:szCs w:val="18"/>
                <w:b w:val="1"/>
                <w:bCs w:val="1"/>
                <w:color w:val="00085E"/>
              </w:rPr>
              <w:t>Year</w:t>
            </w:r>
          </w:p>
        </w:tc>
        <w:tc>
          <w:tcPr>
            <w:tcW w:w="980" w:type="dxa"/>
            <w:vAlign w:val="bottom"/>
          </w:tcPr>
          <w:p>
            <w:pPr>
              <w:jc w:val="right"/>
              <w:ind w:right="90"/>
              <w:spacing w:after="0"/>
              <w:rPr>
                <w:sz w:val="20"/>
                <w:szCs w:val="20"/>
                <w:color w:val="auto"/>
              </w:rPr>
            </w:pPr>
            <w:r>
              <w:rPr>
                <w:rFonts w:ascii="Arial Narrow" w:cs="Arial Narrow" w:eastAsia="Arial Narrow" w:hAnsi="Arial Narrow"/>
                <w:sz w:val="18"/>
                <w:szCs w:val="18"/>
                <w:b w:val="1"/>
                <w:bCs w:val="1"/>
                <w:color w:val="auto"/>
              </w:rPr>
              <w:t>172,332</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180" w:type="dxa"/>
            <w:vAlign w:val="bottom"/>
            <w:gridSpan w:val="3"/>
          </w:tcPr>
          <w:p>
            <w:pPr>
              <w:jc w:val="right"/>
              <w:ind w:right="110"/>
              <w:spacing w:after="0"/>
              <w:rPr>
                <w:sz w:val="20"/>
                <w:szCs w:val="20"/>
                <w:color w:val="auto"/>
              </w:rPr>
            </w:pPr>
            <w:r>
              <w:rPr>
                <w:rFonts w:ascii="Arial Narrow" w:cs="Arial Narrow" w:eastAsia="Arial Narrow" w:hAnsi="Arial Narrow"/>
                <w:sz w:val="18"/>
                <w:szCs w:val="18"/>
                <w:b w:val="1"/>
                <w:bCs w:val="1"/>
                <w:color w:val="auto"/>
              </w:rPr>
              <w:t>162,740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80" w:type="dxa"/>
            <w:vAlign w:val="bottom"/>
            <w:gridSpan w:val="2"/>
          </w:tcPr>
          <w:p>
            <w:pPr>
              <w:jc w:val="right"/>
              <w:ind w:right="90"/>
              <w:spacing w:after="0"/>
              <w:rPr>
                <w:sz w:val="20"/>
                <w:szCs w:val="20"/>
                <w:color w:val="auto"/>
              </w:rPr>
            </w:pPr>
            <w:r>
              <w:rPr>
                <w:rFonts w:ascii="Arial Narrow" w:cs="Arial Narrow" w:eastAsia="Arial Narrow" w:hAnsi="Arial Narrow"/>
                <w:sz w:val="18"/>
                <w:szCs w:val="18"/>
                <w:b w:val="1"/>
                <w:bCs w:val="1"/>
                <w:color w:val="auto"/>
              </w:rPr>
              <w:t>215,913</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
        </w:trPr>
        <w:tc>
          <w:tcPr>
            <w:tcW w:w="2800" w:type="dxa"/>
            <w:vAlign w:val="bottom"/>
            <w:vMerge w:val="restart"/>
          </w:tcPr>
          <w:p>
            <w:pPr>
              <w:spacing w:after="0"/>
              <w:rPr>
                <w:sz w:val="20"/>
                <w:szCs w:val="20"/>
                <w:color w:val="auto"/>
              </w:rPr>
            </w:pPr>
            <w:r>
              <w:rPr>
                <w:rFonts w:ascii="Arial Narrow" w:cs="Arial Narrow" w:eastAsia="Arial Narrow" w:hAnsi="Arial Narrow"/>
                <w:sz w:val="18"/>
                <w:szCs w:val="18"/>
                <w:b w:val="1"/>
                <w:bCs w:val="1"/>
                <w:color w:val="auto"/>
              </w:rPr>
              <w:t>Weighted-Average Fair Value of</w:t>
            </w:r>
          </w:p>
        </w:tc>
        <w:tc>
          <w:tcPr>
            <w:tcW w:w="9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800" w:type="dxa"/>
            <w:vAlign w:val="bottom"/>
            <w:vMerge w:val="continue"/>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800" w:type="dxa"/>
            <w:vAlign w:val="bottom"/>
            <w:vMerge w:val="continue"/>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2800" w:type="dxa"/>
            <w:vAlign w:val="bottom"/>
          </w:tcPr>
          <w:p>
            <w:pPr>
              <w:ind w:left="120"/>
              <w:spacing w:after="0"/>
              <w:rPr>
                <w:sz w:val="20"/>
                <w:szCs w:val="20"/>
                <w:color w:val="auto"/>
              </w:rPr>
            </w:pPr>
            <w:r>
              <w:rPr>
                <w:rFonts w:ascii="Arial Narrow" w:cs="Arial Narrow" w:eastAsia="Arial Narrow" w:hAnsi="Arial Narrow"/>
                <w:sz w:val="18"/>
                <w:szCs w:val="18"/>
                <w:b w:val="1"/>
                <w:bCs w:val="1"/>
                <w:color w:val="auto"/>
              </w:rPr>
              <w:t>Options Granted During the Year</w:t>
            </w:r>
          </w:p>
        </w:tc>
        <w:tc>
          <w:tcPr>
            <w:tcW w:w="980" w:type="dxa"/>
            <w:vAlign w:val="bottom"/>
          </w:tcPr>
          <w:p>
            <w:pPr>
              <w:spacing w:after="0"/>
              <w:rPr>
                <w:sz w:val="22"/>
                <w:szCs w:val="22"/>
                <w:color w:val="auto"/>
              </w:rPr>
            </w:pPr>
          </w:p>
        </w:tc>
        <w:tc>
          <w:tcPr>
            <w:tcW w:w="220" w:type="dxa"/>
            <w:vAlign w:val="bottom"/>
            <w:gridSpan w:val="2"/>
          </w:tcPr>
          <w:p>
            <w:pPr>
              <w:jc w:val="right"/>
              <w:ind w:right="40"/>
              <w:spacing w:after="0"/>
              <w:rPr>
                <w:sz w:val="20"/>
                <w:szCs w:val="20"/>
                <w:color w:val="auto"/>
              </w:rPr>
            </w:pPr>
            <w:r>
              <w:rPr>
                <w:rFonts w:ascii="Arial Narrow" w:cs="Arial Narrow" w:eastAsia="Arial Narrow" w:hAnsi="Arial Narrow"/>
                <w:sz w:val="18"/>
                <w:szCs w:val="18"/>
                <w:color w:val="auto"/>
              </w:rPr>
              <w:t>$</w:t>
            </w:r>
          </w:p>
        </w:tc>
        <w:tc>
          <w:tcPr>
            <w:tcW w:w="840" w:type="dxa"/>
            <w:vAlign w:val="bottom"/>
          </w:tcPr>
          <w:p>
            <w:pPr>
              <w:jc w:val="right"/>
              <w:spacing w:after="0"/>
              <w:rPr>
                <w:sz w:val="20"/>
                <w:szCs w:val="20"/>
                <w:color w:val="auto"/>
              </w:rPr>
            </w:pPr>
            <w:r>
              <w:rPr>
                <w:rFonts w:ascii="Arial Narrow" w:cs="Arial Narrow" w:eastAsia="Arial Narrow" w:hAnsi="Arial Narrow"/>
                <w:sz w:val="18"/>
                <w:szCs w:val="18"/>
                <w:color w:val="auto"/>
              </w:rPr>
              <w:t>93.69</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 w:type="dxa"/>
            <w:vAlign w:val="bottom"/>
            <w:gridSpan w:val="2"/>
          </w:tcPr>
          <w:p>
            <w:pPr>
              <w:jc w:val="right"/>
              <w:ind w:right="40"/>
              <w:spacing w:after="0"/>
              <w:rPr>
                <w:sz w:val="20"/>
                <w:szCs w:val="20"/>
                <w:color w:val="auto"/>
              </w:rPr>
            </w:pPr>
            <w:r>
              <w:rPr>
                <w:rFonts w:ascii="Arial Narrow" w:cs="Arial Narrow" w:eastAsia="Arial Narrow" w:hAnsi="Arial Narrow"/>
                <w:sz w:val="18"/>
                <w:szCs w:val="18"/>
                <w:color w:val="auto"/>
              </w:rPr>
              <w:t>$</w:t>
            </w:r>
          </w:p>
        </w:tc>
        <w:tc>
          <w:tcPr>
            <w:tcW w:w="940" w:type="dxa"/>
            <w:vAlign w:val="bottom"/>
          </w:tcPr>
          <w:p>
            <w:pPr>
              <w:jc w:val="right"/>
              <w:ind w:right="90"/>
              <w:spacing w:after="0"/>
              <w:rPr>
                <w:sz w:val="20"/>
                <w:szCs w:val="20"/>
                <w:color w:val="auto"/>
              </w:rPr>
            </w:pPr>
            <w:r>
              <w:rPr>
                <w:rFonts w:ascii="Arial Narrow" w:cs="Arial Narrow" w:eastAsia="Arial Narrow" w:hAnsi="Arial Narrow"/>
                <w:sz w:val="18"/>
                <w:szCs w:val="18"/>
                <w:color w:val="auto"/>
              </w:rPr>
              <w:t>104.45</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20" w:type="dxa"/>
            <w:vAlign w:val="bottom"/>
            <w:gridSpan w:val="2"/>
          </w:tcPr>
          <w:p>
            <w:pPr>
              <w:jc w:val="right"/>
              <w:ind w:right="60"/>
              <w:spacing w:after="0"/>
              <w:rPr>
                <w:sz w:val="20"/>
                <w:szCs w:val="20"/>
                <w:color w:val="auto"/>
              </w:rPr>
            </w:pPr>
            <w:r>
              <w:rPr>
                <w:rFonts w:ascii="Arial Narrow" w:cs="Arial Narrow" w:eastAsia="Arial Narrow" w:hAnsi="Arial Narrow"/>
                <w:sz w:val="18"/>
                <w:szCs w:val="18"/>
                <w:color w:val="auto"/>
              </w:rPr>
              <w:t>$</w:t>
            </w:r>
          </w:p>
        </w:tc>
        <w:tc>
          <w:tcPr>
            <w:tcW w:w="900" w:type="dxa"/>
            <w:vAlign w:val="bottom"/>
          </w:tcPr>
          <w:p>
            <w:pPr>
              <w:jc w:val="right"/>
              <w:ind w:right="50"/>
              <w:spacing w:after="0"/>
              <w:rPr>
                <w:sz w:val="20"/>
                <w:szCs w:val="20"/>
                <w:color w:val="auto"/>
              </w:rPr>
            </w:pPr>
            <w:r>
              <w:rPr>
                <w:rFonts w:ascii="Arial Narrow" w:cs="Arial Narrow" w:eastAsia="Arial Narrow" w:hAnsi="Arial Narrow"/>
                <w:sz w:val="18"/>
                <w:szCs w:val="18"/>
                <w:color w:val="auto"/>
              </w:rPr>
              <w:t>69.84</w:t>
            </w:r>
          </w:p>
        </w:tc>
        <w:tc>
          <w:tcPr>
            <w:tcW w:w="0" w:type="dxa"/>
            <w:vAlign w:val="bottom"/>
          </w:tcPr>
          <w:p>
            <w:pPr>
              <w:spacing w:after="0"/>
              <w:rPr>
                <w:sz w:val="1"/>
                <w:szCs w:val="1"/>
                <w:color w:val="auto"/>
              </w:rPr>
            </w:pPr>
          </w:p>
        </w:tc>
      </w:tr>
      <w:tr>
        <w:trPr>
          <w:trHeight w:val="44"/>
        </w:trPr>
        <w:tc>
          <w:tcPr>
            <w:tcW w:w="2800" w:type="dxa"/>
            <w:vAlign w:val="bottom"/>
            <w:tcBorders>
              <w:bottom w:val="single" w:sz="8" w:color="A6A6A6"/>
            </w:tcBorders>
          </w:tcPr>
          <w:p>
            <w:pPr>
              <w:spacing w:after="0"/>
              <w:rPr>
                <w:sz w:val="3"/>
                <w:szCs w:val="3"/>
                <w:color w:val="auto"/>
              </w:rPr>
            </w:pPr>
          </w:p>
        </w:tc>
        <w:tc>
          <w:tcPr>
            <w:tcW w:w="980" w:type="dxa"/>
            <w:vAlign w:val="bottom"/>
            <w:tcBorders>
              <w:bottom w:val="single" w:sz="8" w:color="A6A6A6"/>
            </w:tcBorders>
          </w:tcPr>
          <w:p>
            <w:pPr>
              <w:spacing w:after="0"/>
              <w:rPr>
                <w:sz w:val="3"/>
                <w:szCs w:val="3"/>
                <w:color w:val="auto"/>
              </w:rPr>
            </w:pPr>
          </w:p>
        </w:tc>
        <w:tc>
          <w:tcPr>
            <w:tcW w:w="8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84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80" w:type="dxa"/>
            <w:vAlign w:val="bottom"/>
            <w:tcBorders>
              <w:bottom w:val="single" w:sz="8" w:color="A6A6A6"/>
            </w:tcBorders>
          </w:tcPr>
          <w:p>
            <w:pPr>
              <w:spacing w:after="0"/>
              <w:rPr>
                <w:sz w:val="3"/>
                <w:szCs w:val="3"/>
                <w:color w:val="auto"/>
              </w:rPr>
            </w:pPr>
          </w:p>
        </w:tc>
        <w:tc>
          <w:tcPr>
            <w:tcW w:w="1000" w:type="dxa"/>
            <w:vAlign w:val="bottom"/>
            <w:tcBorders>
              <w:bottom w:val="single" w:sz="8" w:color="A6A6A6"/>
            </w:tcBorders>
          </w:tcPr>
          <w:p>
            <w:pPr>
              <w:spacing w:after="0"/>
              <w:rPr>
                <w:sz w:val="3"/>
                <w:szCs w:val="3"/>
                <w:color w:val="auto"/>
              </w:rPr>
            </w:pPr>
          </w:p>
        </w:tc>
        <w:tc>
          <w:tcPr>
            <w:tcW w:w="80" w:type="dxa"/>
            <w:vAlign w:val="bottom"/>
            <w:tcBorders>
              <w:bottom w:val="single" w:sz="8" w:color="A6A6A6"/>
            </w:tcBorders>
          </w:tcPr>
          <w:p>
            <w:pPr>
              <w:spacing w:after="0"/>
              <w:rPr>
                <w:sz w:val="3"/>
                <w:szCs w:val="3"/>
                <w:color w:val="auto"/>
              </w:rPr>
            </w:pPr>
          </w:p>
        </w:tc>
        <w:tc>
          <w:tcPr>
            <w:tcW w:w="120" w:type="dxa"/>
            <w:vAlign w:val="bottom"/>
            <w:tcBorders>
              <w:bottom w:val="single" w:sz="8" w:color="A6A6A6"/>
            </w:tcBorders>
          </w:tcPr>
          <w:p>
            <w:pPr>
              <w:spacing w:after="0"/>
              <w:rPr>
                <w:sz w:val="3"/>
                <w:szCs w:val="3"/>
                <w:color w:val="auto"/>
              </w:rPr>
            </w:pPr>
          </w:p>
        </w:tc>
        <w:tc>
          <w:tcPr>
            <w:tcW w:w="940" w:type="dxa"/>
            <w:vAlign w:val="bottom"/>
            <w:tcBorders>
              <w:bottom w:val="single" w:sz="8" w:color="A6A6A6"/>
            </w:tcBorders>
          </w:tcPr>
          <w:p>
            <w:pPr>
              <w:spacing w:after="0"/>
              <w:rPr>
                <w:sz w:val="3"/>
                <w:szCs w:val="3"/>
                <w:color w:val="auto"/>
              </w:rPr>
            </w:pPr>
          </w:p>
        </w:tc>
        <w:tc>
          <w:tcPr>
            <w:tcW w:w="100" w:type="dxa"/>
            <w:vAlign w:val="bottom"/>
            <w:tcBorders>
              <w:bottom w:val="single" w:sz="8" w:color="A6A6A6"/>
            </w:tcBorders>
          </w:tcPr>
          <w:p>
            <w:pPr>
              <w:spacing w:after="0"/>
              <w:rPr>
                <w:sz w:val="3"/>
                <w:szCs w:val="3"/>
                <w:color w:val="auto"/>
              </w:rPr>
            </w:pPr>
          </w:p>
        </w:tc>
        <w:tc>
          <w:tcPr>
            <w:tcW w:w="980" w:type="dxa"/>
            <w:vAlign w:val="bottom"/>
            <w:tcBorders>
              <w:bottom w:val="single" w:sz="8" w:color="A6A6A6"/>
            </w:tcBorders>
          </w:tcPr>
          <w:p>
            <w:pPr>
              <w:spacing w:after="0"/>
              <w:rPr>
                <w:sz w:val="3"/>
                <w:szCs w:val="3"/>
                <w:color w:val="auto"/>
              </w:rPr>
            </w:pPr>
          </w:p>
        </w:tc>
        <w:tc>
          <w:tcPr>
            <w:tcW w:w="80" w:type="dxa"/>
            <w:vAlign w:val="bottom"/>
            <w:tcBorders>
              <w:bottom w:val="single" w:sz="8" w:color="A6A6A6"/>
            </w:tcBorders>
          </w:tcPr>
          <w:p>
            <w:pPr>
              <w:spacing w:after="0"/>
              <w:rPr>
                <w:sz w:val="3"/>
                <w:szCs w:val="3"/>
                <w:color w:val="auto"/>
              </w:rPr>
            </w:pPr>
          </w:p>
        </w:tc>
        <w:tc>
          <w:tcPr>
            <w:tcW w:w="140" w:type="dxa"/>
            <w:vAlign w:val="bottom"/>
            <w:tcBorders>
              <w:bottom w:val="single" w:sz="8" w:color="A6A6A6"/>
            </w:tcBorders>
          </w:tcPr>
          <w:p>
            <w:pPr>
              <w:spacing w:after="0"/>
              <w:rPr>
                <w:sz w:val="3"/>
                <w:szCs w:val="3"/>
                <w:color w:val="auto"/>
              </w:rPr>
            </w:pPr>
          </w:p>
        </w:tc>
        <w:tc>
          <w:tcPr>
            <w:tcW w:w="900" w:type="dxa"/>
            <w:vAlign w:val="bottom"/>
            <w:tcBorders>
              <w:bottom w:val="single" w:sz="8" w:color="A6A6A6"/>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360"/>
          </w:cols>
          <w:pgMar w:left="1260" w:top="1267" w:right="1260" w:bottom="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105</w:t>
      </w:r>
    </w:p>
    <w:p>
      <w:pPr>
        <w:sectPr>
          <w:pgSz w:w="11880" w:h="15480" w:orient="portrait"/>
          <w:cols w:equalWidth="0" w:num="1">
            <w:col w:w="9360"/>
          </w:cols>
          <w:pgMar w:left="1260" w:top="1267" w:right="1260" w:bottom="7" w:gutter="0" w:footer="0" w:header="0"/>
          <w:type w:val="continuous"/>
        </w:sectPr>
      </w:pPr>
    </w:p>
    <w:bookmarkStart w:id="113" w:name="page114"/>
    <w:bookmarkEnd w:id="113"/>
    <w:p>
      <w:pPr>
        <w:spacing w:after="0"/>
        <w:rPr>
          <w:sz w:val="20"/>
          <w:szCs w:val="20"/>
          <w:color w:val="auto"/>
        </w:rPr>
      </w:pPr>
      <w:r>
        <w:rPr>
          <w:rFonts w:ascii="Arial" w:cs="Arial" w:eastAsia="Arial" w:hAnsi="Arial"/>
          <w:sz w:val="20"/>
          <w:szCs w:val="20"/>
          <w:color w:val="auto"/>
        </w:rPr>
        <w:t>The following table summarizes information about stock options outstanding at March 31, 2026.</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3900" w:type="dxa"/>
            <w:vAlign w:val="bottom"/>
          </w:tcPr>
          <w:p>
            <w:pPr>
              <w:spacing w:after="0"/>
              <w:rPr>
                <w:sz w:val="22"/>
                <w:szCs w:val="22"/>
                <w:color w:val="auto"/>
              </w:rPr>
            </w:pPr>
          </w:p>
        </w:tc>
        <w:tc>
          <w:tcPr>
            <w:tcW w:w="2360" w:type="dxa"/>
            <w:vAlign w:val="bottom"/>
            <w:gridSpan w:val="3"/>
          </w:tcPr>
          <w:p>
            <w:pPr>
              <w:jc w:val="right"/>
              <w:spacing w:after="0"/>
              <w:rPr>
                <w:sz w:val="20"/>
                <w:szCs w:val="20"/>
                <w:color w:val="auto"/>
              </w:rPr>
            </w:pPr>
            <w:r>
              <w:rPr>
                <w:rFonts w:ascii="Arial Narrow" w:cs="Arial Narrow" w:eastAsia="Arial Narrow" w:hAnsi="Arial Narrow"/>
                <w:sz w:val="18"/>
                <w:szCs w:val="18"/>
                <w:b w:val="1"/>
                <w:bCs w:val="1"/>
                <w:color w:val="auto"/>
              </w:rPr>
              <w:t>Options Outstanding</w:t>
            </w: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120" w:type="dxa"/>
            <w:vAlign w:val="bottom"/>
            <w:gridSpan w:val="3"/>
          </w:tcPr>
          <w:p>
            <w:pPr>
              <w:jc w:val="right"/>
              <w:ind w:right="304"/>
              <w:spacing w:after="0"/>
              <w:rPr>
                <w:sz w:val="20"/>
                <w:szCs w:val="20"/>
                <w:color w:val="auto"/>
              </w:rPr>
            </w:pPr>
            <w:r>
              <w:rPr>
                <w:rFonts w:ascii="Arial Narrow" w:cs="Arial Narrow" w:eastAsia="Arial Narrow" w:hAnsi="Arial Narrow"/>
                <w:sz w:val="18"/>
                <w:szCs w:val="18"/>
                <w:b w:val="1"/>
                <w:bCs w:val="1"/>
                <w:color w:val="auto"/>
              </w:rPr>
              <w:t>Options Exercisable</w:t>
            </w:r>
          </w:p>
        </w:tc>
        <w:tc>
          <w:tcPr>
            <w:tcW w:w="0" w:type="dxa"/>
            <w:vAlign w:val="bottom"/>
          </w:tcPr>
          <w:p>
            <w:pPr>
              <w:spacing w:after="0"/>
              <w:rPr>
                <w:sz w:val="1"/>
                <w:szCs w:val="1"/>
                <w:color w:val="auto"/>
              </w:rPr>
            </w:pPr>
          </w:p>
        </w:tc>
      </w:tr>
      <w:tr>
        <w:trPr>
          <w:trHeight w:val="44"/>
        </w:trPr>
        <w:tc>
          <w:tcPr>
            <w:tcW w:w="390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39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80" w:type="dxa"/>
            <w:vAlign w:val="bottom"/>
          </w:tcPr>
          <w:p>
            <w:pPr>
              <w:jc w:val="right"/>
              <w:ind w:right="5"/>
              <w:spacing w:after="0"/>
              <w:rPr>
                <w:sz w:val="20"/>
                <w:szCs w:val="20"/>
                <w:color w:val="auto"/>
              </w:rPr>
            </w:pPr>
            <w:r>
              <w:rPr>
                <w:rFonts w:ascii="Arial Narrow" w:cs="Arial Narrow" w:eastAsia="Arial Narrow" w:hAnsi="Arial Narrow"/>
                <w:sz w:val="18"/>
                <w:szCs w:val="18"/>
                <w:b w:val="1"/>
                <w:bCs w:val="1"/>
                <w:color w:val="auto"/>
              </w:rPr>
              <w:t>Weighted-</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3900" w:type="dxa"/>
            <w:vAlign w:val="bottom"/>
          </w:tcPr>
          <w:p>
            <w:pPr>
              <w:spacing w:after="0"/>
              <w:rPr>
                <w:sz w:val="17"/>
                <w:szCs w:val="17"/>
                <w:color w:val="auto"/>
              </w:rPr>
            </w:pPr>
          </w:p>
        </w:tc>
        <w:tc>
          <w:tcPr>
            <w:tcW w:w="1040" w:type="dxa"/>
            <w:vAlign w:val="bottom"/>
            <w:vMerge w:val="restart"/>
          </w:tcPr>
          <w:p>
            <w:pPr>
              <w:jc w:val="right"/>
              <w:ind w:right="4"/>
              <w:spacing w:after="0"/>
              <w:rPr>
                <w:sz w:val="20"/>
                <w:szCs w:val="20"/>
                <w:color w:val="auto"/>
              </w:rPr>
            </w:pPr>
            <w:r>
              <w:rPr>
                <w:rFonts w:ascii="Arial Narrow" w:cs="Arial Narrow" w:eastAsia="Arial Narrow" w:hAnsi="Arial Narrow"/>
                <w:sz w:val="18"/>
                <w:szCs w:val="18"/>
                <w:b w:val="1"/>
                <w:bCs w:val="1"/>
                <w:color w:val="auto"/>
              </w:rPr>
              <w:t>Number of</w:t>
            </w:r>
          </w:p>
        </w:tc>
        <w:tc>
          <w:tcPr>
            <w:tcW w:w="1080" w:type="dxa"/>
            <w:vAlign w:val="bottom"/>
          </w:tcPr>
          <w:p>
            <w:pPr>
              <w:jc w:val="right"/>
              <w:ind w:right="5"/>
              <w:spacing w:after="0"/>
              <w:rPr>
                <w:sz w:val="20"/>
                <w:szCs w:val="20"/>
                <w:color w:val="auto"/>
              </w:rPr>
            </w:pPr>
            <w:r>
              <w:rPr>
                <w:rFonts w:ascii="Arial Narrow" w:cs="Arial Narrow" w:eastAsia="Arial Narrow" w:hAnsi="Arial Narrow"/>
                <w:sz w:val="18"/>
                <w:szCs w:val="18"/>
                <w:b w:val="1"/>
                <w:bCs w:val="1"/>
                <w:color w:val="auto"/>
              </w:rPr>
              <w:t>Average</w:t>
            </w:r>
          </w:p>
        </w:tc>
        <w:tc>
          <w:tcPr>
            <w:tcW w:w="240" w:type="dxa"/>
            <w:vAlign w:val="bottom"/>
          </w:tcPr>
          <w:p>
            <w:pPr>
              <w:spacing w:after="0"/>
              <w:rPr>
                <w:sz w:val="17"/>
                <w:szCs w:val="17"/>
                <w:color w:val="auto"/>
              </w:rPr>
            </w:pPr>
          </w:p>
        </w:tc>
        <w:tc>
          <w:tcPr>
            <w:tcW w:w="860" w:type="dxa"/>
            <w:vAlign w:val="bottom"/>
          </w:tcPr>
          <w:p>
            <w:pPr>
              <w:jc w:val="right"/>
              <w:ind w:right="4"/>
              <w:spacing w:after="0"/>
              <w:rPr>
                <w:sz w:val="20"/>
                <w:szCs w:val="20"/>
                <w:color w:val="auto"/>
              </w:rPr>
            </w:pPr>
            <w:r>
              <w:rPr>
                <w:rFonts w:ascii="Arial Narrow" w:cs="Arial Narrow" w:eastAsia="Arial Narrow" w:hAnsi="Arial Narrow"/>
                <w:sz w:val="18"/>
                <w:szCs w:val="18"/>
                <w:b w:val="1"/>
                <w:bCs w:val="1"/>
                <w:color w:val="auto"/>
              </w:rPr>
              <w:t>Weighted-</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4"/>
              <w:spacing w:after="0"/>
              <w:rPr>
                <w:sz w:val="20"/>
                <w:szCs w:val="20"/>
                <w:color w:val="auto"/>
              </w:rPr>
            </w:pPr>
            <w:r>
              <w:rPr>
                <w:rFonts w:ascii="Arial Narrow" w:cs="Arial Narrow" w:eastAsia="Arial Narrow" w:hAnsi="Arial Narrow"/>
                <w:sz w:val="18"/>
                <w:szCs w:val="18"/>
                <w:b w:val="1"/>
                <w:bCs w:val="1"/>
                <w:color w:val="auto"/>
              </w:rPr>
              <w:t>Weighted-</w:t>
            </w:r>
          </w:p>
        </w:tc>
        <w:tc>
          <w:tcPr>
            <w:tcW w:w="0" w:type="dxa"/>
            <w:vAlign w:val="bottom"/>
          </w:tcPr>
          <w:p>
            <w:pPr>
              <w:spacing w:after="0"/>
              <w:rPr>
                <w:sz w:val="1"/>
                <w:szCs w:val="1"/>
                <w:color w:val="auto"/>
              </w:rPr>
            </w:pPr>
          </w:p>
        </w:tc>
      </w:tr>
      <w:tr>
        <w:trPr>
          <w:trHeight w:val="207"/>
        </w:trPr>
        <w:tc>
          <w:tcPr>
            <w:tcW w:w="390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080" w:type="dxa"/>
            <w:vAlign w:val="bottom"/>
          </w:tcPr>
          <w:p>
            <w:pPr>
              <w:jc w:val="right"/>
              <w:ind w:right="5"/>
              <w:spacing w:after="0"/>
              <w:rPr>
                <w:sz w:val="20"/>
                <w:szCs w:val="20"/>
                <w:color w:val="auto"/>
              </w:rPr>
            </w:pPr>
            <w:r>
              <w:rPr>
                <w:rFonts w:ascii="Arial Narrow" w:cs="Arial Narrow" w:eastAsia="Arial Narrow" w:hAnsi="Arial Narrow"/>
                <w:sz w:val="18"/>
                <w:szCs w:val="18"/>
                <w:b w:val="1"/>
                <w:bCs w:val="1"/>
                <w:color w:val="auto"/>
              </w:rPr>
              <w:t>Remaining</w:t>
            </w:r>
          </w:p>
        </w:tc>
        <w:tc>
          <w:tcPr>
            <w:tcW w:w="240" w:type="dxa"/>
            <w:vAlign w:val="bottom"/>
          </w:tcPr>
          <w:p>
            <w:pPr>
              <w:spacing w:after="0"/>
              <w:rPr>
                <w:sz w:val="17"/>
                <w:szCs w:val="17"/>
                <w:color w:val="auto"/>
              </w:rPr>
            </w:pPr>
          </w:p>
        </w:tc>
        <w:tc>
          <w:tcPr>
            <w:tcW w:w="860" w:type="dxa"/>
            <w:vAlign w:val="bottom"/>
          </w:tcPr>
          <w:p>
            <w:pPr>
              <w:jc w:val="right"/>
              <w:ind w:right="4"/>
              <w:spacing w:after="0"/>
              <w:rPr>
                <w:sz w:val="20"/>
                <w:szCs w:val="20"/>
                <w:color w:val="auto"/>
              </w:rPr>
            </w:pPr>
            <w:r>
              <w:rPr>
                <w:rFonts w:ascii="Arial Narrow" w:cs="Arial Narrow" w:eastAsia="Arial Narrow" w:hAnsi="Arial Narrow"/>
                <w:sz w:val="18"/>
                <w:szCs w:val="18"/>
                <w:b w:val="1"/>
                <w:bCs w:val="1"/>
                <w:color w:val="auto"/>
              </w:rPr>
              <w:t>Average</w:t>
            </w:r>
          </w:p>
        </w:tc>
        <w:tc>
          <w:tcPr>
            <w:tcW w:w="120" w:type="dxa"/>
            <w:vAlign w:val="bottom"/>
          </w:tcPr>
          <w:p>
            <w:pPr>
              <w:spacing w:after="0"/>
              <w:rPr>
                <w:sz w:val="17"/>
                <w:szCs w:val="17"/>
                <w:color w:val="auto"/>
              </w:rPr>
            </w:pPr>
          </w:p>
        </w:tc>
        <w:tc>
          <w:tcPr>
            <w:tcW w:w="1020" w:type="dxa"/>
            <w:vAlign w:val="bottom"/>
          </w:tcPr>
          <w:p>
            <w:pPr>
              <w:jc w:val="right"/>
              <w:ind w:right="10"/>
              <w:spacing w:after="0"/>
              <w:rPr>
                <w:sz w:val="20"/>
                <w:szCs w:val="20"/>
                <w:color w:val="auto"/>
              </w:rPr>
            </w:pPr>
            <w:r>
              <w:rPr>
                <w:rFonts w:ascii="Arial Narrow" w:cs="Arial Narrow" w:eastAsia="Arial Narrow" w:hAnsi="Arial Narrow"/>
                <w:sz w:val="18"/>
                <w:szCs w:val="18"/>
                <w:b w:val="1"/>
                <w:bCs w:val="1"/>
                <w:color w:val="auto"/>
              </w:rPr>
              <w:t>Number of</w:t>
            </w:r>
          </w:p>
        </w:tc>
        <w:tc>
          <w:tcPr>
            <w:tcW w:w="240" w:type="dxa"/>
            <w:vAlign w:val="bottom"/>
          </w:tcPr>
          <w:p>
            <w:pPr>
              <w:spacing w:after="0"/>
              <w:rPr>
                <w:sz w:val="17"/>
                <w:szCs w:val="17"/>
                <w:color w:val="auto"/>
              </w:rPr>
            </w:pPr>
          </w:p>
        </w:tc>
        <w:tc>
          <w:tcPr>
            <w:tcW w:w="860" w:type="dxa"/>
            <w:vAlign w:val="bottom"/>
          </w:tcPr>
          <w:p>
            <w:pPr>
              <w:jc w:val="right"/>
              <w:ind w:right="4"/>
              <w:spacing w:after="0"/>
              <w:rPr>
                <w:sz w:val="20"/>
                <w:szCs w:val="20"/>
                <w:color w:val="auto"/>
              </w:rPr>
            </w:pPr>
            <w:r>
              <w:rPr>
                <w:rFonts w:ascii="Arial Narrow" w:cs="Arial Narrow" w:eastAsia="Arial Narrow" w:hAnsi="Arial Narrow"/>
                <w:sz w:val="18"/>
                <w:szCs w:val="18"/>
                <w:b w:val="1"/>
                <w:bCs w:val="1"/>
                <w:color w:val="auto"/>
              </w:rPr>
              <w:t>Average</w:t>
            </w:r>
          </w:p>
        </w:tc>
        <w:tc>
          <w:tcPr>
            <w:tcW w:w="0" w:type="dxa"/>
            <w:vAlign w:val="bottom"/>
          </w:tcPr>
          <w:p>
            <w:pPr>
              <w:spacing w:after="0"/>
              <w:rPr>
                <w:sz w:val="1"/>
                <w:szCs w:val="1"/>
                <w:color w:val="auto"/>
              </w:rPr>
            </w:pPr>
          </w:p>
        </w:tc>
      </w:tr>
      <w:tr>
        <w:trPr>
          <w:trHeight w:val="207"/>
        </w:trPr>
        <w:tc>
          <w:tcPr>
            <w:tcW w:w="3900" w:type="dxa"/>
            <w:vAlign w:val="bottom"/>
            <w:vMerge w:val="restart"/>
          </w:tcPr>
          <w:p>
            <w:pPr>
              <w:spacing w:after="0"/>
              <w:rPr>
                <w:sz w:val="20"/>
                <w:szCs w:val="20"/>
                <w:color w:val="auto"/>
              </w:rPr>
            </w:pPr>
            <w:r>
              <w:rPr>
                <w:rFonts w:ascii="Arial Narrow" w:cs="Arial Narrow" w:eastAsia="Arial Narrow" w:hAnsi="Arial Narrow"/>
                <w:sz w:val="18"/>
                <w:szCs w:val="18"/>
                <w:b w:val="1"/>
                <w:bCs w:val="1"/>
                <w:color w:val="auto"/>
              </w:rPr>
              <w:t>Range of Exercise Prices</w:t>
            </w:r>
          </w:p>
        </w:tc>
        <w:tc>
          <w:tcPr>
            <w:tcW w:w="1040" w:type="dxa"/>
            <w:vAlign w:val="bottom"/>
          </w:tcPr>
          <w:p>
            <w:pPr>
              <w:jc w:val="right"/>
              <w:ind w:right="4"/>
              <w:spacing w:after="0"/>
              <w:rPr>
                <w:sz w:val="20"/>
                <w:szCs w:val="20"/>
                <w:color w:val="auto"/>
              </w:rPr>
            </w:pPr>
            <w:r>
              <w:rPr>
                <w:rFonts w:ascii="Arial Narrow" w:cs="Arial Narrow" w:eastAsia="Arial Narrow" w:hAnsi="Arial Narrow"/>
                <w:sz w:val="18"/>
                <w:szCs w:val="18"/>
                <w:b w:val="1"/>
                <w:bCs w:val="1"/>
                <w:color w:val="auto"/>
              </w:rPr>
              <w:t>Shares</w:t>
            </w:r>
          </w:p>
        </w:tc>
        <w:tc>
          <w:tcPr>
            <w:tcW w:w="1080" w:type="dxa"/>
            <w:vAlign w:val="bottom"/>
          </w:tcPr>
          <w:p>
            <w:pPr>
              <w:jc w:val="right"/>
              <w:ind w:right="5"/>
              <w:spacing w:after="0"/>
              <w:rPr>
                <w:sz w:val="20"/>
                <w:szCs w:val="20"/>
                <w:color w:val="auto"/>
              </w:rPr>
            </w:pPr>
            <w:r>
              <w:rPr>
                <w:rFonts w:ascii="Arial Narrow" w:cs="Arial Narrow" w:eastAsia="Arial Narrow" w:hAnsi="Arial Narrow"/>
                <w:sz w:val="18"/>
                <w:szCs w:val="18"/>
                <w:b w:val="1"/>
                <w:bCs w:val="1"/>
                <w:color w:val="auto"/>
              </w:rPr>
              <w:t>Contractual</w:t>
            </w:r>
          </w:p>
        </w:tc>
        <w:tc>
          <w:tcPr>
            <w:tcW w:w="240" w:type="dxa"/>
            <w:vAlign w:val="bottom"/>
          </w:tcPr>
          <w:p>
            <w:pPr>
              <w:spacing w:after="0"/>
              <w:rPr>
                <w:sz w:val="17"/>
                <w:szCs w:val="17"/>
                <w:color w:val="auto"/>
              </w:rPr>
            </w:pPr>
          </w:p>
        </w:tc>
        <w:tc>
          <w:tcPr>
            <w:tcW w:w="860" w:type="dxa"/>
            <w:vAlign w:val="bottom"/>
          </w:tcPr>
          <w:p>
            <w:pPr>
              <w:jc w:val="right"/>
              <w:ind w:right="4"/>
              <w:spacing w:after="0"/>
              <w:rPr>
                <w:sz w:val="20"/>
                <w:szCs w:val="20"/>
                <w:color w:val="auto"/>
              </w:rPr>
            </w:pPr>
            <w:r>
              <w:rPr>
                <w:rFonts w:ascii="Arial Narrow" w:cs="Arial Narrow" w:eastAsia="Arial Narrow" w:hAnsi="Arial Narrow"/>
                <w:sz w:val="18"/>
                <w:szCs w:val="18"/>
                <w:b w:val="1"/>
                <w:bCs w:val="1"/>
                <w:color w:val="auto"/>
              </w:rPr>
              <w:t>Exercise</w:t>
            </w:r>
          </w:p>
        </w:tc>
        <w:tc>
          <w:tcPr>
            <w:tcW w:w="120" w:type="dxa"/>
            <w:vAlign w:val="bottom"/>
          </w:tcPr>
          <w:p>
            <w:pPr>
              <w:spacing w:after="0"/>
              <w:rPr>
                <w:sz w:val="17"/>
                <w:szCs w:val="17"/>
                <w:color w:val="auto"/>
              </w:rPr>
            </w:pPr>
          </w:p>
        </w:tc>
        <w:tc>
          <w:tcPr>
            <w:tcW w:w="1020" w:type="dxa"/>
            <w:vAlign w:val="bottom"/>
          </w:tcPr>
          <w:p>
            <w:pPr>
              <w:jc w:val="right"/>
              <w:ind w:right="10"/>
              <w:spacing w:after="0"/>
              <w:rPr>
                <w:sz w:val="20"/>
                <w:szCs w:val="20"/>
                <w:color w:val="auto"/>
              </w:rPr>
            </w:pPr>
            <w:r>
              <w:rPr>
                <w:rFonts w:ascii="Arial Narrow" w:cs="Arial Narrow" w:eastAsia="Arial Narrow" w:hAnsi="Arial Narrow"/>
                <w:sz w:val="18"/>
                <w:szCs w:val="18"/>
                <w:b w:val="1"/>
                <w:bCs w:val="1"/>
                <w:color w:val="auto"/>
              </w:rPr>
              <w:t>Shares</w:t>
            </w:r>
          </w:p>
        </w:tc>
        <w:tc>
          <w:tcPr>
            <w:tcW w:w="240" w:type="dxa"/>
            <w:vAlign w:val="bottom"/>
          </w:tcPr>
          <w:p>
            <w:pPr>
              <w:spacing w:after="0"/>
              <w:rPr>
                <w:sz w:val="17"/>
                <w:szCs w:val="17"/>
                <w:color w:val="auto"/>
              </w:rPr>
            </w:pPr>
          </w:p>
        </w:tc>
        <w:tc>
          <w:tcPr>
            <w:tcW w:w="860" w:type="dxa"/>
            <w:vAlign w:val="bottom"/>
          </w:tcPr>
          <w:p>
            <w:pPr>
              <w:jc w:val="right"/>
              <w:ind w:right="4"/>
              <w:spacing w:after="0"/>
              <w:rPr>
                <w:sz w:val="20"/>
                <w:szCs w:val="20"/>
                <w:color w:val="auto"/>
              </w:rPr>
            </w:pPr>
            <w:r>
              <w:rPr>
                <w:rFonts w:ascii="Arial Narrow" w:cs="Arial Narrow" w:eastAsia="Arial Narrow" w:hAnsi="Arial Narrow"/>
                <w:sz w:val="18"/>
                <w:szCs w:val="18"/>
                <w:b w:val="1"/>
                <w:bCs w:val="1"/>
                <w:color w:val="auto"/>
              </w:rPr>
              <w:t>Exercise</w:t>
            </w:r>
          </w:p>
        </w:tc>
        <w:tc>
          <w:tcPr>
            <w:tcW w:w="0" w:type="dxa"/>
            <w:vAlign w:val="bottom"/>
          </w:tcPr>
          <w:p>
            <w:pPr>
              <w:spacing w:after="0"/>
              <w:rPr>
                <w:sz w:val="1"/>
                <w:szCs w:val="1"/>
                <w:color w:val="auto"/>
              </w:rPr>
            </w:pPr>
          </w:p>
        </w:tc>
      </w:tr>
      <w:tr>
        <w:trPr>
          <w:trHeight w:val="254"/>
        </w:trPr>
        <w:tc>
          <w:tcPr>
            <w:tcW w:w="3900" w:type="dxa"/>
            <w:vAlign w:val="bottom"/>
            <w:vMerge w:val="continue"/>
          </w:tcPr>
          <w:p>
            <w:pPr>
              <w:spacing w:after="0"/>
              <w:rPr>
                <w:sz w:val="22"/>
                <w:szCs w:val="22"/>
                <w:color w:val="auto"/>
              </w:rPr>
            </w:pPr>
          </w:p>
        </w:tc>
        <w:tc>
          <w:tcPr>
            <w:tcW w:w="1040" w:type="dxa"/>
            <w:vAlign w:val="bottom"/>
          </w:tcPr>
          <w:p>
            <w:pPr>
              <w:jc w:val="right"/>
              <w:ind w:right="4"/>
              <w:spacing w:after="0"/>
              <w:rPr>
                <w:sz w:val="20"/>
                <w:szCs w:val="20"/>
                <w:color w:val="auto"/>
              </w:rPr>
            </w:pPr>
            <w:r>
              <w:rPr>
                <w:rFonts w:ascii="Arial Narrow" w:cs="Arial Narrow" w:eastAsia="Arial Narrow" w:hAnsi="Arial Narrow"/>
                <w:sz w:val="18"/>
                <w:szCs w:val="18"/>
                <w:b w:val="1"/>
                <w:bCs w:val="1"/>
                <w:color w:val="auto"/>
              </w:rPr>
              <w:t>Outstanding</w:t>
            </w:r>
          </w:p>
        </w:tc>
        <w:tc>
          <w:tcPr>
            <w:tcW w:w="1080" w:type="dxa"/>
            <w:vAlign w:val="bottom"/>
          </w:tcPr>
          <w:p>
            <w:pPr>
              <w:jc w:val="right"/>
              <w:ind w:right="5"/>
              <w:spacing w:after="0"/>
              <w:rPr>
                <w:sz w:val="20"/>
                <w:szCs w:val="20"/>
                <w:color w:val="auto"/>
              </w:rPr>
            </w:pPr>
            <w:r>
              <w:rPr>
                <w:rFonts w:ascii="Arial Narrow" w:cs="Arial Narrow" w:eastAsia="Arial Narrow" w:hAnsi="Arial Narrow"/>
                <w:sz w:val="18"/>
                <w:szCs w:val="18"/>
                <w:b w:val="1"/>
                <w:bCs w:val="1"/>
                <w:color w:val="auto"/>
              </w:rPr>
              <w:t>Life</w:t>
            </w:r>
          </w:p>
        </w:tc>
        <w:tc>
          <w:tcPr>
            <w:tcW w:w="240" w:type="dxa"/>
            <w:vAlign w:val="bottom"/>
          </w:tcPr>
          <w:p>
            <w:pPr>
              <w:spacing w:after="0"/>
              <w:rPr>
                <w:sz w:val="22"/>
                <w:szCs w:val="22"/>
                <w:color w:val="auto"/>
              </w:rPr>
            </w:pPr>
          </w:p>
        </w:tc>
        <w:tc>
          <w:tcPr>
            <w:tcW w:w="860" w:type="dxa"/>
            <w:vAlign w:val="bottom"/>
          </w:tcPr>
          <w:p>
            <w:pPr>
              <w:jc w:val="right"/>
              <w:ind w:right="4"/>
              <w:spacing w:after="0"/>
              <w:rPr>
                <w:sz w:val="20"/>
                <w:szCs w:val="20"/>
                <w:color w:val="auto"/>
              </w:rPr>
            </w:pPr>
            <w:r>
              <w:rPr>
                <w:rFonts w:ascii="Arial Narrow" w:cs="Arial Narrow" w:eastAsia="Arial Narrow" w:hAnsi="Arial Narrow"/>
                <w:sz w:val="18"/>
                <w:szCs w:val="18"/>
                <w:b w:val="1"/>
                <w:bCs w:val="1"/>
                <w:color w:val="auto"/>
              </w:rPr>
              <w:t>Price</w:t>
            </w:r>
          </w:p>
        </w:tc>
        <w:tc>
          <w:tcPr>
            <w:tcW w:w="12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Narrow" w:cs="Arial Narrow" w:eastAsia="Arial Narrow" w:hAnsi="Arial Narrow"/>
                <w:sz w:val="18"/>
                <w:szCs w:val="18"/>
                <w:b w:val="1"/>
                <w:bCs w:val="1"/>
                <w:color w:val="auto"/>
              </w:rPr>
              <w:t>Outstanding</w:t>
            </w:r>
          </w:p>
        </w:tc>
        <w:tc>
          <w:tcPr>
            <w:tcW w:w="240" w:type="dxa"/>
            <w:vAlign w:val="bottom"/>
          </w:tcPr>
          <w:p>
            <w:pPr>
              <w:spacing w:after="0"/>
              <w:rPr>
                <w:sz w:val="22"/>
                <w:szCs w:val="22"/>
                <w:color w:val="auto"/>
              </w:rPr>
            </w:pPr>
          </w:p>
        </w:tc>
        <w:tc>
          <w:tcPr>
            <w:tcW w:w="860" w:type="dxa"/>
            <w:vAlign w:val="bottom"/>
          </w:tcPr>
          <w:p>
            <w:pPr>
              <w:jc w:val="right"/>
              <w:ind w:right="4"/>
              <w:spacing w:after="0"/>
              <w:rPr>
                <w:sz w:val="20"/>
                <w:szCs w:val="20"/>
                <w:color w:val="auto"/>
              </w:rPr>
            </w:pPr>
            <w:r>
              <w:rPr>
                <w:rFonts w:ascii="Arial Narrow" w:cs="Arial Narrow" w:eastAsia="Arial Narrow" w:hAnsi="Arial Narrow"/>
                <w:sz w:val="18"/>
                <w:szCs w:val="18"/>
                <w:b w:val="1"/>
                <w:bCs w:val="1"/>
                <w:color w:val="auto"/>
              </w:rPr>
              <w:t>Price</w:t>
            </w:r>
          </w:p>
        </w:tc>
        <w:tc>
          <w:tcPr>
            <w:tcW w:w="0" w:type="dxa"/>
            <w:vAlign w:val="bottom"/>
          </w:tcPr>
          <w:p>
            <w:pPr>
              <w:spacing w:after="0"/>
              <w:rPr>
                <w:sz w:val="1"/>
                <w:szCs w:val="1"/>
                <w:color w:val="auto"/>
              </w:rPr>
            </w:pPr>
          </w:p>
        </w:tc>
      </w:tr>
      <w:tr>
        <w:trPr>
          <w:trHeight w:val="46"/>
        </w:trPr>
        <w:tc>
          <w:tcPr>
            <w:tcW w:w="39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44"/>
        </w:trPr>
        <w:tc>
          <w:tcPr>
            <w:tcW w:w="3900" w:type="dxa"/>
            <w:vAlign w:val="bottom"/>
          </w:tcPr>
          <w:p>
            <w:pPr>
              <w:spacing w:after="0"/>
              <w:rPr>
                <w:sz w:val="20"/>
                <w:szCs w:val="20"/>
                <w:color w:val="auto"/>
              </w:rPr>
            </w:pPr>
            <w:r>
              <w:rPr>
                <w:rFonts w:ascii="Arial Narrow" w:cs="Arial Narrow" w:eastAsia="Arial Narrow" w:hAnsi="Arial Narrow"/>
                <w:sz w:val="20"/>
                <w:szCs w:val="20"/>
                <w:b w:val="1"/>
                <w:bCs w:val="1"/>
                <w:color w:val="00085E"/>
              </w:rPr>
              <w:t>$59.32 - $81.28</w:t>
            </w:r>
          </w:p>
        </w:tc>
        <w:tc>
          <w:tcPr>
            <w:tcW w:w="1040" w:type="dxa"/>
            <w:vAlign w:val="bottom"/>
          </w:tcPr>
          <w:p>
            <w:pPr>
              <w:jc w:val="right"/>
              <w:ind w:right="4"/>
              <w:spacing w:after="0"/>
              <w:rPr>
                <w:sz w:val="20"/>
                <w:szCs w:val="20"/>
                <w:color w:val="auto"/>
              </w:rPr>
            </w:pPr>
            <w:r>
              <w:rPr>
                <w:rFonts w:ascii="Arial Narrow" w:cs="Arial Narrow" w:eastAsia="Arial Narrow" w:hAnsi="Arial Narrow"/>
                <w:sz w:val="20"/>
                <w:szCs w:val="20"/>
                <w:color w:val="auto"/>
              </w:rPr>
              <w:t>81,124</w:t>
            </w:r>
          </w:p>
        </w:tc>
        <w:tc>
          <w:tcPr>
            <w:tcW w:w="1080" w:type="dxa"/>
            <w:vAlign w:val="bottom"/>
          </w:tcPr>
          <w:p>
            <w:pPr>
              <w:jc w:val="right"/>
              <w:ind w:right="5"/>
              <w:spacing w:after="0"/>
              <w:rPr>
                <w:sz w:val="20"/>
                <w:szCs w:val="20"/>
                <w:color w:val="auto"/>
              </w:rPr>
            </w:pPr>
            <w:r>
              <w:rPr>
                <w:rFonts w:ascii="Arial Narrow" w:cs="Arial Narrow" w:eastAsia="Arial Narrow" w:hAnsi="Arial Narrow"/>
                <w:sz w:val="20"/>
                <w:szCs w:val="20"/>
                <w:color w:val="auto"/>
              </w:rPr>
              <w:t>3.84</w:t>
            </w:r>
          </w:p>
        </w:tc>
        <w:tc>
          <w:tcPr>
            <w:tcW w:w="2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860" w:type="dxa"/>
            <w:vAlign w:val="bottom"/>
          </w:tcPr>
          <w:p>
            <w:pPr>
              <w:jc w:val="right"/>
              <w:ind w:right="4"/>
              <w:spacing w:after="0"/>
              <w:rPr>
                <w:sz w:val="20"/>
                <w:szCs w:val="20"/>
                <w:color w:val="auto"/>
              </w:rPr>
            </w:pPr>
            <w:r>
              <w:rPr>
                <w:rFonts w:ascii="Arial Narrow" w:cs="Arial Narrow" w:eastAsia="Arial Narrow" w:hAnsi="Arial Narrow"/>
                <w:sz w:val="20"/>
                <w:szCs w:val="20"/>
                <w:color w:val="auto"/>
              </w:rPr>
              <w:t>61.80</w:t>
            </w:r>
          </w:p>
        </w:tc>
        <w:tc>
          <w:tcPr>
            <w:tcW w:w="1140" w:type="dxa"/>
            <w:vAlign w:val="bottom"/>
            <w:gridSpan w:val="2"/>
          </w:tcPr>
          <w:p>
            <w:pPr>
              <w:jc w:val="right"/>
              <w:ind w:right="10"/>
              <w:spacing w:after="0"/>
              <w:rPr>
                <w:sz w:val="20"/>
                <w:szCs w:val="20"/>
                <w:color w:val="auto"/>
              </w:rPr>
            </w:pPr>
            <w:r>
              <w:rPr>
                <w:rFonts w:ascii="Arial Narrow" w:cs="Arial Narrow" w:eastAsia="Arial Narrow" w:hAnsi="Arial Narrow"/>
                <w:sz w:val="20"/>
                <w:szCs w:val="20"/>
                <w:color w:val="auto"/>
              </w:rPr>
              <w:t>81,124</w:t>
            </w:r>
          </w:p>
        </w:tc>
        <w:tc>
          <w:tcPr>
            <w:tcW w:w="2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860" w:type="dxa"/>
            <w:vAlign w:val="bottom"/>
          </w:tcPr>
          <w:p>
            <w:pPr>
              <w:jc w:val="right"/>
              <w:ind w:right="4"/>
              <w:spacing w:after="0"/>
              <w:rPr>
                <w:sz w:val="20"/>
                <w:szCs w:val="20"/>
                <w:color w:val="auto"/>
              </w:rPr>
            </w:pPr>
            <w:r>
              <w:rPr>
                <w:rFonts w:ascii="Arial Narrow" w:cs="Arial Narrow" w:eastAsia="Arial Narrow" w:hAnsi="Arial Narrow"/>
                <w:sz w:val="20"/>
                <w:szCs w:val="20"/>
                <w:color w:val="auto"/>
              </w:rPr>
              <w:t>61.80</w:t>
            </w:r>
          </w:p>
        </w:tc>
        <w:tc>
          <w:tcPr>
            <w:tcW w:w="0" w:type="dxa"/>
            <w:vAlign w:val="bottom"/>
          </w:tcPr>
          <w:p>
            <w:pPr>
              <w:spacing w:after="0"/>
              <w:rPr>
                <w:sz w:val="1"/>
                <w:szCs w:val="1"/>
                <w:color w:val="auto"/>
              </w:rPr>
            </w:pPr>
          </w:p>
        </w:tc>
      </w:tr>
      <w:tr>
        <w:trPr>
          <w:trHeight w:val="65"/>
        </w:trPr>
        <w:tc>
          <w:tcPr>
            <w:tcW w:w="3900" w:type="dxa"/>
            <w:vAlign w:val="bottom"/>
            <w:tcBorders>
              <w:bottom w:val="single" w:sz="8" w:color="A6A6A6"/>
            </w:tcBorders>
          </w:tcPr>
          <w:p>
            <w:pPr>
              <w:spacing w:after="0"/>
              <w:rPr>
                <w:sz w:val="5"/>
                <w:szCs w:val="5"/>
                <w:color w:val="auto"/>
              </w:rPr>
            </w:pPr>
          </w:p>
        </w:tc>
        <w:tc>
          <w:tcPr>
            <w:tcW w:w="1040" w:type="dxa"/>
            <w:vAlign w:val="bottom"/>
            <w:tcBorders>
              <w:bottom w:val="single" w:sz="8" w:color="A6A6A6"/>
            </w:tcBorders>
          </w:tcPr>
          <w:p>
            <w:pPr>
              <w:spacing w:after="0"/>
              <w:rPr>
                <w:sz w:val="5"/>
                <w:szCs w:val="5"/>
                <w:color w:val="auto"/>
              </w:rPr>
            </w:pPr>
          </w:p>
        </w:tc>
        <w:tc>
          <w:tcPr>
            <w:tcW w:w="1080" w:type="dxa"/>
            <w:vAlign w:val="bottom"/>
            <w:tcBorders>
              <w:bottom w:val="single" w:sz="8" w:color="A6A6A6"/>
            </w:tcBorders>
          </w:tcPr>
          <w:p>
            <w:pPr>
              <w:spacing w:after="0"/>
              <w:rPr>
                <w:sz w:val="5"/>
                <w:szCs w:val="5"/>
                <w:color w:val="auto"/>
              </w:rPr>
            </w:pPr>
          </w:p>
        </w:tc>
        <w:tc>
          <w:tcPr>
            <w:tcW w:w="240" w:type="dxa"/>
            <w:vAlign w:val="bottom"/>
            <w:tcBorders>
              <w:bottom w:val="single" w:sz="8" w:color="A6A6A6"/>
            </w:tcBorders>
          </w:tcPr>
          <w:p>
            <w:pPr>
              <w:spacing w:after="0"/>
              <w:rPr>
                <w:sz w:val="5"/>
                <w:szCs w:val="5"/>
                <w:color w:val="auto"/>
              </w:rPr>
            </w:pPr>
          </w:p>
        </w:tc>
        <w:tc>
          <w:tcPr>
            <w:tcW w:w="860" w:type="dxa"/>
            <w:vAlign w:val="bottom"/>
            <w:tcBorders>
              <w:bottom w:val="single" w:sz="8" w:color="A6A6A6"/>
            </w:tcBorders>
          </w:tcPr>
          <w:p>
            <w:pPr>
              <w:spacing w:after="0"/>
              <w:rPr>
                <w:sz w:val="5"/>
                <w:szCs w:val="5"/>
                <w:color w:val="auto"/>
              </w:rPr>
            </w:pPr>
          </w:p>
        </w:tc>
        <w:tc>
          <w:tcPr>
            <w:tcW w:w="1140" w:type="dxa"/>
            <w:vAlign w:val="bottom"/>
            <w:tcBorders>
              <w:bottom w:val="single" w:sz="8" w:color="A6A6A6"/>
            </w:tcBorders>
            <w:gridSpan w:val="2"/>
          </w:tcPr>
          <w:p>
            <w:pPr>
              <w:spacing w:after="0"/>
              <w:rPr>
                <w:sz w:val="5"/>
                <w:szCs w:val="5"/>
                <w:color w:val="auto"/>
              </w:rPr>
            </w:pPr>
          </w:p>
        </w:tc>
        <w:tc>
          <w:tcPr>
            <w:tcW w:w="240" w:type="dxa"/>
            <w:vAlign w:val="bottom"/>
            <w:tcBorders>
              <w:bottom w:val="single" w:sz="8" w:color="A6A6A6"/>
            </w:tcBorders>
          </w:tcPr>
          <w:p>
            <w:pPr>
              <w:spacing w:after="0"/>
              <w:rPr>
                <w:sz w:val="5"/>
                <w:szCs w:val="5"/>
                <w:color w:val="auto"/>
              </w:rPr>
            </w:pPr>
          </w:p>
        </w:tc>
        <w:tc>
          <w:tcPr>
            <w:tcW w:w="86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3900" w:type="dxa"/>
            <w:vAlign w:val="bottom"/>
          </w:tcPr>
          <w:p>
            <w:pPr>
              <w:spacing w:after="0"/>
              <w:rPr>
                <w:sz w:val="20"/>
                <w:szCs w:val="20"/>
                <w:color w:val="auto"/>
              </w:rPr>
            </w:pPr>
            <w:r>
              <w:rPr>
                <w:rFonts w:ascii="Arial Narrow" w:cs="Arial Narrow" w:eastAsia="Arial Narrow" w:hAnsi="Arial Narrow"/>
                <w:sz w:val="20"/>
                <w:szCs w:val="20"/>
                <w:b w:val="1"/>
                <w:bCs w:val="1"/>
                <w:color w:val="00085E"/>
              </w:rPr>
              <w:t>$91.21 - $100.88</w:t>
            </w:r>
          </w:p>
        </w:tc>
        <w:tc>
          <w:tcPr>
            <w:tcW w:w="1040" w:type="dxa"/>
            <w:vAlign w:val="bottom"/>
          </w:tcPr>
          <w:p>
            <w:pPr>
              <w:jc w:val="right"/>
              <w:ind w:right="4"/>
              <w:spacing w:after="0"/>
              <w:rPr>
                <w:sz w:val="20"/>
                <w:szCs w:val="20"/>
                <w:color w:val="auto"/>
              </w:rPr>
            </w:pPr>
            <w:r>
              <w:rPr>
                <w:rFonts w:ascii="Arial Narrow" w:cs="Arial Narrow" w:eastAsia="Arial Narrow" w:hAnsi="Arial Narrow"/>
                <w:sz w:val="20"/>
                <w:szCs w:val="20"/>
                <w:color w:val="auto"/>
              </w:rPr>
              <w:t>32,852</w:t>
            </w:r>
          </w:p>
        </w:tc>
        <w:tc>
          <w:tcPr>
            <w:tcW w:w="1080" w:type="dxa"/>
            <w:vAlign w:val="bottom"/>
          </w:tcPr>
          <w:p>
            <w:pPr>
              <w:jc w:val="right"/>
              <w:ind w:right="5"/>
              <w:spacing w:after="0"/>
              <w:rPr>
                <w:sz w:val="20"/>
                <w:szCs w:val="20"/>
                <w:color w:val="auto"/>
              </w:rPr>
            </w:pPr>
            <w:r>
              <w:rPr>
                <w:rFonts w:ascii="Arial Narrow" w:cs="Arial Narrow" w:eastAsia="Arial Narrow" w:hAnsi="Arial Narrow"/>
                <w:sz w:val="20"/>
                <w:szCs w:val="20"/>
                <w:color w:val="auto"/>
              </w:rPr>
              <w:t>2.27</w:t>
            </w:r>
          </w:p>
        </w:tc>
        <w:tc>
          <w:tcPr>
            <w:tcW w:w="2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860" w:type="dxa"/>
            <w:vAlign w:val="bottom"/>
          </w:tcPr>
          <w:p>
            <w:pPr>
              <w:jc w:val="right"/>
              <w:ind w:right="4"/>
              <w:spacing w:after="0"/>
              <w:rPr>
                <w:sz w:val="20"/>
                <w:szCs w:val="20"/>
                <w:color w:val="auto"/>
              </w:rPr>
            </w:pPr>
            <w:r>
              <w:rPr>
                <w:rFonts w:ascii="Arial Narrow" w:cs="Arial Narrow" w:eastAsia="Arial Narrow" w:hAnsi="Arial Narrow"/>
                <w:sz w:val="20"/>
                <w:szCs w:val="20"/>
                <w:color w:val="auto"/>
              </w:rPr>
              <w:t>94.95</w:t>
            </w:r>
          </w:p>
        </w:tc>
        <w:tc>
          <w:tcPr>
            <w:tcW w:w="1140" w:type="dxa"/>
            <w:vAlign w:val="bottom"/>
            <w:gridSpan w:val="2"/>
          </w:tcPr>
          <w:p>
            <w:pPr>
              <w:jc w:val="right"/>
              <w:ind w:right="10"/>
              <w:spacing w:after="0"/>
              <w:rPr>
                <w:sz w:val="20"/>
                <w:szCs w:val="20"/>
                <w:color w:val="auto"/>
              </w:rPr>
            </w:pPr>
            <w:r>
              <w:rPr>
                <w:rFonts w:ascii="Arial Narrow" w:cs="Arial Narrow" w:eastAsia="Arial Narrow" w:hAnsi="Arial Narrow"/>
                <w:sz w:val="20"/>
                <w:szCs w:val="20"/>
                <w:color w:val="auto"/>
              </w:rPr>
              <w:t>32,852</w:t>
            </w:r>
          </w:p>
        </w:tc>
        <w:tc>
          <w:tcPr>
            <w:tcW w:w="2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860" w:type="dxa"/>
            <w:vAlign w:val="bottom"/>
          </w:tcPr>
          <w:p>
            <w:pPr>
              <w:jc w:val="right"/>
              <w:ind w:right="4"/>
              <w:spacing w:after="0"/>
              <w:rPr>
                <w:sz w:val="20"/>
                <w:szCs w:val="20"/>
                <w:color w:val="auto"/>
              </w:rPr>
            </w:pPr>
            <w:r>
              <w:rPr>
                <w:rFonts w:ascii="Arial Narrow" w:cs="Arial Narrow" w:eastAsia="Arial Narrow" w:hAnsi="Arial Narrow"/>
                <w:sz w:val="20"/>
                <w:szCs w:val="20"/>
                <w:color w:val="auto"/>
              </w:rPr>
              <w:t>94.95</w:t>
            </w:r>
          </w:p>
        </w:tc>
        <w:tc>
          <w:tcPr>
            <w:tcW w:w="0" w:type="dxa"/>
            <w:vAlign w:val="bottom"/>
          </w:tcPr>
          <w:p>
            <w:pPr>
              <w:spacing w:after="0"/>
              <w:rPr>
                <w:sz w:val="1"/>
                <w:szCs w:val="1"/>
                <w:color w:val="auto"/>
              </w:rPr>
            </w:pPr>
          </w:p>
        </w:tc>
      </w:tr>
      <w:tr>
        <w:trPr>
          <w:trHeight w:val="65"/>
        </w:trPr>
        <w:tc>
          <w:tcPr>
            <w:tcW w:w="3900" w:type="dxa"/>
            <w:vAlign w:val="bottom"/>
            <w:tcBorders>
              <w:bottom w:val="single" w:sz="8" w:color="A6A6A6"/>
            </w:tcBorders>
          </w:tcPr>
          <w:p>
            <w:pPr>
              <w:spacing w:after="0"/>
              <w:rPr>
                <w:sz w:val="5"/>
                <w:szCs w:val="5"/>
                <w:color w:val="auto"/>
              </w:rPr>
            </w:pPr>
          </w:p>
        </w:tc>
        <w:tc>
          <w:tcPr>
            <w:tcW w:w="1040" w:type="dxa"/>
            <w:vAlign w:val="bottom"/>
            <w:tcBorders>
              <w:bottom w:val="single" w:sz="8" w:color="A6A6A6"/>
            </w:tcBorders>
          </w:tcPr>
          <w:p>
            <w:pPr>
              <w:spacing w:after="0"/>
              <w:rPr>
                <w:sz w:val="5"/>
                <w:szCs w:val="5"/>
                <w:color w:val="auto"/>
              </w:rPr>
            </w:pPr>
          </w:p>
        </w:tc>
        <w:tc>
          <w:tcPr>
            <w:tcW w:w="1080" w:type="dxa"/>
            <w:vAlign w:val="bottom"/>
            <w:tcBorders>
              <w:bottom w:val="single" w:sz="8" w:color="A6A6A6"/>
            </w:tcBorders>
          </w:tcPr>
          <w:p>
            <w:pPr>
              <w:spacing w:after="0"/>
              <w:rPr>
                <w:sz w:val="5"/>
                <w:szCs w:val="5"/>
                <w:color w:val="auto"/>
              </w:rPr>
            </w:pPr>
          </w:p>
        </w:tc>
        <w:tc>
          <w:tcPr>
            <w:tcW w:w="240" w:type="dxa"/>
            <w:vAlign w:val="bottom"/>
            <w:tcBorders>
              <w:bottom w:val="single" w:sz="8" w:color="A6A6A6"/>
            </w:tcBorders>
          </w:tcPr>
          <w:p>
            <w:pPr>
              <w:spacing w:after="0"/>
              <w:rPr>
                <w:sz w:val="5"/>
                <w:szCs w:val="5"/>
                <w:color w:val="auto"/>
              </w:rPr>
            </w:pPr>
          </w:p>
        </w:tc>
        <w:tc>
          <w:tcPr>
            <w:tcW w:w="860" w:type="dxa"/>
            <w:vAlign w:val="bottom"/>
            <w:tcBorders>
              <w:bottom w:val="single" w:sz="8" w:color="A6A6A6"/>
            </w:tcBorders>
          </w:tcPr>
          <w:p>
            <w:pPr>
              <w:spacing w:after="0"/>
              <w:rPr>
                <w:sz w:val="5"/>
                <w:szCs w:val="5"/>
                <w:color w:val="auto"/>
              </w:rPr>
            </w:pPr>
          </w:p>
        </w:tc>
        <w:tc>
          <w:tcPr>
            <w:tcW w:w="1140" w:type="dxa"/>
            <w:vAlign w:val="bottom"/>
            <w:tcBorders>
              <w:bottom w:val="single" w:sz="8" w:color="A6A6A6"/>
            </w:tcBorders>
            <w:gridSpan w:val="2"/>
          </w:tcPr>
          <w:p>
            <w:pPr>
              <w:spacing w:after="0"/>
              <w:rPr>
                <w:sz w:val="5"/>
                <w:szCs w:val="5"/>
                <w:color w:val="auto"/>
              </w:rPr>
            </w:pPr>
          </w:p>
        </w:tc>
        <w:tc>
          <w:tcPr>
            <w:tcW w:w="240" w:type="dxa"/>
            <w:vAlign w:val="bottom"/>
            <w:tcBorders>
              <w:bottom w:val="single" w:sz="8" w:color="A6A6A6"/>
            </w:tcBorders>
          </w:tcPr>
          <w:p>
            <w:pPr>
              <w:spacing w:after="0"/>
              <w:rPr>
                <w:sz w:val="5"/>
                <w:szCs w:val="5"/>
                <w:color w:val="auto"/>
              </w:rPr>
            </w:pPr>
          </w:p>
        </w:tc>
        <w:tc>
          <w:tcPr>
            <w:tcW w:w="86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3900" w:type="dxa"/>
            <w:vAlign w:val="bottom"/>
          </w:tcPr>
          <w:p>
            <w:pPr>
              <w:spacing w:after="0"/>
              <w:rPr>
                <w:sz w:val="20"/>
                <w:szCs w:val="20"/>
                <w:color w:val="auto"/>
              </w:rPr>
            </w:pPr>
            <w:r>
              <w:rPr>
                <w:rFonts w:ascii="Arial Narrow" w:cs="Arial Narrow" w:eastAsia="Arial Narrow" w:hAnsi="Arial Narrow"/>
                <w:sz w:val="20"/>
                <w:szCs w:val="20"/>
                <w:b w:val="1"/>
                <w:bCs w:val="1"/>
                <w:color w:val="00085E"/>
              </w:rPr>
              <w:t>$118.27 - $139.25</w:t>
            </w:r>
          </w:p>
        </w:tc>
        <w:tc>
          <w:tcPr>
            <w:tcW w:w="1040" w:type="dxa"/>
            <w:vAlign w:val="bottom"/>
          </w:tcPr>
          <w:p>
            <w:pPr>
              <w:jc w:val="right"/>
              <w:ind w:right="4"/>
              <w:spacing w:after="0"/>
              <w:rPr>
                <w:sz w:val="20"/>
                <w:szCs w:val="20"/>
                <w:color w:val="auto"/>
              </w:rPr>
            </w:pPr>
            <w:r>
              <w:rPr>
                <w:rFonts w:ascii="Arial Narrow" w:cs="Arial Narrow" w:eastAsia="Arial Narrow" w:hAnsi="Arial Narrow"/>
                <w:sz w:val="20"/>
                <w:szCs w:val="20"/>
                <w:color w:val="auto"/>
              </w:rPr>
              <w:t>48,931</w:t>
            </w:r>
          </w:p>
        </w:tc>
        <w:tc>
          <w:tcPr>
            <w:tcW w:w="1080" w:type="dxa"/>
            <w:vAlign w:val="bottom"/>
          </w:tcPr>
          <w:p>
            <w:pPr>
              <w:jc w:val="right"/>
              <w:ind w:right="5"/>
              <w:spacing w:after="0"/>
              <w:rPr>
                <w:sz w:val="20"/>
                <w:szCs w:val="20"/>
                <w:color w:val="auto"/>
              </w:rPr>
            </w:pPr>
            <w:r>
              <w:rPr>
                <w:rFonts w:ascii="Arial Narrow" w:cs="Arial Narrow" w:eastAsia="Arial Narrow" w:hAnsi="Arial Narrow"/>
                <w:sz w:val="20"/>
                <w:szCs w:val="20"/>
                <w:color w:val="auto"/>
              </w:rPr>
              <w:t>6.11</w:t>
            </w:r>
          </w:p>
        </w:tc>
        <w:tc>
          <w:tcPr>
            <w:tcW w:w="2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860" w:type="dxa"/>
            <w:vAlign w:val="bottom"/>
          </w:tcPr>
          <w:p>
            <w:pPr>
              <w:jc w:val="right"/>
              <w:ind w:right="4"/>
              <w:spacing w:after="0"/>
              <w:rPr>
                <w:sz w:val="20"/>
                <w:szCs w:val="20"/>
                <w:color w:val="auto"/>
              </w:rPr>
            </w:pPr>
            <w:r>
              <w:rPr>
                <w:rFonts w:ascii="Arial Narrow" w:cs="Arial Narrow" w:eastAsia="Arial Narrow" w:hAnsi="Arial Narrow"/>
                <w:sz w:val="20"/>
                <w:szCs w:val="20"/>
                <w:color w:val="auto"/>
              </w:rPr>
              <w:t>126.59</w:t>
            </w:r>
          </w:p>
        </w:tc>
        <w:tc>
          <w:tcPr>
            <w:tcW w:w="1140" w:type="dxa"/>
            <w:vAlign w:val="bottom"/>
            <w:gridSpan w:val="2"/>
          </w:tcPr>
          <w:p>
            <w:pPr>
              <w:jc w:val="right"/>
              <w:ind w:right="10"/>
              <w:spacing w:after="0"/>
              <w:rPr>
                <w:sz w:val="20"/>
                <w:szCs w:val="20"/>
                <w:color w:val="auto"/>
              </w:rPr>
            </w:pPr>
            <w:r>
              <w:rPr>
                <w:rFonts w:ascii="Arial Narrow" w:cs="Arial Narrow" w:eastAsia="Arial Narrow" w:hAnsi="Arial Narrow"/>
                <w:sz w:val="20"/>
                <w:szCs w:val="20"/>
                <w:color w:val="auto"/>
              </w:rPr>
              <w:t>47,729</w:t>
            </w:r>
          </w:p>
        </w:tc>
        <w:tc>
          <w:tcPr>
            <w:tcW w:w="2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860" w:type="dxa"/>
            <w:vAlign w:val="bottom"/>
          </w:tcPr>
          <w:p>
            <w:pPr>
              <w:jc w:val="right"/>
              <w:ind w:right="4"/>
              <w:spacing w:after="0"/>
              <w:rPr>
                <w:sz w:val="20"/>
                <w:szCs w:val="20"/>
                <w:color w:val="auto"/>
              </w:rPr>
            </w:pPr>
            <w:r>
              <w:rPr>
                <w:rFonts w:ascii="Arial Narrow" w:cs="Arial Narrow" w:eastAsia="Arial Narrow" w:hAnsi="Arial Narrow"/>
                <w:sz w:val="20"/>
                <w:szCs w:val="20"/>
                <w:color w:val="auto"/>
              </w:rPr>
              <w:t>126.72</w:t>
            </w:r>
          </w:p>
        </w:tc>
        <w:tc>
          <w:tcPr>
            <w:tcW w:w="0" w:type="dxa"/>
            <w:vAlign w:val="bottom"/>
          </w:tcPr>
          <w:p>
            <w:pPr>
              <w:spacing w:after="0"/>
              <w:rPr>
                <w:sz w:val="1"/>
                <w:szCs w:val="1"/>
                <w:color w:val="auto"/>
              </w:rPr>
            </w:pPr>
          </w:p>
        </w:tc>
      </w:tr>
      <w:tr>
        <w:trPr>
          <w:trHeight w:val="65"/>
        </w:trPr>
        <w:tc>
          <w:tcPr>
            <w:tcW w:w="3900" w:type="dxa"/>
            <w:vAlign w:val="bottom"/>
            <w:tcBorders>
              <w:bottom w:val="single" w:sz="8" w:color="A6A6A6"/>
            </w:tcBorders>
          </w:tcPr>
          <w:p>
            <w:pPr>
              <w:spacing w:after="0"/>
              <w:rPr>
                <w:sz w:val="5"/>
                <w:szCs w:val="5"/>
                <w:color w:val="auto"/>
              </w:rPr>
            </w:pPr>
          </w:p>
        </w:tc>
        <w:tc>
          <w:tcPr>
            <w:tcW w:w="1040" w:type="dxa"/>
            <w:vAlign w:val="bottom"/>
            <w:tcBorders>
              <w:bottom w:val="single" w:sz="8" w:color="A6A6A6"/>
            </w:tcBorders>
          </w:tcPr>
          <w:p>
            <w:pPr>
              <w:spacing w:after="0"/>
              <w:rPr>
                <w:sz w:val="5"/>
                <w:szCs w:val="5"/>
                <w:color w:val="auto"/>
              </w:rPr>
            </w:pPr>
          </w:p>
        </w:tc>
        <w:tc>
          <w:tcPr>
            <w:tcW w:w="1080" w:type="dxa"/>
            <w:vAlign w:val="bottom"/>
            <w:tcBorders>
              <w:bottom w:val="single" w:sz="8" w:color="A6A6A6"/>
            </w:tcBorders>
          </w:tcPr>
          <w:p>
            <w:pPr>
              <w:spacing w:after="0"/>
              <w:rPr>
                <w:sz w:val="5"/>
                <w:szCs w:val="5"/>
                <w:color w:val="auto"/>
              </w:rPr>
            </w:pPr>
          </w:p>
        </w:tc>
        <w:tc>
          <w:tcPr>
            <w:tcW w:w="240" w:type="dxa"/>
            <w:vAlign w:val="bottom"/>
            <w:tcBorders>
              <w:bottom w:val="single" w:sz="8" w:color="A6A6A6"/>
            </w:tcBorders>
          </w:tcPr>
          <w:p>
            <w:pPr>
              <w:spacing w:after="0"/>
              <w:rPr>
                <w:sz w:val="5"/>
                <w:szCs w:val="5"/>
                <w:color w:val="auto"/>
              </w:rPr>
            </w:pPr>
          </w:p>
        </w:tc>
        <w:tc>
          <w:tcPr>
            <w:tcW w:w="860" w:type="dxa"/>
            <w:vAlign w:val="bottom"/>
            <w:tcBorders>
              <w:bottom w:val="single" w:sz="8" w:color="A6A6A6"/>
            </w:tcBorders>
          </w:tcPr>
          <w:p>
            <w:pPr>
              <w:spacing w:after="0"/>
              <w:rPr>
                <w:sz w:val="5"/>
                <w:szCs w:val="5"/>
                <w:color w:val="auto"/>
              </w:rPr>
            </w:pPr>
          </w:p>
        </w:tc>
        <w:tc>
          <w:tcPr>
            <w:tcW w:w="1140" w:type="dxa"/>
            <w:vAlign w:val="bottom"/>
            <w:tcBorders>
              <w:bottom w:val="single" w:sz="8" w:color="A6A6A6"/>
            </w:tcBorders>
            <w:gridSpan w:val="2"/>
          </w:tcPr>
          <w:p>
            <w:pPr>
              <w:spacing w:after="0"/>
              <w:rPr>
                <w:sz w:val="5"/>
                <w:szCs w:val="5"/>
                <w:color w:val="auto"/>
              </w:rPr>
            </w:pPr>
          </w:p>
        </w:tc>
        <w:tc>
          <w:tcPr>
            <w:tcW w:w="240" w:type="dxa"/>
            <w:vAlign w:val="bottom"/>
            <w:tcBorders>
              <w:bottom w:val="single" w:sz="8" w:color="A6A6A6"/>
            </w:tcBorders>
          </w:tcPr>
          <w:p>
            <w:pPr>
              <w:spacing w:after="0"/>
              <w:rPr>
                <w:sz w:val="5"/>
                <w:szCs w:val="5"/>
                <w:color w:val="auto"/>
              </w:rPr>
            </w:pPr>
          </w:p>
        </w:tc>
        <w:tc>
          <w:tcPr>
            <w:tcW w:w="86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3900" w:type="dxa"/>
            <w:vAlign w:val="bottom"/>
          </w:tcPr>
          <w:p>
            <w:pPr>
              <w:spacing w:after="0"/>
              <w:rPr>
                <w:sz w:val="20"/>
                <w:szCs w:val="20"/>
                <w:color w:val="auto"/>
              </w:rPr>
            </w:pPr>
            <w:r>
              <w:rPr>
                <w:rFonts w:ascii="Arial Narrow" w:cs="Arial Narrow" w:eastAsia="Arial Narrow" w:hAnsi="Arial Narrow"/>
                <w:sz w:val="20"/>
                <w:szCs w:val="20"/>
                <w:b w:val="1"/>
                <w:bCs w:val="1"/>
                <w:color w:val="00085E"/>
              </w:rPr>
              <w:t>$143.09 - $261.76</w:t>
            </w:r>
          </w:p>
        </w:tc>
        <w:tc>
          <w:tcPr>
            <w:tcW w:w="1040" w:type="dxa"/>
            <w:vAlign w:val="bottom"/>
          </w:tcPr>
          <w:p>
            <w:pPr>
              <w:jc w:val="right"/>
              <w:ind w:right="4"/>
              <w:spacing w:after="0"/>
              <w:rPr>
                <w:sz w:val="20"/>
                <w:szCs w:val="20"/>
                <w:color w:val="auto"/>
              </w:rPr>
            </w:pPr>
            <w:r>
              <w:rPr>
                <w:rFonts w:ascii="Arial Narrow" w:cs="Arial Narrow" w:eastAsia="Arial Narrow" w:hAnsi="Arial Narrow"/>
                <w:sz w:val="20"/>
                <w:szCs w:val="20"/>
                <w:color w:val="auto"/>
              </w:rPr>
              <w:t>43,814</w:t>
            </w:r>
          </w:p>
        </w:tc>
        <w:tc>
          <w:tcPr>
            <w:tcW w:w="1080" w:type="dxa"/>
            <w:vAlign w:val="bottom"/>
          </w:tcPr>
          <w:p>
            <w:pPr>
              <w:jc w:val="right"/>
              <w:ind w:right="5"/>
              <w:spacing w:after="0"/>
              <w:rPr>
                <w:sz w:val="20"/>
                <w:szCs w:val="20"/>
                <w:color w:val="auto"/>
              </w:rPr>
            </w:pPr>
            <w:r>
              <w:rPr>
                <w:rFonts w:ascii="Arial Narrow" w:cs="Arial Narrow" w:eastAsia="Arial Narrow" w:hAnsi="Arial Narrow"/>
                <w:sz w:val="20"/>
                <w:szCs w:val="20"/>
                <w:color w:val="auto"/>
              </w:rPr>
              <w:t>2.34</w:t>
            </w:r>
          </w:p>
        </w:tc>
        <w:tc>
          <w:tcPr>
            <w:tcW w:w="2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860" w:type="dxa"/>
            <w:vAlign w:val="bottom"/>
          </w:tcPr>
          <w:p>
            <w:pPr>
              <w:jc w:val="right"/>
              <w:ind w:right="4"/>
              <w:spacing w:after="0"/>
              <w:rPr>
                <w:sz w:val="20"/>
                <w:szCs w:val="20"/>
                <w:color w:val="auto"/>
              </w:rPr>
            </w:pPr>
            <w:r>
              <w:rPr>
                <w:rFonts w:ascii="Arial Narrow" w:cs="Arial Narrow" w:eastAsia="Arial Narrow" w:hAnsi="Arial Narrow"/>
                <w:sz w:val="20"/>
                <w:szCs w:val="20"/>
                <w:color w:val="auto"/>
              </w:rPr>
              <w:t>206.91</w:t>
            </w:r>
          </w:p>
        </w:tc>
        <w:tc>
          <w:tcPr>
            <w:tcW w:w="1140" w:type="dxa"/>
            <w:vAlign w:val="bottom"/>
            <w:gridSpan w:val="2"/>
          </w:tcPr>
          <w:p>
            <w:pPr>
              <w:jc w:val="right"/>
              <w:ind w:right="10"/>
              <w:spacing w:after="0"/>
              <w:rPr>
                <w:sz w:val="20"/>
                <w:szCs w:val="20"/>
                <w:color w:val="auto"/>
              </w:rPr>
            </w:pPr>
            <w:r>
              <w:rPr>
                <w:rFonts w:ascii="Arial Narrow" w:cs="Arial Narrow" w:eastAsia="Arial Narrow" w:hAnsi="Arial Narrow"/>
                <w:sz w:val="20"/>
                <w:szCs w:val="20"/>
                <w:color w:val="auto"/>
              </w:rPr>
              <w:t>10,627</w:t>
            </w:r>
          </w:p>
        </w:tc>
        <w:tc>
          <w:tcPr>
            <w:tcW w:w="240" w:type="dxa"/>
            <w:vAlign w:val="bottom"/>
          </w:tcPr>
          <w:p>
            <w:pPr>
              <w:jc w:val="right"/>
              <w:spacing w:after="0"/>
              <w:rPr>
                <w:sz w:val="20"/>
                <w:szCs w:val="20"/>
                <w:color w:val="auto"/>
              </w:rPr>
            </w:pPr>
            <w:r>
              <w:rPr>
                <w:rFonts w:ascii="Arial Narrow" w:cs="Arial Narrow" w:eastAsia="Arial Narrow" w:hAnsi="Arial Narrow"/>
                <w:sz w:val="20"/>
                <w:szCs w:val="20"/>
                <w:color w:val="auto"/>
              </w:rPr>
              <w:t>$</w:t>
            </w:r>
          </w:p>
        </w:tc>
        <w:tc>
          <w:tcPr>
            <w:tcW w:w="860" w:type="dxa"/>
            <w:vAlign w:val="bottom"/>
          </w:tcPr>
          <w:p>
            <w:pPr>
              <w:jc w:val="right"/>
              <w:ind w:right="4"/>
              <w:spacing w:after="0"/>
              <w:rPr>
                <w:sz w:val="20"/>
                <w:szCs w:val="20"/>
                <w:color w:val="auto"/>
              </w:rPr>
            </w:pPr>
            <w:r>
              <w:rPr>
                <w:rFonts w:ascii="Arial Narrow" w:cs="Arial Narrow" w:eastAsia="Arial Narrow" w:hAnsi="Arial Narrow"/>
                <w:sz w:val="20"/>
                <w:szCs w:val="20"/>
                <w:color w:val="auto"/>
              </w:rPr>
              <w:t>184.83</w:t>
            </w:r>
          </w:p>
        </w:tc>
        <w:tc>
          <w:tcPr>
            <w:tcW w:w="0" w:type="dxa"/>
            <w:vAlign w:val="bottom"/>
          </w:tcPr>
          <w:p>
            <w:pPr>
              <w:spacing w:after="0"/>
              <w:rPr>
                <w:sz w:val="1"/>
                <w:szCs w:val="1"/>
                <w:color w:val="auto"/>
              </w:rPr>
            </w:pPr>
          </w:p>
        </w:tc>
      </w:tr>
      <w:tr>
        <w:trPr>
          <w:trHeight w:val="90"/>
        </w:trPr>
        <w:tc>
          <w:tcPr>
            <w:tcW w:w="3900" w:type="dxa"/>
            <w:vAlign w:val="bottom"/>
            <w:tcBorders>
              <w:bottom w:val="single" w:sz="8" w:color="A6A6A6"/>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080" w:type="dxa"/>
            <w:vAlign w:val="bottom"/>
            <w:tcBorders>
              <w:bottom w:val="single" w:sz="8" w:color="A6A6A6"/>
            </w:tcBorders>
          </w:tcPr>
          <w:p>
            <w:pPr>
              <w:spacing w:after="0"/>
              <w:rPr>
                <w:sz w:val="7"/>
                <w:szCs w:val="7"/>
                <w:color w:val="auto"/>
              </w:rPr>
            </w:pPr>
          </w:p>
        </w:tc>
        <w:tc>
          <w:tcPr>
            <w:tcW w:w="240" w:type="dxa"/>
            <w:vAlign w:val="bottom"/>
            <w:tcBorders>
              <w:bottom w:val="single" w:sz="8" w:color="A6A6A6"/>
            </w:tcBorders>
          </w:tcPr>
          <w:p>
            <w:pPr>
              <w:spacing w:after="0"/>
              <w:rPr>
                <w:sz w:val="7"/>
                <w:szCs w:val="7"/>
                <w:color w:val="auto"/>
              </w:rPr>
            </w:pPr>
          </w:p>
        </w:tc>
        <w:tc>
          <w:tcPr>
            <w:tcW w:w="860" w:type="dxa"/>
            <w:vAlign w:val="bottom"/>
            <w:tcBorders>
              <w:bottom w:val="single" w:sz="8" w:color="A6A6A6"/>
            </w:tcBorders>
          </w:tcPr>
          <w:p>
            <w:pPr>
              <w:spacing w:after="0"/>
              <w:rPr>
                <w:sz w:val="7"/>
                <w:szCs w:val="7"/>
                <w:color w:val="auto"/>
              </w:rPr>
            </w:pPr>
          </w:p>
        </w:tc>
        <w:tc>
          <w:tcPr>
            <w:tcW w:w="120" w:type="dxa"/>
            <w:vAlign w:val="bottom"/>
            <w:tcBorders>
              <w:bottom w:val="single" w:sz="8" w:color="A6A6A6"/>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240" w:type="dxa"/>
            <w:vAlign w:val="bottom"/>
            <w:tcBorders>
              <w:bottom w:val="single" w:sz="8" w:color="A6A6A6"/>
            </w:tcBorders>
          </w:tcPr>
          <w:p>
            <w:pPr>
              <w:spacing w:after="0"/>
              <w:rPr>
                <w:sz w:val="7"/>
                <w:szCs w:val="7"/>
                <w:color w:val="auto"/>
              </w:rPr>
            </w:pPr>
          </w:p>
        </w:tc>
        <w:tc>
          <w:tcPr>
            <w:tcW w:w="860" w:type="dxa"/>
            <w:vAlign w:val="bottom"/>
            <w:tcBorders>
              <w:bottom w:val="single" w:sz="8" w:color="A6A6A6"/>
            </w:tcBorders>
          </w:tcPr>
          <w:p>
            <w:pPr>
              <w:spacing w:after="0"/>
              <w:rPr>
                <w:sz w:val="7"/>
                <w:szCs w:val="7"/>
                <w:color w:val="auto"/>
              </w:rPr>
            </w:pPr>
          </w:p>
        </w:tc>
        <w:tc>
          <w:tcPr>
            <w:tcW w:w="0" w:type="dxa"/>
            <w:vAlign w:val="bottom"/>
          </w:tcPr>
          <w:p>
            <w:pPr>
              <w:spacing w:after="0"/>
              <w:rPr>
                <w:sz w:val="1"/>
                <w:szCs w:val="1"/>
                <w:color w:val="auto"/>
              </w:rPr>
            </w:pPr>
          </w:p>
        </w:tc>
      </w:tr>
      <w:tr>
        <w:trPr>
          <w:trHeight w:val="344"/>
        </w:trPr>
        <w:tc>
          <w:tcPr>
            <w:tcW w:w="3900" w:type="dxa"/>
            <w:vAlign w:val="bottom"/>
          </w:tcPr>
          <w:p>
            <w:pPr>
              <w:spacing w:after="0"/>
              <w:rPr>
                <w:sz w:val="24"/>
                <w:szCs w:val="24"/>
                <w:color w:val="auto"/>
              </w:rPr>
            </w:pPr>
          </w:p>
        </w:tc>
        <w:tc>
          <w:tcPr>
            <w:tcW w:w="1040" w:type="dxa"/>
            <w:vAlign w:val="bottom"/>
          </w:tcPr>
          <w:p>
            <w:pPr>
              <w:jc w:val="right"/>
              <w:ind w:right="4"/>
              <w:spacing w:after="0"/>
              <w:rPr>
                <w:sz w:val="20"/>
                <w:szCs w:val="20"/>
                <w:color w:val="auto"/>
              </w:rPr>
            </w:pPr>
            <w:r>
              <w:rPr>
                <w:rFonts w:ascii="Arial Narrow" w:cs="Arial Narrow" w:eastAsia="Arial Narrow" w:hAnsi="Arial Narrow"/>
                <w:sz w:val="20"/>
                <w:szCs w:val="20"/>
                <w:b w:val="1"/>
                <w:bCs w:val="1"/>
                <w:color w:val="auto"/>
              </w:rPr>
              <w:t>206,721</w:t>
            </w:r>
          </w:p>
        </w:tc>
        <w:tc>
          <w:tcPr>
            <w:tcW w:w="1080" w:type="dxa"/>
            <w:vAlign w:val="bottom"/>
          </w:tcPr>
          <w:p>
            <w:pPr>
              <w:jc w:val="right"/>
              <w:ind w:right="5"/>
              <w:spacing w:after="0"/>
              <w:rPr>
                <w:sz w:val="20"/>
                <w:szCs w:val="20"/>
                <w:color w:val="auto"/>
              </w:rPr>
            </w:pPr>
            <w:r>
              <w:rPr>
                <w:rFonts w:ascii="Arial Narrow" w:cs="Arial Narrow" w:eastAsia="Arial Narrow" w:hAnsi="Arial Narrow"/>
                <w:sz w:val="20"/>
                <w:szCs w:val="20"/>
                <w:b w:val="1"/>
                <w:bCs w:val="1"/>
                <w:color w:val="auto"/>
              </w:rPr>
              <w:t>3.81</w:t>
            </w:r>
          </w:p>
        </w:tc>
        <w:tc>
          <w:tcPr>
            <w:tcW w:w="240" w:type="dxa"/>
            <w:vAlign w:val="bottom"/>
          </w:tcPr>
          <w:p>
            <w:pPr>
              <w:jc w:val="right"/>
              <w:spacing w:after="0"/>
              <w:rPr>
                <w:sz w:val="20"/>
                <w:szCs w:val="20"/>
                <w:color w:val="auto"/>
              </w:rPr>
            </w:pPr>
            <w:r>
              <w:rPr>
                <w:rFonts w:ascii="Arial Narrow" w:cs="Arial Narrow" w:eastAsia="Arial Narrow" w:hAnsi="Arial Narrow"/>
                <w:sz w:val="20"/>
                <w:szCs w:val="20"/>
                <w:b w:val="1"/>
                <w:bCs w:val="1"/>
                <w:color w:val="auto"/>
              </w:rPr>
              <w:t>$</w:t>
            </w:r>
          </w:p>
        </w:tc>
        <w:tc>
          <w:tcPr>
            <w:tcW w:w="860" w:type="dxa"/>
            <w:vAlign w:val="bottom"/>
          </w:tcPr>
          <w:p>
            <w:pPr>
              <w:jc w:val="right"/>
              <w:ind w:right="4"/>
              <w:spacing w:after="0"/>
              <w:rPr>
                <w:sz w:val="20"/>
                <w:szCs w:val="20"/>
                <w:color w:val="auto"/>
              </w:rPr>
            </w:pPr>
            <w:r>
              <w:rPr>
                <w:rFonts w:ascii="Arial Narrow" w:cs="Arial Narrow" w:eastAsia="Arial Narrow" w:hAnsi="Arial Narrow"/>
                <w:sz w:val="20"/>
                <w:szCs w:val="20"/>
                <w:b w:val="1"/>
                <w:bCs w:val="1"/>
                <w:color w:val="auto"/>
              </w:rPr>
              <w:t>113.16</w:t>
            </w:r>
          </w:p>
        </w:tc>
        <w:tc>
          <w:tcPr>
            <w:tcW w:w="1140" w:type="dxa"/>
            <w:vAlign w:val="bottom"/>
            <w:gridSpan w:val="2"/>
          </w:tcPr>
          <w:p>
            <w:pPr>
              <w:jc w:val="right"/>
              <w:ind w:right="10"/>
              <w:spacing w:after="0"/>
              <w:rPr>
                <w:sz w:val="20"/>
                <w:szCs w:val="20"/>
                <w:color w:val="auto"/>
              </w:rPr>
            </w:pPr>
            <w:r>
              <w:rPr>
                <w:rFonts w:ascii="Arial Narrow" w:cs="Arial Narrow" w:eastAsia="Arial Narrow" w:hAnsi="Arial Narrow"/>
                <w:sz w:val="20"/>
                <w:szCs w:val="20"/>
                <w:b w:val="1"/>
                <w:bCs w:val="1"/>
                <w:color w:val="auto"/>
              </w:rPr>
              <w:t>172,332</w:t>
            </w:r>
          </w:p>
        </w:tc>
        <w:tc>
          <w:tcPr>
            <w:tcW w:w="240" w:type="dxa"/>
            <w:vAlign w:val="bottom"/>
          </w:tcPr>
          <w:p>
            <w:pPr>
              <w:jc w:val="right"/>
              <w:spacing w:after="0"/>
              <w:rPr>
                <w:sz w:val="20"/>
                <w:szCs w:val="20"/>
                <w:color w:val="auto"/>
              </w:rPr>
            </w:pPr>
            <w:r>
              <w:rPr>
                <w:rFonts w:ascii="Arial Narrow" w:cs="Arial Narrow" w:eastAsia="Arial Narrow" w:hAnsi="Arial Narrow"/>
                <w:sz w:val="20"/>
                <w:szCs w:val="20"/>
                <w:b w:val="1"/>
                <w:bCs w:val="1"/>
                <w:color w:val="auto"/>
              </w:rPr>
              <w:t>$</w:t>
            </w:r>
          </w:p>
        </w:tc>
        <w:tc>
          <w:tcPr>
            <w:tcW w:w="860" w:type="dxa"/>
            <w:vAlign w:val="bottom"/>
          </w:tcPr>
          <w:p>
            <w:pPr>
              <w:jc w:val="right"/>
              <w:ind w:right="4"/>
              <w:spacing w:after="0"/>
              <w:rPr>
                <w:sz w:val="20"/>
                <w:szCs w:val="20"/>
                <w:color w:val="auto"/>
              </w:rPr>
            </w:pPr>
            <w:r>
              <w:rPr>
                <w:rFonts w:ascii="Arial Narrow" w:cs="Arial Narrow" w:eastAsia="Arial Narrow" w:hAnsi="Arial Narrow"/>
                <w:sz w:val="20"/>
                <w:szCs w:val="20"/>
                <w:b w:val="1"/>
                <w:bCs w:val="1"/>
                <w:color w:val="auto"/>
              </w:rPr>
              <w:t>93.69</w:t>
            </w:r>
          </w:p>
        </w:tc>
        <w:tc>
          <w:tcPr>
            <w:tcW w:w="0" w:type="dxa"/>
            <w:vAlign w:val="bottom"/>
          </w:tcPr>
          <w:p>
            <w:pPr>
              <w:spacing w:after="0"/>
              <w:rPr>
                <w:sz w:val="1"/>
                <w:szCs w:val="1"/>
                <w:color w:val="auto"/>
              </w:rPr>
            </w:pPr>
          </w:p>
        </w:tc>
      </w:tr>
      <w:tr>
        <w:trPr>
          <w:trHeight w:val="65"/>
        </w:trPr>
        <w:tc>
          <w:tcPr>
            <w:tcW w:w="3900" w:type="dxa"/>
            <w:vAlign w:val="bottom"/>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120"/>
        <w:spacing w:after="0" w:line="296" w:lineRule="auto"/>
        <w:rPr>
          <w:sz w:val="20"/>
          <w:szCs w:val="20"/>
          <w:color w:val="auto"/>
        </w:rPr>
      </w:pPr>
      <w:r>
        <w:rPr>
          <w:rFonts w:ascii="Arial" w:cs="Arial" w:eastAsia="Arial" w:hAnsi="Arial"/>
          <w:sz w:val="20"/>
          <w:szCs w:val="20"/>
          <w:color w:val="auto"/>
        </w:rPr>
        <w:t>At March 31, 2026, the aggregate intrinsic values for outstanding and exercisable options were approximately $16.8 million and $16.7 million, respectively. The total intrinsic values of options exercised during the fiscal years ended March 31, 2026, 2025, and 2024 were approximately $1.0 million, $14.4 million and $18.8 million, respectively.</w:t>
      </w: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color w:val="00085E"/>
        </w:rPr>
        <w:t>RESTRICTED STOCK UNITS AND RESTRICTED STOCK</w:t>
      </w:r>
    </w:p>
    <w:p>
      <w:pPr>
        <w:spacing w:after="0" w:line="152" w:lineRule="exact"/>
        <w:rPr>
          <w:sz w:val="20"/>
          <w:szCs w:val="20"/>
          <w:color w:val="auto"/>
        </w:rPr>
      </w:pPr>
    </w:p>
    <w:p>
      <w:pPr>
        <w:ind w:right="20"/>
        <w:spacing w:after="0" w:line="325" w:lineRule="auto"/>
        <w:rPr>
          <w:sz w:val="20"/>
          <w:szCs w:val="20"/>
          <w:color w:val="auto"/>
        </w:rPr>
      </w:pPr>
      <w:r>
        <w:rPr>
          <w:rFonts w:ascii="Arial" w:cs="Arial" w:eastAsia="Arial" w:hAnsi="Arial"/>
          <w:sz w:val="20"/>
          <w:szCs w:val="20"/>
          <w:color w:val="auto"/>
        </w:rPr>
        <w:t>The following table summarizes the activity for restricted stock units and nonvested restricted stock during the years presented.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30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40" w:type="dxa"/>
            <w:vAlign w:val="bottom"/>
            <w:gridSpan w:val="6"/>
          </w:tcPr>
          <w:p>
            <w:pPr>
              <w:ind w:left="20"/>
              <w:spacing w:after="0"/>
              <w:rPr>
                <w:sz w:val="20"/>
                <w:szCs w:val="20"/>
                <w:color w:val="auto"/>
              </w:rPr>
            </w:pPr>
            <w:r>
              <w:rPr>
                <w:rFonts w:ascii="Arial Narrow" w:cs="Arial Narrow" w:eastAsia="Arial Narrow" w:hAnsi="Arial Narrow"/>
                <w:sz w:val="18"/>
                <w:szCs w:val="18"/>
                <w:b w:val="1"/>
                <w:bCs w:val="1"/>
                <w:color w:val="auto"/>
              </w:rPr>
              <w:t>For the Years Ended March 31,</w:t>
            </w:r>
          </w:p>
        </w:tc>
        <w:tc>
          <w:tcPr>
            <w:tcW w:w="9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308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4"/>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9"/>
        </w:trPr>
        <w:tc>
          <w:tcPr>
            <w:tcW w:w="3080" w:type="dxa"/>
            <w:vAlign w:val="bottom"/>
          </w:tcPr>
          <w:p>
            <w:pPr>
              <w:spacing w:after="0"/>
              <w:rPr>
                <w:sz w:val="23"/>
                <w:szCs w:val="23"/>
                <w:color w:val="auto"/>
              </w:rPr>
            </w:pPr>
          </w:p>
        </w:tc>
        <w:tc>
          <w:tcPr>
            <w:tcW w:w="1140" w:type="dxa"/>
            <w:vAlign w:val="bottom"/>
            <w:gridSpan w:val="2"/>
          </w:tcPr>
          <w:p>
            <w:pPr>
              <w:jc w:val="right"/>
              <w:spacing w:after="0"/>
              <w:rPr>
                <w:sz w:val="20"/>
                <w:szCs w:val="20"/>
                <w:color w:val="auto"/>
              </w:rPr>
            </w:pPr>
            <w:r>
              <w:rPr>
                <w:rFonts w:ascii="Arial Narrow" w:cs="Arial Narrow" w:eastAsia="Arial Narrow" w:hAnsi="Arial Narrow"/>
                <w:sz w:val="18"/>
                <w:szCs w:val="18"/>
                <w:b w:val="1"/>
                <w:bCs w:val="1"/>
                <w:color w:val="auto"/>
              </w:rPr>
              <w:t>2026</w:t>
            </w:r>
          </w:p>
        </w:tc>
        <w:tc>
          <w:tcPr>
            <w:tcW w:w="820" w:type="dxa"/>
            <w:vAlign w:val="bottom"/>
          </w:tcPr>
          <w:p>
            <w:pPr>
              <w:spacing w:after="0"/>
              <w:rPr>
                <w:sz w:val="23"/>
                <w:szCs w:val="23"/>
                <w:color w:val="auto"/>
              </w:rPr>
            </w:pPr>
          </w:p>
        </w:tc>
        <w:tc>
          <w:tcPr>
            <w:tcW w:w="1300" w:type="dxa"/>
            <w:vAlign w:val="bottom"/>
            <w:gridSpan w:val="4"/>
          </w:tcPr>
          <w:p>
            <w:pPr>
              <w:jc w:val="right"/>
              <w:spacing w:after="0"/>
              <w:rPr>
                <w:sz w:val="20"/>
                <w:szCs w:val="20"/>
                <w:color w:val="auto"/>
              </w:rPr>
            </w:pPr>
            <w:r>
              <w:rPr>
                <w:rFonts w:ascii="Arial Narrow" w:cs="Arial Narrow" w:eastAsia="Arial Narrow" w:hAnsi="Arial Narrow"/>
                <w:sz w:val="18"/>
                <w:szCs w:val="18"/>
                <w:b w:val="1"/>
                <w:bCs w:val="1"/>
                <w:color w:val="auto"/>
              </w:rPr>
              <w:t>2025</w:t>
            </w: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60" w:type="dxa"/>
            <w:vAlign w:val="bottom"/>
            <w:gridSpan w:val="2"/>
          </w:tcPr>
          <w:p>
            <w:pPr>
              <w:jc w:val="right"/>
              <w:spacing w:after="0"/>
              <w:rPr>
                <w:sz w:val="20"/>
                <w:szCs w:val="20"/>
                <w:color w:val="auto"/>
              </w:rPr>
            </w:pPr>
            <w:r>
              <w:rPr>
                <w:rFonts w:ascii="Arial Narrow" w:cs="Arial Narrow" w:eastAsia="Arial Narrow" w:hAnsi="Arial Narrow"/>
                <w:sz w:val="18"/>
                <w:szCs w:val="18"/>
                <w:b w:val="1"/>
                <w:bCs w:val="1"/>
                <w:color w:val="auto"/>
              </w:rPr>
              <w:t>2024</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30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2"/>
        </w:trPr>
        <w:tc>
          <w:tcPr>
            <w:tcW w:w="3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Narrow" w:cs="Arial Narrow" w:eastAsia="Arial Narrow" w:hAnsi="Arial Narrow"/>
                <w:sz w:val="18"/>
                <w:szCs w:val="18"/>
                <w:b w:val="1"/>
                <w:bCs w:val="1"/>
                <w:color w:val="auto"/>
              </w:rPr>
              <w:t>Weighted-</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Narrow" w:cs="Arial Narrow" w:eastAsia="Arial Narrow" w:hAnsi="Arial Narrow"/>
                <w:sz w:val="18"/>
                <w:szCs w:val="18"/>
                <w:b w:val="1"/>
                <w:bCs w:val="1"/>
                <w:color w:val="auto"/>
              </w:rPr>
              <w:t>Weighted-</w:t>
            </w: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Narrow" w:cs="Arial Narrow" w:eastAsia="Arial Narrow" w:hAnsi="Arial Narrow"/>
                <w:sz w:val="18"/>
                <w:szCs w:val="18"/>
                <w:b w:val="1"/>
                <w:bCs w:val="1"/>
                <w:color w:val="auto"/>
              </w:rPr>
              <w:t>Weighted-</w:t>
            </w:r>
          </w:p>
        </w:tc>
        <w:tc>
          <w:tcPr>
            <w:tcW w:w="0" w:type="dxa"/>
            <w:vAlign w:val="bottom"/>
          </w:tcPr>
          <w:p>
            <w:pPr>
              <w:spacing w:after="0"/>
              <w:rPr>
                <w:sz w:val="1"/>
                <w:szCs w:val="1"/>
                <w:color w:val="auto"/>
              </w:rPr>
            </w:pPr>
          </w:p>
        </w:tc>
      </w:tr>
      <w:tr>
        <w:trPr>
          <w:trHeight w:val="207"/>
        </w:trPr>
        <w:tc>
          <w:tcPr>
            <w:tcW w:w="3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Narrow" w:cs="Arial Narrow" w:eastAsia="Arial Narrow" w:hAnsi="Arial Narrow"/>
                <w:sz w:val="18"/>
                <w:szCs w:val="18"/>
                <w:b w:val="1"/>
                <w:bCs w:val="1"/>
                <w:color w:val="auto"/>
              </w:rPr>
              <w:t>Average</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Narrow" w:cs="Arial Narrow" w:eastAsia="Arial Narrow" w:hAnsi="Arial Narrow"/>
                <w:sz w:val="18"/>
                <w:szCs w:val="18"/>
                <w:b w:val="1"/>
                <w:bCs w:val="1"/>
                <w:color w:val="auto"/>
              </w:rPr>
              <w:t>Average</w:t>
            </w: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50"/>
              <w:spacing w:after="0"/>
              <w:rPr>
                <w:sz w:val="20"/>
                <w:szCs w:val="20"/>
                <w:color w:val="auto"/>
              </w:rPr>
            </w:pPr>
            <w:r>
              <w:rPr>
                <w:rFonts w:ascii="Arial Narrow" w:cs="Arial Narrow" w:eastAsia="Arial Narrow" w:hAnsi="Arial Narrow"/>
                <w:sz w:val="18"/>
                <w:szCs w:val="18"/>
                <w:b w:val="1"/>
                <w:bCs w:val="1"/>
                <w:color w:val="auto"/>
              </w:rPr>
              <w:t>Average</w:t>
            </w:r>
          </w:p>
        </w:tc>
        <w:tc>
          <w:tcPr>
            <w:tcW w:w="0" w:type="dxa"/>
            <w:vAlign w:val="bottom"/>
          </w:tcPr>
          <w:p>
            <w:pPr>
              <w:spacing w:after="0"/>
              <w:rPr>
                <w:sz w:val="1"/>
                <w:szCs w:val="1"/>
                <w:color w:val="auto"/>
              </w:rPr>
            </w:pPr>
          </w:p>
        </w:tc>
      </w:tr>
      <w:tr>
        <w:trPr>
          <w:trHeight w:val="207"/>
        </w:trPr>
        <w:tc>
          <w:tcPr>
            <w:tcW w:w="3080" w:type="dxa"/>
            <w:vAlign w:val="bottom"/>
          </w:tcPr>
          <w:p>
            <w:pPr>
              <w:spacing w:after="0"/>
              <w:rPr>
                <w:sz w:val="17"/>
                <w:szCs w:val="17"/>
                <w:color w:val="auto"/>
              </w:rPr>
            </w:pPr>
          </w:p>
        </w:tc>
        <w:tc>
          <w:tcPr>
            <w:tcW w:w="960" w:type="dxa"/>
            <w:vAlign w:val="bottom"/>
          </w:tcPr>
          <w:p>
            <w:pPr>
              <w:jc w:val="right"/>
              <w:ind w:right="90"/>
              <w:spacing w:after="0"/>
              <w:rPr>
                <w:sz w:val="20"/>
                <w:szCs w:val="20"/>
                <w:color w:val="auto"/>
              </w:rPr>
            </w:pPr>
            <w:r>
              <w:rPr>
                <w:rFonts w:ascii="Arial Narrow" w:cs="Arial Narrow" w:eastAsia="Arial Narrow" w:hAnsi="Arial Narrow"/>
                <w:sz w:val="18"/>
                <w:szCs w:val="18"/>
                <w:b w:val="1"/>
                <w:bCs w:val="1"/>
                <w:color w:val="auto"/>
              </w:rPr>
              <w:t>Number</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Narrow" w:cs="Arial Narrow" w:eastAsia="Arial Narrow" w:hAnsi="Arial Narrow"/>
                <w:sz w:val="18"/>
                <w:szCs w:val="18"/>
                <w:b w:val="1"/>
                <w:bCs w:val="1"/>
                <w:color w:val="auto"/>
              </w:rPr>
              <w:t>Grant Date</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ind w:right="90"/>
              <w:spacing w:after="0"/>
              <w:rPr>
                <w:sz w:val="20"/>
                <w:szCs w:val="20"/>
                <w:color w:val="auto"/>
              </w:rPr>
            </w:pPr>
            <w:r>
              <w:rPr>
                <w:rFonts w:ascii="Arial Narrow" w:cs="Arial Narrow" w:eastAsia="Arial Narrow" w:hAnsi="Arial Narrow"/>
                <w:sz w:val="18"/>
                <w:szCs w:val="18"/>
                <w:b w:val="1"/>
                <w:bCs w:val="1"/>
                <w:color w:val="auto"/>
              </w:rPr>
              <w:t>Number</w:t>
            </w:r>
          </w:p>
        </w:tc>
        <w:tc>
          <w:tcPr>
            <w:tcW w:w="20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Narrow" w:cs="Arial Narrow" w:eastAsia="Arial Narrow" w:hAnsi="Arial Narrow"/>
                <w:sz w:val="18"/>
                <w:szCs w:val="18"/>
                <w:b w:val="1"/>
                <w:bCs w:val="1"/>
                <w:color w:val="auto"/>
                <w:w w:val="98"/>
              </w:rPr>
              <w:t>Grant Date</w:t>
            </w:r>
          </w:p>
        </w:tc>
        <w:tc>
          <w:tcPr>
            <w:tcW w:w="980" w:type="dxa"/>
            <w:vAlign w:val="bottom"/>
          </w:tcPr>
          <w:p>
            <w:pPr>
              <w:jc w:val="right"/>
              <w:ind w:right="110"/>
              <w:spacing w:after="0"/>
              <w:rPr>
                <w:sz w:val="20"/>
                <w:szCs w:val="20"/>
                <w:color w:val="auto"/>
              </w:rPr>
            </w:pPr>
            <w:r>
              <w:rPr>
                <w:rFonts w:ascii="Arial Narrow" w:cs="Arial Narrow" w:eastAsia="Arial Narrow" w:hAnsi="Arial Narrow"/>
                <w:sz w:val="18"/>
                <w:szCs w:val="18"/>
                <w:b w:val="1"/>
                <w:bCs w:val="1"/>
                <w:color w:val="auto"/>
              </w:rPr>
              <w:t>Number</w:t>
            </w:r>
          </w:p>
        </w:tc>
        <w:tc>
          <w:tcPr>
            <w:tcW w:w="180" w:type="dxa"/>
            <w:vAlign w:val="bottom"/>
          </w:tcPr>
          <w:p>
            <w:pPr>
              <w:spacing w:after="0"/>
              <w:rPr>
                <w:sz w:val="17"/>
                <w:szCs w:val="17"/>
                <w:color w:val="auto"/>
              </w:rPr>
            </w:pPr>
          </w:p>
        </w:tc>
        <w:tc>
          <w:tcPr>
            <w:tcW w:w="920" w:type="dxa"/>
            <w:vAlign w:val="bottom"/>
          </w:tcPr>
          <w:p>
            <w:pPr>
              <w:jc w:val="right"/>
              <w:ind w:right="50"/>
              <w:spacing w:after="0"/>
              <w:rPr>
                <w:sz w:val="20"/>
                <w:szCs w:val="20"/>
                <w:color w:val="auto"/>
              </w:rPr>
            </w:pPr>
            <w:r>
              <w:rPr>
                <w:rFonts w:ascii="Arial Narrow" w:cs="Arial Narrow" w:eastAsia="Arial Narrow" w:hAnsi="Arial Narrow"/>
                <w:sz w:val="18"/>
                <w:szCs w:val="18"/>
                <w:b w:val="1"/>
                <w:bCs w:val="1"/>
                <w:color w:val="auto"/>
              </w:rPr>
              <w:t>Grant Date</w:t>
            </w:r>
          </w:p>
        </w:tc>
        <w:tc>
          <w:tcPr>
            <w:tcW w:w="0" w:type="dxa"/>
            <w:vAlign w:val="bottom"/>
          </w:tcPr>
          <w:p>
            <w:pPr>
              <w:spacing w:after="0"/>
              <w:rPr>
                <w:sz w:val="1"/>
                <w:szCs w:val="1"/>
                <w:color w:val="auto"/>
              </w:rPr>
            </w:pPr>
          </w:p>
        </w:tc>
      </w:tr>
      <w:tr>
        <w:trPr>
          <w:trHeight w:val="254"/>
        </w:trPr>
        <w:tc>
          <w:tcPr>
            <w:tcW w:w="3080" w:type="dxa"/>
            <w:vAlign w:val="bottom"/>
          </w:tcPr>
          <w:p>
            <w:pPr>
              <w:spacing w:after="0"/>
              <w:rPr>
                <w:sz w:val="22"/>
                <w:szCs w:val="22"/>
                <w:color w:val="auto"/>
              </w:rPr>
            </w:pPr>
          </w:p>
        </w:tc>
        <w:tc>
          <w:tcPr>
            <w:tcW w:w="960" w:type="dxa"/>
            <w:vAlign w:val="bottom"/>
          </w:tcPr>
          <w:p>
            <w:pPr>
              <w:jc w:val="right"/>
              <w:ind w:right="90"/>
              <w:spacing w:after="0"/>
              <w:rPr>
                <w:sz w:val="20"/>
                <w:szCs w:val="20"/>
                <w:color w:val="auto"/>
              </w:rPr>
            </w:pPr>
            <w:r>
              <w:rPr>
                <w:rFonts w:ascii="Arial Narrow" w:cs="Arial Narrow" w:eastAsia="Arial Narrow" w:hAnsi="Arial Narrow"/>
                <w:sz w:val="18"/>
                <w:szCs w:val="18"/>
                <w:b w:val="1"/>
                <w:bCs w:val="1"/>
                <w:color w:val="auto"/>
              </w:rPr>
              <w:t>of Shares</w:t>
            </w: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Narrow" w:cs="Arial Narrow" w:eastAsia="Arial Narrow" w:hAnsi="Arial Narrow"/>
                <w:sz w:val="18"/>
                <w:szCs w:val="18"/>
                <w:b w:val="1"/>
                <w:bCs w:val="1"/>
                <w:color w:val="auto"/>
              </w:rPr>
              <w:t>Fair Value</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jc w:val="right"/>
              <w:ind w:right="90"/>
              <w:spacing w:after="0"/>
              <w:rPr>
                <w:sz w:val="20"/>
                <w:szCs w:val="20"/>
                <w:color w:val="auto"/>
              </w:rPr>
            </w:pPr>
            <w:r>
              <w:rPr>
                <w:rFonts w:ascii="Arial Narrow" w:cs="Arial Narrow" w:eastAsia="Arial Narrow" w:hAnsi="Arial Narrow"/>
                <w:sz w:val="18"/>
                <w:szCs w:val="18"/>
                <w:b w:val="1"/>
                <w:bCs w:val="1"/>
                <w:color w:val="auto"/>
              </w:rPr>
              <w:t>of Shares</w:t>
            </w:r>
          </w:p>
        </w:tc>
        <w:tc>
          <w:tcPr>
            <w:tcW w:w="200" w:type="dxa"/>
            <w:vAlign w:val="bottom"/>
          </w:tcPr>
          <w:p>
            <w:pPr>
              <w:spacing w:after="0"/>
              <w:rPr>
                <w:sz w:val="22"/>
                <w:szCs w:val="22"/>
                <w:color w:val="auto"/>
              </w:rPr>
            </w:pPr>
          </w:p>
        </w:tc>
        <w:tc>
          <w:tcPr>
            <w:tcW w:w="940" w:type="dxa"/>
            <w:vAlign w:val="bottom"/>
            <w:gridSpan w:val="2"/>
          </w:tcPr>
          <w:p>
            <w:pPr>
              <w:jc w:val="right"/>
              <w:ind w:right="180"/>
              <w:spacing w:after="0"/>
              <w:rPr>
                <w:sz w:val="20"/>
                <w:szCs w:val="20"/>
                <w:color w:val="auto"/>
              </w:rPr>
            </w:pPr>
            <w:r>
              <w:rPr>
                <w:rFonts w:ascii="Arial Narrow" w:cs="Arial Narrow" w:eastAsia="Arial Narrow" w:hAnsi="Arial Narrow"/>
                <w:sz w:val="18"/>
                <w:szCs w:val="18"/>
                <w:b w:val="1"/>
                <w:bCs w:val="1"/>
                <w:color w:val="auto"/>
              </w:rPr>
              <w:t>Fair Value</w:t>
            </w:r>
          </w:p>
        </w:tc>
        <w:tc>
          <w:tcPr>
            <w:tcW w:w="980" w:type="dxa"/>
            <w:vAlign w:val="bottom"/>
          </w:tcPr>
          <w:p>
            <w:pPr>
              <w:jc w:val="right"/>
              <w:ind w:right="110"/>
              <w:spacing w:after="0"/>
              <w:rPr>
                <w:sz w:val="20"/>
                <w:szCs w:val="20"/>
                <w:color w:val="auto"/>
              </w:rPr>
            </w:pPr>
            <w:r>
              <w:rPr>
                <w:rFonts w:ascii="Arial Narrow" w:cs="Arial Narrow" w:eastAsia="Arial Narrow" w:hAnsi="Arial Narrow"/>
                <w:sz w:val="18"/>
                <w:szCs w:val="18"/>
                <w:b w:val="1"/>
                <w:bCs w:val="1"/>
                <w:color w:val="auto"/>
              </w:rPr>
              <w:t>of Shares</w:t>
            </w:r>
          </w:p>
        </w:tc>
        <w:tc>
          <w:tcPr>
            <w:tcW w:w="180" w:type="dxa"/>
            <w:vAlign w:val="bottom"/>
          </w:tcPr>
          <w:p>
            <w:pPr>
              <w:spacing w:after="0"/>
              <w:rPr>
                <w:sz w:val="22"/>
                <w:szCs w:val="22"/>
                <w:color w:val="auto"/>
              </w:rPr>
            </w:pPr>
          </w:p>
        </w:tc>
        <w:tc>
          <w:tcPr>
            <w:tcW w:w="920" w:type="dxa"/>
            <w:vAlign w:val="bottom"/>
          </w:tcPr>
          <w:p>
            <w:pPr>
              <w:jc w:val="right"/>
              <w:ind w:right="50"/>
              <w:spacing w:after="0"/>
              <w:rPr>
                <w:sz w:val="20"/>
                <w:szCs w:val="20"/>
                <w:color w:val="auto"/>
              </w:rPr>
            </w:pPr>
            <w:r>
              <w:rPr>
                <w:rFonts w:ascii="Arial Narrow" w:cs="Arial Narrow" w:eastAsia="Arial Narrow" w:hAnsi="Arial Narrow"/>
                <w:sz w:val="18"/>
                <w:szCs w:val="18"/>
                <w:b w:val="1"/>
                <w:bCs w:val="1"/>
                <w:color w:val="auto"/>
              </w:rPr>
              <w:t>Fair Value</w:t>
            </w:r>
          </w:p>
        </w:tc>
        <w:tc>
          <w:tcPr>
            <w:tcW w:w="0" w:type="dxa"/>
            <w:vAlign w:val="bottom"/>
          </w:tcPr>
          <w:p>
            <w:pPr>
              <w:spacing w:after="0"/>
              <w:rPr>
                <w:sz w:val="1"/>
                <w:szCs w:val="1"/>
                <w:color w:val="auto"/>
              </w:rPr>
            </w:pPr>
          </w:p>
        </w:tc>
      </w:tr>
      <w:tr>
        <w:trPr>
          <w:trHeight w:val="46"/>
        </w:trPr>
        <w:tc>
          <w:tcPr>
            <w:tcW w:w="30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2"/>
        </w:trPr>
        <w:tc>
          <w:tcPr>
            <w:tcW w:w="3080" w:type="dxa"/>
            <w:vAlign w:val="bottom"/>
          </w:tcPr>
          <w:p>
            <w:pPr>
              <w:spacing w:after="0"/>
              <w:rPr>
                <w:sz w:val="20"/>
                <w:szCs w:val="20"/>
                <w:color w:val="auto"/>
              </w:rPr>
            </w:pPr>
            <w:r>
              <w:rPr>
                <w:rFonts w:ascii="Arial Narrow" w:cs="Arial Narrow" w:eastAsia="Arial Narrow" w:hAnsi="Arial Narrow"/>
                <w:sz w:val="18"/>
                <w:szCs w:val="18"/>
                <w:b w:val="1"/>
                <w:bCs w:val="1"/>
                <w:color w:val="auto"/>
              </w:rPr>
              <w:t>Restricted Stock Units and Nonvested</w:t>
            </w:r>
          </w:p>
        </w:tc>
        <w:tc>
          <w:tcPr>
            <w:tcW w:w="960" w:type="dxa"/>
            <w:vAlign w:val="bottom"/>
            <w:vMerge w:val="restart"/>
          </w:tcPr>
          <w:p>
            <w:pPr>
              <w:jc w:val="right"/>
              <w:ind w:right="90"/>
              <w:spacing w:after="0"/>
              <w:rPr>
                <w:sz w:val="20"/>
                <w:szCs w:val="20"/>
                <w:color w:val="auto"/>
              </w:rPr>
            </w:pPr>
            <w:r>
              <w:rPr>
                <w:rFonts w:ascii="Arial Narrow" w:cs="Arial Narrow" w:eastAsia="Arial Narrow" w:hAnsi="Arial Narrow"/>
                <w:sz w:val="18"/>
                <w:szCs w:val="18"/>
                <w:color w:val="auto"/>
              </w:rPr>
              <w:t>194,099</w:t>
            </w:r>
          </w:p>
        </w:tc>
        <w:tc>
          <w:tcPr>
            <w:tcW w:w="180" w:type="dxa"/>
            <w:vAlign w:val="bottom"/>
            <w:vMerge w:val="restart"/>
          </w:tcPr>
          <w:p>
            <w:pPr>
              <w:jc w:val="right"/>
              <w:spacing w:after="0"/>
              <w:rPr>
                <w:sz w:val="20"/>
                <w:szCs w:val="20"/>
                <w:color w:val="auto"/>
              </w:rPr>
            </w:pPr>
            <w:r>
              <w:rPr>
                <w:rFonts w:ascii="Arial Narrow" w:cs="Arial Narrow" w:eastAsia="Arial Narrow" w:hAnsi="Arial Narrow"/>
                <w:sz w:val="18"/>
                <w:szCs w:val="18"/>
                <w:color w:val="auto"/>
              </w:rPr>
              <w:t>$</w:t>
            </w:r>
          </w:p>
        </w:tc>
        <w:tc>
          <w:tcPr>
            <w:tcW w:w="820" w:type="dxa"/>
            <w:vAlign w:val="bottom"/>
            <w:vMerge w:val="restart"/>
          </w:tcPr>
          <w:p>
            <w:pPr>
              <w:jc w:val="right"/>
              <w:spacing w:after="0"/>
              <w:rPr>
                <w:sz w:val="20"/>
                <w:szCs w:val="20"/>
                <w:color w:val="auto"/>
              </w:rPr>
            </w:pPr>
            <w:r>
              <w:rPr>
                <w:rFonts w:ascii="Arial Narrow" w:cs="Arial Narrow" w:eastAsia="Arial Narrow" w:hAnsi="Arial Narrow"/>
                <w:sz w:val="18"/>
                <w:szCs w:val="18"/>
                <w:color w:val="auto"/>
              </w:rPr>
              <w:t>150.56</w:t>
            </w:r>
          </w:p>
        </w:tc>
        <w:tc>
          <w:tcPr>
            <w:tcW w:w="1100" w:type="dxa"/>
            <w:vAlign w:val="bottom"/>
            <w:gridSpan w:val="3"/>
            <w:vMerge w:val="restart"/>
          </w:tcPr>
          <w:p>
            <w:pPr>
              <w:jc w:val="right"/>
              <w:ind w:right="90"/>
              <w:spacing w:after="0"/>
              <w:rPr>
                <w:sz w:val="20"/>
                <w:szCs w:val="20"/>
                <w:color w:val="auto"/>
              </w:rPr>
            </w:pPr>
            <w:r>
              <w:rPr>
                <w:rFonts w:ascii="Arial Narrow" w:cs="Arial Narrow" w:eastAsia="Arial Narrow" w:hAnsi="Arial Narrow"/>
                <w:sz w:val="18"/>
                <w:szCs w:val="18"/>
                <w:color w:val="auto"/>
              </w:rPr>
              <w:t>204,946</w:t>
            </w:r>
          </w:p>
        </w:tc>
        <w:tc>
          <w:tcPr>
            <w:tcW w:w="200" w:type="dxa"/>
            <w:vAlign w:val="bottom"/>
            <w:vMerge w:val="restart"/>
          </w:tcPr>
          <w:p>
            <w:pPr>
              <w:jc w:val="right"/>
              <w:spacing w:after="0"/>
              <w:rPr>
                <w:sz w:val="20"/>
                <w:szCs w:val="20"/>
                <w:color w:val="auto"/>
              </w:rPr>
            </w:pPr>
            <w:r>
              <w:rPr>
                <w:rFonts w:ascii="Arial Narrow" w:cs="Arial Narrow" w:eastAsia="Arial Narrow" w:hAnsi="Arial Narrow"/>
                <w:sz w:val="18"/>
                <w:szCs w:val="18"/>
                <w:color w:val="auto"/>
              </w:rPr>
              <w:t>$</w:t>
            </w:r>
          </w:p>
        </w:tc>
        <w:tc>
          <w:tcPr>
            <w:tcW w:w="860" w:type="dxa"/>
            <w:vAlign w:val="bottom"/>
            <w:vMerge w:val="restart"/>
          </w:tcPr>
          <w:p>
            <w:pPr>
              <w:jc w:val="right"/>
              <w:ind w:right="10"/>
              <w:spacing w:after="0"/>
              <w:rPr>
                <w:sz w:val="20"/>
                <w:szCs w:val="20"/>
                <w:color w:val="auto"/>
              </w:rPr>
            </w:pPr>
            <w:r>
              <w:rPr>
                <w:rFonts w:ascii="Arial Narrow" w:cs="Arial Narrow" w:eastAsia="Arial Narrow" w:hAnsi="Arial Narrow"/>
                <w:sz w:val="18"/>
                <w:szCs w:val="18"/>
                <w:color w:val="auto"/>
              </w:rPr>
              <w:t>121.12</w:t>
            </w:r>
          </w:p>
        </w:tc>
        <w:tc>
          <w:tcPr>
            <w:tcW w:w="80" w:type="dxa"/>
            <w:vAlign w:val="bottom"/>
          </w:tcPr>
          <w:p>
            <w:pPr>
              <w:spacing w:after="0"/>
              <w:rPr>
                <w:sz w:val="23"/>
                <w:szCs w:val="23"/>
                <w:color w:val="auto"/>
              </w:rPr>
            </w:pPr>
          </w:p>
        </w:tc>
        <w:tc>
          <w:tcPr>
            <w:tcW w:w="980" w:type="dxa"/>
            <w:vAlign w:val="bottom"/>
            <w:vMerge w:val="restart"/>
          </w:tcPr>
          <w:p>
            <w:pPr>
              <w:jc w:val="right"/>
              <w:ind w:right="110"/>
              <w:spacing w:after="0"/>
              <w:rPr>
                <w:sz w:val="20"/>
                <w:szCs w:val="20"/>
                <w:color w:val="auto"/>
              </w:rPr>
            </w:pPr>
            <w:r>
              <w:rPr>
                <w:rFonts w:ascii="Arial Narrow" w:cs="Arial Narrow" w:eastAsia="Arial Narrow" w:hAnsi="Arial Narrow"/>
                <w:sz w:val="18"/>
                <w:szCs w:val="18"/>
                <w:color w:val="auto"/>
              </w:rPr>
              <w:t>222,384</w:t>
            </w:r>
          </w:p>
        </w:tc>
        <w:tc>
          <w:tcPr>
            <w:tcW w:w="180" w:type="dxa"/>
            <w:vAlign w:val="bottom"/>
            <w:vMerge w:val="restart"/>
          </w:tcPr>
          <w:p>
            <w:pPr>
              <w:jc w:val="right"/>
              <w:spacing w:after="0"/>
              <w:rPr>
                <w:sz w:val="20"/>
                <w:szCs w:val="20"/>
                <w:color w:val="auto"/>
              </w:rPr>
            </w:pPr>
            <w:r>
              <w:rPr>
                <w:rFonts w:ascii="Arial Narrow" w:cs="Arial Narrow" w:eastAsia="Arial Narrow" w:hAnsi="Arial Narrow"/>
                <w:sz w:val="18"/>
                <w:szCs w:val="18"/>
                <w:color w:val="auto"/>
              </w:rPr>
              <w:t>$</w:t>
            </w:r>
          </w:p>
        </w:tc>
        <w:tc>
          <w:tcPr>
            <w:tcW w:w="920" w:type="dxa"/>
            <w:vAlign w:val="bottom"/>
            <w:vMerge w:val="restart"/>
          </w:tcPr>
          <w:p>
            <w:pPr>
              <w:jc w:val="right"/>
              <w:ind w:right="50"/>
              <w:spacing w:after="0"/>
              <w:rPr>
                <w:sz w:val="20"/>
                <w:szCs w:val="20"/>
                <w:color w:val="auto"/>
              </w:rPr>
            </w:pPr>
            <w:r>
              <w:rPr>
                <w:rFonts w:ascii="Arial Narrow" w:cs="Arial Narrow" w:eastAsia="Arial Narrow" w:hAnsi="Arial Narrow"/>
                <w:sz w:val="18"/>
                <w:szCs w:val="18"/>
                <w:color w:val="auto"/>
              </w:rPr>
              <w:t>95.11</w:t>
            </w:r>
          </w:p>
        </w:tc>
        <w:tc>
          <w:tcPr>
            <w:tcW w:w="0" w:type="dxa"/>
            <w:vAlign w:val="bottom"/>
          </w:tcPr>
          <w:p>
            <w:pPr>
              <w:spacing w:after="0"/>
              <w:rPr>
                <w:sz w:val="1"/>
                <w:szCs w:val="1"/>
                <w:color w:val="auto"/>
              </w:rPr>
            </w:pPr>
          </w:p>
        </w:tc>
      </w:tr>
      <w:tr>
        <w:trPr>
          <w:trHeight w:val="150"/>
        </w:trPr>
        <w:tc>
          <w:tcPr>
            <w:tcW w:w="3080" w:type="dxa"/>
            <w:vAlign w:val="bottom"/>
            <w:vMerge w:val="restart"/>
          </w:tcPr>
          <w:p>
            <w:pPr>
              <w:ind w:left="120"/>
              <w:spacing w:after="0"/>
              <w:rPr>
                <w:sz w:val="20"/>
                <w:szCs w:val="20"/>
                <w:color w:val="auto"/>
              </w:rPr>
            </w:pPr>
            <w:r>
              <w:rPr>
                <w:rFonts w:ascii="Arial Narrow" w:cs="Arial Narrow" w:eastAsia="Arial Narrow" w:hAnsi="Arial Narrow"/>
                <w:sz w:val="18"/>
                <w:szCs w:val="18"/>
                <w:b w:val="1"/>
                <w:bCs w:val="1"/>
                <w:color w:val="auto"/>
              </w:rPr>
              <w:t>Restricted Stock at Beginning of Year</w:t>
            </w:r>
          </w:p>
        </w:tc>
        <w:tc>
          <w:tcPr>
            <w:tcW w:w="96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1100" w:type="dxa"/>
            <w:vAlign w:val="bottom"/>
            <w:gridSpan w:val="3"/>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308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3080" w:type="dxa"/>
            <w:vAlign w:val="bottom"/>
            <w:tcBorders>
              <w:bottom w:val="single" w:sz="8" w:color="A6A6A6"/>
            </w:tcBorders>
          </w:tcPr>
          <w:p>
            <w:pPr>
              <w:spacing w:after="0"/>
              <w:rPr>
                <w:sz w:val="5"/>
                <w:szCs w:val="5"/>
                <w:color w:val="auto"/>
              </w:rPr>
            </w:pPr>
          </w:p>
        </w:tc>
        <w:tc>
          <w:tcPr>
            <w:tcW w:w="96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820" w:type="dxa"/>
            <w:vAlign w:val="bottom"/>
            <w:tcBorders>
              <w:bottom w:val="single" w:sz="8" w:color="A6A6A6"/>
            </w:tcBorders>
          </w:tcPr>
          <w:p>
            <w:pPr>
              <w:spacing w:after="0"/>
              <w:rPr>
                <w:sz w:val="5"/>
                <w:szCs w:val="5"/>
                <w:color w:val="auto"/>
              </w:rPr>
            </w:pPr>
          </w:p>
        </w:tc>
        <w:tc>
          <w:tcPr>
            <w:tcW w:w="1100" w:type="dxa"/>
            <w:vAlign w:val="bottom"/>
            <w:tcBorders>
              <w:bottom w:val="single" w:sz="8" w:color="A6A6A6"/>
            </w:tcBorders>
            <w:gridSpan w:val="3"/>
          </w:tcPr>
          <w:p>
            <w:pPr>
              <w:spacing w:after="0"/>
              <w:rPr>
                <w:sz w:val="5"/>
                <w:szCs w:val="5"/>
                <w:color w:val="auto"/>
              </w:rPr>
            </w:pPr>
          </w:p>
        </w:tc>
        <w:tc>
          <w:tcPr>
            <w:tcW w:w="200" w:type="dxa"/>
            <w:vAlign w:val="bottom"/>
            <w:tcBorders>
              <w:bottom w:val="single" w:sz="8" w:color="A6A6A6"/>
            </w:tcBorders>
          </w:tcPr>
          <w:p>
            <w:pPr>
              <w:spacing w:after="0"/>
              <w:rPr>
                <w:sz w:val="5"/>
                <w:szCs w:val="5"/>
                <w:color w:val="auto"/>
              </w:rPr>
            </w:pPr>
          </w:p>
        </w:tc>
        <w:tc>
          <w:tcPr>
            <w:tcW w:w="86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98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92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15"/>
        </w:trPr>
        <w:tc>
          <w:tcPr>
            <w:tcW w:w="3080" w:type="dxa"/>
            <w:vAlign w:val="bottom"/>
          </w:tcPr>
          <w:p>
            <w:pPr>
              <w:spacing w:after="0"/>
              <w:rPr>
                <w:sz w:val="20"/>
                <w:szCs w:val="20"/>
                <w:color w:val="auto"/>
              </w:rPr>
            </w:pPr>
            <w:r>
              <w:rPr>
                <w:rFonts w:ascii="Arial Narrow" w:cs="Arial Narrow" w:eastAsia="Arial Narrow" w:hAnsi="Arial Narrow"/>
                <w:sz w:val="18"/>
                <w:szCs w:val="18"/>
                <w:b w:val="1"/>
                <w:bCs w:val="1"/>
                <w:color w:val="00085E"/>
              </w:rPr>
              <w:t>Granted</w:t>
            </w:r>
          </w:p>
        </w:tc>
        <w:tc>
          <w:tcPr>
            <w:tcW w:w="960" w:type="dxa"/>
            <w:vAlign w:val="bottom"/>
          </w:tcPr>
          <w:p>
            <w:pPr>
              <w:jc w:val="right"/>
              <w:ind w:right="90"/>
              <w:spacing w:after="0"/>
              <w:rPr>
                <w:sz w:val="20"/>
                <w:szCs w:val="20"/>
                <w:color w:val="auto"/>
              </w:rPr>
            </w:pPr>
            <w:r>
              <w:rPr>
                <w:rFonts w:ascii="Arial Narrow" w:cs="Arial Narrow" w:eastAsia="Arial Narrow" w:hAnsi="Arial Narrow"/>
                <w:sz w:val="18"/>
                <w:szCs w:val="18"/>
                <w:color w:val="auto"/>
              </w:rPr>
              <w:t>70,244</w:t>
            </w:r>
          </w:p>
        </w:tc>
        <w:tc>
          <w:tcPr>
            <w:tcW w:w="180" w:type="dxa"/>
            <w:vAlign w:val="bottom"/>
          </w:tcPr>
          <w:p>
            <w:pPr>
              <w:jc w:val="right"/>
              <w:spacing w:after="0"/>
              <w:rPr>
                <w:sz w:val="20"/>
                <w:szCs w:val="20"/>
                <w:color w:val="auto"/>
              </w:rPr>
            </w:pPr>
            <w:r>
              <w:rPr>
                <w:rFonts w:ascii="Arial Narrow" w:cs="Arial Narrow" w:eastAsia="Arial Narrow" w:hAnsi="Arial Narrow"/>
                <w:sz w:val="18"/>
                <w:szCs w:val="18"/>
                <w:color w:val="auto"/>
              </w:rPr>
              <w:t>$</w:t>
            </w:r>
          </w:p>
        </w:tc>
        <w:tc>
          <w:tcPr>
            <w:tcW w:w="820" w:type="dxa"/>
            <w:vAlign w:val="bottom"/>
          </w:tcPr>
          <w:p>
            <w:pPr>
              <w:jc w:val="right"/>
              <w:spacing w:after="0"/>
              <w:rPr>
                <w:sz w:val="20"/>
                <w:szCs w:val="20"/>
                <w:color w:val="auto"/>
              </w:rPr>
            </w:pPr>
            <w:r>
              <w:rPr>
                <w:rFonts w:ascii="Arial Narrow" w:cs="Arial Narrow" w:eastAsia="Arial Narrow" w:hAnsi="Arial Narrow"/>
                <w:sz w:val="18"/>
                <w:szCs w:val="18"/>
                <w:color w:val="auto"/>
              </w:rPr>
              <w:t>215.24</w:t>
            </w:r>
          </w:p>
        </w:tc>
        <w:tc>
          <w:tcPr>
            <w:tcW w:w="1100" w:type="dxa"/>
            <w:vAlign w:val="bottom"/>
            <w:gridSpan w:val="3"/>
          </w:tcPr>
          <w:p>
            <w:pPr>
              <w:jc w:val="right"/>
              <w:ind w:right="90"/>
              <w:spacing w:after="0"/>
              <w:rPr>
                <w:sz w:val="20"/>
                <w:szCs w:val="20"/>
                <w:color w:val="auto"/>
              </w:rPr>
            </w:pPr>
            <w:r>
              <w:rPr>
                <w:rFonts w:ascii="Arial Narrow" w:cs="Arial Narrow" w:eastAsia="Arial Narrow" w:hAnsi="Arial Narrow"/>
                <w:sz w:val="18"/>
                <w:szCs w:val="18"/>
                <w:color w:val="auto"/>
              </w:rPr>
              <w:t>66,741</w:t>
            </w:r>
          </w:p>
        </w:tc>
        <w:tc>
          <w:tcPr>
            <w:tcW w:w="200" w:type="dxa"/>
            <w:vAlign w:val="bottom"/>
          </w:tcPr>
          <w:p>
            <w:pPr>
              <w:jc w:val="right"/>
              <w:spacing w:after="0"/>
              <w:rPr>
                <w:sz w:val="20"/>
                <w:szCs w:val="20"/>
                <w:color w:val="auto"/>
              </w:rPr>
            </w:pPr>
            <w:r>
              <w:rPr>
                <w:rFonts w:ascii="Arial Narrow" w:cs="Arial Narrow" w:eastAsia="Arial Narrow" w:hAnsi="Arial Narrow"/>
                <w:sz w:val="18"/>
                <w:szCs w:val="18"/>
                <w:color w:val="auto"/>
              </w:rPr>
              <w:t>$</w:t>
            </w:r>
          </w:p>
        </w:tc>
        <w:tc>
          <w:tcPr>
            <w:tcW w:w="860" w:type="dxa"/>
            <w:vAlign w:val="bottom"/>
          </w:tcPr>
          <w:p>
            <w:pPr>
              <w:jc w:val="right"/>
              <w:ind w:right="10"/>
              <w:spacing w:after="0"/>
              <w:rPr>
                <w:sz w:val="20"/>
                <w:szCs w:val="20"/>
                <w:color w:val="auto"/>
              </w:rPr>
            </w:pPr>
            <w:r>
              <w:rPr>
                <w:rFonts w:ascii="Arial Narrow" w:cs="Arial Narrow" w:eastAsia="Arial Narrow" w:hAnsi="Arial Narrow"/>
                <w:sz w:val="18"/>
                <w:szCs w:val="18"/>
                <w:color w:val="auto"/>
              </w:rPr>
              <w:t>240.61</w:t>
            </w:r>
          </w:p>
        </w:tc>
        <w:tc>
          <w:tcPr>
            <w:tcW w:w="80" w:type="dxa"/>
            <w:vAlign w:val="bottom"/>
          </w:tcPr>
          <w:p>
            <w:pPr>
              <w:spacing w:after="0"/>
              <w:rPr>
                <w:sz w:val="24"/>
                <w:szCs w:val="24"/>
                <w:color w:val="auto"/>
              </w:rPr>
            </w:pPr>
          </w:p>
        </w:tc>
        <w:tc>
          <w:tcPr>
            <w:tcW w:w="980" w:type="dxa"/>
            <w:vAlign w:val="bottom"/>
          </w:tcPr>
          <w:p>
            <w:pPr>
              <w:jc w:val="right"/>
              <w:ind w:right="110"/>
              <w:spacing w:after="0"/>
              <w:rPr>
                <w:sz w:val="20"/>
                <w:szCs w:val="20"/>
                <w:color w:val="auto"/>
              </w:rPr>
            </w:pPr>
            <w:r>
              <w:rPr>
                <w:rFonts w:ascii="Arial Narrow" w:cs="Arial Narrow" w:eastAsia="Arial Narrow" w:hAnsi="Arial Narrow"/>
                <w:sz w:val="18"/>
                <w:szCs w:val="18"/>
                <w:color w:val="auto"/>
              </w:rPr>
              <w:t>97,257</w:t>
            </w:r>
          </w:p>
        </w:tc>
        <w:tc>
          <w:tcPr>
            <w:tcW w:w="180" w:type="dxa"/>
            <w:vAlign w:val="bottom"/>
          </w:tcPr>
          <w:p>
            <w:pPr>
              <w:jc w:val="right"/>
              <w:spacing w:after="0"/>
              <w:rPr>
                <w:sz w:val="20"/>
                <w:szCs w:val="20"/>
                <w:color w:val="auto"/>
              </w:rPr>
            </w:pPr>
            <w:r>
              <w:rPr>
                <w:rFonts w:ascii="Arial Narrow" w:cs="Arial Narrow" w:eastAsia="Arial Narrow" w:hAnsi="Arial Narrow"/>
                <w:sz w:val="18"/>
                <w:szCs w:val="18"/>
                <w:color w:val="auto"/>
              </w:rPr>
              <w:t>$</w:t>
            </w:r>
          </w:p>
        </w:tc>
        <w:tc>
          <w:tcPr>
            <w:tcW w:w="920" w:type="dxa"/>
            <w:vAlign w:val="bottom"/>
          </w:tcPr>
          <w:p>
            <w:pPr>
              <w:jc w:val="right"/>
              <w:ind w:right="50"/>
              <w:spacing w:after="0"/>
              <w:rPr>
                <w:sz w:val="20"/>
                <w:szCs w:val="20"/>
                <w:color w:val="auto"/>
              </w:rPr>
            </w:pPr>
            <w:r>
              <w:rPr>
                <w:rFonts w:ascii="Arial Narrow" w:cs="Arial Narrow" w:eastAsia="Arial Narrow" w:hAnsi="Arial Narrow"/>
                <w:sz w:val="18"/>
                <w:szCs w:val="18"/>
                <w:color w:val="auto"/>
              </w:rPr>
              <w:t>169.62</w:t>
            </w:r>
          </w:p>
        </w:tc>
        <w:tc>
          <w:tcPr>
            <w:tcW w:w="0" w:type="dxa"/>
            <w:vAlign w:val="bottom"/>
          </w:tcPr>
          <w:p>
            <w:pPr>
              <w:spacing w:after="0"/>
              <w:rPr>
                <w:sz w:val="1"/>
                <w:szCs w:val="1"/>
                <w:color w:val="auto"/>
              </w:rPr>
            </w:pPr>
          </w:p>
        </w:tc>
      </w:tr>
      <w:tr>
        <w:trPr>
          <w:trHeight w:val="67"/>
        </w:trPr>
        <w:tc>
          <w:tcPr>
            <w:tcW w:w="3080" w:type="dxa"/>
            <w:vAlign w:val="bottom"/>
            <w:tcBorders>
              <w:bottom w:val="single" w:sz="8" w:color="A6A6A6"/>
            </w:tcBorders>
          </w:tcPr>
          <w:p>
            <w:pPr>
              <w:spacing w:after="0"/>
              <w:rPr>
                <w:sz w:val="5"/>
                <w:szCs w:val="5"/>
                <w:color w:val="auto"/>
              </w:rPr>
            </w:pPr>
          </w:p>
        </w:tc>
        <w:tc>
          <w:tcPr>
            <w:tcW w:w="96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820" w:type="dxa"/>
            <w:vAlign w:val="bottom"/>
            <w:tcBorders>
              <w:bottom w:val="single" w:sz="8" w:color="A6A6A6"/>
            </w:tcBorders>
          </w:tcPr>
          <w:p>
            <w:pPr>
              <w:spacing w:after="0"/>
              <w:rPr>
                <w:sz w:val="5"/>
                <w:szCs w:val="5"/>
                <w:color w:val="auto"/>
              </w:rPr>
            </w:pPr>
          </w:p>
        </w:tc>
        <w:tc>
          <w:tcPr>
            <w:tcW w:w="1100" w:type="dxa"/>
            <w:vAlign w:val="bottom"/>
            <w:tcBorders>
              <w:bottom w:val="single" w:sz="8" w:color="A6A6A6"/>
            </w:tcBorders>
            <w:gridSpan w:val="3"/>
          </w:tcPr>
          <w:p>
            <w:pPr>
              <w:spacing w:after="0"/>
              <w:rPr>
                <w:sz w:val="5"/>
                <w:szCs w:val="5"/>
                <w:color w:val="auto"/>
              </w:rPr>
            </w:pPr>
          </w:p>
        </w:tc>
        <w:tc>
          <w:tcPr>
            <w:tcW w:w="200" w:type="dxa"/>
            <w:vAlign w:val="bottom"/>
            <w:tcBorders>
              <w:bottom w:val="single" w:sz="8" w:color="A6A6A6"/>
            </w:tcBorders>
          </w:tcPr>
          <w:p>
            <w:pPr>
              <w:spacing w:after="0"/>
              <w:rPr>
                <w:sz w:val="5"/>
                <w:szCs w:val="5"/>
                <w:color w:val="auto"/>
              </w:rPr>
            </w:pPr>
          </w:p>
        </w:tc>
        <w:tc>
          <w:tcPr>
            <w:tcW w:w="86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98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92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15"/>
        </w:trPr>
        <w:tc>
          <w:tcPr>
            <w:tcW w:w="3080" w:type="dxa"/>
            <w:vAlign w:val="bottom"/>
          </w:tcPr>
          <w:p>
            <w:pPr>
              <w:spacing w:after="0"/>
              <w:rPr>
                <w:sz w:val="20"/>
                <w:szCs w:val="20"/>
                <w:color w:val="auto"/>
              </w:rPr>
            </w:pPr>
            <w:r>
              <w:rPr>
                <w:rFonts w:ascii="Arial Narrow" w:cs="Arial Narrow" w:eastAsia="Arial Narrow" w:hAnsi="Arial Narrow"/>
                <w:sz w:val="18"/>
                <w:szCs w:val="18"/>
                <w:b w:val="1"/>
                <w:bCs w:val="1"/>
                <w:color w:val="00085E"/>
              </w:rPr>
              <w:t>Vested</w:t>
            </w:r>
          </w:p>
        </w:tc>
        <w:tc>
          <w:tcPr>
            <w:tcW w:w="960" w:type="dxa"/>
            <w:vAlign w:val="bottom"/>
          </w:tcPr>
          <w:p>
            <w:pPr>
              <w:jc w:val="right"/>
              <w:ind w:right="30"/>
              <w:spacing w:after="0"/>
              <w:rPr>
                <w:sz w:val="20"/>
                <w:szCs w:val="20"/>
                <w:color w:val="auto"/>
              </w:rPr>
            </w:pPr>
            <w:r>
              <w:rPr>
                <w:rFonts w:ascii="Arial Narrow" w:cs="Arial Narrow" w:eastAsia="Arial Narrow" w:hAnsi="Arial Narrow"/>
                <w:sz w:val="18"/>
                <w:szCs w:val="18"/>
                <w:color w:val="auto"/>
              </w:rPr>
              <w:t>(114,937)</w:t>
            </w:r>
          </w:p>
        </w:tc>
        <w:tc>
          <w:tcPr>
            <w:tcW w:w="180" w:type="dxa"/>
            <w:vAlign w:val="bottom"/>
          </w:tcPr>
          <w:p>
            <w:pPr>
              <w:jc w:val="right"/>
              <w:spacing w:after="0"/>
              <w:rPr>
                <w:sz w:val="20"/>
                <w:szCs w:val="20"/>
                <w:color w:val="auto"/>
              </w:rPr>
            </w:pPr>
            <w:r>
              <w:rPr>
                <w:rFonts w:ascii="Arial Narrow" w:cs="Arial Narrow" w:eastAsia="Arial Narrow" w:hAnsi="Arial Narrow"/>
                <w:sz w:val="18"/>
                <w:szCs w:val="18"/>
                <w:color w:val="auto"/>
              </w:rPr>
              <w:t>$</w:t>
            </w:r>
          </w:p>
        </w:tc>
        <w:tc>
          <w:tcPr>
            <w:tcW w:w="820" w:type="dxa"/>
            <w:vAlign w:val="bottom"/>
          </w:tcPr>
          <w:p>
            <w:pPr>
              <w:jc w:val="right"/>
              <w:spacing w:after="0"/>
              <w:rPr>
                <w:sz w:val="20"/>
                <w:szCs w:val="20"/>
                <w:color w:val="auto"/>
              </w:rPr>
            </w:pPr>
            <w:r>
              <w:rPr>
                <w:rFonts w:ascii="Arial Narrow" w:cs="Arial Narrow" w:eastAsia="Arial Narrow" w:hAnsi="Arial Narrow"/>
                <w:sz w:val="18"/>
                <w:szCs w:val="18"/>
                <w:color w:val="auto"/>
              </w:rPr>
              <w:t>128.07</w:t>
            </w:r>
          </w:p>
        </w:tc>
        <w:tc>
          <w:tcPr>
            <w:tcW w:w="1100" w:type="dxa"/>
            <w:vAlign w:val="bottom"/>
            <w:gridSpan w:val="3"/>
          </w:tcPr>
          <w:p>
            <w:pPr>
              <w:jc w:val="right"/>
              <w:ind w:right="30"/>
              <w:spacing w:after="0"/>
              <w:rPr>
                <w:sz w:val="20"/>
                <w:szCs w:val="20"/>
                <w:color w:val="auto"/>
              </w:rPr>
            </w:pPr>
            <w:r>
              <w:rPr>
                <w:rFonts w:ascii="Arial Narrow" w:cs="Arial Narrow" w:eastAsia="Arial Narrow" w:hAnsi="Arial Narrow"/>
                <w:sz w:val="18"/>
                <w:szCs w:val="18"/>
                <w:color w:val="auto"/>
              </w:rPr>
              <w:t>(77,588)</w:t>
            </w:r>
          </w:p>
        </w:tc>
        <w:tc>
          <w:tcPr>
            <w:tcW w:w="200" w:type="dxa"/>
            <w:vAlign w:val="bottom"/>
          </w:tcPr>
          <w:p>
            <w:pPr>
              <w:jc w:val="right"/>
              <w:spacing w:after="0"/>
              <w:rPr>
                <w:sz w:val="20"/>
                <w:szCs w:val="20"/>
                <w:color w:val="auto"/>
              </w:rPr>
            </w:pPr>
            <w:r>
              <w:rPr>
                <w:rFonts w:ascii="Arial Narrow" w:cs="Arial Narrow" w:eastAsia="Arial Narrow" w:hAnsi="Arial Narrow"/>
                <w:sz w:val="18"/>
                <w:szCs w:val="18"/>
                <w:color w:val="auto"/>
              </w:rPr>
              <w:t>$</w:t>
            </w:r>
          </w:p>
        </w:tc>
        <w:tc>
          <w:tcPr>
            <w:tcW w:w="860" w:type="dxa"/>
            <w:vAlign w:val="bottom"/>
          </w:tcPr>
          <w:p>
            <w:pPr>
              <w:jc w:val="right"/>
              <w:ind w:right="10"/>
              <w:spacing w:after="0"/>
              <w:rPr>
                <w:sz w:val="20"/>
                <w:szCs w:val="20"/>
                <w:color w:val="auto"/>
              </w:rPr>
            </w:pPr>
            <w:r>
              <w:rPr>
                <w:rFonts w:ascii="Arial Narrow" w:cs="Arial Narrow" w:eastAsia="Arial Narrow" w:hAnsi="Arial Narrow"/>
                <w:sz w:val="18"/>
                <w:szCs w:val="18"/>
                <w:color w:val="auto"/>
              </w:rPr>
              <w:t>152.66</w:t>
            </w:r>
          </w:p>
        </w:tc>
        <w:tc>
          <w:tcPr>
            <w:tcW w:w="8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Narrow" w:cs="Arial Narrow" w:eastAsia="Arial Narrow" w:hAnsi="Arial Narrow"/>
                <w:sz w:val="18"/>
                <w:szCs w:val="18"/>
                <w:color w:val="auto"/>
              </w:rPr>
              <w:t>(111,695)</w:t>
            </w:r>
          </w:p>
        </w:tc>
        <w:tc>
          <w:tcPr>
            <w:tcW w:w="180" w:type="dxa"/>
            <w:vAlign w:val="bottom"/>
          </w:tcPr>
          <w:p>
            <w:pPr>
              <w:jc w:val="right"/>
              <w:spacing w:after="0"/>
              <w:rPr>
                <w:sz w:val="20"/>
                <w:szCs w:val="20"/>
                <w:color w:val="auto"/>
              </w:rPr>
            </w:pPr>
            <w:r>
              <w:rPr>
                <w:rFonts w:ascii="Arial Narrow" w:cs="Arial Narrow" w:eastAsia="Arial Narrow" w:hAnsi="Arial Narrow"/>
                <w:sz w:val="18"/>
                <w:szCs w:val="18"/>
                <w:color w:val="auto"/>
              </w:rPr>
              <w:t>$</w:t>
            </w:r>
          </w:p>
        </w:tc>
        <w:tc>
          <w:tcPr>
            <w:tcW w:w="920" w:type="dxa"/>
            <w:vAlign w:val="bottom"/>
          </w:tcPr>
          <w:p>
            <w:pPr>
              <w:jc w:val="right"/>
              <w:ind w:right="50"/>
              <w:spacing w:after="0"/>
              <w:rPr>
                <w:sz w:val="20"/>
                <w:szCs w:val="20"/>
                <w:color w:val="auto"/>
              </w:rPr>
            </w:pPr>
            <w:r>
              <w:rPr>
                <w:rFonts w:ascii="Arial Narrow" w:cs="Arial Narrow" w:eastAsia="Arial Narrow" w:hAnsi="Arial Narrow"/>
                <w:sz w:val="18"/>
                <w:szCs w:val="18"/>
                <w:color w:val="auto"/>
              </w:rPr>
              <w:t>124.78</w:t>
            </w:r>
          </w:p>
        </w:tc>
        <w:tc>
          <w:tcPr>
            <w:tcW w:w="0" w:type="dxa"/>
            <w:vAlign w:val="bottom"/>
          </w:tcPr>
          <w:p>
            <w:pPr>
              <w:spacing w:after="0"/>
              <w:rPr>
                <w:sz w:val="1"/>
                <w:szCs w:val="1"/>
                <w:color w:val="auto"/>
              </w:rPr>
            </w:pPr>
          </w:p>
        </w:tc>
      </w:tr>
      <w:tr>
        <w:trPr>
          <w:trHeight w:val="67"/>
        </w:trPr>
        <w:tc>
          <w:tcPr>
            <w:tcW w:w="3080" w:type="dxa"/>
            <w:vAlign w:val="bottom"/>
            <w:tcBorders>
              <w:bottom w:val="single" w:sz="8" w:color="A6A6A6"/>
            </w:tcBorders>
          </w:tcPr>
          <w:p>
            <w:pPr>
              <w:spacing w:after="0"/>
              <w:rPr>
                <w:sz w:val="5"/>
                <w:szCs w:val="5"/>
                <w:color w:val="auto"/>
              </w:rPr>
            </w:pPr>
          </w:p>
        </w:tc>
        <w:tc>
          <w:tcPr>
            <w:tcW w:w="96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820" w:type="dxa"/>
            <w:vAlign w:val="bottom"/>
            <w:tcBorders>
              <w:bottom w:val="single" w:sz="8" w:color="A6A6A6"/>
            </w:tcBorders>
          </w:tcPr>
          <w:p>
            <w:pPr>
              <w:spacing w:after="0"/>
              <w:rPr>
                <w:sz w:val="5"/>
                <w:szCs w:val="5"/>
                <w:color w:val="auto"/>
              </w:rPr>
            </w:pPr>
          </w:p>
        </w:tc>
        <w:tc>
          <w:tcPr>
            <w:tcW w:w="6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960" w:type="dxa"/>
            <w:vAlign w:val="bottom"/>
            <w:tcBorders>
              <w:bottom w:val="single" w:sz="8" w:color="A6A6A6"/>
            </w:tcBorders>
          </w:tcPr>
          <w:p>
            <w:pPr>
              <w:spacing w:after="0"/>
              <w:rPr>
                <w:sz w:val="5"/>
                <w:szCs w:val="5"/>
                <w:color w:val="auto"/>
              </w:rPr>
            </w:pPr>
          </w:p>
        </w:tc>
        <w:tc>
          <w:tcPr>
            <w:tcW w:w="200" w:type="dxa"/>
            <w:vAlign w:val="bottom"/>
            <w:tcBorders>
              <w:bottom w:val="single" w:sz="8" w:color="A6A6A6"/>
            </w:tcBorders>
          </w:tcPr>
          <w:p>
            <w:pPr>
              <w:spacing w:after="0"/>
              <w:rPr>
                <w:sz w:val="5"/>
                <w:szCs w:val="5"/>
                <w:color w:val="auto"/>
              </w:rPr>
            </w:pPr>
          </w:p>
        </w:tc>
        <w:tc>
          <w:tcPr>
            <w:tcW w:w="940" w:type="dxa"/>
            <w:vAlign w:val="bottom"/>
            <w:tcBorders>
              <w:bottom w:val="single" w:sz="8" w:color="A6A6A6"/>
            </w:tcBorders>
            <w:gridSpan w:val="2"/>
          </w:tcPr>
          <w:p>
            <w:pPr>
              <w:spacing w:after="0"/>
              <w:rPr>
                <w:sz w:val="5"/>
                <w:szCs w:val="5"/>
                <w:color w:val="auto"/>
              </w:rPr>
            </w:pPr>
          </w:p>
        </w:tc>
        <w:tc>
          <w:tcPr>
            <w:tcW w:w="98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92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15"/>
        </w:trPr>
        <w:tc>
          <w:tcPr>
            <w:tcW w:w="3080" w:type="dxa"/>
            <w:vAlign w:val="bottom"/>
          </w:tcPr>
          <w:p>
            <w:pPr>
              <w:spacing w:after="0"/>
              <w:rPr>
                <w:sz w:val="20"/>
                <w:szCs w:val="20"/>
                <w:color w:val="auto"/>
              </w:rPr>
            </w:pPr>
            <w:r>
              <w:rPr>
                <w:rFonts w:ascii="Arial Narrow" w:cs="Arial Narrow" w:eastAsia="Arial Narrow" w:hAnsi="Arial Narrow"/>
                <w:sz w:val="18"/>
                <w:szCs w:val="18"/>
                <w:b w:val="1"/>
                <w:bCs w:val="1"/>
                <w:color w:val="00085E"/>
              </w:rPr>
              <w:t>Cancelled</w:t>
            </w:r>
          </w:p>
        </w:tc>
        <w:tc>
          <w:tcPr>
            <w:tcW w:w="960" w:type="dxa"/>
            <w:vAlign w:val="bottom"/>
          </w:tcPr>
          <w:p>
            <w:pPr>
              <w:jc w:val="right"/>
              <w:ind w:right="90"/>
              <w:spacing w:after="0"/>
              <w:rPr>
                <w:sz w:val="20"/>
                <w:szCs w:val="20"/>
                <w:color w:val="auto"/>
              </w:rPr>
            </w:pPr>
            <w:r>
              <w:rPr>
                <w:rFonts w:ascii="Arial Narrow" w:cs="Arial Narrow" w:eastAsia="Arial Narrow" w:hAnsi="Arial Narrow"/>
                <w:sz w:val="18"/>
                <w:szCs w:val="18"/>
                <w:color w:val="auto"/>
              </w:rPr>
              <w:t>—</w:t>
            </w:r>
          </w:p>
        </w:tc>
        <w:tc>
          <w:tcPr>
            <w:tcW w:w="180" w:type="dxa"/>
            <w:vAlign w:val="bottom"/>
          </w:tcPr>
          <w:p>
            <w:pPr>
              <w:jc w:val="right"/>
              <w:spacing w:after="0"/>
              <w:rPr>
                <w:sz w:val="20"/>
                <w:szCs w:val="20"/>
                <w:color w:val="auto"/>
              </w:rPr>
            </w:pPr>
            <w:r>
              <w:rPr>
                <w:rFonts w:ascii="Arial Narrow" w:cs="Arial Narrow" w:eastAsia="Arial Narrow" w:hAnsi="Arial Narrow"/>
                <w:sz w:val="18"/>
                <w:szCs w:val="18"/>
                <w:color w:val="auto"/>
              </w:rPr>
              <w:t>$</w:t>
            </w:r>
          </w:p>
        </w:tc>
        <w:tc>
          <w:tcPr>
            <w:tcW w:w="820" w:type="dxa"/>
            <w:vAlign w:val="bottom"/>
          </w:tcPr>
          <w:p>
            <w:pPr>
              <w:jc w:val="right"/>
              <w:spacing w:after="0"/>
              <w:rPr>
                <w:sz w:val="20"/>
                <w:szCs w:val="20"/>
                <w:color w:val="auto"/>
              </w:rPr>
            </w:pPr>
            <w:r>
              <w:rPr>
                <w:rFonts w:ascii="Arial Narrow" w:cs="Arial Narrow" w:eastAsia="Arial Narrow" w:hAnsi="Arial Narrow"/>
                <w:sz w:val="18"/>
                <w:szCs w:val="18"/>
                <w:color w:val="auto"/>
              </w:rPr>
              <w:t>—</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right"/>
              <w:ind w:right="90"/>
              <w:spacing w:after="0"/>
              <w:rPr>
                <w:sz w:val="20"/>
                <w:szCs w:val="20"/>
                <w:color w:val="auto"/>
              </w:rPr>
            </w:pPr>
            <w:r>
              <w:rPr>
                <w:rFonts w:ascii="Arial Narrow" w:cs="Arial Narrow" w:eastAsia="Arial Narrow" w:hAnsi="Arial Narrow"/>
                <w:sz w:val="18"/>
                <w:szCs w:val="18"/>
                <w:color w:val="auto"/>
              </w:rPr>
              <w:t>—</w:t>
            </w:r>
          </w:p>
        </w:tc>
        <w:tc>
          <w:tcPr>
            <w:tcW w:w="200" w:type="dxa"/>
            <w:vAlign w:val="bottom"/>
          </w:tcPr>
          <w:p>
            <w:pPr>
              <w:jc w:val="right"/>
              <w:spacing w:after="0"/>
              <w:rPr>
                <w:sz w:val="20"/>
                <w:szCs w:val="20"/>
                <w:color w:val="auto"/>
              </w:rPr>
            </w:pPr>
            <w:r>
              <w:rPr>
                <w:rFonts w:ascii="Arial Narrow" w:cs="Arial Narrow" w:eastAsia="Arial Narrow" w:hAnsi="Arial Narrow"/>
                <w:sz w:val="18"/>
                <w:szCs w:val="18"/>
                <w:color w:val="auto"/>
              </w:rPr>
              <w:t>$</w:t>
            </w:r>
          </w:p>
        </w:tc>
        <w:tc>
          <w:tcPr>
            <w:tcW w:w="940" w:type="dxa"/>
            <w:vAlign w:val="bottom"/>
            <w:gridSpan w:val="2"/>
          </w:tcPr>
          <w:p>
            <w:pPr>
              <w:jc w:val="right"/>
              <w:ind w:right="180"/>
              <w:spacing w:after="0"/>
              <w:rPr>
                <w:sz w:val="20"/>
                <w:szCs w:val="20"/>
                <w:color w:val="auto"/>
              </w:rPr>
            </w:pPr>
            <w:r>
              <w:rPr>
                <w:rFonts w:ascii="Arial Narrow" w:cs="Arial Narrow" w:eastAsia="Arial Narrow" w:hAnsi="Arial Narrow"/>
                <w:sz w:val="18"/>
                <w:szCs w:val="18"/>
                <w:color w:val="auto"/>
              </w:rPr>
              <w:t>—</w:t>
            </w:r>
          </w:p>
        </w:tc>
        <w:tc>
          <w:tcPr>
            <w:tcW w:w="980" w:type="dxa"/>
            <w:vAlign w:val="bottom"/>
          </w:tcPr>
          <w:p>
            <w:pPr>
              <w:jc w:val="right"/>
              <w:ind w:right="30"/>
              <w:spacing w:after="0"/>
              <w:rPr>
                <w:sz w:val="20"/>
                <w:szCs w:val="20"/>
                <w:color w:val="auto"/>
              </w:rPr>
            </w:pPr>
            <w:r>
              <w:rPr>
                <w:rFonts w:ascii="Arial Narrow" w:cs="Arial Narrow" w:eastAsia="Arial Narrow" w:hAnsi="Arial Narrow"/>
                <w:sz w:val="18"/>
                <w:szCs w:val="18"/>
                <w:color w:val="auto"/>
              </w:rPr>
              <w:t>(3,000)</w:t>
            </w:r>
          </w:p>
        </w:tc>
        <w:tc>
          <w:tcPr>
            <w:tcW w:w="180" w:type="dxa"/>
            <w:vAlign w:val="bottom"/>
          </w:tcPr>
          <w:p>
            <w:pPr>
              <w:jc w:val="right"/>
              <w:spacing w:after="0"/>
              <w:rPr>
                <w:sz w:val="20"/>
                <w:szCs w:val="20"/>
                <w:color w:val="auto"/>
              </w:rPr>
            </w:pPr>
            <w:r>
              <w:rPr>
                <w:rFonts w:ascii="Arial Narrow" w:cs="Arial Narrow" w:eastAsia="Arial Narrow" w:hAnsi="Arial Narrow"/>
                <w:sz w:val="18"/>
                <w:szCs w:val="18"/>
                <w:color w:val="auto"/>
              </w:rPr>
              <w:t>$</w:t>
            </w:r>
          </w:p>
        </w:tc>
        <w:tc>
          <w:tcPr>
            <w:tcW w:w="920" w:type="dxa"/>
            <w:vAlign w:val="bottom"/>
          </w:tcPr>
          <w:p>
            <w:pPr>
              <w:jc w:val="right"/>
              <w:ind w:right="50"/>
              <w:spacing w:after="0"/>
              <w:rPr>
                <w:sz w:val="20"/>
                <w:szCs w:val="20"/>
                <w:color w:val="auto"/>
              </w:rPr>
            </w:pPr>
            <w:r>
              <w:rPr>
                <w:rFonts w:ascii="Arial Narrow" w:cs="Arial Narrow" w:eastAsia="Arial Narrow" w:hAnsi="Arial Narrow"/>
                <w:sz w:val="18"/>
                <w:szCs w:val="18"/>
                <w:color w:val="auto"/>
              </w:rPr>
              <w:t>30.38</w:t>
            </w:r>
          </w:p>
        </w:tc>
        <w:tc>
          <w:tcPr>
            <w:tcW w:w="0" w:type="dxa"/>
            <w:vAlign w:val="bottom"/>
          </w:tcPr>
          <w:p>
            <w:pPr>
              <w:spacing w:after="0"/>
              <w:rPr>
                <w:sz w:val="1"/>
                <w:szCs w:val="1"/>
                <w:color w:val="auto"/>
              </w:rPr>
            </w:pPr>
          </w:p>
        </w:tc>
      </w:tr>
      <w:tr>
        <w:trPr>
          <w:trHeight w:val="92"/>
        </w:trPr>
        <w:tc>
          <w:tcPr>
            <w:tcW w:w="3080" w:type="dxa"/>
            <w:vAlign w:val="bottom"/>
            <w:tcBorders>
              <w:bottom w:val="single" w:sz="8" w:color="A6A6A6"/>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80" w:type="dxa"/>
            <w:vAlign w:val="bottom"/>
            <w:tcBorders>
              <w:bottom w:val="single" w:sz="8" w:color="A6A6A6"/>
            </w:tcBorders>
          </w:tcPr>
          <w:p>
            <w:pPr>
              <w:spacing w:after="0"/>
              <w:rPr>
                <w:sz w:val="7"/>
                <w:szCs w:val="7"/>
                <w:color w:val="auto"/>
              </w:rPr>
            </w:pPr>
          </w:p>
        </w:tc>
        <w:tc>
          <w:tcPr>
            <w:tcW w:w="820" w:type="dxa"/>
            <w:vAlign w:val="bottom"/>
            <w:tcBorders>
              <w:bottom w:val="single" w:sz="8" w:color="A6A6A6"/>
            </w:tcBorders>
          </w:tcPr>
          <w:p>
            <w:pPr>
              <w:spacing w:after="0"/>
              <w:rPr>
                <w:sz w:val="7"/>
                <w:szCs w:val="7"/>
                <w:color w:val="auto"/>
              </w:rPr>
            </w:pPr>
          </w:p>
        </w:tc>
        <w:tc>
          <w:tcPr>
            <w:tcW w:w="60" w:type="dxa"/>
            <w:vAlign w:val="bottom"/>
            <w:tcBorders>
              <w:bottom w:val="single" w:sz="8" w:color="A6A6A6"/>
            </w:tcBorders>
          </w:tcPr>
          <w:p>
            <w:pPr>
              <w:spacing w:after="0"/>
              <w:rPr>
                <w:sz w:val="7"/>
                <w:szCs w:val="7"/>
                <w:color w:val="auto"/>
              </w:rPr>
            </w:pPr>
          </w:p>
        </w:tc>
        <w:tc>
          <w:tcPr>
            <w:tcW w:w="80" w:type="dxa"/>
            <w:vAlign w:val="bottom"/>
            <w:tcBorders>
              <w:bottom w:val="single" w:sz="8" w:color="A6A6A6"/>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200" w:type="dxa"/>
            <w:vAlign w:val="bottom"/>
            <w:tcBorders>
              <w:bottom w:val="single" w:sz="8" w:color="A6A6A6"/>
            </w:tcBorders>
          </w:tcPr>
          <w:p>
            <w:pPr>
              <w:spacing w:after="0"/>
              <w:rPr>
                <w:sz w:val="7"/>
                <w:szCs w:val="7"/>
                <w:color w:val="auto"/>
              </w:rPr>
            </w:pPr>
          </w:p>
        </w:tc>
        <w:tc>
          <w:tcPr>
            <w:tcW w:w="860" w:type="dxa"/>
            <w:vAlign w:val="bottom"/>
            <w:tcBorders>
              <w:bottom w:val="single" w:sz="8" w:color="A6A6A6"/>
            </w:tcBorders>
          </w:tcPr>
          <w:p>
            <w:pPr>
              <w:spacing w:after="0"/>
              <w:rPr>
                <w:sz w:val="7"/>
                <w:szCs w:val="7"/>
                <w:color w:val="auto"/>
              </w:rPr>
            </w:pPr>
          </w:p>
        </w:tc>
        <w:tc>
          <w:tcPr>
            <w:tcW w:w="80" w:type="dxa"/>
            <w:vAlign w:val="bottom"/>
            <w:tcBorders>
              <w:bottom w:val="single" w:sz="8" w:color="A6A6A6"/>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80" w:type="dxa"/>
            <w:vAlign w:val="bottom"/>
            <w:tcBorders>
              <w:bottom w:val="single" w:sz="8" w:color="A6A6A6"/>
            </w:tcBorders>
          </w:tcPr>
          <w:p>
            <w:pPr>
              <w:spacing w:after="0"/>
              <w:rPr>
                <w:sz w:val="7"/>
                <w:szCs w:val="7"/>
                <w:color w:val="auto"/>
              </w:rPr>
            </w:pPr>
          </w:p>
        </w:tc>
        <w:tc>
          <w:tcPr>
            <w:tcW w:w="920" w:type="dxa"/>
            <w:vAlign w:val="bottom"/>
            <w:tcBorders>
              <w:bottom w:val="single" w:sz="8" w:color="A6A6A6"/>
            </w:tcBorders>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3080" w:type="dxa"/>
            <w:vAlign w:val="bottom"/>
          </w:tcPr>
          <w:p>
            <w:pPr>
              <w:spacing w:after="0"/>
              <w:rPr>
                <w:sz w:val="20"/>
                <w:szCs w:val="20"/>
                <w:color w:val="auto"/>
              </w:rPr>
            </w:pPr>
            <w:r>
              <w:rPr>
                <w:rFonts w:ascii="Arial Narrow" w:cs="Arial Narrow" w:eastAsia="Arial Narrow" w:hAnsi="Arial Narrow"/>
                <w:sz w:val="18"/>
                <w:szCs w:val="18"/>
                <w:b w:val="1"/>
                <w:bCs w:val="1"/>
                <w:color w:val="auto"/>
              </w:rPr>
              <w:t>Restricted Stock Units and Nonvested</w:t>
            </w:r>
          </w:p>
        </w:tc>
        <w:tc>
          <w:tcPr>
            <w:tcW w:w="9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3080" w:type="dxa"/>
            <w:vAlign w:val="bottom"/>
          </w:tcPr>
          <w:p>
            <w:pPr>
              <w:ind w:left="120"/>
              <w:spacing w:after="0"/>
              <w:rPr>
                <w:sz w:val="20"/>
                <w:szCs w:val="20"/>
                <w:color w:val="auto"/>
              </w:rPr>
            </w:pPr>
            <w:r>
              <w:rPr>
                <w:rFonts w:ascii="Arial Narrow" w:cs="Arial Narrow" w:eastAsia="Arial Narrow" w:hAnsi="Arial Narrow"/>
                <w:sz w:val="18"/>
                <w:szCs w:val="18"/>
                <w:b w:val="1"/>
                <w:bCs w:val="1"/>
                <w:color w:val="auto"/>
              </w:rPr>
              <w:t>Restricted Stock at End of Year</w:t>
            </w:r>
          </w:p>
        </w:tc>
        <w:tc>
          <w:tcPr>
            <w:tcW w:w="960" w:type="dxa"/>
            <w:vAlign w:val="bottom"/>
          </w:tcPr>
          <w:p>
            <w:pPr>
              <w:jc w:val="right"/>
              <w:ind w:right="90"/>
              <w:spacing w:after="0"/>
              <w:rPr>
                <w:sz w:val="20"/>
                <w:szCs w:val="20"/>
                <w:color w:val="auto"/>
              </w:rPr>
            </w:pPr>
            <w:r>
              <w:rPr>
                <w:rFonts w:ascii="Arial Narrow" w:cs="Arial Narrow" w:eastAsia="Arial Narrow" w:hAnsi="Arial Narrow"/>
                <w:sz w:val="18"/>
                <w:szCs w:val="18"/>
                <w:b w:val="1"/>
                <w:bCs w:val="1"/>
                <w:color w:val="auto"/>
              </w:rPr>
              <w:t>149,406</w:t>
            </w:r>
          </w:p>
        </w:tc>
        <w:tc>
          <w:tcPr>
            <w:tcW w:w="180" w:type="dxa"/>
            <w:vAlign w:val="bottom"/>
          </w:tcPr>
          <w:p>
            <w:pPr>
              <w:jc w:val="right"/>
              <w:spacing w:after="0"/>
              <w:rPr>
                <w:sz w:val="20"/>
                <w:szCs w:val="20"/>
                <w:color w:val="auto"/>
              </w:rPr>
            </w:pPr>
            <w:r>
              <w:rPr>
                <w:rFonts w:ascii="Arial Narrow" w:cs="Arial Narrow" w:eastAsia="Arial Narrow" w:hAnsi="Arial Narrow"/>
                <w:sz w:val="18"/>
                <w:szCs w:val="18"/>
                <w:b w:val="1"/>
                <w:bCs w:val="1"/>
                <w:color w:val="auto"/>
              </w:rPr>
              <w:t>$</w:t>
            </w:r>
          </w:p>
        </w:tc>
        <w:tc>
          <w:tcPr>
            <w:tcW w:w="820" w:type="dxa"/>
            <w:vAlign w:val="bottom"/>
          </w:tcPr>
          <w:p>
            <w:pPr>
              <w:jc w:val="right"/>
              <w:spacing w:after="0"/>
              <w:rPr>
                <w:sz w:val="20"/>
                <w:szCs w:val="20"/>
                <w:color w:val="auto"/>
              </w:rPr>
            </w:pPr>
            <w:r>
              <w:rPr>
                <w:rFonts w:ascii="Arial Narrow" w:cs="Arial Narrow" w:eastAsia="Arial Narrow" w:hAnsi="Arial Narrow"/>
                <w:sz w:val="18"/>
                <w:szCs w:val="18"/>
                <w:b w:val="1"/>
                <w:bCs w:val="1"/>
                <w:color w:val="auto"/>
              </w:rPr>
              <w:t>111.33</w:t>
            </w:r>
          </w:p>
        </w:tc>
        <w:tc>
          <w:tcPr>
            <w:tcW w:w="1100" w:type="dxa"/>
            <w:vAlign w:val="bottom"/>
            <w:gridSpan w:val="3"/>
          </w:tcPr>
          <w:p>
            <w:pPr>
              <w:jc w:val="right"/>
              <w:ind w:right="90"/>
              <w:spacing w:after="0"/>
              <w:rPr>
                <w:sz w:val="20"/>
                <w:szCs w:val="20"/>
                <w:color w:val="auto"/>
              </w:rPr>
            </w:pPr>
            <w:r>
              <w:rPr>
                <w:rFonts w:ascii="Arial Narrow" w:cs="Arial Narrow" w:eastAsia="Arial Narrow" w:hAnsi="Arial Narrow"/>
                <w:sz w:val="18"/>
                <w:szCs w:val="18"/>
                <w:b w:val="1"/>
                <w:bCs w:val="1"/>
                <w:color w:val="auto"/>
              </w:rPr>
              <w:t>194,099</w:t>
            </w:r>
          </w:p>
        </w:tc>
        <w:tc>
          <w:tcPr>
            <w:tcW w:w="200" w:type="dxa"/>
            <w:vAlign w:val="bottom"/>
          </w:tcPr>
          <w:p>
            <w:pPr>
              <w:jc w:val="right"/>
              <w:spacing w:after="0"/>
              <w:rPr>
                <w:sz w:val="20"/>
                <w:szCs w:val="20"/>
                <w:color w:val="auto"/>
              </w:rPr>
            </w:pPr>
            <w:r>
              <w:rPr>
                <w:rFonts w:ascii="Arial Narrow" w:cs="Arial Narrow" w:eastAsia="Arial Narrow" w:hAnsi="Arial Narrow"/>
                <w:sz w:val="18"/>
                <w:szCs w:val="18"/>
                <w:b w:val="1"/>
                <w:bCs w:val="1"/>
                <w:color w:val="auto"/>
              </w:rPr>
              <w:t>$</w:t>
            </w:r>
          </w:p>
        </w:tc>
        <w:tc>
          <w:tcPr>
            <w:tcW w:w="860" w:type="dxa"/>
            <w:vAlign w:val="bottom"/>
          </w:tcPr>
          <w:p>
            <w:pPr>
              <w:jc w:val="right"/>
              <w:ind w:right="10"/>
              <w:spacing w:after="0"/>
              <w:rPr>
                <w:sz w:val="20"/>
                <w:szCs w:val="20"/>
                <w:color w:val="auto"/>
              </w:rPr>
            </w:pPr>
            <w:r>
              <w:rPr>
                <w:rFonts w:ascii="Arial Narrow" w:cs="Arial Narrow" w:eastAsia="Arial Narrow" w:hAnsi="Arial Narrow"/>
                <w:sz w:val="18"/>
                <w:szCs w:val="18"/>
                <w:b w:val="1"/>
                <w:bCs w:val="1"/>
                <w:color w:val="auto"/>
              </w:rPr>
              <w:t>150.56</w:t>
            </w:r>
          </w:p>
        </w:tc>
        <w:tc>
          <w:tcPr>
            <w:tcW w:w="80" w:type="dxa"/>
            <w:vAlign w:val="bottom"/>
          </w:tcPr>
          <w:p>
            <w:pPr>
              <w:spacing w:after="0"/>
              <w:rPr>
                <w:sz w:val="20"/>
                <w:szCs w:val="20"/>
                <w:color w:val="auto"/>
              </w:rPr>
            </w:pPr>
          </w:p>
        </w:tc>
        <w:tc>
          <w:tcPr>
            <w:tcW w:w="980" w:type="dxa"/>
            <w:vAlign w:val="bottom"/>
          </w:tcPr>
          <w:p>
            <w:pPr>
              <w:jc w:val="right"/>
              <w:ind w:right="110"/>
              <w:spacing w:after="0"/>
              <w:rPr>
                <w:sz w:val="20"/>
                <w:szCs w:val="20"/>
                <w:color w:val="auto"/>
              </w:rPr>
            </w:pPr>
            <w:r>
              <w:rPr>
                <w:rFonts w:ascii="Arial Narrow" w:cs="Arial Narrow" w:eastAsia="Arial Narrow" w:hAnsi="Arial Narrow"/>
                <w:sz w:val="18"/>
                <w:szCs w:val="18"/>
                <w:b w:val="1"/>
                <w:bCs w:val="1"/>
                <w:color w:val="auto"/>
              </w:rPr>
              <w:t>204,946</w:t>
            </w:r>
          </w:p>
        </w:tc>
        <w:tc>
          <w:tcPr>
            <w:tcW w:w="180" w:type="dxa"/>
            <w:vAlign w:val="bottom"/>
          </w:tcPr>
          <w:p>
            <w:pPr>
              <w:jc w:val="right"/>
              <w:spacing w:after="0"/>
              <w:rPr>
                <w:sz w:val="20"/>
                <w:szCs w:val="20"/>
                <w:color w:val="auto"/>
              </w:rPr>
            </w:pPr>
            <w:r>
              <w:rPr>
                <w:rFonts w:ascii="Arial Narrow" w:cs="Arial Narrow" w:eastAsia="Arial Narrow" w:hAnsi="Arial Narrow"/>
                <w:sz w:val="18"/>
                <w:szCs w:val="18"/>
                <w:b w:val="1"/>
                <w:bCs w:val="1"/>
                <w:color w:val="auto"/>
              </w:rPr>
              <w:t>$</w:t>
            </w:r>
          </w:p>
        </w:tc>
        <w:tc>
          <w:tcPr>
            <w:tcW w:w="920" w:type="dxa"/>
            <w:vAlign w:val="bottom"/>
          </w:tcPr>
          <w:p>
            <w:pPr>
              <w:jc w:val="right"/>
              <w:ind w:right="50"/>
              <w:spacing w:after="0"/>
              <w:rPr>
                <w:sz w:val="20"/>
                <w:szCs w:val="20"/>
                <w:color w:val="auto"/>
              </w:rPr>
            </w:pPr>
            <w:r>
              <w:rPr>
                <w:rFonts w:ascii="Arial Narrow" w:cs="Arial Narrow" w:eastAsia="Arial Narrow" w:hAnsi="Arial Narrow"/>
                <w:sz w:val="18"/>
                <w:szCs w:val="18"/>
                <w:b w:val="1"/>
                <w:bCs w:val="1"/>
                <w:color w:val="auto"/>
              </w:rPr>
              <w:t>121.12</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1" w:lineRule="exact"/>
        <w:rPr>
          <w:sz w:val="20"/>
          <w:szCs w:val="20"/>
          <w:color w:val="auto"/>
        </w:rPr>
      </w:pPr>
    </w:p>
    <w:p>
      <w:pPr>
        <w:ind w:right="440"/>
        <w:spacing w:after="0" w:line="303" w:lineRule="auto"/>
        <w:rPr>
          <w:sz w:val="20"/>
          <w:szCs w:val="20"/>
          <w:color w:val="auto"/>
        </w:rPr>
      </w:pPr>
      <w:r>
        <w:rPr>
          <w:rFonts w:ascii="Arial" w:cs="Arial" w:eastAsia="Arial" w:hAnsi="Arial"/>
          <w:sz w:val="20"/>
          <w:szCs w:val="20"/>
          <w:color w:val="auto"/>
        </w:rPr>
        <w:t>Expense related to restricted shares was $19.5 million, $17.6 million, and $17.9 million in fiscal years ended March 31, 2026, 2025, and 2024, respectively. At March 31, 2026, there was $17.8 million of unearned compensation that will be recognized over a weighted-average period of 1.3 years.</w:t>
      </w:r>
    </w:p>
    <w:p>
      <w:pPr>
        <w:spacing w:after="0" w:line="59" w:lineRule="exact"/>
        <w:rPr>
          <w:sz w:val="20"/>
          <w:szCs w:val="20"/>
          <w:color w:val="auto"/>
        </w:rPr>
      </w:pPr>
    </w:p>
    <w:p>
      <w:pPr>
        <w:ind w:right="280"/>
        <w:spacing w:after="0" w:line="325" w:lineRule="auto"/>
        <w:rPr>
          <w:sz w:val="20"/>
          <w:szCs w:val="20"/>
          <w:color w:val="auto"/>
        </w:rPr>
      </w:pPr>
      <w:r>
        <w:rPr>
          <w:rFonts w:ascii="Arial" w:cs="Arial" w:eastAsia="Arial" w:hAnsi="Arial"/>
          <w:sz w:val="20"/>
          <w:szCs w:val="20"/>
          <w:color w:val="auto"/>
        </w:rPr>
        <w:t>The number of shares available for future grants of stock options, restricted stock units, stock appreciation rights, and restricted stock under the 2023 Plan was 1,243,836 shares at March 31, 2026.</w:t>
      </w:r>
    </w:p>
    <w:p>
      <w:pPr>
        <w:sectPr>
          <w:pgSz w:w="11880" w:h="15480" w:orient="portrait"/>
          <w:cols w:equalWidth="0" w:num="1">
            <w:col w:w="9360"/>
          </w:cols>
          <w:pgMar w:left="1260" w:top="1267" w:right="1260" w:bottom="7"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106</w:t>
      </w:r>
    </w:p>
    <w:p>
      <w:pPr>
        <w:sectPr>
          <w:pgSz w:w="11880" w:h="15480" w:orient="portrait"/>
          <w:cols w:equalWidth="0" w:num="1">
            <w:col w:w="9360"/>
          </w:cols>
          <w:pgMar w:left="1260" w:top="1267" w:right="1260" w:bottom="7" w:gutter="0" w:footer="0" w:header="0"/>
          <w:type w:val="continuous"/>
        </w:sectPr>
      </w:pPr>
    </w:p>
    <w:bookmarkStart w:id="114" w:name="page115"/>
    <w:bookmarkEnd w:id="114"/>
    <w:p>
      <w:pPr>
        <w:spacing w:after="0"/>
        <w:rPr>
          <w:sz w:val="20"/>
          <w:szCs w:val="20"/>
          <w:color w:val="auto"/>
        </w:rPr>
      </w:pPr>
      <w:r>
        <w:rPr>
          <w:rFonts w:ascii="Arial" w:cs="Arial" w:eastAsia="Arial" w:hAnsi="Arial"/>
          <w:sz w:val="22"/>
          <w:szCs w:val="22"/>
          <w:b w:val="1"/>
          <w:bCs w:val="1"/>
          <w:color w:val="00085E"/>
        </w:rPr>
        <w:t>(L) NET INTEREST EXPENSE</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color w:val="auto"/>
        </w:rPr>
        <w:t>The following components are included within Interest Expense, net.</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50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60" w:type="dxa"/>
            <w:vAlign w:val="bottom"/>
            <w:gridSpan w:val="9"/>
          </w:tcPr>
          <w:p>
            <w:pPr>
              <w:jc w:val="center"/>
              <w:ind w:left="363"/>
              <w:spacing w:after="0"/>
              <w:rPr>
                <w:sz w:val="20"/>
                <w:szCs w:val="20"/>
                <w:color w:val="auto"/>
              </w:rPr>
            </w:pPr>
            <w:r>
              <w:rPr>
                <w:rFonts w:ascii="Arial Narrow" w:cs="Arial Narrow" w:eastAsia="Arial Narrow" w:hAnsi="Arial Narrow"/>
                <w:sz w:val="18"/>
                <w:szCs w:val="18"/>
                <w:b w:val="1"/>
                <w:bCs w:val="1"/>
                <w:color w:val="auto"/>
              </w:rPr>
              <w:t>For the Years Ended March 31,</w:t>
            </w:r>
          </w:p>
        </w:tc>
        <w:tc>
          <w:tcPr>
            <w:tcW w:w="900" w:type="dxa"/>
            <w:vAlign w:val="bottom"/>
          </w:tcPr>
          <w:p>
            <w:pPr>
              <w:spacing w:after="0"/>
              <w:rPr>
                <w:sz w:val="22"/>
                <w:szCs w:val="22"/>
                <w:color w:val="auto"/>
              </w:rPr>
            </w:pPr>
          </w:p>
        </w:tc>
      </w:tr>
      <w:tr>
        <w:trPr>
          <w:trHeight w:val="21"/>
        </w:trPr>
        <w:tc>
          <w:tcPr>
            <w:tcW w:w="5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69"/>
        </w:trPr>
        <w:tc>
          <w:tcPr>
            <w:tcW w:w="50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ind w:right="23"/>
              <w:spacing w:after="0"/>
              <w:rPr>
                <w:sz w:val="20"/>
                <w:szCs w:val="20"/>
                <w:color w:val="auto"/>
              </w:rPr>
            </w:pPr>
            <w:r>
              <w:rPr>
                <w:rFonts w:ascii="Arial Narrow" w:cs="Arial Narrow" w:eastAsia="Arial Narrow" w:hAnsi="Arial Narrow"/>
                <w:sz w:val="18"/>
                <w:szCs w:val="18"/>
                <w:b w:val="1"/>
                <w:bCs w:val="1"/>
                <w:color w:val="auto"/>
              </w:rPr>
              <w:t>2026</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jc w:val="right"/>
              <w:ind w:right="122"/>
              <w:spacing w:after="0"/>
              <w:rPr>
                <w:sz w:val="20"/>
                <w:szCs w:val="20"/>
                <w:color w:val="auto"/>
              </w:rPr>
            </w:pPr>
            <w:r>
              <w:rPr>
                <w:rFonts w:ascii="Arial Narrow" w:cs="Arial Narrow" w:eastAsia="Arial Narrow" w:hAnsi="Arial Narrow"/>
                <w:sz w:val="18"/>
                <w:szCs w:val="18"/>
                <w:b w:val="1"/>
                <w:bCs w:val="1"/>
                <w:color w:val="auto"/>
              </w:rPr>
              <w:t>2025</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jc w:val="right"/>
              <w:ind w:right="82"/>
              <w:spacing w:after="0"/>
              <w:rPr>
                <w:sz w:val="20"/>
                <w:szCs w:val="20"/>
                <w:color w:val="auto"/>
              </w:rPr>
            </w:pPr>
            <w:r>
              <w:rPr>
                <w:rFonts w:ascii="Arial Narrow" w:cs="Arial Narrow" w:eastAsia="Arial Narrow" w:hAnsi="Arial Narrow"/>
                <w:sz w:val="18"/>
                <w:szCs w:val="18"/>
                <w:b w:val="1"/>
                <w:bCs w:val="1"/>
                <w:color w:val="auto"/>
              </w:rPr>
              <w:t>2024</w:t>
            </w:r>
          </w:p>
        </w:tc>
      </w:tr>
      <w:tr>
        <w:trPr>
          <w:trHeight w:val="21"/>
        </w:trPr>
        <w:tc>
          <w:tcPr>
            <w:tcW w:w="5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46"/>
        </w:trPr>
        <w:tc>
          <w:tcPr>
            <w:tcW w:w="50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60" w:type="dxa"/>
            <w:vAlign w:val="bottom"/>
            <w:gridSpan w:val="5"/>
          </w:tcPr>
          <w:p>
            <w:pPr>
              <w:jc w:val="center"/>
              <w:spacing w:after="0"/>
              <w:rPr>
                <w:sz w:val="20"/>
                <w:szCs w:val="20"/>
                <w:color w:val="auto"/>
              </w:rPr>
            </w:pPr>
            <w:r>
              <w:rPr>
                <w:rFonts w:ascii="Arial" w:cs="Arial" w:eastAsia="Arial" w:hAnsi="Arial"/>
                <w:sz w:val="16"/>
                <w:szCs w:val="16"/>
                <w:color w:val="auto"/>
                <w:w w:val="99"/>
              </w:rPr>
              <w:t>(dollars in thousands)</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46"/>
        </w:trPr>
        <w:tc>
          <w:tcPr>
            <w:tcW w:w="50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gridSpan w:val="3"/>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345"/>
        </w:trPr>
        <w:tc>
          <w:tcPr>
            <w:tcW w:w="5020" w:type="dxa"/>
            <w:vAlign w:val="bottom"/>
          </w:tcPr>
          <w:p>
            <w:pPr>
              <w:spacing w:after="0"/>
              <w:rPr>
                <w:sz w:val="20"/>
                <w:szCs w:val="20"/>
                <w:color w:val="auto"/>
              </w:rPr>
            </w:pPr>
            <w:r>
              <w:rPr>
                <w:rFonts w:ascii="Arial Narrow" w:cs="Arial Narrow" w:eastAsia="Arial Narrow" w:hAnsi="Arial Narrow"/>
                <w:sz w:val="20"/>
                <w:szCs w:val="20"/>
                <w:b w:val="1"/>
                <w:bCs w:val="1"/>
                <w:color w:val="00085E"/>
              </w:rPr>
              <w:t>Interest Income</w:t>
            </w:r>
          </w:p>
        </w:tc>
        <w:tc>
          <w:tcPr>
            <w:tcW w:w="380" w:type="dxa"/>
            <w:vAlign w:val="bottom"/>
          </w:tcPr>
          <w:p>
            <w:pPr>
              <w:jc w:val="right"/>
              <w:ind w:right="180"/>
              <w:spacing w:after="0"/>
              <w:rPr>
                <w:sz w:val="20"/>
                <w:szCs w:val="20"/>
                <w:color w:val="auto"/>
              </w:rPr>
            </w:pPr>
            <w:r>
              <w:rPr>
                <w:rFonts w:ascii="Arial Narrow" w:cs="Arial Narrow" w:eastAsia="Arial Narrow" w:hAnsi="Arial Narrow"/>
                <w:sz w:val="20"/>
                <w:szCs w:val="20"/>
                <w:color w:val="auto"/>
                <w:w w:val="87"/>
              </w:rPr>
              <w:t>$</w:t>
            </w:r>
          </w:p>
        </w:tc>
        <w:tc>
          <w:tcPr>
            <w:tcW w:w="920" w:type="dxa"/>
            <w:vAlign w:val="bottom"/>
          </w:tcPr>
          <w:p>
            <w:pPr>
              <w:jc w:val="right"/>
              <w:spacing w:after="0"/>
              <w:rPr>
                <w:sz w:val="20"/>
                <w:szCs w:val="20"/>
                <w:color w:val="auto"/>
              </w:rPr>
            </w:pPr>
            <w:r>
              <w:rPr>
                <w:rFonts w:ascii="Arial Narrow" w:cs="Arial Narrow" w:eastAsia="Arial Narrow" w:hAnsi="Arial Narrow"/>
                <w:sz w:val="20"/>
                <w:szCs w:val="20"/>
                <w:color w:val="auto"/>
              </w:rPr>
              <w:t>(6,156)</w:t>
            </w:r>
          </w:p>
        </w:tc>
        <w:tc>
          <w:tcPr>
            <w:tcW w:w="580" w:type="dxa"/>
            <w:vAlign w:val="bottom"/>
            <w:gridSpan w:val="3"/>
          </w:tcPr>
          <w:p>
            <w:pPr>
              <w:jc w:val="right"/>
              <w:ind w:right="2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ind w:right="42"/>
              <w:spacing w:after="0"/>
              <w:rPr>
                <w:sz w:val="20"/>
                <w:szCs w:val="20"/>
                <w:color w:val="auto"/>
              </w:rPr>
            </w:pPr>
            <w:r>
              <w:rPr>
                <w:rFonts w:ascii="Arial Narrow" w:cs="Arial Narrow" w:eastAsia="Arial Narrow" w:hAnsi="Arial Narrow"/>
                <w:sz w:val="20"/>
                <w:szCs w:val="20"/>
                <w:color w:val="auto"/>
              </w:rPr>
              <w:t>(1,718)</w:t>
            </w:r>
          </w:p>
        </w:tc>
        <w:tc>
          <w:tcPr>
            <w:tcW w:w="80" w:type="dxa"/>
            <w:vAlign w:val="bottom"/>
          </w:tcPr>
          <w:p>
            <w:pPr>
              <w:spacing w:after="0"/>
              <w:rPr>
                <w:sz w:val="24"/>
                <w:szCs w:val="24"/>
                <w:color w:val="auto"/>
              </w:rPr>
            </w:pPr>
          </w:p>
        </w:tc>
        <w:tc>
          <w:tcPr>
            <w:tcW w:w="160" w:type="dxa"/>
            <w:vAlign w:val="bottom"/>
            <w:gridSpan w:val="2"/>
          </w:tcPr>
          <w:p>
            <w:pPr>
              <w:jc w:val="right"/>
              <w:ind w:right="40"/>
              <w:spacing w:after="0"/>
              <w:rPr>
                <w:sz w:val="20"/>
                <w:szCs w:val="20"/>
                <w:color w:val="auto"/>
              </w:rPr>
            </w:pPr>
            <w:r>
              <w:rPr>
                <w:rFonts w:ascii="Arial Narrow" w:cs="Arial Narrow" w:eastAsia="Arial Narrow" w:hAnsi="Arial Narrow"/>
                <w:sz w:val="20"/>
                <w:szCs w:val="20"/>
                <w:color w:val="auto"/>
              </w:rPr>
              <w:t>$</w:t>
            </w:r>
          </w:p>
        </w:tc>
        <w:tc>
          <w:tcPr>
            <w:tcW w:w="320" w:type="dxa"/>
            <w:vAlign w:val="bottom"/>
          </w:tcPr>
          <w:p>
            <w:pPr>
              <w:spacing w:after="0"/>
              <w:rPr>
                <w:sz w:val="24"/>
                <w:szCs w:val="24"/>
                <w:color w:val="auto"/>
              </w:rPr>
            </w:pPr>
          </w:p>
        </w:tc>
        <w:tc>
          <w:tcPr>
            <w:tcW w:w="900" w:type="dxa"/>
            <w:vAlign w:val="bottom"/>
          </w:tcPr>
          <w:p>
            <w:pPr>
              <w:jc w:val="right"/>
              <w:ind w:right="22"/>
              <w:spacing w:after="0"/>
              <w:rPr>
                <w:sz w:val="20"/>
                <w:szCs w:val="20"/>
                <w:color w:val="auto"/>
              </w:rPr>
            </w:pPr>
            <w:r>
              <w:rPr>
                <w:rFonts w:ascii="Arial Narrow" w:cs="Arial Narrow" w:eastAsia="Arial Narrow" w:hAnsi="Arial Narrow"/>
                <w:sz w:val="20"/>
                <w:szCs w:val="20"/>
                <w:color w:val="auto"/>
              </w:rPr>
              <w:t>(1,043)</w:t>
            </w:r>
          </w:p>
        </w:tc>
      </w:tr>
      <w:tr>
        <w:trPr>
          <w:trHeight w:val="65"/>
        </w:trPr>
        <w:tc>
          <w:tcPr>
            <w:tcW w:w="5020" w:type="dxa"/>
            <w:vAlign w:val="bottom"/>
            <w:tcBorders>
              <w:bottom w:val="single" w:sz="8" w:color="A6A6A6"/>
            </w:tcBorders>
          </w:tcPr>
          <w:p>
            <w:pPr>
              <w:spacing w:after="0"/>
              <w:rPr>
                <w:sz w:val="5"/>
                <w:szCs w:val="5"/>
                <w:color w:val="auto"/>
              </w:rPr>
            </w:pPr>
          </w:p>
        </w:tc>
        <w:tc>
          <w:tcPr>
            <w:tcW w:w="380" w:type="dxa"/>
            <w:vAlign w:val="bottom"/>
            <w:tcBorders>
              <w:bottom w:val="single" w:sz="8" w:color="A6A6A6"/>
            </w:tcBorders>
          </w:tcPr>
          <w:p>
            <w:pPr>
              <w:spacing w:after="0"/>
              <w:rPr>
                <w:sz w:val="5"/>
                <w:szCs w:val="5"/>
                <w:color w:val="auto"/>
              </w:rPr>
            </w:pPr>
          </w:p>
        </w:tc>
        <w:tc>
          <w:tcPr>
            <w:tcW w:w="92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380" w:type="dxa"/>
            <w:vAlign w:val="bottom"/>
            <w:tcBorders>
              <w:bottom w:val="single" w:sz="8" w:color="A6A6A6"/>
            </w:tcBorders>
          </w:tcPr>
          <w:p>
            <w:pPr>
              <w:spacing w:after="0"/>
              <w:rPr>
                <w:sz w:val="5"/>
                <w:szCs w:val="5"/>
                <w:color w:val="auto"/>
              </w:rPr>
            </w:pPr>
          </w:p>
        </w:tc>
        <w:tc>
          <w:tcPr>
            <w:tcW w:w="100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4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320" w:type="dxa"/>
            <w:vAlign w:val="bottom"/>
            <w:tcBorders>
              <w:bottom w:val="single" w:sz="8" w:color="A6A6A6"/>
            </w:tcBorders>
          </w:tcPr>
          <w:p>
            <w:pPr>
              <w:spacing w:after="0"/>
              <w:rPr>
                <w:sz w:val="5"/>
                <w:szCs w:val="5"/>
                <w:color w:val="auto"/>
              </w:rPr>
            </w:pPr>
          </w:p>
        </w:tc>
        <w:tc>
          <w:tcPr>
            <w:tcW w:w="900" w:type="dxa"/>
            <w:vAlign w:val="bottom"/>
            <w:tcBorders>
              <w:bottom w:val="single" w:sz="8" w:color="A6A6A6"/>
            </w:tcBorders>
          </w:tcPr>
          <w:p>
            <w:pPr>
              <w:spacing w:after="0"/>
              <w:rPr>
                <w:sz w:val="5"/>
                <w:szCs w:val="5"/>
                <w:color w:val="auto"/>
              </w:rPr>
            </w:pPr>
          </w:p>
        </w:tc>
      </w:tr>
      <w:tr>
        <w:trPr>
          <w:trHeight w:val="340"/>
        </w:trPr>
        <w:tc>
          <w:tcPr>
            <w:tcW w:w="5020" w:type="dxa"/>
            <w:vAlign w:val="bottom"/>
          </w:tcPr>
          <w:p>
            <w:pPr>
              <w:spacing w:after="0"/>
              <w:rPr>
                <w:sz w:val="20"/>
                <w:szCs w:val="20"/>
                <w:color w:val="auto"/>
              </w:rPr>
            </w:pPr>
            <w:r>
              <w:rPr>
                <w:rFonts w:ascii="Arial Narrow" w:cs="Arial Narrow" w:eastAsia="Arial Narrow" w:hAnsi="Arial Narrow"/>
                <w:sz w:val="20"/>
                <w:szCs w:val="20"/>
                <w:b w:val="1"/>
                <w:bCs w:val="1"/>
                <w:color w:val="00085E"/>
              </w:rPr>
              <w:t>Interest Expense</w:t>
            </w:r>
          </w:p>
        </w:tc>
        <w:tc>
          <w:tcPr>
            <w:tcW w:w="380" w:type="dxa"/>
            <w:vAlign w:val="bottom"/>
          </w:tcPr>
          <w:p>
            <w:pPr>
              <w:spacing w:after="0"/>
              <w:rPr>
                <w:sz w:val="24"/>
                <w:szCs w:val="24"/>
                <w:color w:val="auto"/>
              </w:rPr>
            </w:pPr>
          </w:p>
        </w:tc>
        <w:tc>
          <w:tcPr>
            <w:tcW w:w="920" w:type="dxa"/>
            <w:vAlign w:val="bottom"/>
          </w:tcPr>
          <w:p>
            <w:pPr>
              <w:jc w:val="right"/>
              <w:ind w:right="23"/>
              <w:spacing w:after="0"/>
              <w:rPr>
                <w:sz w:val="20"/>
                <w:szCs w:val="20"/>
                <w:color w:val="auto"/>
              </w:rPr>
            </w:pPr>
            <w:r>
              <w:rPr>
                <w:rFonts w:ascii="Arial Narrow" w:cs="Arial Narrow" w:eastAsia="Arial Narrow" w:hAnsi="Arial Narrow"/>
                <w:sz w:val="20"/>
                <w:szCs w:val="20"/>
                <w:color w:val="auto"/>
              </w:rPr>
              <w:t>58,985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ind w:right="122"/>
              <w:spacing w:after="0"/>
              <w:rPr>
                <w:sz w:val="20"/>
                <w:szCs w:val="20"/>
                <w:color w:val="auto"/>
              </w:rPr>
            </w:pPr>
            <w:r>
              <w:rPr>
                <w:rFonts w:ascii="Arial Narrow" w:cs="Arial Narrow" w:eastAsia="Arial Narrow" w:hAnsi="Arial Narrow"/>
                <w:sz w:val="20"/>
                <w:szCs w:val="20"/>
                <w:color w:val="auto"/>
              </w:rPr>
              <w:t>43,025</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jc w:val="right"/>
              <w:ind w:right="82"/>
              <w:spacing w:after="0"/>
              <w:rPr>
                <w:sz w:val="20"/>
                <w:szCs w:val="20"/>
                <w:color w:val="auto"/>
              </w:rPr>
            </w:pPr>
            <w:r>
              <w:rPr>
                <w:rFonts w:ascii="Arial Narrow" w:cs="Arial Narrow" w:eastAsia="Arial Narrow" w:hAnsi="Arial Narrow"/>
                <w:sz w:val="20"/>
                <w:szCs w:val="20"/>
                <w:color w:val="auto"/>
              </w:rPr>
              <w:t>42,875</w:t>
            </w:r>
          </w:p>
        </w:tc>
      </w:tr>
      <w:tr>
        <w:trPr>
          <w:trHeight w:val="65"/>
        </w:trPr>
        <w:tc>
          <w:tcPr>
            <w:tcW w:w="5020" w:type="dxa"/>
            <w:vAlign w:val="bottom"/>
            <w:tcBorders>
              <w:bottom w:val="single" w:sz="8" w:color="A6A6A6"/>
            </w:tcBorders>
          </w:tcPr>
          <w:p>
            <w:pPr>
              <w:spacing w:after="0"/>
              <w:rPr>
                <w:sz w:val="5"/>
                <w:szCs w:val="5"/>
                <w:color w:val="auto"/>
              </w:rPr>
            </w:pPr>
          </w:p>
        </w:tc>
        <w:tc>
          <w:tcPr>
            <w:tcW w:w="380" w:type="dxa"/>
            <w:vAlign w:val="bottom"/>
            <w:tcBorders>
              <w:bottom w:val="single" w:sz="8" w:color="A6A6A6"/>
            </w:tcBorders>
          </w:tcPr>
          <w:p>
            <w:pPr>
              <w:spacing w:after="0"/>
              <w:rPr>
                <w:sz w:val="5"/>
                <w:szCs w:val="5"/>
                <w:color w:val="auto"/>
              </w:rPr>
            </w:pPr>
          </w:p>
        </w:tc>
        <w:tc>
          <w:tcPr>
            <w:tcW w:w="92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380" w:type="dxa"/>
            <w:vAlign w:val="bottom"/>
            <w:tcBorders>
              <w:bottom w:val="single" w:sz="8" w:color="A6A6A6"/>
            </w:tcBorders>
          </w:tcPr>
          <w:p>
            <w:pPr>
              <w:spacing w:after="0"/>
              <w:rPr>
                <w:sz w:val="5"/>
                <w:szCs w:val="5"/>
                <w:color w:val="auto"/>
              </w:rPr>
            </w:pPr>
          </w:p>
        </w:tc>
        <w:tc>
          <w:tcPr>
            <w:tcW w:w="100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4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320" w:type="dxa"/>
            <w:vAlign w:val="bottom"/>
            <w:tcBorders>
              <w:bottom w:val="single" w:sz="8" w:color="A6A6A6"/>
            </w:tcBorders>
          </w:tcPr>
          <w:p>
            <w:pPr>
              <w:spacing w:after="0"/>
              <w:rPr>
                <w:sz w:val="5"/>
                <w:szCs w:val="5"/>
                <w:color w:val="auto"/>
              </w:rPr>
            </w:pPr>
          </w:p>
        </w:tc>
        <w:tc>
          <w:tcPr>
            <w:tcW w:w="900" w:type="dxa"/>
            <w:vAlign w:val="bottom"/>
            <w:tcBorders>
              <w:bottom w:val="single" w:sz="8" w:color="A6A6A6"/>
            </w:tcBorders>
          </w:tcPr>
          <w:p>
            <w:pPr>
              <w:spacing w:after="0"/>
              <w:rPr>
                <w:sz w:val="5"/>
                <w:szCs w:val="5"/>
                <w:color w:val="auto"/>
              </w:rPr>
            </w:pPr>
          </w:p>
        </w:tc>
      </w:tr>
      <w:tr>
        <w:trPr>
          <w:trHeight w:val="340"/>
        </w:trPr>
        <w:tc>
          <w:tcPr>
            <w:tcW w:w="5020" w:type="dxa"/>
            <w:vAlign w:val="bottom"/>
          </w:tcPr>
          <w:p>
            <w:pPr>
              <w:spacing w:after="0"/>
              <w:rPr>
                <w:sz w:val="20"/>
                <w:szCs w:val="20"/>
                <w:color w:val="auto"/>
              </w:rPr>
            </w:pPr>
            <w:r>
              <w:rPr>
                <w:rFonts w:ascii="Arial Narrow" w:cs="Arial Narrow" w:eastAsia="Arial Narrow" w:hAnsi="Arial Narrow"/>
                <w:sz w:val="20"/>
                <w:szCs w:val="20"/>
                <w:b w:val="1"/>
                <w:bCs w:val="1"/>
                <w:color w:val="00085E"/>
              </w:rPr>
              <w:t>Other Expenses</w:t>
            </w:r>
          </w:p>
        </w:tc>
        <w:tc>
          <w:tcPr>
            <w:tcW w:w="380" w:type="dxa"/>
            <w:vAlign w:val="bottom"/>
          </w:tcPr>
          <w:p>
            <w:pPr>
              <w:spacing w:after="0"/>
              <w:rPr>
                <w:sz w:val="24"/>
                <w:szCs w:val="24"/>
                <w:color w:val="auto"/>
              </w:rPr>
            </w:pPr>
          </w:p>
        </w:tc>
        <w:tc>
          <w:tcPr>
            <w:tcW w:w="920" w:type="dxa"/>
            <w:vAlign w:val="bottom"/>
          </w:tcPr>
          <w:p>
            <w:pPr>
              <w:jc w:val="right"/>
              <w:ind w:right="23"/>
              <w:spacing w:after="0"/>
              <w:rPr>
                <w:sz w:val="20"/>
                <w:szCs w:val="20"/>
                <w:color w:val="auto"/>
              </w:rPr>
            </w:pPr>
            <w:r>
              <w:rPr>
                <w:rFonts w:ascii="Arial Narrow" w:cs="Arial Narrow" w:eastAsia="Arial Narrow" w:hAnsi="Arial Narrow"/>
                <w:sz w:val="20"/>
                <w:szCs w:val="20"/>
                <w:color w:val="auto"/>
              </w:rPr>
              <w:t>2,472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ind w:right="122"/>
              <w:spacing w:after="0"/>
              <w:rPr>
                <w:sz w:val="20"/>
                <w:szCs w:val="20"/>
                <w:color w:val="auto"/>
              </w:rPr>
            </w:pPr>
            <w:r>
              <w:rPr>
                <w:rFonts w:ascii="Arial Narrow" w:cs="Arial Narrow" w:eastAsia="Arial Narrow" w:hAnsi="Arial Narrow"/>
                <w:sz w:val="20"/>
                <w:szCs w:val="20"/>
                <w:color w:val="auto"/>
              </w:rPr>
              <w:t>2,007</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jc w:val="right"/>
              <w:ind w:right="82"/>
              <w:spacing w:after="0"/>
              <w:rPr>
                <w:sz w:val="20"/>
                <w:szCs w:val="20"/>
                <w:color w:val="auto"/>
              </w:rPr>
            </w:pPr>
            <w:r>
              <w:rPr>
                <w:rFonts w:ascii="Arial Narrow" w:cs="Arial Narrow" w:eastAsia="Arial Narrow" w:hAnsi="Arial Narrow"/>
                <w:sz w:val="20"/>
                <w:szCs w:val="20"/>
                <w:color w:val="auto"/>
              </w:rPr>
              <w:t>1,897</w:t>
            </w:r>
          </w:p>
        </w:tc>
      </w:tr>
      <w:tr>
        <w:trPr>
          <w:trHeight w:val="65"/>
        </w:trPr>
        <w:tc>
          <w:tcPr>
            <w:tcW w:w="5020" w:type="dxa"/>
            <w:vAlign w:val="bottom"/>
            <w:tcBorders>
              <w:bottom w:val="single" w:sz="8" w:color="A6A6A6"/>
            </w:tcBorders>
          </w:tcPr>
          <w:p>
            <w:pPr>
              <w:spacing w:after="0"/>
              <w:rPr>
                <w:sz w:val="5"/>
                <w:szCs w:val="5"/>
                <w:color w:val="auto"/>
              </w:rPr>
            </w:pPr>
          </w:p>
        </w:tc>
        <w:tc>
          <w:tcPr>
            <w:tcW w:w="380" w:type="dxa"/>
            <w:vAlign w:val="bottom"/>
            <w:tcBorders>
              <w:bottom w:val="single" w:sz="8" w:color="A6A6A6"/>
            </w:tcBorders>
          </w:tcPr>
          <w:p>
            <w:pPr>
              <w:spacing w:after="0"/>
              <w:rPr>
                <w:sz w:val="5"/>
                <w:szCs w:val="5"/>
                <w:color w:val="auto"/>
              </w:rPr>
            </w:pPr>
          </w:p>
        </w:tc>
        <w:tc>
          <w:tcPr>
            <w:tcW w:w="92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380" w:type="dxa"/>
            <w:vAlign w:val="bottom"/>
            <w:tcBorders>
              <w:bottom w:val="single" w:sz="8" w:color="A6A6A6"/>
            </w:tcBorders>
          </w:tcPr>
          <w:p>
            <w:pPr>
              <w:spacing w:after="0"/>
              <w:rPr>
                <w:sz w:val="5"/>
                <w:szCs w:val="5"/>
                <w:color w:val="auto"/>
              </w:rPr>
            </w:pPr>
          </w:p>
        </w:tc>
        <w:tc>
          <w:tcPr>
            <w:tcW w:w="100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4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320" w:type="dxa"/>
            <w:vAlign w:val="bottom"/>
            <w:tcBorders>
              <w:bottom w:val="single" w:sz="8" w:color="A6A6A6"/>
            </w:tcBorders>
          </w:tcPr>
          <w:p>
            <w:pPr>
              <w:spacing w:after="0"/>
              <w:rPr>
                <w:sz w:val="5"/>
                <w:szCs w:val="5"/>
                <w:color w:val="auto"/>
              </w:rPr>
            </w:pPr>
          </w:p>
        </w:tc>
        <w:tc>
          <w:tcPr>
            <w:tcW w:w="900" w:type="dxa"/>
            <w:vAlign w:val="bottom"/>
            <w:tcBorders>
              <w:bottom w:val="single" w:sz="8" w:color="A6A6A6"/>
            </w:tcBorders>
          </w:tcPr>
          <w:p>
            <w:pPr>
              <w:spacing w:after="0"/>
              <w:rPr>
                <w:sz w:val="5"/>
                <w:szCs w:val="5"/>
                <w:color w:val="auto"/>
              </w:rPr>
            </w:pPr>
          </w:p>
        </w:tc>
      </w:tr>
      <w:tr>
        <w:trPr>
          <w:trHeight w:val="340"/>
        </w:trPr>
        <w:tc>
          <w:tcPr>
            <w:tcW w:w="5020" w:type="dxa"/>
            <w:vAlign w:val="bottom"/>
          </w:tcPr>
          <w:p>
            <w:pPr>
              <w:spacing w:after="0"/>
              <w:rPr>
                <w:sz w:val="20"/>
                <w:szCs w:val="20"/>
                <w:color w:val="auto"/>
              </w:rPr>
            </w:pPr>
            <w:r>
              <w:rPr>
                <w:rFonts w:ascii="Arial Narrow" w:cs="Arial Narrow" w:eastAsia="Arial Narrow" w:hAnsi="Arial Narrow"/>
                <w:sz w:val="20"/>
                <w:szCs w:val="20"/>
                <w:b w:val="1"/>
                <w:bCs w:val="1"/>
                <w:color w:val="00085E"/>
              </w:rPr>
              <w:t>Interest Capitalized</w:t>
            </w:r>
          </w:p>
        </w:tc>
        <w:tc>
          <w:tcPr>
            <w:tcW w:w="3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Narrow" w:cs="Arial Narrow" w:eastAsia="Arial Narrow" w:hAnsi="Arial Narrow"/>
                <w:sz w:val="20"/>
                <w:szCs w:val="20"/>
                <w:color w:val="auto"/>
              </w:rPr>
              <w:t>(8,819)</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ind w:right="42"/>
              <w:spacing w:after="0"/>
              <w:rPr>
                <w:sz w:val="20"/>
                <w:szCs w:val="20"/>
                <w:color w:val="auto"/>
              </w:rPr>
            </w:pPr>
            <w:r>
              <w:rPr>
                <w:rFonts w:ascii="Arial Narrow" w:cs="Arial Narrow" w:eastAsia="Arial Narrow" w:hAnsi="Arial Narrow"/>
                <w:sz w:val="20"/>
                <w:szCs w:val="20"/>
                <w:color w:val="auto"/>
              </w:rPr>
              <w:t>(2,788)</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jc w:val="right"/>
              <w:ind w:right="22"/>
              <w:spacing w:after="0"/>
              <w:rPr>
                <w:sz w:val="20"/>
                <w:szCs w:val="20"/>
                <w:color w:val="auto"/>
              </w:rPr>
            </w:pPr>
            <w:r>
              <w:rPr>
                <w:rFonts w:ascii="Arial Narrow" w:cs="Arial Narrow" w:eastAsia="Arial Narrow" w:hAnsi="Arial Narrow"/>
                <w:sz w:val="20"/>
                <w:szCs w:val="20"/>
                <w:color w:val="auto"/>
              </w:rPr>
              <w:t>(1,472)</w:t>
            </w:r>
          </w:p>
        </w:tc>
      </w:tr>
      <w:tr>
        <w:trPr>
          <w:trHeight w:val="90"/>
        </w:trPr>
        <w:tc>
          <w:tcPr>
            <w:tcW w:w="5020" w:type="dxa"/>
            <w:vAlign w:val="bottom"/>
            <w:tcBorders>
              <w:bottom w:val="single" w:sz="8" w:color="A6A6A6"/>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r>
      <w:tr>
        <w:trPr>
          <w:trHeight w:val="345"/>
        </w:trPr>
        <w:tc>
          <w:tcPr>
            <w:tcW w:w="5020" w:type="dxa"/>
            <w:vAlign w:val="bottom"/>
          </w:tcPr>
          <w:p>
            <w:pPr>
              <w:spacing w:after="0"/>
              <w:rPr>
                <w:sz w:val="20"/>
                <w:szCs w:val="20"/>
                <w:color w:val="auto"/>
              </w:rPr>
            </w:pPr>
            <w:r>
              <w:rPr>
                <w:rFonts w:ascii="Arial Narrow" w:cs="Arial Narrow" w:eastAsia="Arial Narrow" w:hAnsi="Arial Narrow"/>
                <w:sz w:val="20"/>
                <w:szCs w:val="20"/>
                <w:b w:val="1"/>
                <w:bCs w:val="1"/>
                <w:color w:val="auto"/>
              </w:rPr>
              <w:t>Interest Expense, net</w:t>
            </w:r>
          </w:p>
        </w:tc>
        <w:tc>
          <w:tcPr>
            <w:tcW w:w="380" w:type="dxa"/>
            <w:vAlign w:val="bottom"/>
          </w:tcPr>
          <w:p>
            <w:pPr>
              <w:jc w:val="right"/>
              <w:ind w:right="180"/>
              <w:spacing w:after="0"/>
              <w:rPr>
                <w:sz w:val="20"/>
                <w:szCs w:val="20"/>
                <w:color w:val="auto"/>
              </w:rPr>
            </w:pPr>
            <w:r>
              <w:rPr>
                <w:rFonts w:ascii="Arial Narrow" w:cs="Arial Narrow" w:eastAsia="Arial Narrow" w:hAnsi="Arial Narrow"/>
                <w:sz w:val="20"/>
                <w:szCs w:val="20"/>
                <w:b w:val="1"/>
                <w:bCs w:val="1"/>
                <w:color w:val="auto"/>
                <w:w w:val="87"/>
              </w:rPr>
              <w:t>$</w:t>
            </w:r>
          </w:p>
        </w:tc>
        <w:tc>
          <w:tcPr>
            <w:tcW w:w="920" w:type="dxa"/>
            <w:vAlign w:val="bottom"/>
          </w:tcPr>
          <w:p>
            <w:pPr>
              <w:jc w:val="right"/>
              <w:ind w:right="23"/>
              <w:spacing w:after="0"/>
              <w:rPr>
                <w:sz w:val="20"/>
                <w:szCs w:val="20"/>
                <w:color w:val="auto"/>
              </w:rPr>
            </w:pPr>
            <w:r>
              <w:rPr>
                <w:rFonts w:ascii="Arial Narrow" w:cs="Arial Narrow" w:eastAsia="Arial Narrow" w:hAnsi="Arial Narrow"/>
                <w:sz w:val="20"/>
                <w:szCs w:val="20"/>
                <w:b w:val="1"/>
                <w:bCs w:val="1"/>
                <w:color w:val="auto"/>
              </w:rPr>
              <w:t>46,482</w:t>
            </w:r>
          </w:p>
        </w:tc>
        <w:tc>
          <w:tcPr>
            <w:tcW w:w="580" w:type="dxa"/>
            <w:vAlign w:val="bottom"/>
            <w:gridSpan w:val="3"/>
          </w:tcPr>
          <w:p>
            <w:pPr>
              <w:jc w:val="right"/>
              <w:ind w:right="280"/>
              <w:spacing w:after="0"/>
              <w:rPr>
                <w:sz w:val="20"/>
                <w:szCs w:val="20"/>
                <w:color w:val="auto"/>
              </w:rPr>
            </w:pPr>
            <w:r>
              <w:rPr>
                <w:rFonts w:ascii="Arial Narrow" w:cs="Arial Narrow" w:eastAsia="Arial Narrow" w:hAnsi="Arial Narrow"/>
                <w:sz w:val="20"/>
                <w:szCs w:val="20"/>
                <w:b w:val="1"/>
                <w:bCs w:val="1"/>
                <w:color w:val="auto"/>
              </w:rPr>
              <w:t>$</w:t>
            </w:r>
          </w:p>
        </w:tc>
        <w:tc>
          <w:tcPr>
            <w:tcW w:w="1000" w:type="dxa"/>
            <w:vAlign w:val="bottom"/>
          </w:tcPr>
          <w:p>
            <w:pPr>
              <w:jc w:val="right"/>
              <w:ind w:right="122"/>
              <w:spacing w:after="0"/>
              <w:rPr>
                <w:sz w:val="20"/>
                <w:szCs w:val="20"/>
                <w:color w:val="auto"/>
              </w:rPr>
            </w:pPr>
            <w:r>
              <w:rPr>
                <w:rFonts w:ascii="Arial Narrow" w:cs="Arial Narrow" w:eastAsia="Arial Narrow" w:hAnsi="Arial Narrow"/>
                <w:sz w:val="20"/>
                <w:szCs w:val="20"/>
                <w:b w:val="1"/>
                <w:bCs w:val="1"/>
                <w:color w:val="auto"/>
              </w:rPr>
              <w:t>40,526</w:t>
            </w:r>
          </w:p>
        </w:tc>
        <w:tc>
          <w:tcPr>
            <w:tcW w:w="80" w:type="dxa"/>
            <w:vAlign w:val="bottom"/>
          </w:tcPr>
          <w:p>
            <w:pPr>
              <w:spacing w:after="0"/>
              <w:rPr>
                <w:sz w:val="24"/>
                <w:szCs w:val="24"/>
                <w:color w:val="auto"/>
              </w:rPr>
            </w:pPr>
          </w:p>
        </w:tc>
        <w:tc>
          <w:tcPr>
            <w:tcW w:w="160" w:type="dxa"/>
            <w:vAlign w:val="bottom"/>
            <w:gridSpan w:val="2"/>
          </w:tcPr>
          <w:p>
            <w:pPr>
              <w:jc w:val="right"/>
              <w:ind w:right="40"/>
              <w:spacing w:after="0"/>
              <w:rPr>
                <w:sz w:val="20"/>
                <w:szCs w:val="20"/>
                <w:color w:val="auto"/>
              </w:rPr>
            </w:pPr>
            <w:r>
              <w:rPr>
                <w:rFonts w:ascii="Arial Narrow" w:cs="Arial Narrow" w:eastAsia="Arial Narrow" w:hAnsi="Arial Narrow"/>
                <w:sz w:val="20"/>
                <w:szCs w:val="20"/>
                <w:b w:val="1"/>
                <w:bCs w:val="1"/>
                <w:color w:val="auto"/>
              </w:rPr>
              <w:t>$</w:t>
            </w:r>
          </w:p>
        </w:tc>
        <w:tc>
          <w:tcPr>
            <w:tcW w:w="320" w:type="dxa"/>
            <w:vAlign w:val="bottom"/>
          </w:tcPr>
          <w:p>
            <w:pPr>
              <w:spacing w:after="0"/>
              <w:rPr>
                <w:sz w:val="24"/>
                <w:szCs w:val="24"/>
                <w:color w:val="auto"/>
              </w:rPr>
            </w:pPr>
          </w:p>
        </w:tc>
        <w:tc>
          <w:tcPr>
            <w:tcW w:w="900" w:type="dxa"/>
            <w:vAlign w:val="bottom"/>
          </w:tcPr>
          <w:p>
            <w:pPr>
              <w:jc w:val="right"/>
              <w:ind w:right="82"/>
              <w:spacing w:after="0"/>
              <w:rPr>
                <w:sz w:val="20"/>
                <w:szCs w:val="20"/>
                <w:color w:val="auto"/>
              </w:rPr>
            </w:pPr>
            <w:r>
              <w:rPr>
                <w:rFonts w:ascii="Arial Narrow" w:cs="Arial Narrow" w:eastAsia="Arial Narrow" w:hAnsi="Arial Narrow"/>
                <w:sz w:val="20"/>
                <w:szCs w:val="20"/>
                <w:b w:val="1"/>
                <w:bCs w:val="1"/>
                <w:color w:val="auto"/>
              </w:rPr>
              <w:t>42,257</w:t>
            </w:r>
          </w:p>
        </w:tc>
      </w:tr>
      <w:tr>
        <w:trPr>
          <w:trHeight w:val="65"/>
        </w:trPr>
        <w:tc>
          <w:tcPr>
            <w:tcW w:w="502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r>
      <w:tr>
        <w:trPr>
          <w:trHeight w:val="20"/>
        </w:trPr>
        <w:tc>
          <w:tcPr>
            <w:tcW w:w="5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58" w:lineRule="exact"/>
        <w:rPr>
          <w:sz w:val="20"/>
          <w:szCs w:val="20"/>
          <w:color w:val="auto"/>
        </w:rPr>
      </w:pPr>
    </w:p>
    <w:p>
      <w:pPr>
        <w:ind w:right="140"/>
        <w:spacing w:after="0" w:line="292" w:lineRule="auto"/>
        <w:rPr>
          <w:sz w:val="20"/>
          <w:szCs w:val="20"/>
          <w:color w:val="auto"/>
        </w:rPr>
      </w:pPr>
      <w:r>
        <w:rPr>
          <w:rFonts w:ascii="Arial" w:cs="Arial" w:eastAsia="Arial" w:hAnsi="Arial"/>
          <w:sz w:val="20"/>
          <w:szCs w:val="20"/>
          <w:color w:val="auto"/>
        </w:rPr>
        <w:t>Interest Income includes interest earned on investments of excess Cash and Cash Equivalents. Components of Interest Expense include interest associated with the Revolving Credit Facility, Term Loan, Senior Unsecured Notes, and commitment fees based on the unused portion of the Revolving Credit Facility. Other Expenses include amortization of debt issuance costs and Revolving Credit Facility and Term Loan costs.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00085E"/>
        </w:rPr>
        <w:t>(M) PENSION AND PROFIT SHARING PLANS</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color w:val="auto"/>
        </w:rPr>
        <w:t>We offer our employees multiple retirement and profit-sharing plans.</w:t>
      </w: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085E"/>
        </w:rPr>
        <w:t>Pension Plans</w:t>
      </w:r>
    </w:p>
    <w:p>
      <w:pPr>
        <w:spacing w:after="0" w:line="161" w:lineRule="exact"/>
        <w:rPr>
          <w:sz w:val="20"/>
          <w:szCs w:val="20"/>
          <w:color w:val="auto"/>
        </w:rPr>
      </w:pPr>
    </w:p>
    <w:p>
      <w:pPr>
        <w:ind w:right="60"/>
        <w:spacing w:after="0" w:line="286" w:lineRule="auto"/>
        <w:rPr>
          <w:sz w:val="20"/>
          <w:szCs w:val="20"/>
          <w:color w:val="auto"/>
        </w:rPr>
      </w:pPr>
      <w:r>
        <w:rPr>
          <w:rFonts w:ascii="Arial" w:cs="Arial" w:eastAsia="Arial" w:hAnsi="Arial"/>
          <w:sz w:val="20"/>
          <w:szCs w:val="20"/>
          <w:color w:val="auto"/>
        </w:rPr>
        <w:t>We historically sponsored several single-employer defined benefit plans, which we merged into a single plan on March 31, 2025. This defined benefit plan, along with our defined contribution plan, covers substantially all our employees. Benefits paid under the single-employer defined benefit plans covering certain hourly employees were historically based on years of service and the employee’s qualifying compensation over the last few years of employment. These plans have been frozen to new participants and new benefits over the last several years, with the last plan frozen during fiscal 2020. Our defined benefit plan is fully funded, with plan assets exceeding the benefit obligation at March 31, 2026. Our funding policy is to generally contribute amounts to ensure our pension assets are consistent with our pension liabilities. The annual measurement date is March 31 for the benefit obligations, fair value of plan assets, and the funded status of the defined benefit plans.</w:t>
      </w:r>
    </w:p>
    <w:p>
      <w:pPr>
        <w:spacing w:after="0" w:line="79" w:lineRule="exact"/>
        <w:rPr>
          <w:sz w:val="20"/>
          <w:szCs w:val="20"/>
          <w:color w:val="auto"/>
        </w:rPr>
      </w:pPr>
    </w:p>
    <w:p>
      <w:pPr>
        <w:ind w:right="60"/>
        <w:spacing w:after="0" w:line="296" w:lineRule="auto"/>
        <w:rPr>
          <w:sz w:val="20"/>
          <w:szCs w:val="20"/>
          <w:color w:val="auto"/>
        </w:rPr>
      </w:pPr>
      <w:r>
        <w:rPr>
          <w:rFonts w:ascii="Arial" w:cs="Arial" w:eastAsia="Arial" w:hAnsi="Arial"/>
          <w:sz w:val="20"/>
          <w:szCs w:val="20"/>
          <w:color w:val="auto"/>
        </w:rPr>
        <w:t>Effective March 31, 2026, we began the process of terminating the defined benefit plan. During fiscal 2027, we expect to offer a lump-sum benefit payout option to certain plan participants prior to completing the purchase of group annuity contracts that will transfer the plan assets and pension benefit obligation to an insurance company.</w:t>
      </w:r>
    </w:p>
    <w:p>
      <w:pPr>
        <w:sectPr>
          <w:pgSz w:w="11880" w:h="15480" w:orient="portrait"/>
          <w:cols w:equalWidth="0" w:num="1">
            <w:col w:w="9360"/>
          </w:cols>
          <w:pgMar w:left="1260" w:top="1243" w:right="1260" w:bottom="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107</w:t>
      </w:r>
    </w:p>
    <w:p>
      <w:pPr>
        <w:sectPr>
          <w:pgSz w:w="11880" w:h="15480" w:orient="portrait"/>
          <w:cols w:equalWidth="0" w:num="1">
            <w:col w:w="9360"/>
          </w:cols>
          <w:pgMar w:left="1260" w:top="1243" w:right="1260" w:bottom="7" w:gutter="0" w:footer="0" w:header="0"/>
          <w:type w:val="continuous"/>
        </w:sectPr>
      </w:pPr>
    </w:p>
    <w:bookmarkStart w:id="115" w:name="page116"/>
    <w:bookmarkEnd w:id="115"/>
    <w:p>
      <w:pPr>
        <w:ind w:right="120"/>
        <w:spacing w:after="0" w:line="303" w:lineRule="auto"/>
        <w:rPr>
          <w:sz w:val="20"/>
          <w:szCs w:val="20"/>
          <w:color w:val="auto"/>
        </w:rPr>
      </w:pPr>
      <w:r>
        <w:rPr>
          <w:rFonts w:ascii="Arial" w:cs="Arial" w:eastAsia="Arial" w:hAnsi="Arial"/>
          <w:sz w:val="20"/>
          <w:szCs w:val="20"/>
          <w:color w:val="auto"/>
        </w:rPr>
        <w:t>The following table provides a reconciliation of the Benefit Obligations and Fair Values of Plan Assets for all defined benefit plans for the years ended March 31, 2026, and 2025, as well as a statement of the funded status for the same periods.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60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20" w:type="dxa"/>
            <w:vAlign w:val="bottom"/>
            <w:gridSpan w:val="4"/>
          </w:tcPr>
          <w:p>
            <w:pPr>
              <w:jc w:val="right"/>
              <w:ind w:right="581"/>
              <w:spacing w:after="0"/>
              <w:rPr>
                <w:sz w:val="20"/>
                <w:szCs w:val="20"/>
                <w:color w:val="auto"/>
              </w:rPr>
            </w:pPr>
            <w:r>
              <w:rPr>
                <w:rFonts w:ascii="Arial Narrow" w:cs="Arial Narrow" w:eastAsia="Arial Narrow" w:hAnsi="Arial Narrow"/>
                <w:sz w:val="18"/>
                <w:szCs w:val="18"/>
                <w:b w:val="1"/>
                <w:bCs w:val="1"/>
                <w:color w:val="auto"/>
              </w:rPr>
              <w:t>For the Years Ended March 31,</w:t>
            </w:r>
          </w:p>
        </w:tc>
        <w:tc>
          <w:tcPr>
            <w:tcW w:w="0" w:type="dxa"/>
            <w:vAlign w:val="bottom"/>
          </w:tcPr>
          <w:p>
            <w:pPr>
              <w:spacing w:after="0"/>
              <w:rPr>
                <w:sz w:val="1"/>
                <w:szCs w:val="1"/>
                <w:color w:val="auto"/>
              </w:rPr>
            </w:pPr>
          </w:p>
        </w:tc>
      </w:tr>
      <w:tr>
        <w:trPr>
          <w:trHeight w:val="21"/>
        </w:trPr>
        <w:tc>
          <w:tcPr>
            <w:tcW w:w="6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9"/>
        </w:trPr>
        <w:tc>
          <w:tcPr>
            <w:tcW w:w="6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jc w:val="right"/>
              <w:ind w:right="102"/>
              <w:spacing w:after="0"/>
              <w:rPr>
                <w:sz w:val="20"/>
                <w:szCs w:val="20"/>
                <w:color w:val="auto"/>
              </w:rPr>
            </w:pPr>
            <w:r>
              <w:rPr>
                <w:rFonts w:ascii="Arial Narrow" w:cs="Arial Narrow" w:eastAsia="Arial Narrow" w:hAnsi="Arial Narrow"/>
                <w:sz w:val="18"/>
                <w:szCs w:val="18"/>
                <w:b w:val="1"/>
                <w:bCs w:val="1"/>
                <w:color w:val="auto"/>
              </w:rPr>
              <w:t>2026</w:t>
            </w: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20" w:type="dxa"/>
            <w:vAlign w:val="bottom"/>
          </w:tcPr>
          <w:p>
            <w:pPr>
              <w:jc w:val="right"/>
              <w:ind w:right="101"/>
              <w:spacing w:after="0"/>
              <w:rPr>
                <w:sz w:val="20"/>
                <w:szCs w:val="20"/>
                <w:color w:val="auto"/>
              </w:rPr>
            </w:pPr>
            <w:r>
              <w:rPr>
                <w:rFonts w:ascii="Arial Narrow" w:cs="Arial Narrow" w:eastAsia="Arial Narrow" w:hAnsi="Arial Narrow"/>
                <w:sz w:val="18"/>
                <w:szCs w:val="18"/>
                <w:b w:val="1"/>
                <w:bCs w:val="1"/>
                <w:color w:val="auto"/>
              </w:rPr>
              <w:t>2025</w:t>
            </w:r>
          </w:p>
        </w:tc>
        <w:tc>
          <w:tcPr>
            <w:tcW w:w="0" w:type="dxa"/>
            <w:vAlign w:val="bottom"/>
          </w:tcPr>
          <w:p>
            <w:pPr>
              <w:spacing w:after="0"/>
              <w:rPr>
                <w:sz w:val="1"/>
                <w:szCs w:val="1"/>
                <w:color w:val="auto"/>
              </w:rPr>
            </w:pPr>
          </w:p>
        </w:tc>
      </w:tr>
      <w:tr>
        <w:trPr>
          <w:trHeight w:val="21"/>
        </w:trPr>
        <w:tc>
          <w:tcPr>
            <w:tcW w:w="6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100" w:type="dxa"/>
            <w:vAlign w:val="bottom"/>
            <w:gridSpan w:val="3"/>
          </w:tcPr>
          <w:p>
            <w:pPr>
              <w:jc w:val="right"/>
              <w:ind w:right="200"/>
              <w:spacing w:after="0"/>
              <w:rPr>
                <w:sz w:val="20"/>
                <w:szCs w:val="20"/>
                <w:color w:val="auto"/>
              </w:rPr>
            </w:pPr>
            <w:r>
              <w:rPr>
                <w:rFonts w:ascii="Arial Narrow" w:cs="Arial Narrow" w:eastAsia="Arial Narrow" w:hAnsi="Arial Narrow"/>
                <w:sz w:val="16"/>
                <w:szCs w:val="16"/>
                <w:color w:val="auto"/>
              </w:rPr>
              <w:t>(dollars in thousands)</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60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4"/>
        </w:trPr>
        <w:tc>
          <w:tcPr>
            <w:tcW w:w="6060" w:type="dxa"/>
            <w:vAlign w:val="bottom"/>
          </w:tcPr>
          <w:p>
            <w:pPr>
              <w:spacing w:after="0"/>
              <w:rPr>
                <w:sz w:val="20"/>
                <w:szCs w:val="20"/>
                <w:color w:val="auto"/>
              </w:rPr>
            </w:pPr>
            <w:r>
              <w:rPr>
                <w:rFonts w:ascii="Arial Narrow" w:cs="Arial Narrow" w:eastAsia="Arial Narrow" w:hAnsi="Arial Narrow"/>
                <w:sz w:val="20"/>
                <w:szCs w:val="20"/>
                <w:b w:val="1"/>
                <w:bCs w:val="1"/>
                <w:color w:val="auto"/>
              </w:rPr>
              <w:t>Reconciliation of Benefit Obligations</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6060" w:type="dxa"/>
            <w:vAlign w:val="bottom"/>
            <w:tcBorders>
              <w:bottom w:val="single" w:sz="8" w:color="A6A6A6"/>
            </w:tcBorders>
          </w:tcPr>
          <w:p>
            <w:pPr>
              <w:spacing w:after="0"/>
              <w:rPr>
                <w:sz w:val="5"/>
                <w:szCs w:val="5"/>
                <w:color w:val="auto"/>
              </w:rPr>
            </w:pPr>
          </w:p>
        </w:tc>
        <w:tc>
          <w:tcPr>
            <w:tcW w:w="280" w:type="dxa"/>
            <w:vAlign w:val="bottom"/>
            <w:tcBorders>
              <w:bottom w:val="single" w:sz="8" w:color="A6A6A6"/>
            </w:tcBorders>
          </w:tcPr>
          <w:p>
            <w:pPr>
              <w:spacing w:after="0"/>
              <w:rPr>
                <w:sz w:val="5"/>
                <w:szCs w:val="5"/>
                <w:color w:val="auto"/>
              </w:rPr>
            </w:pPr>
          </w:p>
        </w:tc>
        <w:tc>
          <w:tcPr>
            <w:tcW w:w="1260" w:type="dxa"/>
            <w:vAlign w:val="bottom"/>
            <w:tcBorders>
              <w:bottom w:val="single" w:sz="8" w:color="A6A6A6"/>
            </w:tcBorders>
          </w:tcPr>
          <w:p>
            <w:pPr>
              <w:spacing w:after="0"/>
              <w:rPr>
                <w:sz w:val="5"/>
                <w:szCs w:val="5"/>
                <w:color w:val="auto"/>
              </w:rPr>
            </w:pPr>
          </w:p>
        </w:tc>
        <w:tc>
          <w:tcPr>
            <w:tcW w:w="840" w:type="dxa"/>
            <w:vAlign w:val="bottom"/>
            <w:tcBorders>
              <w:bottom w:val="single" w:sz="8" w:color="A6A6A6"/>
            </w:tcBorders>
            <w:gridSpan w:val="2"/>
          </w:tcPr>
          <w:p>
            <w:pPr>
              <w:spacing w:after="0"/>
              <w:rPr>
                <w:sz w:val="5"/>
                <w:szCs w:val="5"/>
                <w:color w:val="auto"/>
              </w:rPr>
            </w:pPr>
          </w:p>
        </w:tc>
        <w:tc>
          <w:tcPr>
            <w:tcW w:w="92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6060" w:type="dxa"/>
            <w:vAlign w:val="bottom"/>
          </w:tcPr>
          <w:p>
            <w:pPr>
              <w:ind w:left="200"/>
              <w:spacing w:after="0"/>
              <w:rPr>
                <w:sz w:val="20"/>
                <w:szCs w:val="20"/>
                <w:color w:val="auto"/>
              </w:rPr>
            </w:pPr>
            <w:r>
              <w:rPr>
                <w:rFonts w:ascii="Arial Narrow" w:cs="Arial Narrow" w:eastAsia="Arial Narrow" w:hAnsi="Arial Narrow"/>
                <w:sz w:val="20"/>
                <w:szCs w:val="20"/>
                <w:b w:val="1"/>
                <w:bCs w:val="1"/>
                <w:color w:val="00085E"/>
              </w:rPr>
              <w:t>Benefit Obligation at April 1,</w:t>
            </w:r>
          </w:p>
        </w:tc>
        <w:tc>
          <w:tcPr>
            <w:tcW w:w="280" w:type="dxa"/>
            <w:vAlign w:val="bottom"/>
          </w:tcPr>
          <w:p>
            <w:pPr>
              <w:jc w:val="right"/>
              <w:ind w:right="110"/>
              <w:spacing w:after="0"/>
              <w:rPr>
                <w:sz w:val="20"/>
                <w:szCs w:val="20"/>
                <w:color w:val="auto"/>
              </w:rPr>
            </w:pPr>
            <w:r>
              <w:rPr>
                <w:rFonts w:ascii="Arial Narrow" w:cs="Arial Narrow" w:eastAsia="Arial Narrow" w:hAnsi="Arial Narrow"/>
                <w:sz w:val="18"/>
                <w:szCs w:val="18"/>
                <w:color w:val="auto"/>
                <w:w w:val="72"/>
              </w:rPr>
              <w:t>$</w:t>
            </w:r>
          </w:p>
        </w:tc>
        <w:tc>
          <w:tcPr>
            <w:tcW w:w="1260" w:type="dxa"/>
            <w:vAlign w:val="bottom"/>
          </w:tcPr>
          <w:p>
            <w:pPr>
              <w:jc w:val="right"/>
              <w:ind w:right="102"/>
              <w:spacing w:after="0"/>
              <w:rPr>
                <w:sz w:val="20"/>
                <w:szCs w:val="20"/>
                <w:color w:val="auto"/>
              </w:rPr>
            </w:pPr>
            <w:r>
              <w:rPr>
                <w:rFonts w:ascii="Arial Narrow" w:cs="Arial Narrow" w:eastAsia="Arial Narrow" w:hAnsi="Arial Narrow"/>
                <w:sz w:val="20"/>
                <w:szCs w:val="20"/>
                <w:color w:val="auto"/>
              </w:rPr>
              <w:t>27,283</w:t>
            </w:r>
          </w:p>
        </w:tc>
        <w:tc>
          <w:tcPr>
            <w:tcW w:w="840" w:type="dxa"/>
            <w:vAlign w:val="bottom"/>
            <w:gridSpan w:val="2"/>
          </w:tcPr>
          <w:p>
            <w:pPr>
              <w:jc w:val="right"/>
              <w:ind w:right="600"/>
              <w:spacing w:after="0"/>
              <w:rPr>
                <w:sz w:val="20"/>
                <w:szCs w:val="20"/>
                <w:color w:val="auto"/>
              </w:rPr>
            </w:pPr>
            <w:r>
              <w:rPr>
                <w:rFonts w:ascii="Arial Narrow" w:cs="Arial Narrow" w:eastAsia="Arial Narrow" w:hAnsi="Arial Narrow"/>
                <w:sz w:val="20"/>
                <w:szCs w:val="20"/>
                <w:color w:val="auto"/>
              </w:rPr>
              <w:t>$</w:t>
            </w:r>
          </w:p>
        </w:tc>
        <w:tc>
          <w:tcPr>
            <w:tcW w:w="920" w:type="dxa"/>
            <w:vAlign w:val="bottom"/>
          </w:tcPr>
          <w:p>
            <w:pPr>
              <w:jc w:val="right"/>
              <w:ind w:right="101"/>
              <w:spacing w:after="0"/>
              <w:rPr>
                <w:sz w:val="20"/>
                <w:szCs w:val="20"/>
                <w:color w:val="auto"/>
              </w:rPr>
            </w:pPr>
            <w:r>
              <w:rPr>
                <w:rFonts w:ascii="Arial Narrow" w:cs="Arial Narrow" w:eastAsia="Arial Narrow" w:hAnsi="Arial Narrow"/>
                <w:sz w:val="20"/>
                <w:szCs w:val="20"/>
                <w:color w:val="auto"/>
              </w:rPr>
              <w:t>28,130</w:t>
            </w:r>
          </w:p>
        </w:tc>
        <w:tc>
          <w:tcPr>
            <w:tcW w:w="0" w:type="dxa"/>
            <w:vAlign w:val="bottom"/>
          </w:tcPr>
          <w:p>
            <w:pPr>
              <w:spacing w:after="0"/>
              <w:rPr>
                <w:sz w:val="1"/>
                <w:szCs w:val="1"/>
                <w:color w:val="auto"/>
              </w:rPr>
            </w:pPr>
          </w:p>
        </w:tc>
      </w:tr>
      <w:tr>
        <w:trPr>
          <w:trHeight w:val="65"/>
        </w:trPr>
        <w:tc>
          <w:tcPr>
            <w:tcW w:w="6060" w:type="dxa"/>
            <w:vAlign w:val="bottom"/>
            <w:tcBorders>
              <w:bottom w:val="single" w:sz="8" w:color="A6A6A6"/>
            </w:tcBorders>
          </w:tcPr>
          <w:p>
            <w:pPr>
              <w:spacing w:after="0"/>
              <w:rPr>
                <w:sz w:val="5"/>
                <w:szCs w:val="5"/>
                <w:color w:val="auto"/>
              </w:rPr>
            </w:pPr>
          </w:p>
        </w:tc>
        <w:tc>
          <w:tcPr>
            <w:tcW w:w="280" w:type="dxa"/>
            <w:vAlign w:val="bottom"/>
            <w:tcBorders>
              <w:bottom w:val="single" w:sz="8" w:color="A6A6A6"/>
            </w:tcBorders>
          </w:tcPr>
          <w:p>
            <w:pPr>
              <w:spacing w:after="0"/>
              <w:rPr>
                <w:sz w:val="5"/>
                <w:szCs w:val="5"/>
                <w:color w:val="auto"/>
              </w:rPr>
            </w:pPr>
          </w:p>
        </w:tc>
        <w:tc>
          <w:tcPr>
            <w:tcW w:w="126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680" w:type="dxa"/>
            <w:vAlign w:val="bottom"/>
            <w:tcBorders>
              <w:bottom w:val="single" w:sz="8" w:color="A6A6A6"/>
            </w:tcBorders>
          </w:tcPr>
          <w:p>
            <w:pPr>
              <w:spacing w:after="0"/>
              <w:rPr>
                <w:sz w:val="5"/>
                <w:szCs w:val="5"/>
                <w:color w:val="auto"/>
              </w:rPr>
            </w:pPr>
          </w:p>
        </w:tc>
        <w:tc>
          <w:tcPr>
            <w:tcW w:w="92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6060" w:type="dxa"/>
            <w:vAlign w:val="bottom"/>
          </w:tcPr>
          <w:p>
            <w:pPr>
              <w:ind w:left="200"/>
              <w:spacing w:after="0"/>
              <w:rPr>
                <w:sz w:val="20"/>
                <w:szCs w:val="20"/>
                <w:color w:val="auto"/>
              </w:rPr>
            </w:pPr>
            <w:r>
              <w:rPr>
                <w:rFonts w:ascii="Arial Narrow" w:cs="Arial Narrow" w:eastAsia="Arial Narrow" w:hAnsi="Arial Narrow"/>
                <w:sz w:val="20"/>
                <w:szCs w:val="20"/>
                <w:b w:val="1"/>
                <w:bCs w:val="1"/>
                <w:color w:val="00085E"/>
              </w:rPr>
              <w:t>Interest Cost on Projected Benefit Obligation</w:t>
            </w:r>
          </w:p>
        </w:tc>
        <w:tc>
          <w:tcPr>
            <w:tcW w:w="280" w:type="dxa"/>
            <w:vAlign w:val="bottom"/>
          </w:tcPr>
          <w:p>
            <w:pPr>
              <w:spacing w:after="0"/>
              <w:rPr>
                <w:sz w:val="24"/>
                <w:szCs w:val="24"/>
                <w:color w:val="auto"/>
              </w:rPr>
            </w:pPr>
          </w:p>
        </w:tc>
        <w:tc>
          <w:tcPr>
            <w:tcW w:w="1260" w:type="dxa"/>
            <w:vAlign w:val="bottom"/>
          </w:tcPr>
          <w:p>
            <w:pPr>
              <w:jc w:val="right"/>
              <w:ind w:right="102"/>
              <w:spacing w:after="0"/>
              <w:rPr>
                <w:sz w:val="20"/>
                <w:szCs w:val="20"/>
                <w:color w:val="auto"/>
              </w:rPr>
            </w:pPr>
            <w:r>
              <w:rPr>
                <w:rFonts w:ascii="Arial Narrow" w:cs="Arial Narrow" w:eastAsia="Arial Narrow" w:hAnsi="Arial Narrow"/>
                <w:sz w:val="20"/>
                <w:szCs w:val="20"/>
                <w:color w:val="auto"/>
              </w:rPr>
              <w:t>1,457</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jc w:val="right"/>
              <w:ind w:right="101"/>
              <w:spacing w:after="0"/>
              <w:rPr>
                <w:sz w:val="20"/>
                <w:szCs w:val="20"/>
                <w:color w:val="auto"/>
              </w:rPr>
            </w:pPr>
            <w:r>
              <w:rPr>
                <w:rFonts w:ascii="Arial Narrow" w:cs="Arial Narrow" w:eastAsia="Arial Narrow" w:hAnsi="Arial Narrow"/>
                <w:sz w:val="20"/>
                <w:szCs w:val="20"/>
                <w:color w:val="auto"/>
              </w:rPr>
              <w:t>1,434</w:t>
            </w:r>
          </w:p>
        </w:tc>
        <w:tc>
          <w:tcPr>
            <w:tcW w:w="0" w:type="dxa"/>
            <w:vAlign w:val="bottom"/>
          </w:tcPr>
          <w:p>
            <w:pPr>
              <w:spacing w:after="0"/>
              <w:rPr>
                <w:sz w:val="1"/>
                <w:szCs w:val="1"/>
                <w:color w:val="auto"/>
              </w:rPr>
            </w:pPr>
          </w:p>
        </w:tc>
      </w:tr>
      <w:tr>
        <w:trPr>
          <w:trHeight w:val="65"/>
        </w:trPr>
        <w:tc>
          <w:tcPr>
            <w:tcW w:w="6060" w:type="dxa"/>
            <w:vAlign w:val="bottom"/>
            <w:tcBorders>
              <w:bottom w:val="single" w:sz="8" w:color="A6A6A6"/>
            </w:tcBorders>
          </w:tcPr>
          <w:p>
            <w:pPr>
              <w:spacing w:after="0"/>
              <w:rPr>
                <w:sz w:val="5"/>
                <w:szCs w:val="5"/>
                <w:color w:val="auto"/>
              </w:rPr>
            </w:pPr>
          </w:p>
        </w:tc>
        <w:tc>
          <w:tcPr>
            <w:tcW w:w="280" w:type="dxa"/>
            <w:vAlign w:val="bottom"/>
            <w:tcBorders>
              <w:bottom w:val="single" w:sz="8" w:color="A6A6A6"/>
            </w:tcBorders>
          </w:tcPr>
          <w:p>
            <w:pPr>
              <w:spacing w:after="0"/>
              <w:rPr>
                <w:sz w:val="5"/>
                <w:szCs w:val="5"/>
                <w:color w:val="auto"/>
              </w:rPr>
            </w:pPr>
          </w:p>
        </w:tc>
        <w:tc>
          <w:tcPr>
            <w:tcW w:w="126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680" w:type="dxa"/>
            <w:vAlign w:val="bottom"/>
            <w:tcBorders>
              <w:bottom w:val="single" w:sz="8" w:color="A6A6A6"/>
            </w:tcBorders>
          </w:tcPr>
          <w:p>
            <w:pPr>
              <w:spacing w:after="0"/>
              <w:rPr>
                <w:sz w:val="5"/>
                <w:szCs w:val="5"/>
                <w:color w:val="auto"/>
              </w:rPr>
            </w:pPr>
          </w:p>
        </w:tc>
        <w:tc>
          <w:tcPr>
            <w:tcW w:w="92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6060" w:type="dxa"/>
            <w:vAlign w:val="bottom"/>
          </w:tcPr>
          <w:p>
            <w:pPr>
              <w:ind w:left="200"/>
              <w:spacing w:after="0"/>
              <w:rPr>
                <w:sz w:val="20"/>
                <w:szCs w:val="20"/>
                <w:color w:val="auto"/>
              </w:rPr>
            </w:pPr>
            <w:r>
              <w:rPr>
                <w:rFonts w:ascii="Arial Narrow" w:cs="Arial Narrow" w:eastAsia="Arial Narrow" w:hAnsi="Arial Narrow"/>
                <w:sz w:val="20"/>
                <w:szCs w:val="20"/>
                <w:b w:val="1"/>
                <w:bCs w:val="1"/>
                <w:color w:val="00085E"/>
              </w:rPr>
              <w:t>Actuarial (Gain) Loss</w:t>
            </w:r>
          </w:p>
        </w:tc>
        <w:tc>
          <w:tcPr>
            <w:tcW w:w="280" w:type="dxa"/>
            <w:vAlign w:val="bottom"/>
          </w:tcPr>
          <w:p>
            <w:pPr>
              <w:spacing w:after="0"/>
              <w:rPr>
                <w:sz w:val="24"/>
                <w:szCs w:val="24"/>
                <w:color w:val="auto"/>
              </w:rPr>
            </w:pPr>
          </w:p>
        </w:tc>
        <w:tc>
          <w:tcPr>
            <w:tcW w:w="1260" w:type="dxa"/>
            <w:vAlign w:val="bottom"/>
          </w:tcPr>
          <w:p>
            <w:pPr>
              <w:jc w:val="right"/>
              <w:ind w:right="102"/>
              <w:spacing w:after="0"/>
              <w:rPr>
                <w:sz w:val="20"/>
                <w:szCs w:val="20"/>
                <w:color w:val="auto"/>
              </w:rPr>
            </w:pPr>
            <w:r>
              <w:rPr>
                <w:rFonts w:ascii="Arial Narrow" w:cs="Arial Narrow" w:eastAsia="Arial Narrow" w:hAnsi="Arial Narrow"/>
                <w:sz w:val="20"/>
                <w:szCs w:val="20"/>
                <w:color w:val="auto"/>
              </w:rPr>
              <w:t>1,453</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jc w:val="right"/>
              <w:ind w:right="21"/>
              <w:spacing w:after="0"/>
              <w:rPr>
                <w:sz w:val="20"/>
                <w:szCs w:val="20"/>
                <w:color w:val="auto"/>
              </w:rPr>
            </w:pPr>
            <w:r>
              <w:rPr>
                <w:rFonts w:ascii="Arial Narrow" w:cs="Arial Narrow" w:eastAsia="Arial Narrow" w:hAnsi="Arial Narrow"/>
                <w:sz w:val="20"/>
                <w:szCs w:val="20"/>
                <w:color w:val="auto"/>
              </w:rPr>
              <w:t>(612)</w:t>
            </w:r>
          </w:p>
        </w:tc>
        <w:tc>
          <w:tcPr>
            <w:tcW w:w="0" w:type="dxa"/>
            <w:vAlign w:val="bottom"/>
          </w:tcPr>
          <w:p>
            <w:pPr>
              <w:spacing w:after="0"/>
              <w:rPr>
                <w:sz w:val="1"/>
                <w:szCs w:val="1"/>
                <w:color w:val="auto"/>
              </w:rPr>
            </w:pPr>
          </w:p>
        </w:tc>
      </w:tr>
      <w:tr>
        <w:trPr>
          <w:trHeight w:val="65"/>
        </w:trPr>
        <w:tc>
          <w:tcPr>
            <w:tcW w:w="6060" w:type="dxa"/>
            <w:vAlign w:val="bottom"/>
            <w:tcBorders>
              <w:bottom w:val="single" w:sz="8" w:color="A6A6A6"/>
            </w:tcBorders>
          </w:tcPr>
          <w:p>
            <w:pPr>
              <w:spacing w:after="0"/>
              <w:rPr>
                <w:sz w:val="5"/>
                <w:szCs w:val="5"/>
                <w:color w:val="auto"/>
              </w:rPr>
            </w:pPr>
          </w:p>
        </w:tc>
        <w:tc>
          <w:tcPr>
            <w:tcW w:w="280" w:type="dxa"/>
            <w:vAlign w:val="bottom"/>
            <w:tcBorders>
              <w:bottom w:val="single" w:sz="8" w:color="A6A6A6"/>
            </w:tcBorders>
          </w:tcPr>
          <w:p>
            <w:pPr>
              <w:spacing w:after="0"/>
              <w:rPr>
                <w:sz w:val="5"/>
                <w:szCs w:val="5"/>
                <w:color w:val="auto"/>
              </w:rPr>
            </w:pPr>
          </w:p>
        </w:tc>
        <w:tc>
          <w:tcPr>
            <w:tcW w:w="126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680" w:type="dxa"/>
            <w:vAlign w:val="bottom"/>
            <w:tcBorders>
              <w:bottom w:val="single" w:sz="8" w:color="A6A6A6"/>
            </w:tcBorders>
          </w:tcPr>
          <w:p>
            <w:pPr>
              <w:spacing w:after="0"/>
              <w:rPr>
                <w:sz w:val="5"/>
                <w:szCs w:val="5"/>
                <w:color w:val="auto"/>
              </w:rPr>
            </w:pPr>
          </w:p>
        </w:tc>
        <w:tc>
          <w:tcPr>
            <w:tcW w:w="92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6060" w:type="dxa"/>
            <w:vAlign w:val="bottom"/>
          </w:tcPr>
          <w:p>
            <w:pPr>
              <w:ind w:left="200"/>
              <w:spacing w:after="0"/>
              <w:rPr>
                <w:sz w:val="20"/>
                <w:szCs w:val="20"/>
                <w:color w:val="auto"/>
              </w:rPr>
            </w:pPr>
            <w:r>
              <w:rPr>
                <w:rFonts w:ascii="Arial Narrow" w:cs="Arial Narrow" w:eastAsia="Arial Narrow" w:hAnsi="Arial Narrow"/>
                <w:sz w:val="20"/>
                <w:szCs w:val="20"/>
                <w:b w:val="1"/>
                <w:bCs w:val="1"/>
                <w:color w:val="00085E"/>
              </w:rPr>
              <w:t>Benefits Paid</w:t>
            </w:r>
          </w:p>
        </w:tc>
        <w:tc>
          <w:tcPr>
            <w:tcW w:w="280" w:type="dxa"/>
            <w:vAlign w:val="bottom"/>
          </w:tcPr>
          <w:p>
            <w:pPr>
              <w:spacing w:after="0"/>
              <w:rPr>
                <w:sz w:val="24"/>
                <w:szCs w:val="24"/>
                <w:color w:val="auto"/>
              </w:rPr>
            </w:pPr>
          </w:p>
        </w:tc>
        <w:tc>
          <w:tcPr>
            <w:tcW w:w="1260" w:type="dxa"/>
            <w:vAlign w:val="bottom"/>
          </w:tcPr>
          <w:p>
            <w:pPr>
              <w:jc w:val="right"/>
              <w:ind w:right="42"/>
              <w:spacing w:after="0"/>
              <w:rPr>
                <w:sz w:val="20"/>
                <w:szCs w:val="20"/>
                <w:color w:val="auto"/>
              </w:rPr>
            </w:pPr>
            <w:r>
              <w:rPr>
                <w:rFonts w:ascii="Arial Narrow" w:cs="Arial Narrow" w:eastAsia="Arial Narrow" w:hAnsi="Arial Narrow"/>
                <w:sz w:val="20"/>
                <w:szCs w:val="20"/>
                <w:color w:val="auto"/>
              </w:rPr>
              <w:t>(1,892)</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jc w:val="right"/>
              <w:ind w:right="21"/>
              <w:spacing w:after="0"/>
              <w:rPr>
                <w:sz w:val="20"/>
                <w:szCs w:val="20"/>
                <w:color w:val="auto"/>
              </w:rPr>
            </w:pPr>
            <w:r>
              <w:rPr>
                <w:rFonts w:ascii="Arial Narrow" w:cs="Arial Narrow" w:eastAsia="Arial Narrow" w:hAnsi="Arial Narrow"/>
                <w:sz w:val="20"/>
                <w:szCs w:val="20"/>
                <w:color w:val="auto"/>
              </w:rPr>
              <w:t>(1,669)</w:t>
            </w:r>
          </w:p>
        </w:tc>
        <w:tc>
          <w:tcPr>
            <w:tcW w:w="0" w:type="dxa"/>
            <w:vAlign w:val="bottom"/>
          </w:tcPr>
          <w:p>
            <w:pPr>
              <w:spacing w:after="0"/>
              <w:rPr>
                <w:sz w:val="1"/>
                <w:szCs w:val="1"/>
                <w:color w:val="auto"/>
              </w:rPr>
            </w:pPr>
          </w:p>
        </w:tc>
      </w:tr>
      <w:tr>
        <w:trPr>
          <w:trHeight w:val="90"/>
        </w:trPr>
        <w:tc>
          <w:tcPr>
            <w:tcW w:w="6060" w:type="dxa"/>
            <w:vAlign w:val="bottom"/>
            <w:tcBorders>
              <w:bottom w:val="single" w:sz="8" w:color="A6A6A6"/>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4"/>
        </w:trPr>
        <w:tc>
          <w:tcPr>
            <w:tcW w:w="6060" w:type="dxa"/>
            <w:vAlign w:val="bottom"/>
          </w:tcPr>
          <w:p>
            <w:pPr>
              <w:ind w:left="400"/>
              <w:spacing w:after="0"/>
              <w:rPr>
                <w:sz w:val="20"/>
                <w:szCs w:val="20"/>
                <w:color w:val="auto"/>
              </w:rPr>
            </w:pPr>
            <w:r>
              <w:rPr>
                <w:rFonts w:ascii="Arial Narrow" w:cs="Arial Narrow" w:eastAsia="Arial Narrow" w:hAnsi="Arial Narrow"/>
                <w:sz w:val="20"/>
                <w:szCs w:val="20"/>
                <w:b w:val="1"/>
                <w:bCs w:val="1"/>
                <w:color w:val="00085E"/>
              </w:rPr>
              <w:t>Benefit Obligation at March 31,</w:t>
            </w:r>
          </w:p>
        </w:tc>
        <w:tc>
          <w:tcPr>
            <w:tcW w:w="280" w:type="dxa"/>
            <w:vAlign w:val="bottom"/>
          </w:tcPr>
          <w:p>
            <w:pPr>
              <w:jc w:val="right"/>
              <w:ind w:right="110"/>
              <w:spacing w:after="0"/>
              <w:rPr>
                <w:sz w:val="20"/>
                <w:szCs w:val="20"/>
                <w:color w:val="auto"/>
              </w:rPr>
            </w:pPr>
            <w:r>
              <w:rPr>
                <w:rFonts w:ascii="Arial Narrow" w:cs="Arial Narrow" w:eastAsia="Arial Narrow" w:hAnsi="Arial Narrow"/>
                <w:sz w:val="18"/>
                <w:szCs w:val="18"/>
                <w:color w:val="auto"/>
                <w:w w:val="72"/>
              </w:rPr>
              <w:t>$</w:t>
            </w:r>
          </w:p>
        </w:tc>
        <w:tc>
          <w:tcPr>
            <w:tcW w:w="1260" w:type="dxa"/>
            <w:vAlign w:val="bottom"/>
          </w:tcPr>
          <w:p>
            <w:pPr>
              <w:jc w:val="right"/>
              <w:ind w:right="102"/>
              <w:spacing w:after="0"/>
              <w:rPr>
                <w:sz w:val="20"/>
                <w:szCs w:val="20"/>
                <w:color w:val="auto"/>
              </w:rPr>
            </w:pPr>
            <w:r>
              <w:rPr>
                <w:rFonts w:ascii="Arial Narrow" w:cs="Arial Narrow" w:eastAsia="Arial Narrow" w:hAnsi="Arial Narrow"/>
                <w:sz w:val="20"/>
                <w:szCs w:val="20"/>
                <w:color w:val="auto"/>
              </w:rPr>
              <w:t>28,301</w:t>
            </w:r>
          </w:p>
        </w:tc>
        <w:tc>
          <w:tcPr>
            <w:tcW w:w="840" w:type="dxa"/>
            <w:vAlign w:val="bottom"/>
            <w:gridSpan w:val="2"/>
          </w:tcPr>
          <w:p>
            <w:pPr>
              <w:jc w:val="right"/>
              <w:ind w:right="600"/>
              <w:spacing w:after="0"/>
              <w:rPr>
                <w:sz w:val="20"/>
                <w:szCs w:val="20"/>
                <w:color w:val="auto"/>
              </w:rPr>
            </w:pPr>
            <w:r>
              <w:rPr>
                <w:rFonts w:ascii="Arial Narrow" w:cs="Arial Narrow" w:eastAsia="Arial Narrow" w:hAnsi="Arial Narrow"/>
                <w:sz w:val="20"/>
                <w:szCs w:val="20"/>
                <w:color w:val="auto"/>
              </w:rPr>
              <w:t>$</w:t>
            </w:r>
          </w:p>
        </w:tc>
        <w:tc>
          <w:tcPr>
            <w:tcW w:w="920" w:type="dxa"/>
            <w:vAlign w:val="bottom"/>
          </w:tcPr>
          <w:p>
            <w:pPr>
              <w:jc w:val="right"/>
              <w:ind w:right="101"/>
              <w:spacing w:after="0"/>
              <w:rPr>
                <w:sz w:val="20"/>
                <w:szCs w:val="20"/>
                <w:color w:val="auto"/>
              </w:rPr>
            </w:pPr>
            <w:r>
              <w:rPr>
                <w:rFonts w:ascii="Arial Narrow" w:cs="Arial Narrow" w:eastAsia="Arial Narrow" w:hAnsi="Arial Narrow"/>
                <w:sz w:val="20"/>
                <w:szCs w:val="20"/>
                <w:color w:val="auto"/>
              </w:rPr>
              <w:t>27,283</w:t>
            </w:r>
          </w:p>
        </w:tc>
        <w:tc>
          <w:tcPr>
            <w:tcW w:w="0" w:type="dxa"/>
            <w:vAlign w:val="bottom"/>
          </w:tcPr>
          <w:p>
            <w:pPr>
              <w:spacing w:after="0"/>
              <w:rPr>
                <w:sz w:val="1"/>
                <w:szCs w:val="1"/>
                <w:color w:val="auto"/>
              </w:rPr>
            </w:pPr>
          </w:p>
        </w:tc>
      </w:tr>
      <w:tr>
        <w:trPr>
          <w:trHeight w:val="90"/>
        </w:trPr>
        <w:tc>
          <w:tcPr>
            <w:tcW w:w="6060" w:type="dxa"/>
            <w:vAlign w:val="bottom"/>
            <w:tcBorders>
              <w:bottom w:val="single" w:sz="8" w:color="A6A6A6"/>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4"/>
        </w:trPr>
        <w:tc>
          <w:tcPr>
            <w:tcW w:w="6060" w:type="dxa"/>
            <w:vAlign w:val="bottom"/>
          </w:tcPr>
          <w:p>
            <w:pPr>
              <w:spacing w:after="0"/>
              <w:rPr>
                <w:sz w:val="20"/>
                <w:szCs w:val="20"/>
                <w:color w:val="auto"/>
              </w:rPr>
            </w:pPr>
            <w:r>
              <w:rPr>
                <w:rFonts w:ascii="Arial Narrow" w:cs="Arial Narrow" w:eastAsia="Arial Narrow" w:hAnsi="Arial Narrow"/>
                <w:sz w:val="20"/>
                <w:szCs w:val="20"/>
                <w:b w:val="1"/>
                <w:bCs w:val="1"/>
                <w:color w:val="auto"/>
              </w:rPr>
              <w:t>Reconciliation of Fair Value of Plan Assets</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6060" w:type="dxa"/>
            <w:vAlign w:val="bottom"/>
            <w:tcBorders>
              <w:bottom w:val="single" w:sz="8" w:color="A6A6A6"/>
            </w:tcBorders>
          </w:tcPr>
          <w:p>
            <w:pPr>
              <w:spacing w:after="0"/>
              <w:rPr>
                <w:sz w:val="5"/>
                <w:szCs w:val="5"/>
                <w:color w:val="auto"/>
              </w:rPr>
            </w:pPr>
          </w:p>
        </w:tc>
        <w:tc>
          <w:tcPr>
            <w:tcW w:w="280" w:type="dxa"/>
            <w:vAlign w:val="bottom"/>
            <w:tcBorders>
              <w:bottom w:val="single" w:sz="8" w:color="A6A6A6"/>
            </w:tcBorders>
          </w:tcPr>
          <w:p>
            <w:pPr>
              <w:spacing w:after="0"/>
              <w:rPr>
                <w:sz w:val="5"/>
                <w:szCs w:val="5"/>
                <w:color w:val="auto"/>
              </w:rPr>
            </w:pPr>
          </w:p>
        </w:tc>
        <w:tc>
          <w:tcPr>
            <w:tcW w:w="1260" w:type="dxa"/>
            <w:vAlign w:val="bottom"/>
            <w:tcBorders>
              <w:bottom w:val="single" w:sz="8" w:color="A6A6A6"/>
            </w:tcBorders>
          </w:tcPr>
          <w:p>
            <w:pPr>
              <w:spacing w:after="0"/>
              <w:rPr>
                <w:sz w:val="5"/>
                <w:szCs w:val="5"/>
                <w:color w:val="auto"/>
              </w:rPr>
            </w:pPr>
          </w:p>
        </w:tc>
        <w:tc>
          <w:tcPr>
            <w:tcW w:w="840" w:type="dxa"/>
            <w:vAlign w:val="bottom"/>
            <w:tcBorders>
              <w:bottom w:val="single" w:sz="8" w:color="A6A6A6"/>
            </w:tcBorders>
            <w:gridSpan w:val="2"/>
          </w:tcPr>
          <w:p>
            <w:pPr>
              <w:spacing w:after="0"/>
              <w:rPr>
                <w:sz w:val="5"/>
                <w:szCs w:val="5"/>
                <w:color w:val="auto"/>
              </w:rPr>
            </w:pPr>
          </w:p>
        </w:tc>
        <w:tc>
          <w:tcPr>
            <w:tcW w:w="92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6060" w:type="dxa"/>
            <w:vAlign w:val="bottom"/>
          </w:tcPr>
          <w:p>
            <w:pPr>
              <w:ind w:left="200"/>
              <w:spacing w:after="0"/>
              <w:rPr>
                <w:sz w:val="20"/>
                <w:szCs w:val="20"/>
                <w:color w:val="auto"/>
              </w:rPr>
            </w:pPr>
            <w:r>
              <w:rPr>
                <w:rFonts w:ascii="Arial Narrow" w:cs="Arial Narrow" w:eastAsia="Arial Narrow" w:hAnsi="Arial Narrow"/>
                <w:sz w:val="20"/>
                <w:szCs w:val="20"/>
                <w:b w:val="1"/>
                <w:bCs w:val="1"/>
                <w:color w:val="00085E"/>
              </w:rPr>
              <w:t>Fair Value of Plan Assets at April 1,</w:t>
            </w:r>
          </w:p>
        </w:tc>
        <w:tc>
          <w:tcPr>
            <w:tcW w:w="280" w:type="dxa"/>
            <w:vAlign w:val="bottom"/>
          </w:tcPr>
          <w:p>
            <w:pPr>
              <w:jc w:val="right"/>
              <w:ind w:right="110"/>
              <w:spacing w:after="0"/>
              <w:rPr>
                <w:sz w:val="20"/>
                <w:szCs w:val="20"/>
                <w:color w:val="auto"/>
              </w:rPr>
            </w:pPr>
            <w:r>
              <w:rPr>
                <w:rFonts w:ascii="Arial Narrow" w:cs="Arial Narrow" w:eastAsia="Arial Narrow" w:hAnsi="Arial Narrow"/>
                <w:sz w:val="18"/>
                <w:szCs w:val="18"/>
                <w:color w:val="auto"/>
                <w:w w:val="72"/>
              </w:rPr>
              <w:t>$</w:t>
            </w:r>
          </w:p>
        </w:tc>
        <w:tc>
          <w:tcPr>
            <w:tcW w:w="1260" w:type="dxa"/>
            <w:vAlign w:val="bottom"/>
          </w:tcPr>
          <w:p>
            <w:pPr>
              <w:jc w:val="right"/>
              <w:ind w:right="102"/>
              <w:spacing w:after="0"/>
              <w:rPr>
                <w:sz w:val="20"/>
                <w:szCs w:val="20"/>
                <w:color w:val="auto"/>
              </w:rPr>
            </w:pPr>
            <w:r>
              <w:rPr>
                <w:rFonts w:ascii="Arial Narrow" w:cs="Arial Narrow" w:eastAsia="Arial Narrow" w:hAnsi="Arial Narrow"/>
                <w:sz w:val="20"/>
                <w:szCs w:val="20"/>
                <w:color w:val="auto"/>
              </w:rPr>
              <w:t>29,492</w:t>
            </w:r>
          </w:p>
        </w:tc>
        <w:tc>
          <w:tcPr>
            <w:tcW w:w="840" w:type="dxa"/>
            <w:vAlign w:val="bottom"/>
            <w:gridSpan w:val="2"/>
          </w:tcPr>
          <w:p>
            <w:pPr>
              <w:jc w:val="right"/>
              <w:ind w:right="600"/>
              <w:spacing w:after="0"/>
              <w:rPr>
                <w:sz w:val="20"/>
                <w:szCs w:val="20"/>
                <w:color w:val="auto"/>
              </w:rPr>
            </w:pPr>
            <w:r>
              <w:rPr>
                <w:rFonts w:ascii="Arial Narrow" w:cs="Arial Narrow" w:eastAsia="Arial Narrow" w:hAnsi="Arial Narrow"/>
                <w:sz w:val="20"/>
                <w:szCs w:val="20"/>
                <w:color w:val="auto"/>
              </w:rPr>
              <w:t>$</w:t>
            </w:r>
          </w:p>
        </w:tc>
        <w:tc>
          <w:tcPr>
            <w:tcW w:w="920" w:type="dxa"/>
            <w:vAlign w:val="bottom"/>
          </w:tcPr>
          <w:p>
            <w:pPr>
              <w:jc w:val="right"/>
              <w:ind w:right="101"/>
              <w:spacing w:after="0"/>
              <w:rPr>
                <w:sz w:val="20"/>
                <w:szCs w:val="20"/>
                <w:color w:val="auto"/>
              </w:rPr>
            </w:pPr>
            <w:r>
              <w:rPr>
                <w:rFonts w:ascii="Arial Narrow" w:cs="Arial Narrow" w:eastAsia="Arial Narrow" w:hAnsi="Arial Narrow"/>
                <w:sz w:val="20"/>
                <w:szCs w:val="20"/>
                <w:color w:val="auto"/>
              </w:rPr>
              <w:t>30,124</w:t>
            </w:r>
          </w:p>
        </w:tc>
        <w:tc>
          <w:tcPr>
            <w:tcW w:w="0" w:type="dxa"/>
            <w:vAlign w:val="bottom"/>
          </w:tcPr>
          <w:p>
            <w:pPr>
              <w:spacing w:after="0"/>
              <w:rPr>
                <w:sz w:val="1"/>
                <w:szCs w:val="1"/>
                <w:color w:val="auto"/>
              </w:rPr>
            </w:pPr>
          </w:p>
        </w:tc>
      </w:tr>
      <w:tr>
        <w:trPr>
          <w:trHeight w:val="65"/>
        </w:trPr>
        <w:tc>
          <w:tcPr>
            <w:tcW w:w="6060" w:type="dxa"/>
            <w:vAlign w:val="bottom"/>
            <w:tcBorders>
              <w:bottom w:val="single" w:sz="8" w:color="A6A6A6"/>
            </w:tcBorders>
          </w:tcPr>
          <w:p>
            <w:pPr>
              <w:spacing w:after="0"/>
              <w:rPr>
                <w:sz w:val="5"/>
                <w:szCs w:val="5"/>
                <w:color w:val="auto"/>
              </w:rPr>
            </w:pPr>
          </w:p>
        </w:tc>
        <w:tc>
          <w:tcPr>
            <w:tcW w:w="280" w:type="dxa"/>
            <w:vAlign w:val="bottom"/>
            <w:tcBorders>
              <w:bottom w:val="single" w:sz="8" w:color="A6A6A6"/>
            </w:tcBorders>
          </w:tcPr>
          <w:p>
            <w:pPr>
              <w:spacing w:after="0"/>
              <w:rPr>
                <w:sz w:val="5"/>
                <w:szCs w:val="5"/>
                <w:color w:val="auto"/>
              </w:rPr>
            </w:pPr>
          </w:p>
        </w:tc>
        <w:tc>
          <w:tcPr>
            <w:tcW w:w="126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680" w:type="dxa"/>
            <w:vAlign w:val="bottom"/>
            <w:tcBorders>
              <w:bottom w:val="single" w:sz="8" w:color="A6A6A6"/>
            </w:tcBorders>
          </w:tcPr>
          <w:p>
            <w:pPr>
              <w:spacing w:after="0"/>
              <w:rPr>
                <w:sz w:val="5"/>
                <w:szCs w:val="5"/>
                <w:color w:val="auto"/>
              </w:rPr>
            </w:pPr>
          </w:p>
        </w:tc>
        <w:tc>
          <w:tcPr>
            <w:tcW w:w="92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6060" w:type="dxa"/>
            <w:vAlign w:val="bottom"/>
          </w:tcPr>
          <w:p>
            <w:pPr>
              <w:ind w:left="200"/>
              <w:spacing w:after="0"/>
              <w:rPr>
                <w:sz w:val="20"/>
                <w:szCs w:val="20"/>
                <w:color w:val="auto"/>
              </w:rPr>
            </w:pPr>
            <w:r>
              <w:rPr>
                <w:rFonts w:ascii="Arial Narrow" w:cs="Arial Narrow" w:eastAsia="Arial Narrow" w:hAnsi="Arial Narrow"/>
                <w:sz w:val="20"/>
                <w:szCs w:val="20"/>
                <w:b w:val="1"/>
                <w:bCs w:val="1"/>
                <w:color w:val="00085E"/>
              </w:rPr>
              <w:t>Actual Return on Plan Assets</w:t>
            </w:r>
          </w:p>
        </w:tc>
        <w:tc>
          <w:tcPr>
            <w:tcW w:w="280" w:type="dxa"/>
            <w:vAlign w:val="bottom"/>
          </w:tcPr>
          <w:p>
            <w:pPr>
              <w:spacing w:after="0"/>
              <w:rPr>
                <w:sz w:val="24"/>
                <w:szCs w:val="24"/>
                <w:color w:val="auto"/>
              </w:rPr>
            </w:pPr>
          </w:p>
        </w:tc>
        <w:tc>
          <w:tcPr>
            <w:tcW w:w="1260" w:type="dxa"/>
            <w:vAlign w:val="bottom"/>
          </w:tcPr>
          <w:p>
            <w:pPr>
              <w:jc w:val="right"/>
              <w:ind w:right="102"/>
              <w:spacing w:after="0"/>
              <w:rPr>
                <w:sz w:val="20"/>
                <w:szCs w:val="20"/>
                <w:color w:val="auto"/>
              </w:rPr>
            </w:pPr>
            <w:r>
              <w:rPr>
                <w:rFonts w:ascii="Arial Narrow" w:cs="Arial Narrow" w:eastAsia="Arial Narrow" w:hAnsi="Arial Narrow"/>
                <w:sz w:val="20"/>
                <w:szCs w:val="20"/>
                <w:color w:val="auto"/>
              </w:rPr>
              <w:t>1,136</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jc w:val="right"/>
              <w:ind w:right="101"/>
              <w:spacing w:after="0"/>
              <w:rPr>
                <w:sz w:val="20"/>
                <w:szCs w:val="20"/>
                <w:color w:val="auto"/>
              </w:rPr>
            </w:pPr>
            <w:r>
              <w:rPr>
                <w:rFonts w:ascii="Arial Narrow" w:cs="Arial Narrow" w:eastAsia="Arial Narrow" w:hAnsi="Arial Narrow"/>
                <w:sz w:val="20"/>
                <w:szCs w:val="20"/>
                <w:color w:val="auto"/>
              </w:rPr>
              <w:t>1,037</w:t>
            </w:r>
          </w:p>
        </w:tc>
        <w:tc>
          <w:tcPr>
            <w:tcW w:w="0" w:type="dxa"/>
            <w:vAlign w:val="bottom"/>
          </w:tcPr>
          <w:p>
            <w:pPr>
              <w:spacing w:after="0"/>
              <w:rPr>
                <w:sz w:val="1"/>
                <w:szCs w:val="1"/>
                <w:color w:val="auto"/>
              </w:rPr>
            </w:pPr>
          </w:p>
        </w:tc>
      </w:tr>
      <w:tr>
        <w:trPr>
          <w:trHeight w:val="65"/>
        </w:trPr>
        <w:tc>
          <w:tcPr>
            <w:tcW w:w="6060" w:type="dxa"/>
            <w:vAlign w:val="bottom"/>
            <w:tcBorders>
              <w:bottom w:val="single" w:sz="8" w:color="A6A6A6"/>
            </w:tcBorders>
          </w:tcPr>
          <w:p>
            <w:pPr>
              <w:spacing w:after="0"/>
              <w:rPr>
                <w:sz w:val="5"/>
                <w:szCs w:val="5"/>
                <w:color w:val="auto"/>
              </w:rPr>
            </w:pPr>
          </w:p>
        </w:tc>
        <w:tc>
          <w:tcPr>
            <w:tcW w:w="280" w:type="dxa"/>
            <w:vAlign w:val="bottom"/>
            <w:tcBorders>
              <w:bottom w:val="single" w:sz="8" w:color="A6A6A6"/>
            </w:tcBorders>
          </w:tcPr>
          <w:p>
            <w:pPr>
              <w:spacing w:after="0"/>
              <w:rPr>
                <w:sz w:val="5"/>
                <w:szCs w:val="5"/>
                <w:color w:val="auto"/>
              </w:rPr>
            </w:pPr>
          </w:p>
        </w:tc>
        <w:tc>
          <w:tcPr>
            <w:tcW w:w="126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680" w:type="dxa"/>
            <w:vAlign w:val="bottom"/>
            <w:tcBorders>
              <w:bottom w:val="single" w:sz="8" w:color="A6A6A6"/>
            </w:tcBorders>
          </w:tcPr>
          <w:p>
            <w:pPr>
              <w:spacing w:after="0"/>
              <w:rPr>
                <w:sz w:val="5"/>
                <w:szCs w:val="5"/>
                <w:color w:val="auto"/>
              </w:rPr>
            </w:pPr>
          </w:p>
        </w:tc>
        <w:tc>
          <w:tcPr>
            <w:tcW w:w="92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6060" w:type="dxa"/>
            <w:vAlign w:val="bottom"/>
          </w:tcPr>
          <w:p>
            <w:pPr>
              <w:ind w:left="200"/>
              <w:spacing w:after="0"/>
              <w:rPr>
                <w:sz w:val="20"/>
                <w:szCs w:val="20"/>
                <w:color w:val="auto"/>
              </w:rPr>
            </w:pPr>
            <w:r>
              <w:rPr>
                <w:rFonts w:ascii="Arial Narrow" w:cs="Arial Narrow" w:eastAsia="Arial Narrow" w:hAnsi="Arial Narrow"/>
                <w:sz w:val="20"/>
                <w:szCs w:val="20"/>
                <w:b w:val="1"/>
                <w:bCs w:val="1"/>
                <w:color w:val="00085E"/>
              </w:rPr>
              <w:t>Employer Contributions</w:t>
            </w:r>
          </w:p>
        </w:tc>
        <w:tc>
          <w:tcPr>
            <w:tcW w:w="280" w:type="dxa"/>
            <w:vAlign w:val="bottom"/>
          </w:tcPr>
          <w:p>
            <w:pPr>
              <w:spacing w:after="0"/>
              <w:rPr>
                <w:sz w:val="24"/>
                <w:szCs w:val="24"/>
                <w:color w:val="auto"/>
              </w:rPr>
            </w:pPr>
          </w:p>
        </w:tc>
        <w:tc>
          <w:tcPr>
            <w:tcW w:w="1260" w:type="dxa"/>
            <w:vAlign w:val="bottom"/>
          </w:tcPr>
          <w:p>
            <w:pPr>
              <w:jc w:val="right"/>
              <w:ind w:right="102"/>
              <w:spacing w:after="0"/>
              <w:rPr>
                <w:sz w:val="20"/>
                <w:szCs w:val="20"/>
                <w:color w:val="auto"/>
              </w:rPr>
            </w:pPr>
            <w:r>
              <w:rPr>
                <w:rFonts w:ascii="Arial Narrow" w:cs="Arial Narrow" w:eastAsia="Arial Narrow" w:hAnsi="Arial Narrow"/>
                <w:sz w:val="20"/>
                <w:szCs w:val="20"/>
                <w:color w:val="auto"/>
              </w:rPr>
              <w:t>—</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jc w:val="right"/>
              <w:ind w:right="101"/>
              <w:spacing w:after="0"/>
              <w:rPr>
                <w:sz w:val="20"/>
                <w:szCs w:val="20"/>
                <w:color w:val="auto"/>
              </w:rPr>
            </w:pPr>
            <w:r>
              <w:rPr>
                <w:rFonts w:ascii="Arial Narrow" w:cs="Arial Narrow" w:eastAsia="Arial Narrow" w:hAnsi="Arial Narrow"/>
                <w:sz w:val="20"/>
                <w:szCs w:val="20"/>
                <w:color w:val="auto"/>
              </w:rPr>
              <w:t>—</w:t>
            </w:r>
          </w:p>
        </w:tc>
        <w:tc>
          <w:tcPr>
            <w:tcW w:w="0" w:type="dxa"/>
            <w:vAlign w:val="bottom"/>
          </w:tcPr>
          <w:p>
            <w:pPr>
              <w:spacing w:after="0"/>
              <w:rPr>
                <w:sz w:val="1"/>
                <w:szCs w:val="1"/>
                <w:color w:val="auto"/>
              </w:rPr>
            </w:pPr>
          </w:p>
        </w:tc>
      </w:tr>
      <w:tr>
        <w:trPr>
          <w:trHeight w:val="65"/>
        </w:trPr>
        <w:tc>
          <w:tcPr>
            <w:tcW w:w="6060" w:type="dxa"/>
            <w:vAlign w:val="bottom"/>
            <w:tcBorders>
              <w:bottom w:val="single" w:sz="8" w:color="A6A6A6"/>
            </w:tcBorders>
          </w:tcPr>
          <w:p>
            <w:pPr>
              <w:spacing w:after="0"/>
              <w:rPr>
                <w:sz w:val="5"/>
                <w:szCs w:val="5"/>
                <w:color w:val="auto"/>
              </w:rPr>
            </w:pPr>
          </w:p>
        </w:tc>
        <w:tc>
          <w:tcPr>
            <w:tcW w:w="280" w:type="dxa"/>
            <w:vAlign w:val="bottom"/>
            <w:tcBorders>
              <w:bottom w:val="single" w:sz="8" w:color="A6A6A6"/>
            </w:tcBorders>
          </w:tcPr>
          <w:p>
            <w:pPr>
              <w:spacing w:after="0"/>
              <w:rPr>
                <w:sz w:val="5"/>
                <w:szCs w:val="5"/>
                <w:color w:val="auto"/>
              </w:rPr>
            </w:pPr>
          </w:p>
        </w:tc>
        <w:tc>
          <w:tcPr>
            <w:tcW w:w="126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680" w:type="dxa"/>
            <w:vAlign w:val="bottom"/>
            <w:tcBorders>
              <w:bottom w:val="single" w:sz="8" w:color="A6A6A6"/>
            </w:tcBorders>
          </w:tcPr>
          <w:p>
            <w:pPr>
              <w:spacing w:after="0"/>
              <w:rPr>
                <w:sz w:val="5"/>
                <w:szCs w:val="5"/>
                <w:color w:val="auto"/>
              </w:rPr>
            </w:pPr>
          </w:p>
        </w:tc>
        <w:tc>
          <w:tcPr>
            <w:tcW w:w="92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6060" w:type="dxa"/>
            <w:vAlign w:val="bottom"/>
          </w:tcPr>
          <w:p>
            <w:pPr>
              <w:ind w:left="200"/>
              <w:spacing w:after="0"/>
              <w:rPr>
                <w:sz w:val="20"/>
                <w:szCs w:val="20"/>
                <w:color w:val="auto"/>
              </w:rPr>
            </w:pPr>
            <w:r>
              <w:rPr>
                <w:rFonts w:ascii="Arial Narrow" w:cs="Arial Narrow" w:eastAsia="Arial Narrow" w:hAnsi="Arial Narrow"/>
                <w:sz w:val="20"/>
                <w:szCs w:val="20"/>
                <w:b w:val="1"/>
                <w:bCs w:val="1"/>
                <w:color w:val="00085E"/>
              </w:rPr>
              <w:t>Benefits Paid</w:t>
            </w:r>
          </w:p>
        </w:tc>
        <w:tc>
          <w:tcPr>
            <w:tcW w:w="280" w:type="dxa"/>
            <w:vAlign w:val="bottom"/>
          </w:tcPr>
          <w:p>
            <w:pPr>
              <w:spacing w:after="0"/>
              <w:rPr>
                <w:sz w:val="24"/>
                <w:szCs w:val="24"/>
                <w:color w:val="auto"/>
              </w:rPr>
            </w:pPr>
          </w:p>
        </w:tc>
        <w:tc>
          <w:tcPr>
            <w:tcW w:w="1260" w:type="dxa"/>
            <w:vAlign w:val="bottom"/>
          </w:tcPr>
          <w:p>
            <w:pPr>
              <w:jc w:val="right"/>
              <w:ind w:right="42"/>
              <w:spacing w:after="0"/>
              <w:rPr>
                <w:sz w:val="20"/>
                <w:szCs w:val="20"/>
                <w:color w:val="auto"/>
              </w:rPr>
            </w:pPr>
            <w:r>
              <w:rPr>
                <w:rFonts w:ascii="Arial Narrow" w:cs="Arial Narrow" w:eastAsia="Arial Narrow" w:hAnsi="Arial Narrow"/>
                <w:sz w:val="20"/>
                <w:szCs w:val="20"/>
                <w:color w:val="auto"/>
              </w:rPr>
              <w:t>(1,892)</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jc w:val="right"/>
              <w:ind w:right="21"/>
              <w:spacing w:after="0"/>
              <w:rPr>
                <w:sz w:val="20"/>
                <w:szCs w:val="20"/>
                <w:color w:val="auto"/>
              </w:rPr>
            </w:pPr>
            <w:r>
              <w:rPr>
                <w:rFonts w:ascii="Arial Narrow" w:cs="Arial Narrow" w:eastAsia="Arial Narrow" w:hAnsi="Arial Narrow"/>
                <w:sz w:val="20"/>
                <w:szCs w:val="20"/>
                <w:color w:val="auto"/>
              </w:rPr>
              <w:t>(1,669)</w:t>
            </w:r>
          </w:p>
        </w:tc>
        <w:tc>
          <w:tcPr>
            <w:tcW w:w="0" w:type="dxa"/>
            <w:vAlign w:val="bottom"/>
          </w:tcPr>
          <w:p>
            <w:pPr>
              <w:spacing w:after="0"/>
              <w:rPr>
                <w:sz w:val="1"/>
                <w:szCs w:val="1"/>
                <w:color w:val="auto"/>
              </w:rPr>
            </w:pPr>
          </w:p>
        </w:tc>
      </w:tr>
      <w:tr>
        <w:trPr>
          <w:trHeight w:val="90"/>
        </w:trPr>
        <w:tc>
          <w:tcPr>
            <w:tcW w:w="6060" w:type="dxa"/>
            <w:vAlign w:val="bottom"/>
            <w:tcBorders>
              <w:bottom w:val="single" w:sz="8" w:color="A6A6A6"/>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4"/>
        </w:trPr>
        <w:tc>
          <w:tcPr>
            <w:tcW w:w="6060" w:type="dxa"/>
            <w:vAlign w:val="bottom"/>
          </w:tcPr>
          <w:p>
            <w:pPr>
              <w:ind w:left="400"/>
              <w:spacing w:after="0"/>
              <w:rPr>
                <w:sz w:val="20"/>
                <w:szCs w:val="20"/>
                <w:color w:val="auto"/>
              </w:rPr>
            </w:pPr>
            <w:r>
              <w:rPr>
                <w:rFonts w:ascii="Arial Narrow" w:cs="Arial Narrow" w:eastAsia="Arial Narrow" w:hAnsi="Arial Narrow"/>
                <w:sz w:val="20"/>
                <w:szCs w:val="20"/>
                <w:b w:val="1"/>
                <w:bCs w:val="1"/>
                <w:color w:val="00085E"/>
              </w:rPr>
              <w:t>Fair Value of Plan Assets at March 31,</w:t>
            </w:r>
          </w:p>
        </w:tc>
        <w:tc>
          <w:tcPr>
            <w:tcW w:w="280" w:type="dxa"/>
            <w:vAlign w:val="bottom"/>
          </w:tcPr>
          <w:p>
            <w:pPr>
              <w:jc w:val="right"/>
              <w:ind w:right="110"/>
              <w:spacing w:after="0"/>
              <w:rPr>
                <w:sz w:val="20"/>
                <w:szCs w:val="20"/>
                <w:color w:val="auto"/>
              </w:rPr>
            </w:pPr>
            <w:r>
              <w:rPr>
                <w:rFonts w:ascii="Arial Narrow" w:cs="Arial Narrow" w:eastAsia="Arial Narrow" w:hAnsi="Arial Narrow"/>
                <w:sz w:val="18"/>
                <w:szCs w:val="18"/>
                <w:color w:val="auto"/>
                <w:w w:val="72"/>
              </w:rPr>
              <w:t>$</w:t>
            </w:r>
          </w:p>
        </w:tc>
        <w:tc>
          <w:tcPr>
            <w:tcW w:w="1260" w:type="dxa"/>
            <w:vAlign w:val="bottom"/>
          </w:tcPr>
          <w:p>
            <w:pPr>
              <w:jc w:val="right"/>
              <w:ind w:right="102"/>
              <w:spacing w:after="0"/>
              <w:rPr>
                <w:sz w:val="20"/>
                <w:szCs w:val="20"/>
                <w:color w:val="auto"/>
              </w:rPr>
            </w:pPr>
            <w:r>
              <w:rPr>
                <w:rFonts w:ascii="Arial Narrow" w:cs="Arial Narrow" w:eastAsia="Arial Narrow" w:hAnsi="Arial Narrow"/>
                <w:sz w:val="20"/>
                <w:szCs w:val="20"/>
                <w:color w:val="auto"/>
              </w:rPr>
              <w:t>28,736</w:t>
            </w:r>
          </w:p>
        </w:tc>
        <w:tc>
          <w:tcPr>
            <w:tcW w:w="840" w:type="dxa"/>
            <w:vAlign w:val="bottom"/>
            <w:gridSpan w:val="2"/>
          </w:tcPr>
          <w:p>
            <w:pPr>
              <w:jc w:val="right"/>
              <w:ind w:right="600"/>
              <w:spacing w:after="0"/>
              <w:rPr>
                <w:sz w:val="20"/>
                <w:szCs w:val="20"/>
                <w:color w:val="auto"/>
              </w:rPr>
            </w:pPr>
            <w:r>
              <w:rPr>
                <w:rFonts w:ascii="Arial Narrow" w:cs="Arial Narrow" w:eastAsia="Arial Narrow" w:hAnsi="Arial Narrow"/>
                <w:sz w:val="20"/>
                <w:szCs w:val="20"/>
                <w:color w:val="auto"/>
              </w:rPr>
              <w:t>$</w:t>
            </w:r>
          </w:p>
        </w:tc>
        <w:tc>
          <w:tcPr>
            <w:tcW w:w="920" w:type="dxa"/>
            <w:vAlign w:val="bottom"/>
          </w:tcPr>
          <w:p>
            <w:pPr>
              <w:jc w:val="right"/>
              <w:ind w:right="101"/>
              <w:spacing w:after="0"/>
              <w:rPr>
                <w:sz w:val="20"/>
                <w:szCs w:val="20"/>
                <w:color w:val="auto"/>
              </w:rPr>
            </w:pPr>
            <w:r>
              <w:rPr>
                <w:rFonts w:ascii="Arial Narrow" w:cs="Arial Narrow" w:eastAsia="Arial Narrow" w:hAnsi="Arial Narrow"/>
                <w:sz w:val="20"/>
                <w:szCs w:val="20"/>
                <w:color w:val="auto"/>
              </w:rPr>
              <w:t>29,492</w:t>
            </w:r>
          </w:p>
        </w:tc>
        <w:tc>
          <w:tcPr>
            <w:tcW w:w="0" w:type="dxa"/>
            <w:vAlign w:val="bottom"/>
          </w:tcPr>
          <w:p>
            <w:pPr>
              <w:spacing w:after="0"/>
              <w:rPr>
                <w:sz w:val="1"/>
                <w:szCs w:val="1"/>
                <w:color w:val="auto"/>
              </w:rPr>
            </w:pPr>
          </w:p>
        </w:tc>
      </w:tr>
      <w:tr>
        <w:trPr>
          <w:trHeight w:val="90"/>
        </w:trPr>
        <w:tc>
          <w:tcPr>
            <w:tcW w:w="6060" w:type="dxa"/>
            <w:vAlign w:val="bottom"/>
            <w:tcBorders>
              <w:bottom w:val="single" w:sz="8" w:color="A6A6A6"/>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4"/>
        </w:trPr>
        <w:tc>
          <w:tcPr>
            <w:tcW w:w="6060" w:type="dxa"/>
            <w:vAlign w:val="bottom"/>
          </w:tcPr>
          <w:p>
            <w:pPr>
              <w:spacing w:after="0"/>
              <w:rPr>
                <w:sz w:val="20"/>
                <w:szCs w:val="20"/>
                <w:color w:val="auto"/>
              </w:rPr>
            </w:pPr>
            <w:r>
              <w:rPr>
                <w:rFonts w:ascii="Arial Narrow" w:cs="Arial Narrow" w:eastAsia="Arial Narrow" w:hAnsi="Arial Narrow"/>
                <w:sz w:val="20"/>
                <w:szCs w:val="20"/>
                <w:b w:val="1"/>
                <w:bCs w:val="1"/>
                <w:color w:val="00085E"/>
              </w:rPr>
              <w:t>Funded Status</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6060" w:type="dxa"/>
            <w:vAlign w:val="bottom"/>
            <w:tcBorders>
              <w:bottom w:val="single" w:sz="8" w:color="A6A6A6"/>
            </w:tcBorders>
          </w:tcPr>
          <w:p>
            <w:pPr>
              <w:spacing w:after="0"/>
              <w:rPr>
                <w:sz w:val="5"/>
                <w:szCs w:val="5"/>
                <w:color w:val="auto"/>
              </w:rPr>
            </w:pPr>
          </w:p>
        </w:tc>
        <w:tc>
          <w:tcPr>
            <w:tcW w:w="280" w:type="dxa"/>
            <w:vAlign w:val="bottom"/>
            <w:tcBorders>
              <w:bottom w:val="single" w:sz="8" w:color="A6A6A6"/>
            </w:tcBorders>
          </w:tcPr>
          <w:p>
            <w:pPr>
              <w:spacing w:after="0"/>
              <w:rPr>
                <w:sz w:val="5"/>
                <w:szCs w:val="5"/>
                <w:color w:val="auto"/>
              </w:rPr>
            </w:pPr>
          </w:p>
        </w:tc>
        <w:tc>
          <w:tcPr>
            <w:tcW w:w="1260" w:type="dxa"/>
            <w:vAlign w:val="bottom"/>
            <w:tcBorders>
              <w:bottom w:val="single" w:sz="8" w:color="A6A6A6"/>
            </w:tcBorders>
          </w:tcPr>
          <w:p>
            <w:pPr>
              <w:spacing w:after="0"/>
              <w:rPr>
                <w:sz w:val="5"/>
                <w:szCs w:val="5"/>
                <w:color w:val="auto"/>
              </w:rPr>
            </w:pPr>
          </w:p>
        </w:tc>
        <w:tc>
          <w:tcPr>
            <w:tcW w:w="840" w:type="dxa"/>
            <w:vAlign w:val="bottom"/>
            <w:tcBorders>
              <w:bottom w:val="single" w:sz="8" w:color="A6A6A6"/>
            </w:tcBorders>
            <w:gridSpan w:val="2"/>
          </w:tcPr>
          <w:p>
            <w:pPr>
              <w:spacing w:after="0"/>
              <w:rPr>
                <w:sz w:val="5"/>
                <w:szCs w:val="5"/>
                <w:color w:val="auto"/>
              </w:rPr>
            </w:pPr>
          </w:p>
        </w:tc>
        <w:tc>
          <w:tcPr>
            <w:tcW w:w="92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6060" w:type="dxa"/>
            <w:vAlign w:val="bottom"/>
          </w:tcPr>
          <w:p>
            <w:pPr>
              <w:ind w:left="200"/>
              <w:spacing w:after="0"/>
              <w:rPr>
                <w:sz w:val="20"/>
                <w:szCs w:val="20"/>
                <w:color w:val="auto"/>
              </w:rPr>
            </w:pPr>
            <w:r>
              <w:rPr>
                <w:rFonts w:ascii="Arial Narrow" w:cs="Arial Narrow" w:eastAsia="Arial Narrow" w:hAnsi="Arial Narrow"/>
                <w:sz w:val="20"/>
                <w:szCs w:val="20"/>
                <w:b w:val="1"/>
                <w:bCs w:val="1"/>
                <w:color w:val="auto"/>
              </w:rPr>
              <w:t>Funded Status at March 31,</w:t>
            </w:r>
          </w:p>
        </w:tc>
        <w:tc>
          <w:tcPr>
            <w:tcW w:w="280" w:type="dxa"/>
            <w:vAlign w:val="bottom"/>
          </w:tcPr>
          <w:p>
            <w:pPr>
              <w:jc w:val="right"/>
              <w:ind w:right="110"/>
              <w:spacing w:after="0"/>
              <w:rPr>
                <w:sz w:val="20"/>
                <w:szCs w:val="20"/>
                <w:color w:val="auto"/>
              </w:rPr>
            </w:pPr>
            <w:r>
              <w:rPr>
                <w:rFonts w:ascii="Arial Narrow" w:cs="Arial Narrow" w:eastAsia="Arial Narrow" w:hAnsi="Arial Narrow"/>
                <w:sz w:val="18"/>
                <w:szCs w:val="18"/>
                <w:b w:val="1"/>
                <w:bCs w:val="1"/>
                <w:color w:val="auto"/>
                <w:w w:val="72"/>
              </w:rPr>
              <w:t>$</w:t>
            </w:r>
          </w:p>
        </w:tc>
        <w:tc>
          <w:tcPr>
            <w:tcW w:w="1260" w:type="dxa"/>
            <w:vAlign w:val="bottom"/>
          </w:tcPr>
          <w:p>
            <w:pPr>
              <w:jc w:val="right"/>
              <w:ind w:right="102"/>
              <w:spacing w:after="0"/>
              <w:rPr>
                <w:sz w:val="20"/>
                <w:szCs w:val="20"/>
                <w:color w:val="auto"/>
              </w:rPr>
            </w:pPr>
            <w:r>
              <w:rPr>
                <w:rFonts w:ascii="Arial Narrow" w:cs="Arial Narrow" w:eastAsia="Arial Narrow" w:hAnsi="Arial Narrow"/>
                <w:sz w:val="20"/>
                <w:szCs w:val="20"/>
                <w:b w:val="1"/>
                <w:bCs w:val="1"/>
                <w:color w:val="auto"/>
              </w:rPr>
              <w:t>435</w:t>
            </w:r>
          </w:p>
        </w:tc>
        <w:tc>
          <w:tcPr>
            <w:tcW w:w="840" w:type="dxa"/>
            <w:vAlign w:val="bottom"/>
            <w:gridSpan w:val="2"/>
          </w:tcPr>
          <w:p>
            <w:pPr>
              <w:jc w:val="right"/>
              <w:ind w:right="600"/>
              <w:spacing w:after="0"/>
              <w:rPr>
                <w:sz w:val="20"/>
                <w:szCs w:val="20"/>
                <w:color w:val="auto"/>
              </w:rPr>
            </w:pPr>
            <w:r>
              <w:rPr>
                <w:rFonts w:ascii="Arial Narrow" w:cs="Arial Narrow" w:eastAsia="Arial Narrow" w:hAnsi="Arial Narrow"/>
                <w:sz w:val="20"/>
                <w:szCs w:val="20"/>
                <w:b w:val="1"/>
                <w:bCs w:val="1"/>
                <w:color w:val="auto"/>
              </w:rPr>
              <w:t>$</w:t>
            </w:r>
          </w:p>
        </w:tc>
        <w:tc>
          <w:tcPr>
            <w:tcW w:w="920" w:type="dxa"/>
            <w:vAlign w:val="bottom"/>
          </w:tcPr>
          <w:p>
            <w:pPr>
              <w:jc w:val="right"/>
              <w:ind w:right="101"/>
              <w:spacing w:after="0"/>
              <w:rPr>
                <w:sz w:val="20"/>
                <w:szCs w:val="20"/>
                <w:color w:val="auto"/>
              </w:rPr>
            </w:pPr>
            <w:r>
              <w:rPr>
                <w:rFonts w:ascii="Arial Narrow" w:cs="Arial Narrow" w:eastAsia="Arial Narrow" w:hAnsi="Arial Narrow"/>
                <w:sz w:val="20"/>
                <w:szCs w:val="20"/>
                <w:b w:val="1"/>
                <w:bCs w:val="1"/>
                <w:color w:val="auto"/>
              </w:rPr>
              <w:t>2,209</w:t>
            </w:r>
          </w:p>
        </w:tc>
        <w:tc>
          <w:tcPr>
            <w:tcW w:w="0" w:type="dxa"/>
            <w:vAlign w:val="bottom"/>
          </w:tcPr>
          <w:p>
            <w:pPr>
              <w:spacing w:after="0"/>
              <w:rPr>
                <w:sz w:val="1"/>
                <w:szCs w:val="1"/>
                <w:color w:val="auto"/>
              </w:rPr>
            </w:pPr>
          </w:p>
        </w:tc>
      </w:tr>
      <w:tr>
        <w:trPr>
          <w:trHeight w:val="65"/>
        </w:trPr>
        <w:tc>
          <w:tcPr>
            <w:tcW w:w="6060" w:type="dxa"/>
            <w:vAlign w:val="bottom"/>
            <w:tcBorders>
              <w:bottom w:val="single" w:sz="8" w:color="A6A6A6"/>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Narrow" w:cs="Arial Narrow" w:eastAsia="Arial Narrow" w:hAnsi="Arial Narrow"/>
                <w:sz w:val="20"/>
                <w:szCs w:val="20"/>
                <w:b w:val="1"/>
                <w:bCs w:val="1"/>
                <w:color w:val="auto"/>
              </w:rPr>
              <w:t>Amounts Recognized in the Balance Sheet Include:</w:t>
            </w: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60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6060" w:type="dxa"/>
            <w:vAlign w:val="bottom"/>
            <w:tcBorders>
              <w:bottom w:val="single" w:sz="8" w:color="A6A6A6"/>
            </w:tcBorders>
          </w:tcPr>
          <w:p>
            <w:pPr>
              <w:spacing w:after="0"/>
              <w:rPr>
                <w:sz w:val="5"/>
                <w:szCs w:val="5"/>
                <w:color w:val="auto"/>
              </w:rPr>
            </w:pPr>
          </w:p>
        </w:tc>
        <w:tc>
          <w:tcPr>
            <w:tcW w:w="280" w:type="dxa"/>
            <w:vAlign w:val="bottom"/>
            <w:tcBorders>
              <w:bottom w:val="single" w:sz="8" w:color="A6A6A6"/>
            </w:tcBorders>
          </w:tcPr>
          <w:p>
            <w:pPr>
              <w:spacing w:after="0"/>
              <w:rPr>
                <w:sz w:val="5"/>
                <w:szCs w:val="5"/>
                <w:color w:val="auto"/>
              </w:rPr>
            </w:pPr>
          </w:p>
        </w:tc>
        <w:tc>
          <w:tcPr>
            <w:tcW w:w="1260" w:type="dxa"/>
            <w:vAlign w:val="bottom"/>
            <w:tcBorders>
              <w:bottom w:val="single" w:sz="8" w:color="A6A6A6"/>
            </w:tcBorders>
          </w:tcPr>
          <w:p>
            <w:pPr>
              <w:spacing w:after="0"/>
              <w:rPr>
                <w:sz w:val="5"/>
                <w:szCs w:val="5"/>
                <w:color w:val="auto"/>
              </w:rPr>
            </w:pPr>
          </w:p>
        </w:tc>
        <w:tc>
          <w:tcPr>
            <w:tcW w:w="840" w:type="dxa"/>
            <w:vAlign w:val="bottom"/>
            <w:tcBorders>
              <w:bottom w:val="single" w:sz="8" w:color="A6A6A6"/>
            </w:tcBorders>
            <w:gridSpan w:val="2"/>
          </w:tcPr>
          <w:p>
            <w:pPr>
              <w:spacing w:after="0"/>
              <w:rPr>
                <w:sz w:val="5"/>
                <w:szCs w:val="5"/>
                <w:color w:val="auto"/>
              </w:rPr>
            </w:pPr>
          </w:p>
        </w:tc>
        <w:tc>
          <w:tcPr>
            <w:tcW w:w="92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6060" w:type="dxa"/>
            <w:vAlign w:val="bottom"/>
          </w:tcPr>
          <w:p>
            <w:pPr>
              <w:ind w:left="200"/>
              <w:spacing w:after="0"/>
              <w:rPr>
                <w:sz w:val="20"/>
                <w:szCs w:val="20"/>
                <w:color w:val="auto"/>
              </w:rPr>
            </w:pPr>
            <w:r>
              <w:rPr>
                <w:rFonts w:ascii="Arial Narrow" w:cs="Arial Narrow" w:eastAsia="Arial Narrow" w:hAnsi="Arial Narrow"/>
                <w:sz w:val="20"/>
                <w:szCs w:val="20"/>
                <w:b w:val="1"/>
                <w:bCs w:val="1"/>
                <w:color w:val="00085E"/>
              </w:rPr>
              <w:t>Other Assets</w:t>
            </w:r>
          </w:p>
        </w:tc>
        <w:tc>
          <w:tcPr>
            <w:tcW w:w="280" w:type="dxa"/>
            <w:vAlign w:val="bottom"/>
          </w:tcPr>
          <w:p>
            <w:pPr>
              <w:jc w:val="right"/>
              <w:ind w:right="110"/>
              <w:spacing w:after="0"/>
              <w:rPr>
                <w:sz w:val="20"/>
                <w:szCs w:val="20"/>
                <w:color w:val="auto"/>
              </w:rPr>
            </w:pPr>
            <w:r>
              <w:rPr>
                <w:rFonts w:ascii="Arial Narrow" w:cs="Arial Narrow" w:eastAsia="Arial Narrow" w:hAnsi="Arial Narrow"/>
                <w:sz w:val="18"/>
                <w:szCs w:val="18"/>
                <w:color w:val="auto"/>
                <w:w w:val="72"/>
              </w:rPr>
              <w:t>$</w:t>
            </w:r>
          </w:p>
        </w:tc>
        <w:tc>
          <w:tcPr>
            <w:tcW w:w="1260" w:type="dxa"/>
            <w:vAlign w:val="bottom"/>
          </w:tcPr>
          <w:p>
            <w:pPr>
              <w:jc w:val="right"/>
              <w:ind w:right="102"/>
              <w:spacing w:after="0"/>
              <w:rPr>
                <w:sz w:val="20"/>
                <w:szCs w:val="20"/>
                <w:color w:val="auto"/>
              </w:rPr>
            </w:pPr>
            <w:r>
              <w:rPr>
                <w:rFonts w:ascii="Arial Narrow" w:cs="Arial Narrow" w:eastAsia="Arial Narrow" w:hAnsi="Arial Narrow"/>
                <w:sz w:val="20"/>
                <w:szCs w:val="20"/>
                <w:color w:val="auto"/>
              </w:rPr>
              <w:t>435</w:t>
            </w:r>
          </w:p>
        </w:tc>
        <w:tc>
          <w:tcPr>
            <w:tcW w:w="840" w:type="dxa"/>
            <w:vAlign w:val="bottom"/>
            <w:gridSpan w:val="2"/>
          </w:tcPr>
          <w:p>
            <w:pPr>
              <w:jc w:val="right"/>
              <w:ind w:right="600"/>
              <w:spacing w:after="0"/>
              <w:rPr>
                <w:sz w:val="20"/>
                <w:szCs w:val="20"/>
                <w:color w:val="auto"/>
              </w:rPr>
            </w:pPr>
            <w:r>
              <w:rPr>
                <w:rFonts w:ascii="Arial Narrow" w:cs="Arial Narrow" w:eastAsia="Arial Narrow" w:hAnsi="Arial Narrow"/>
                <w:sz w:val="20"/>
                <w:szCs w:val="20"/>
                <w:color w:val="auto"/>
              </w:rPr>
              <w:t>$</w:t>
            </w:r>
          </w:p>
        </w:tc>
        <w:tc>
          <w:tcPr>
            <w:tcW w:w="920" w:type="dxa"/>
            <w:vAlign w:val="bottom"/>
          </w:tcPr>
          <w:p>
            <w:pPr>
              <w:jc w:val="right"/>
              <w:ind w:right="101"/>
              <w:spacing w:after="0"/>
              <w:rPr>
                <w:sz w:val="20"/>
                <w:szCs w:val="20"/>
                <w:color w:val="auto"/>
              </w:rPr>
            </w:pPr>
            <w:r>
              <w:rPr>
                <w:rFonts w:ascii="Arial Narrow" w:cs="Arial Narrow" w:eastAsia="Arial Narrow" w:hAnsi="Arial Narrow"/>
                <w:sz w:val="20"/>
                <w:szCs w:val="20"/>
                <w:color w:val="auto"/>
              </w:rPr>
              <w:t>2,209</w:t>
            </w:r>
          </w:p>
        </w:tc>
        <w:tc>
          <w:tcPr>
            <w:tcW w:w="0" w:type="dxa"/>
            <w:vAlign w:val="bottom"/>
          </w:tcPr>
          <w:p>
            <w:pPr>
              <w:spacing w:after="0"/>
              <w:rPr>
                <w:sz w:val="1"/>
                <w:szCs w:val="1"/>
                <w:color w:val="auto"/>
              </w:rPr>
            </w:pPr>
          </w:p>
        </w:tc>
      </w:tr>
      <w:tr>
        <w:trPr>
          <w:trHeight w:val="65"/>
        </w:trPr>
        <w:tc>
          <w:tcPr>
            <w:tcW w:w="6060" w:type="dxa"/>
            <w:vAlign w:val="bottom"/>
            <w:tcBorders>
              <w:bottom w:val="single" w:sz="8" w:color="A6A6A6"/>
            </w:tcBorders>
          </w:tcPr>
          <w:p>
            <w:pPr>
              <w:spacing w:after="0"/>
              <w:rPr>
                <w:sz w:val="5"/>
                <w:szCs w:val="5"/>
                <w:color w:val="auto"/>
              </w:rPr>
            </w:pPr>
          </w:p>
        </w:tc>
        <w:tc>
          <w:tcPr>
            <w:tcW w:w="280" w:type="dxa"/>
            <w:vAlign w:val="bottom"/>
            <w:tcBorders>
              <w:bottom w:val="single" w:sz="8" w:color="A6A6A6"/>
            </w:tcBorders>
          </w:tcPr>
          <w:p>
            <w:pPr>
              <w:spacing w:after="0"/>
              <w:rPr>
                <w:sz w:val="5"/>
                <w:szCs w:val="5"/>
                <w:color w:val="auto"/>
              </w:rPr>
            </w:pPr>
          </w:p>
        </w:tc>
        <w:tc>
          <w:tcPr>
            <w:tcW w:w="126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680" w:type="dxa"/>
            <w:vAlign w:val="bottom"/>
            <w:tcBorders>
              <w:bottom w:val="single" w:sz="8" w:color="A6A6A6"/>
            </w:tcBorders>
          </w:tcPr>
          <w:p>
            <w:pPr>
              <w:spacing w:after="0"/>
              <w:rPr>
                <w:sz w:val="5"/>
                <w:szCs w:val="5"/>
                <w:color w:val="auto"/>
              </w:rPr>
            </w:pPr>
          </w:p>
        </w:tc>
        <w:tc>
          <w:tcPr>
            <w:tcW w:w="92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6060" w:type="dxa"/>
            <w:vAlign w:val="bottom"/>
          </w:tcPr>
          <w:p>
            <w:pPr>
              <w:ind w:left="200"/>
              <w:spacing w:after="0"/>
              <w:rPr>
                <w:sz w:val="20"/>
                <w:szCs w:val="20"/>
                <w:color w:val="auto"/>
              </w:rPr>
            </w:pPr>
            <w:r>
              <w:rPr>
                <w:rFonts w:ascii="Arial Narrow" w:cs="Arial Narrow" w:eastAsia="Arial Narrow" w:hAnsi="Arial Narrow"/>
                <w:sz w:val="20"/>
                <w:szCs w:val="20"/>
                <w:b w:val="1"/>
                <w:bCs w:val="1"/>
                <w:color w:val="00085E"/>
              </w:rPr>
              <w:t>Accumulated Other Comprehensive Losses</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6060" w:type="dxa"/>
            <w:vAlign w:val="bottom"/>
            <w:tcBorders>
              <w:bottom w:val="single" w:sz="8" w:color="A6A6A6"/>
            </w:tcBorders>
          </w:tcPr>
          <w:p>
            <w:pPr>
              <w:spacing w:after="0"/>
              <w:rPr>
                <w:sz w:val="5"/>
                <w:szCs w:val="5"/>
                <w:color w:val="auto"/>
              </w:rPr>
            </w:pPr>
          </w:p>
        </w:tc>
        <w:tc>
          <w:tcPr>
            <w:tcW w:w="280" w:type="dxa"/>
            <w:vAlign w:val="bottom"/>
            <w:tcBorders>
              <w:bottom w:val="single" w:sz="8" w:color="A6A6A6"/>
            </w:tcBorders>
          </w:tcPr>
          <w:p>
            <w:pPr>
              <w:spacing w:after="0"/>
              <w:rPr>
                <w:sz w:val="5"/>
                <w:szCs w:val="5"/>
                <w:color w:val="auto"/>
              </w:rPr>
            </w:pPr>
          </w:p>
        </w:tc>
        <w:tc>
          <w:tcPr>
            <w:tcW w:w="126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680" w:type="dxa"/>
            <w:vAlign w:val="bottom"/>
            <w:tcBorders>
              <w:bottom w:val="single" w:sz="8" w:color="A6A6A6"/>
            </w:tcBorders>
          </w:tcPr>
          <w:p>
            <w:pPr>
              <w:spacing w:after="0"/>
              <w:rPr>
                <w:sz w:val="5"/>
                <w:szCs w:val="5"/>
                <w:color w:val="auto"/>
              </w:rPr>
            </w:pPr>
          </w:p>
        </w:tc>
        <w:tc>
          <w:tcPr>
            <w:tcW w:w="92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6060" w:type="dxa"/>
            <w:vAlign w:val="bottom"/>
          </w:tcPr>
          <w:p>
            <w:pPr>
              <w:ind w:left="400"/>
              <w:spacing w:after="0"/>
              <w:rPr>
                <w:sz w:val="20"/>
                <w:szCs w:val="20"/>
                <w:color w:val="auto"/>
              </w:rPr>
            </w:pPr>
            <w:r>
              <w:rPr>
                <w:rFonts w:ascii="Arial Narrow" w:cs="Arial Narrow" w:eastAsia="Arial Narrow" w:hAnsi="Arial Narrow"/>
                <w:sz w:val="20"/>
                <w:szCs w:val="20"/>
                <w:b w:val="1"/>
                <w:bCs w:val="1"/>
                <w:color w:val="00085E"/>
              </w:rPr>
              <w:t>Net Actuarial Loss</w:t>
            </w:r>
          </w:p>
        </w:tc>
        <w:tc>
          <w:tcPr>
            <w:tcW w:w="280" w:type="dxa"/>
            <w:vAlign w:val="bottom"/>
          </w:tcPr>
          <w:p>
            <w:pPr>
              <w:spacing w:after="0"/>
              <w:rPr>
                <w:sz w:val="24"/>
                <w:szCs w:val="24"/>
                <w:color w:val="auto"/>
              </w:rPr>
            </w:pPr>
          </w:p>
        </w:tc>
        <w:tc>
          <w:tcPr>
            <w:tcW w:w="1260" w:type="dxa"/>
            <w:vAlign w:val="bottom"/>
          </w:tcPr>
          <w:p>
            <w:pPr>
              <w:jc w:val="right"/>
              <w:ind w:right="102"/>
              <w:spacing w:after="0"/>
              <w:rPr>
                <w:sz w:val="20"/>
                <w:szCs w:val="20"/>
                <w:color w:val="auto"/>
              </w:rPr>
            </w:pPr>
            <w:r>
              <w:rPr>
                <w:rFonts w:ascii="Arial Narrow" w:cs="Arial Narrow" w:eastAsia="Arial Narrow" w:hAnsi="Arial Narrow"/>
                <w:sz w:val="20"/>
                <w:szCs w:val="20"/>
                <w:color w:val="auto"/>
              </w:rPr>
              <w:t>5,806</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jc w:val="right"/>
              <w:ind w:right="101"/>
              <w:spacing w:after="0"/>
              <w:rPr>
                <w:sz w:val="20"/>
                <w:szCs w:val="20"/>
                <w:color w:val="auto"/>
              </w:rPr>
            </w:pPr>
            <w:r>
              <w:rPr>
                <w:rFonts w:ascii="Arial Narrow" w:cs="Arial Narrow" w:eastAsia="Arial Narrow" w:hAnsi="Arial Narrow"/>
                <w:sz w:val="20"/>
                <w:szCs w:val="20"/>
                <w:color w:val="auto"/>
              </w:rPr>
              <w:t>4,115</w:t>
            </w:r>
          </w:p>
        </w:tc>
        <w:tc>
          <w:tcPr>
            <w:tcW w:w="0" w:type="dxa"/>
            <w:vAlign w:val="bottom"/>
          </w:tcPr>
          <w:p>
            <w:pPr>
              <w:spacing w:after="0"/>
              <w:rPr>
                <w:sz w:val="1"/>
                <w:szCs w:val="1"/>
                <w:color w:val="auto"/>
              </w:rPr>
            </w:pPr>
          </w:p>
        </w:tc>
      </w:tr>
      <w:tr>
        <w:trPr>
          <w:trHeight w:val="90"/>
        </w:trPr>
        <w:tc>
          <w:tcPr>
            <w:tcW w:w="6060" w:type="dxa"/>
            <w:vAlign w:val="bottom"/>
            <w:tcBorders>
              <w:bottom w:val="single" w:sz="8" w:color="A6A6A6"/>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4"/>
        </w:trPr>
        <w:tc>
          <w:tcPr>
            <w:tcW w:w="6060" w:type="dxa"/>
            <w:vAlign w:val="bottom"/>
          </w:tcPr>
          <w:p>
            <w:pPr>
              <w:ind w:left="200"/>
              <w:spacing w:after="0"/>
              <w:rPr>
                <w:sz w:val="20"/>
                <w:szCs w:val="20"/>
                <w:color w:val="auto"/>
              </w:rPr>
            </w:pPr>
            <w:r>
              <w:rPr>
                <w:rFonts w:ascii="Arial Narrow" w:cs="Arial Narrow" w:eastAsia="Arial Narrow" w:hAnsi="Arial Narrow"/>
                <w:sz w:val="20"/>
                <w:szCs w:val="20"/>
                <w:b w:val="1"/>
                <w:bCs w:val="1"/>
                <w:color w:val="00085E"/>
              </w:rPr>
              <w:t>Accumulated Other Comprehensive Losses</w:t>
            </w:r>
          </w:p>
        </w:tc>
        <w:tc>
          <w:tcPr>
            <w:tcW w:w="280" w:type="dxa"/>
            <w:vAlign w:val="bottom"/>
          </w:tcPr>
          <w:p>
            <w:pPr>
              <w:jc w:val="right"/>
              <w:ind w:right="110"/>
              <w:spacing w:after="0"/>
              <w:rPr>
                <w:sz w:val="20"/>
                <w:szCs w:val="20"/>
                <w:color w:val="auto"/>
              </w:rPr>
            </w:pPr>
            <w:r>
              <w:rPr>
                <w:rFonts w:ascii="Arial Narrow" w:cs="Arial Narrow" w:eastAsia="Arial Narrow" w:hAnsi="Arial Narrow"/>
                <w:sz w:val="18"/>
                <w:szCs w:val="18"/>
                <w:color w:val="auto"/>
                <w:w w:val="72"/>
              </w:rPr>
              <w:t>$</w:t>
            </w:r>
          </w:p>
        </w:tc>
        <w:tc>
          <w:tcPr>
            <w:tcW w:w="1260" w:type="dxa"/>
            <w:vAlign w:val="bottom"/>
          </w:tcPr>
          <w:p>
            <w:pPr>
              <w:jc w:val="right"/>
              <w:ind w:right="102"/>
              <w:spacing w:after="0"/>
              <w:rPr>
                <w:sz w:val="20"/>
                <w:szCs w:val="20"/>
                <w:color w:val="auto"/>
              </w:rPr>
            </w:pPr>
            <w:r>
              <w:rPr>
                <w:rFonts w:ascii="Arial Narrow" w:cs="Arial Narrow" w:eastAsia="Arial Narrow" w:hAnsi="Arial Narrow"/>
                <w:sz w:val="20"/>
                <w:szCs w:val="20"/>
                <w:color w:val="auto"/>
              </w:rPr>
              <w:t>5,806</w:t>
            </w:r>
          </w:p>
        </w:tc>
        <w:tc>
          <w:tcPr>
            <w:tcW w:w="840" w:type="dxa"/>
            <w:vAlign w:val="bottom"/>
            <w:gridSpan w:val="2"/>
          </w:tcPr>
          <w:p>
            <w:pPr>
              <w:jc w:val="right"/>
              <w:ind w:right="600"/>
              <w:spacing w:after="0"/>
              <w:rPr>
                <w:sz w:val="20"/>
                <w:szCs w:val="20"/>
                <w:color w:val="auto"/>
              </w:rPr>
            </w:pPr>
            <w:r>
              <w:rPr>
                <w:rFonts w:ascii="Arial Narrow" w:cs="Arial Narrow" w:eastAsia="Arial Narrow" w:hAnsi="Arial Narrow"/>
                <w:sz w:val="20"/>
                <w:szCs w:val="20"/>
                <w:color w:val="auto"/>
              </w:rPr>
              <w:t>$</w:t>
            </w:r>
          </w:p>
        </w:tc>
        <w:tc>
          <w:tcPr>
            <w:tcW w:w="920" w:type="dxa"/>
            <w:vAlign w:val="bottom"/>
          </w:tcPr>
          <w:p>
            <w:pPr>
              <w:jc w:val="right"/>
              <w:ind w:right="101"/>
              <w:spacing w:after="0"/>
              <w:rPr>
                <w:sz w:val="20"/>
                <w:szCs w:val="20"/>
                <w:color w:val="auto"/>
              </w:rPr>
            </w:pPr>
            <w:r>
              <w:rPr>
                <w:rFonts w:ascii="Arial Narrow" w:cs="Arial Narrow" w:eastAsia="Arial Narrow" w:hAnsi="Arial Narrow"/>
                <w:sz w:val="20"/>
                <w:szCs w:val="20"/>
                <w:color w:val="auto"/>
              </w:rPr>
              <w:t>4,115</w:t>
            </w:r>
          </w:p>
        </w:tc>
        <w:tc>
          <w:tcPr>
            <w:tcW w:w="0" w:type="dxa"/>
            <w:vAlign w:val="bottom"/>
          </w:tcPr>
          <w:p>
            <w:pPr>
              <w:spacing w:after="0"/>
              <w:rPr>
                <w:sz w:val="1"/>
                <w:szCs w:val="1"/>
                <w:color w:val="auto"/>
              </w:rPr>
            </w:pPr>
          </w:p>
        </w:tc>
      </w:tr>
      <w:tr>
        <w:trPr>
          <w:trHeight w:val="65"/>
        </w:trPr>
        <w:tc>
          <w:tcPr>
            <w:tcW w:w="6060" w:type="dxa"/>
            <w:vAlign w:val="bottom"/>
            <w:tcBorders>
              <w:bottom w:val="single" w:sz="8" w:color="A6A6A6"/>
            </w:tcBorders>
          </w:tcPr>
          <w:p>
            <w:pPr>
              <w:spacing w:after="0"/>
              <w:rPr>
                <w:sz w:val="5"/>
                <w:szCs w:val="5"/>
                <w:color w:val="auto"/>
              </w:rPr>
            </w:pPr>
          </w:p>
        </w:tc>
        <w:tc>
          <w:tcPr>
            <w:tcW w:w="280" w:type="dxa"/>
            <w:vAlign w:val="bottom"/>
            <w:tcBorders>
              <w:bottom w:val="single" w:sz="8" w:color="A6A6A6"/>
            </w:tcBorders>
          </w:tcPr>
          <w:p>
            <w:pPr>
              <w:spacing w:after="0"/>
              <w:rPr>
                <w:sz w:val="5"/>
                <w:szCs w:val="5"/>
                <w:color w:val="auto"/>
              </w:rPr>
            </w:pPr>
          </w:p>
        </w:tc>
        <w:tc>
          <w:tcPr>
            <w:tcW w:w="1260" w:type="dxa"/>
            <w:vAlign w:val="bottom"/>
            <w:tcBorders>
              <w:bottom w:val="single" w:sz="8" w:color="A6A6A6"/>
            </w:tcBorders>
          </w:tcPr>
          <w:p>
            <w:pPr>
              <w:spacing w:after="0"/>
              <w:rPr>
                <w:sz w:val="5"/>
                <w:szCs w:val="5"/>
                <w:color w:val="auto"/>
              </w:rPr>
            </w:pPr>
          </w:p>
        </w:tc>
        <w:tc>
          <w:tcPr>
            <w:tcW w:w="160" w:type="dxa"/>
            <w:vAlign w:val="bottom"/>
            <w:tcBorders>
              <w:bottom w:val="single" w:sz="8" w:color="A6A6A6"/>
            </w:tcBorders>
          </w:tcPr>
          <w:p>
            <w:pPr>
              <w:spacing w:after="0"/>
              <w:rPr>
                <w:sz w:val="5"/>
                <w:szCs w:val="5"/>
                <w:color w:val="auto"/>
              </w:rPr>
            </w:pPr>
          </w:p>
        </w:tc>
        <w:tc>
          <w:tcPr>
            <w:tcW w:w="680" w:type="dxa"/>
            <w:vAlign w:val="bottom"/>
            <w:tcBorders>
              <w:bottom w:val="single" w:sz="8" w:color="A6A6A6"/>
            </w:tcBorders>
          </w:tcPr>
          <w:p>
            <w:pPr>
              <w:spacing w:after="0"/>
              <w:rPr>
                <w:sz w:val="5"/>
                <w:szCs w:val="5"/>
                <w:color w:val="auto"/>
              </w:rPr>
            </w:pPr>
          </w:p>
        </w:tc>
        <w:tc>
          <w:tcPr>
            <w:tcW w:w="92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6060" w:type="dxa"/>
            <w:vAlign w:val="bottom"/>
          </w:tcPr>
          <w:p>
            <w:pPr>
              <w:ind w:left="400"/>
              <w:spacing w:after="0"/>
              <w:rPr>
                <w:sz w:val="20"/>
                <w:szCs w:val="20"/>
                <w:color w:val="auto"/>
              </w:rPr>
            </w:pPr>
            <w:r>
              <w:rPr>
                <w:rFonts w:ascii="Arial Narrow" w:cs="Arial Narrow" w:eastAsia="Arial Narrow" w:hAnsi="Arial Narrow"/>
                <w:sz w:val="20"/>
                <w:szCs w:val="20"/>
                <w:b w:val="1"/>
                <w:bCs w:val="1"/>
                <w:color w:val="00085E"/>
              </w:rPr>
              <w:t>Tax Impact</w:t>
            </w:r>
          </w:p>
        </w:tc>
        <w:tc>
          <w:tcPr>
            <w:tcW w:w="280" w:type="dxa"/>
            <w:vAlign w:val="bottom"/>
          </w:tcPr>
          <w:p>
            <w:pPr>
              <w:spacing w:after="0"/>
              <w:rPr>
                <w:sz w:val="24"/>
                <w:szCs w:val="24"/>
                <w:color w:val="auto"/>
              </w:rPr>
            </w:pPr>
          </w:p>
        </w:tc>
        <w:tc>
          <w:tcPr>
            <w:tcW w:w="1260" w:type="dxa"/>
            <w:vAlign w:val="bottom"/>
          </w:tcPr>
          <w:p>
            <w:pPr>
              <w:jc w:val="right"/>
              <w:ind w:right="42"/>
              <w:spacing w:after="0"/>
              <w:rPr>
                <w:sz w:val="20"/>
                <w:szCs w:val="20"/>
                <w:color w:val="auto"/>
              </w:rPr>
            </w:pPr>
            <w:r>
              <w:rPr>
                <w:rFonts w:ascii="Arial Narrow" w:cs="Arial Narrow" w:eastAsia="Arial Narrow" w:hAnsi="Arial Narrow"/>
                <w:sz w:val="20"/>
                <w:szCs w:val="20"/>
                <w:color w:val="auto"/>
              </w:rPr>
              <w:t>(1,402)</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jc w:val="right"/>
              <w:ind w:right="21"/>
              <w:spacing w:after="0"/>
              <w:rPr>
                <w:sz w:val="20"/>
                <w:szCs w:val="20"/>
                <w:color w:val="auto"/>
              </w:rPr>
            </w:pPr>
            <w:r>
              <w:rPr>
                <w:rFonts w:ascii="Arial Narrow" w:cs="Arial Narrow" w:eastAsia="Arial Narrow" w:hAnsi="Arial Narrow"/>
                <w:sz w:val="20"/>
                <w:szCs w:val="20"/>
                <w:color w:val="auto"/>
              </w:rPr>
              <w:t>(990)</w:t>
            </w:r>
          </w:p>
        </w:tc>
        <w:tc>
          <w:tcPr>
            <w:tcW w:w="0" w:type="dxa"/>
            <w:vAlign w:val="bottom"/>
          </w:tcPr>
          <w:p>
            <w:pPr>
              <w:spacing w:after="0"/>
              <w:rPr>
                <w:sz w:val="1"/>
                <w:szCs w:val="1"/>
                <w:color w:val="auto"/>
              </w:rPr>
            </w:pPr>
          </w:p>
        </w:tc>
      </w:tr>
      <w:tr>
        <w:trPr>
          <w:trHeight w:val="90"/>
        </w:trPr>
        <w:tc>
          <w:tcPr>
            <w:tcW w:w="6060" w:type="dxa"/>
            <w:vAlign w:val="bottom"/>
            <w:tcBorders>
              <w:bottom w:val="single" w:sz="8" w:color="A6A6A6"/>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4"/>
        </w:trPr>
        <w:tc>
          <w:tcPr>
            <w:tcW w:w="6060" w:type="dxa"/>
            <w:vAlign w:val="bottom"/>
          </w:tcPr>
          <w:p>
            <w:pPr>
              <w:ind w:left="200"/>
              <w:spacing w:after="0"/>
              <w:rPr>
                <w:sz w:val="20"/>
                <w:szCs w:val="20"/>
                <w:color w:val="auto"/>
              </w:rPr>
            </w:pPr>
            <w:r>
              <w:rPr>
                <w:rFonts w:ascii="Arial Narrow" w:cs="Arial Narrow" w:eastAsia="Arial Narrow" w:hAnsi="Arial Narrow"/>
                <w:sz w:val="20"/>
                <w:szCs w:val="20"/>
                <w:b w:val="1"/>
                <w:bCs w:val="1"/>
                <w:color w:val="auto"/>
              </w:rPr>
              <w:t>Accumulated Other Comprehensive Losses, net of tax</w:t>
            </w:r>
          </w:p>
        </w:tc>
        <w:tc>
          <w:tcPr>
            <w:tcW w:w="280" w:type="dxa"/>
            <w:vAlign w:val="bottom"/>
          </w:tcPr>
          <w:p>
            <w:pPr>
              <w:jc w:val="right"/>
              <w:ind w:right="110"/>
              <w:spacing w:after="0"/>
              <w:rPr>
                <w:sz w:val="20"/>
                <w:szCs w:val="20"/>
                <w:color w:val="auto"/>
              </w:rPr>
            </w:pPr>
            <w:r>
              <w:rPr>
                <w:rFonts w:ascii="Arial Narrow" w:cs="Arial Narrow" w:eastAsia="Arial Narrow" w:hAnsi="Arial Narrow"/>
                <w:sz w:val="18"/>
                <w:szCs w:val="18"/>
                <w:b w:val="1"/>
                <w:bCs w:val="1"/>
                <w:color w:val="auto"/>
                <w:w w:val="72"/>
              </w:rPr>
              <w:t>$</w:t>
            </w:r>
          </w:p>
        </w:tc>
        <w:tc>
          <w:tcPr>
            <w:tcW w:w="1260" w:type="dxa"/>
            <w:vAlign w:val="bottom"/>
          </w:tcPr>
          <w:p>
            <w:pPr>
              <w:jc w:val="right"/>
              <w:ind w:right="102"/>
              <w:spacing w:after="0"/>
              <w:rPr>
                <w:sz w:val="20"/>
                <w:szCs w:val="20"/>
                <w:color w:val="auto"/>
              </w:rPr>
            </w:pPr>
            <w:r>
              <w:rPr>
                <w:rFonts w:ascii="Arial Narrow" w:cs="Arial Narrow" w:eastAsia="Arial Narrow" w:hAnsi="Arial Narrow"/>
                <w:sz w:val="20"/>
                <w:szCs w:val="20"/>
                <w:b w:val="1"/>
                <w:bCs w:val="1"/>
                <w:color w:val="auto"/>
              </w:rPr>
              <w:t>4,404</w:t>
            </w:r>
          </w:p>
        </w:tc>
        <w:tc>
          <w:tcPr>
            <w:tcW w:w="840" w:type="dxa"/>
            <w:vAlign w:val="bottom"/>
            <w:gridSpan w:val="2"/>
          </w:tcPr>
          <w:p>
            <w:pPr>
              <w:jc w:val="right"/>
              <w:ind w:right="600"/>
              <w:spacing w:after="0"/>
              <w:rPr>
                <w:sz w:val="20"/>
                <w:szCs w:val="20"/>
                <w:color w:val="auto"/>
              </w:rPr>
            </w:pPr>
            <w:r>
              <w:rPr>
                <w:rFonts w:ascii="Arial Narrow" w:cs="Arial Narrow" w:eastAsia="Arial Narrow" w:hAnsi="Arial Narrow"/>
                <w:sz w:val="20"/>
                <w:szCs w:val="20"/>
                <w:b w:val="1"/>
                <w:bCs w:val="1"/>
                <w:color w:val="auto"/>
              </w:rPr>
              <w:t>$</w:t>
            </w:r>
          </w:p>
        </w:tc>
        <w:tc>
          <w:tcPr>
            <w:tcW w:w="920" w:type="dxa"/>
            <w:vAlign w:val="bottom"/>
          </w:tcPr>
          <w:p>
            <w:pPr>
              <w:jc w:val="right"/>
              <w:ind w:right="101"/>
              <w:spacing w:after="0"/>
              <w:rPr>
                <w:sz w:val="20"/>
                <w:szCs w:val="20"/>
                <w:color w:val="auto"/>
              </w:rPr>
            </w:pPr>
            <w:r>
              <w:rPr>
                <w:rFonts w:ascii="Arial Narrow" w:cs="Arial Narrow" w:eastAsia="Arial Narrow" w:hAnsi="Arial Narrow"/>
                <w:sz w:val="20"/>
                <w:szCs w:val="20"/>
                <w:b w:val="1"/>
                <w:bCs w:val="1"/>
                <w:color w:val="auto"/>
              </w:rPr>
              <w:t>3,125</w:t>
            </w:r>
          </w:p>
        </w:tc>
        <w:tc>
          <w:tcPr>
            <w:tcW w:w="0" w:type="dxa"/>
            <w:vAlign w:val="bottom"/>
          </w:tcPr>
          <w:p>
            <w:pPr>
              <w:spacing w:after="0"/>
              <w:rPr>
                <w:sz w:val="1"/>
                <w:szCs w:val="1"/>
                <w:color w:val="auto"/>
              </w:rPr>
            </w:pPr>
          </w:p>
        </w:tc>
      </w:tr>
      <w:tr>
        <w:trPr>
          <w:trHeight w:val="65"/>
        </w:trPr>
        <w:tc>
          <w:tcPr>
            <w:tcW w:w="606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360"/>
          </w:cols>
          <w:pgMar w:left="1260" w:top="1267" w:right="1260" w:bottom="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108</w:t>
      </w:r>
    </w:p>
    <w:p>
      <w:pPr>
        <w:sectPr>
          <w:pgSz w:w="11880" w:h="15480" w:orient="portrait"/>
          <w:cols w:equalWidth="0" w:num="1">
            <w:col w:w="9360"/>
          </w:cols>
          <w:pgMar w:left="1260" w:top="1267" w:right="1260" w:bottom="7" w:gutter="0" w:footer="0" w:header="0"/>
          <w:type w:val="continuous"/>
        </w:sectPr>
      </w:pPr>
    </w:p>
    <w:bookmarkStart w:id="116" w:name="page117"/>
    <w:bookmarkEnd w:id="116"/>
    <w:p>
      <w:pPr>
        <w:ind w:right="680"/>
        <w:spacing w:after="0" w:line="325" w:lineRule="auto"/>
        <w:rPr>
          <w:sz w:val="20"/>
          <w:szCs w:val="20"/>
          <w:color w:val="auto"/>
        </w:rPr>
      </w:pPr>
      <w:r>
        <w:rPr>
          <w:rFonts w:ascii="Arial" w:cs="Arial" w:eastAsia="Arial" w:hAnsi="Arial"/>
          <w:sz w:val="20"/>
          <w:szCs w:val="20"/>
          <w:color w:val="auto"/>
        </w:rPr>
        <w:t>Net periodic pension cost for the fiscal years ended March 31, 2026, 2025, and 2024, included the components listed below.</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5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960" w:type="dxa"/>
            <w:vAlign w:val="bottom"/>
            <w:gridSpan w:val="6"/>
          </w:tcPr>
          <w:p>
            <w:pPr>
              <w:jc w:val="right"/>
              <w:ind w:right="240"/>
              <w:spacing w:after="0"/>
              <w:rPr>
                <w:sz w:val="20"/>
                <w:szCs w:val="20"/>
                <w:color w:val="auto"/>
              </w:rPr>
            </w:pPr>
            <w:r>
              <w:rPr>
                <w:rFonts w:ascii="Arial Narrow" w:cs="Arial Narrow" w:eastAsia="Arial Narrow" w:hAnsi="Arial Narrow"/>
                <w:sz w:val="18"/>
                <w:szCs w:val="18"/>
                <w:b w:val="1"/>
                <w:bCs w:val="1"/>
                <w:color w:val="auto"/>
              </w:rPr>
              <w:t>For the Years Ended March 31,</w:t>
            </w:r>
          </w:p>
        </w:tc>
        <w:tc>
          <w:tcPr>
            <w:tcW w:w="880" w:type="dxa"/>
            <w:vAlign w:val="bottom"/>
          </w:tcPr>
          <w:p>
            <w:pPr>
              <w:spacing w:after="0"/>
              <w:rPr>
                <w:sz w:val="22"/>
                <w:szCs w:val="22"/>
                <w:color w:val="auto"/>
              </w:rPr>
            </w:pPr>
          </w:p>
        </w:tc>
      </w:tr>
      <w:tr>
        <w:trPr>
          <w:trHeight w:val="21"/>
        </w:trPr>
        <w:tc>
          <w:tcPr>
            <w:tcW w:w="5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69"/>
        </w:trPr>
        <w:tc>
          <w:tcPr>
            <w:tcW w:w="5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60" w:type="dxa"/>
            <w:vAlign w:val="bottom"/>
          </w:tcPr>
          <w:p>
            <w:pPr>
              <w:jc w:val="right"/>
              <w:ind w:right="123"/>
              <w:spacing w:after="0"/>
              <w:rPr>
                <w:sz w:val="20"/>
                <w:szCs w:val="20"/>
                <w:color w:val="auto"/>
              </w:rPr>
            </w:pPr>
            <w:r>
              <w:rPr>
                <w:rFonts w:ascii="Arial Narrow" w:cs="Arial Narrow" w:eastAsia="Arial Narrow" w:hAnsi="Arial Narrow"/>
                <w:sz w:val="18"/>
                <w:szCs w:val="18"/>
                <w:b w:val="1"/>
                <w:bCs w:val="1"/>
                <w:color w:val="auto"/>
              </w:rPr>
              <w:t>2026</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40" w:type="dxa"/>
            <w:vAlign w:val="bottom"/>
          </w:tcPr>
          <w:p>
            <w:pPr>
              <w:jc w:val="right"/>
              <w:ind w:right="102"/>
              <w:spacing w:after="0"/>
              <w:rPr>
                <w:sz w:val="20"/>
                <w:szCs w:val="20"/>
                <w:color w:val="auto"/>
              </w:rPr>
            </w:pPr>
            <w:r>
              <w:rPr>
                <w:rFonts w:ascii="Arial Narrow" w:cs="Arial Narrow" w:eastAsia="Arial Narrow" w:hAnsi="Arial Narrow"/>
                <w:sz w:val="18"/>
                <w:szCs w:val="18"/>
                <w:b w:val="1"/>
                <w:bCs w:val="1"/>
                <w:color w:val="auto"/>
              </w:rPr>
              <w:t>2025</w:t>
            </w: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80" w:type="dxa"/>
            <w:vAlign w:val="bottom"/>
          </w:tcPr>
          <w:p>
            <w:pPr>
              <w:jc w:val="right"/>
              <w:ind w:right="82"/>
              <w:spacing w:after="0"/>
              <w:rPr>
                <w:sz w:val="20"/>
                <w:szCs w:val="20"/>
                <w:color w:val="auto"/>
              </w:rPr>
            </w:pPr>
            <w:r>
              <w:rPr>
                <w:rFonts w:ascii="Arial Narrow" w:cs="Arial Narrow" w:eastAsia="Arial Narrow" w:hAnsi="Arial Narrow"/>
                <w:sz w:val="18"/>
                <w:szCs w:val="18"/>
                <w:b w:val="1"/>
                <w:bCs w:val="1"/>
                <w:color w:val="auto"/>
              </w:rPr>
              <w:t>2024</w:t>
            </w:r>
          </w:p>
        </w:tc>
      </w:tr>
      <w:tr>
        <w:trPr>
          <w:trHeight w:val="21"/>
        </w:trPr>
        <w:tc>
          <w:tcPr>
            <w:tcW w:w="5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44"/>
        </w:trPr>
        <w:tc>
          <w:tcPr>
            <w:tcW w:w="5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40" w:type="dxa"/>
            <w:vAlign w:val="bottom"/>
            <w:gridSpan w:val="3"/>
          </w:tcPr>
          <w:p>
            <w:pPr>
              <w:jc w:val="right"/>
              <w:ind w:right="42"/>
              <w:spacing w:after="0"/>
              <w:rPr>
                <w:sz w:val="20"/>
                <w:szCs w:val="20"/>
                <w:color w:val="auto"/>
              </w:rPr>
            </w:pPr>
            <w:r>
              <w:rPr>
                <w:rFonts w:ascii="Arial Narrow" w:cs="Arial Narrow" w:eastAsia="Arial Narrow" w:hAnsi="Arial Narrow"/>
                <w:sz w:val="16"/>
                <w:szCs w:val="16"/>
                <w:color w:val="auto"/>
              </w:rPr>
              <w:t>(dollars in thousands)</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48"/>
        </w:trPr>
        <w:tc>
          <w:tcPr>
            <w:tcW w:w="51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gridSpan w:val="2"/>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gridSpan w:val="2"/>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298"/>
        </w:trPr>
        <w:tc>
          <w:tcPr>
            <w:tcW w:w="5140" w:type="dxa"/>
            <w:vAlign w:val="bottom"/>
          </w:tcPr>
          <w:p>
            <w:pPr>
              <w:spacing w:after="0"/>
              <w:rPr>
                <w:sz w:val="20"/>
                <w:szCs w:val="20"/>
                <w:color w:val="auto"/>
              </w:rPr>
            </w:pPr>
            <w:r>
              <w:rPr>
                <w:rFonts w:ascii="Arial Narrow" w:cs="Arial Narrow" w:eastAsia="Arial Narrow" w:hAnsi="Arial Narrow"/>
                <w:sz w:val="20"/>
                <w:szCs w:val="20"/>
                <w:b w:val="1"/>
                <w:bCs w:val="1"/>
                <w:color w:val="00085E"/>
              </w:rPr>
              <w:t>Interest Cost of Projected Benefit Obligation</w:t>
            </w:r>
          </w:p>
        </w:tc>
        <w:tc>
          <w:tcPr>
            <w:tcW w:w="380" w:type="dxa"/>
            <w:vAlign w:val="bottom"/>
          </w:tcPr>
          <w:p>
            <w:pPr>
              <w:jc w:val="right"/>
              <w:ind w:right="210"/>
              <w:spacing w:after="0"/>
              <w:rPr>
                <w:sz w:val="20"/>
                <w:szCs w:val="20"/>
                <w:color w:val="auto"/>
              </w:rPr>
            </w:pPr>
            <w:r>
              <w:rPr>
                <w:rFonts w:ascii="Arial Narrow" w:cs="Arial Narrow" w:eastAsia="Arial Narrow" w:hAnsi="Arial Narrow"/>
                <w:sz w:val="18"/>
                <w:szCs w:val="18"/>
                <w:color w:val="auto"/>
                <w:w w:val="72"/>
              </w:rPr>
              <w:t>$</w:t>
            </w:r>
          </w:p>
        </w:tc>
        <w:tc>
          <w:tcPr>
            <w:tcW w:w="960" w:type="dxa"/>
            <w:vAlign w:val="bottom"/>
          </w:tcPr>
          <w:p>
            <w:pPr>
              <w:jc w:val="right"/>
              <w:ind w:right="123"/>
              <w:spacing w:after="0"/>
              <w:rPr>
                <w:sz w:val="20"/>
                <w:szCs w:val="20"/>
                <w:color w:val="auto"/>
              </w:rPr>
            </w:pPr>
            <w:r>
              <w:rPr>
                <w:rFonts w:ascii="Arial Narrow" w:cs="Arial Narrow" w:eastAsia="Arial Narrow" w:hAnsi="Arial Narrow"/>
                <w:sz w:val="20"/>
                <w:szCs w:val="20"/>
                <w:color w:val="auto"/>
              </w:rPr>
              <w:t>1,457</w:t>
            </w:r>
          </w:p>
        </w:tc>
        <w:tc>
          <w:tcPr>
            <w:tcW w:w="500" w:type="dxa"/>
            <w:vAlign w:val="bottom"/>
            <w:gridSpan w:val="2"/>
          </w:tcPr>
          <w:p>
            <w:pPr>
              <w:jc w:val="right"/>
              <w:ind w:right="280"/>
              <w:spacing w:after="0"/>
              <w:rPr>
                <w:sz w:val="20"/>
                <w:szCs w:val="20"/>
                <w:color w:val="auto"/>
              </w:rPr>
            </w:pPr>
            <w:r>
              <w:rPr>
                <w:rFonts w:ascii="Arial Narrow" w:cs="Arial Narrow" w:eastAsia="Arial Narrow" w:hAnsi="Arial Narrow"/>
                <w:sz w:val="20"/>
                <w:szCs w:val="20"/>
                <w:color w:val="auto"/>
              </w:rPr>
              <w:t>$</w:t>
            </w:r>
          </w:p>
        </w:tc>
        <w:tc>
          <w:tcPr>
            <w:tcW w:w="940" w:type="dxa"/>
            <w:vAlign w:val="bottom"/>
          </w:tcPr>
          <w:p>
            <w:pPr>
              <w:jc w:val="right"/>
              <w:ind w:right="102"/>
              <w:spacing w:after="0"/>
              <w:rPr>
                <w:sz w:val="20"/>
                <w:szCs w:val="20"/>
                <w:color w:val="auto"/>
              </w:rPr>
            </w:pPr>
            <w:r>
              <w:rPr>
                <w:rFonts w:ascii="Arial Narrow" w:cs="Arial Narrow" w:eastAsia="Arial Narrow" w:hAnsi="Arial Narrow"/>
                <w:sz w:val="20"/>
                <w:szCs w:val="20"/>
                <w:color w:val="auto"/>
              </w:rPr>
              <w:t>1,434</w:t>
            </w:r>
          </w:p>
        </w:tc>
        <w:tc>
          <w:tcPr>
            <w:tcW w:w="560" w:type="dxa"/>
            <w:vAlign w:val="bottom"/>
            <w:gridSpan w:val="2"/>
          </w:tcPr>
          <w:p>
            <w:pPr>
              <w:jc w:val="right"/>
              <w:ind w:right="340"/>
              <w:spacing w:after="0"/>
              <w:rPr>
                <w:sz w:val="20"/>
                <w:szCs w:val="20"/>
                <w:color w:val="auto"/>
              </w:rPr>
            </w:pPr>
            <w:r>
              <w:rPr>
                <w:rFonts w:ascii="Arial Narrow" w:cs="Arial Narrow" w:eastAsia="Arial Narrow" w:hAnsi="Arial Narrow"/>
                <w:sz w:val="20"/>
                <w:szCs w:val="20"/>
                <w:color w:val="auto"/>
              </w:rPr>
              <w:t>$</w:t>
            </w:r>
          </w:p>
        </w:tc>
        <w:tc>
          <w:tcPr>
            <w:tcW w:w="880" w:type="dxa"/>
            <w:vAlign w:val="bottom"/>
          </w:tcPr>
          <w:p>
            <w:pPr>
              <w:jc w:val="right"/>
              <w:ind w:right="82"/>
              <w:spacing w:after="0"/>
              <w:rPr>
                <w:sz w:val="20"/>
                <w:szCs w:val="20"/>
                <w:color w:val="auto"/>
              </w:rPr>
            </w:pPr>
            <w:r>
              <w:rPr>
                <w:rFonts w:ascii="Arial Narrow" w:cs="Arial Narrow" w:eastAsia="Arial Narrow" w:hAnsi="Arial Narrow"/>
                <w:sz w:val="20"/>
                <w:szCs w:val="20"/>
                <w:color w:val="auto"/>
              </w:rPr>
              <w:t>1,413</w:t>
            </w:r>
          </w:p>
        </w:tc>
      </w:tr>
      <w:tr>
        <w:trPr>
          <w:trHeight w:val="65"/>
        </w:trPr>
        <w:tc>
          <w:tcPr>
            <w:tcW w:w="5140" w:type="dxa"/>
            <w:vAlign w:val="bottom"/>
            <w:tcBorders>
              <w:bottom w:val="single" w:sz="8" w:color="A6A6A6"/>
            </w:tcBorders>
          </w:tcPr>
          <w:p>
            <w:pPr>
              <w:spacing w:after="0"/>
              <w:rPr>
                <w:sz w:val="5"/>
                <w:szCs w:val="5"/>
                <w:color w:val="auto"/>
              </w:rPr>
            </w:pPr>
          </w:p>
        </w:tc>
        <w:tc>
          <w:tcPr>
            <w:tcW w:w="380" w:type="dxa"/>
            <w:vAlign w:val="bottom"/>
            <w:tcBorders>
              <w:bottom w:val="single" w:sz="8" w:color="A6A6A6"/>
            </w:tcBorders>
          </w:tcPr>
          <w:p>
            <w:pPr>
              <w:spacing w:after="0"/>
              <w:rPr>
                <w:sz w:val="5"/>
                <w:szCs w:val="5"/>
                <w:color w:val="auto"/>
              </w:rPr>
            </w:pPr>
          </w:p>
        </w:tc>
        <w:tc>
          <w:tcPr>
            <w:tcW w:w="96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380" w:type="dxa"/>
            <w:vAlign w:val="bottom"/>
            <w:tcBorders>
              <w:bottom w:val="single" w:sz="8" w:color="A6A6A6"/>
            </w:tcBorders>
          </w:tcPr>
          <w:p>
            <w:pPr>
              <w:spacing w:after="0"/>
              <w:rPr>
                <w:sz w:val="5"/>
                <w:szCs w:val="5"/>
                <w:color w:val="auto"/>
              </w:rPr>
            </w:pPr>
          </w:p>
        </w:tc>
        <w:tc>
          <w:tcPr>
            <w:tcW w:w="94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420" w:type="dxa"/>
            <w:vAlign w:val="bottom"/>
            <w:tcBorders>
              <w:bottom w:val="single" w:sz="8" w:color="A6A6A6"/>
            </w:tcBorders>
          </w:tcPr>
          <w:p>
            <w:pPr>
              <w:spacing w:after="0"/>
              <w:rPr>
                <w:sz w:val="5"/>
                <w:szCs w:val="5"/>
                <w:color w:val="auto"/>
              </w:rPr>
            </w:pPr>
          </w:p>
        </w:tc>
        <w:tc>
          <w:tcPr>
            <w:tcW w:w="880" w:type="dxa"/>
            <w:vAlign w:val="bottom"/>
            <w:tcBorders>
              <w:bottom w:val="single" w:sz="8" w:color="A6A6A6"/>
            </w:tcBorders>
          </w:tcPr>
          <w:p>
            <w:pPr>
              <w:spacing w:after="0"/>
              <w:rPr>
                <w:sz w:val="5"/>
                <w:szCs w:val="5"/>
                <w:color w:val="auto"/>
              </w:rPr>
            </w:pPr>
          </w:p>
        </w:tc>
      </w:tr>
      <w:tr>
        <w:trPr>
          <w:trHeight w:val="339"/>
        </w:trPr>
        <w:tc>
          <w:tcPr>
            <w:tcW w:w="5140" w:type="dxa"/>
            <w:vAlign w:val="bottom"/>
          </w:tcPr>
          <w:p>
            <w:pPr>
              <w:spacing w:after="0"/>
              <w:rPr>
                <w:sz w:val="20"/>
                <w:szCs w:val="20"/>
                <w:color w:val="auto"/>
              </w:rPr>
            </w:pPr>
            <w:r>
              <w:rPr>
                <w:rFonts w:ascii="Arial Narrow" w:cs="Arial Narrow" w:eastAsia="Arial Narrow" w:hAnsi="Arial Narrow"/>
                <w:sz w:val="20"/>
                <w:szCs w:val="20"/>
                <w:b w:val="1"/>
                <w:bCs w:val="1"/>
                <w:color w:val="00085E"/>
              </w:rPr>
              <w:t>Expected Return on Plan Assets</w:t>
            </w:r>
          </w:p>
        </w:tc>
        <w:tc>
          <w:tcPr>
            <w:tcW w:w="380" w:type="dxa"/>
            <w:vAlign w:val="bottom"/>
          </w:tcPr>
          <w:p>
            <w:pPr>
              <w:spacing w:after="0"/>
              <w:rPr>
                <w:sz w:val="24"/>
                <w:szCs w:val="24"/>
                <w:color w:val="auto"/>
              </w:rPr>
            </w:pPr>
          </w:p>
        </w:tc>
        <w:tc>
          <w:tcPr>
            <w:tcW w:w="960" w:type="dxa"/>
            <w:vAlign w:val="bottom"/>
          </w:tcPr>
          <w:p>
            <w:pPr>
              <w:jc w:val="right"/>
              <w:ind w:right="43"/>
              <w:spacing w:after="0"/>
              <w:rPr>
                <w:sz w:val="20"/>
                <w:szCs w:val="20"/>
                <w:color w:val="auto"/>
              </w:rPr>
            </w:pPr>
            <w:r>
              <w:rPr>
                <w:rFonts w:ascii="Arial Narrow" w:cs="Arial Narrow" w:eastAsia="Arial Narrow" w:hAnsi="Arial Narrow"/>
                <w:sz w:val="20"/>
                <w:szCs w:val="20"/>
                <w:color w:val="auto"/>
              </w:rPr>
              <w:t>(1,585)</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ind w:right="22"/>
              <w:spacing w:after="0"/>
              <w:rPr>
                <w:sz w:val="20"/>
                <w:szCs w:val="20"/>
                <w:color w:val="auto"/>
              </w:rPr>
            </w:pPr>
            <w:r>
              <w:rPr>
                <w:rFonts w:ascii="Arial Narrow" w:cs="Arial Narrow" w:eastAsia="Arial Narrow" w:hAnsi="Arial Narrow"/>
                <w:sz w:val="20"/>
                <w:szCs w:val="20"/>
                <w:color w:val="auto"/>
              </w:rPr>
              <w:t>(1,548)</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ind w:right="22"/>
              <w:spacing w:after="0"/>
              <w:rPr>
                <w:sz w:val="20"/>
                <w:szCs w:val="20"/>
                <w:color w:val="auto"/>
              </w:rPr>
            </w:pPr>
            <w:r>
              <w:rPr>
                <w:rFonts w:ascii="Arial Narrow" w:cs="Arial Narrow" w:eastAsia="Arial Narrow" w:hAnsi="Arial Narrow"/>
                <w:sz w:val="20"/>
                <w:szCs w:val="20"/>
                <w:color w:val="auto"/>
              </w:rPr>
              <w:t>(1,512)</w:t>
            </w:r>
          </w:p>
        </w:tc>
      </w:tr>
      <w:tr>
        <w:trPr>
          <w:trHeight w:val="65"/>
        </w:trPr>
        <w:tc>
          <w:tcPr>
            <w:tcW w:w="5140" w:type="dxa"/>
            <w:vAlign w:val="bottom"/>
            <w:tcBorders>
              <w:bottom w:val="single" w:sz="8" w:color="A6A6A6"/>
            </w:tcBorders>
          </w:tcPr>
          <w:p>
            <w:pPr>
              <w:spacing w:after="0"/>
              <w:rPr>
                <w:sz w:val="5"/>
                <w:szCs w:val="5"/>
                <w:color w:val="auto"/>
              </w:rPr>
            </w:pPr>
          </w:p>
        </w:tc>
        <w:tc>
          <w:tcPr>
            <w:tcW w:w="380" w:type="dxa"/>
            <w:vAlign w:val="bottom"/>
            <w:tcBorders>
              <w:bottom w:val="single" w:sz="8" w:color="A6A6A6"/>
            </w:tcBorders>
          </w:tcPr>
          <w:p>
            <w:pPr>
              <w:spacing w:after="0"/>
              <w:rPr>
                <w:sz w:val="5"/>
                <w:szCs w:val="5"/>
                <w:color w:val="auto"/>
              </w:rPr>
            </w:pPr>
          </w:p>
        </w:tc>
        <w:tc>
          <w:tcPr>
            <w:tcW w:w="96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380" w:type="dxa"/>
            <w:vAlign w:val="bottom"/>
            <w:tcBorders>
              <w:bottom w:val="single" w:sz="8" w:color="A6A6A6"/>
            </w:tcBorders>
          </w:tcPr>
          <w:p>
            <w:pPr>
              <w:spacing w:after="0"/>
              <w:rPr>
                <w:sz w:val="5"/>
                <w:szCs w:val="5"/>
                <w:color w:val="auto"/>
              </w:rPr>
            </w:pPr>
          </w:p>
        </w:tc>
        <w:tc>
          <w:tcPr>
            <w:tcW w:w="94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420" w:type="dxa"/>
            <w:vAlign w:val="bottom"/>
            <w:tcBorders>
              <w:bottom w:val="single" w:sz="8" w:color="A6A6A6"/>
            </w:tcBorders>
          </w:tcPr>
          <w:p>
            <w:pPr>
              <w:spacing w:after="0"/>
              <w:rPr>
                <w:sz w:val="5"/>
                <w:szCs w:val="5"/>
                <w:color w:val="auto"/>
              </w:rPr>
            </w:pPr>
          </w:p>
        </w:tc>
        <w:tc>
          <w:tcPr>
            <w:tcW w:w="880" w:type="dxa"/>
            <w:vAlign w:val="bottom"/>
            <w:tcBorders>
              <w:bottom w:val="single" w:sz="8" w:color="A6A6A6"/>
            </w:tcBorders>
          </w:tcPr>
          <w:p>
            <w:pPr>
              <w:spacing w:after="0"/>
              <w:rPr>
                <w:sz w:val="5"/>
                <w:szCs w:val="5"/>
                <w:color w:val="auto"/>
              </w:rPr>
            </w:pPr>
          </w:p>
        </w:tc>
      </w:tr>
      <w:tr>
        <w:trPr>
          <w:trHeight w:val="339"/>
        </w:trPr>
        <w:tc>
          <w:tcPr>
            <w:tcW w:w="5140" w:type="dxa"/>
            <w:vAlign w:val="bottom"/>
          </w:tcPr>
          <w:p>
            <w:pPr>
              <w:spacing w:after="0"/>
              <w:rPr>
                <w:sz w:val="20"/>
                <w:szCs w:val="20"/>
                <w:color w:val="auto"/>
              </w:rPr>
            </w:pPr>
            <w:r>
              <w:rPr>
                <w:rFonts w:ascii="Arial Narrow" w:cs="Arial Narrow" w:eastAsia="Arial Narrow" w:hAnsi="Arial Narrow"/>
                <w:sz w:val="20"/>
                <w:szCs w:val="20"/>
                <w:b w:val="1"/>
                <w:bCs w:val="1"/>
                <w:color w:val="00085E"/>
              </w:rPr>
              <w:t>Recognized Net Actuarial Loss</w:t>
            </w:r>
          </w:p>
        </w:tc>
        <w:tc>
          <w:tcPr>
            <w:tcW w:w="380" w:type="dxa"/>
            <w:vAlign w:val="bottom"/>
          </w:tcPr>
          <w:p>
            <w:pPr>
              <w:spacing w:after="0"/>
              <w:rPr>
                <w:sz w:val="24"/>
                <w:szCs w:val="24"/>
                <w:color w:val="auto"/>
              </w:rPr>
            </w:pPr>
          </w:p>
        </w:tc>
        <w:tc>
          <w:tcPr>
            <w:tcW w:w="960" w:type="dxa"/>
            <w:vAlign w:val="bottom"/>
          </w:tcPr>
          <w:p>
            <w:pPr>
              <w:jc w:val="right"/>
              <w:ind w:right="123"/>
              <w:spacing w:after="0"/>
              <w:rPr>
                <w:sz w:val="20"/>
                <w:szCs w:val="20"/>
                <w:color w:val="auto"/>
              </w:rPr>
            </w:pPr>
            <w:r>
              <w:rPr>
                <w:rFonts w:ascii="Arial Narrow" w:cs="Arial Narrow" w:eastAsia="Arial Narrow" w:hAnsi="Arial Narrow"/>
                <w:sz w:val="20"/>
                <w:szCs w:val="20"/>
                <w:color w:val="auto"/>
              </w:rPr>
              <w:t>210</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ind w:right="102"/>
              <w:spacing w:after="0"/>
              <w:rPr>
                <w:sz w:val="20"/>
                <w:szCs w:val="20"/>
                <w:color w:val="auto"/>
              </w:rPr>
            </w:pPr>
            <w:r>
              <w:rPr>
                <w:rFonts w:ascii="Arial Narrow" w:cs="Arial Narrow" w:eastAsia="Arial Narrow" w:hAnsi="Arial Narrow"/>
                <w:sz w:val="20"/>
                <w:szCs w:val="20"/>
                <w:color w:val="auto"/>
              </w:rPr>
              <w:t>238</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ind w:right="82"/>
              <w:spacing w:after="0"/>
              <w:rPr>
                <w:sz w:val="20"/>
                <w:szCs w:val="20"/>
                <w:color w:val="auto"/>
              </w:rPr>
            </w:pPr>
            <w:r>
              <w:rPr>
                <w:rFonts w:ascii="Arial Narrow" w:cs="Arial Narrow" w:eastAsia="Arial Narrow" w:hAnsi="Arial Narrow"/>
                <w:sz w:val="20"/>
                <w:szCs w:val="20"/>
                <w:color w:val="auto"/>
              </w:rPr>
              <w:t>250</w:t>
            </w:r>
          </w:p>
        </w:tc>
      </w:tr>
      <w:tr>
        <w:trPr>
          <w:trHeight w:val="90"/>
        </w:trPr>
        <w:tc>
          <w:tcPr>
            <w:tcW w:w="5140" w:type="dxa"/>
            <w:vAlign w:val="bottom"/>
            <w:tcBorders>
              <w:bottom w:val="single" w:sz="8" w:color="A6A6A6"/>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r>
      <w:tr>
        <w:trPr>
          <w:trHeight w:val="344"/>
        </w:trPr>
        <w:tc>
          <w:tcPr>
            <w:tcW w:w="5140" w:type="dxa"/>
            <w:vAlign w:val="bottom"/>
          </w:tcPr>
          <w:p>
            <w:pPr>
              <w:ind w:left="280"/>
              <w:spacing w:after="0"/>
              <w:rPr>
                <w:sz w:val="20"/>
                <w:szCs w:val="20"/>
                <w:color w:val="auto"/>
              </w:rPr>
            </w:pPr>
            <w:r>
              <w:rPr>
                <w:rFonts w:ascii="Arial Narrow" w:cs="Arial Narrow" w:eastAsia="Arial Narrow" w:hAnsi="Arial Narrow"/>
                <w:sz w:val="20"/>
                <w:szCs w:val="20"/>
                <w:b w:val="1"/>
                <w:bCs w:val="1"/>
                <w:color w:val="00085E"/>
              </w:rPr>
              <w:t>Net Periodic Pension Cost</w:t>
            </w:r>
          </w:p>
        </w:tc>
        <w:tc>
          <w:tcPr>
            <w:tcW w:w="380" w:type="dxa"/>
            <w:vAlign w:val="bottom"/>
          </w:tcPr>
          <w:p>
            <w:pPr>
              <w:jc w:val="right"/>
              <w:ind w:right="210"/>
              <w:spacing w:after="0"/>
              <w:rPr>
                <w:sz w:val="20"/>
                <w:szCs w:val="20"/>
                <w:color w:val="auto"/>
              </w:rPr>
            </w:pPr>
            <w:r>
              <w:rPr>
                <w:rFonts w:ascii="Arial Narrow" w:cs="Arial Narrow" w:eastAsia="Arial Narrow" w:hAnsi="Arial Narrow"/>
                <w:sz w:val="18"/>
                <w:szCs w:val="18"/>
                <w:b w:val="1"/>
                <w:bCs w:val="1"/>
                <w:color w:val="auto"/>
                <w:w w:val="72"/>
              </w:rPr>
              <w:t>$</w:t>
            </w:r>
          </w:p>
        </w:tc>
        <w:tc>
          <w:tcPr>
            <w:tcW w:w="960" w:type="dxa"/>
            <w:vAlign w:val="bottom"/>
          </w:tcPr>
          <w:p>
            <w:pPr>
              <w:jc w:val="right"/>
              <w:ind w:right="123"/>
              <w:spacing w:after="0"/>
              <w:rPr>
                <w:sz w:val="20"/>
                <w:szCs w:val="20"/>
                <w:color w:val="auto"/>
              </w:rPr>
            </w:pPr>
            <w:r>
              <w:rPr>
                <w:rFonts w:ascii="Arial Narrow" w:cs="Arial Narrow" w:eastAsia="Arial Narrow" w:hAnsi="Arial Narrow"/>
                <w:sz w:val="20"/>
                <w:szCs w:val="20"/>
                <w:b w:val="1"/>
                <w:bCs w:val="1"/>
                <w:color w:val="auto"/>
              </w:rPr>
              <w:t>82</w:t>
            </w:r>
          </w:p>
        </w:tc>
        <w:tc>
          <w:tcPr>
            <w:tcW w:w="500" w:type="dxa"/>
            <w:vAlign w:val="bottom"/>
            <w:gridSpan w:val="2"/>
          </w:tcPr>
          <w:p>
            <w:pPr>
              <w:jc w:val="right"/>
              <w:ind w:right="280"/>
              <w:spacing w:after="0"/>
              <w:rPr>
                <w:sz w:val="20"/>
                <w:szCs w:val="20"/>
                <w:color w:val="auto"/>
              </w:rPr>
            </w:pPr>
            <w:r>
              <w:rPr>
                <w:rFonts w:ascii="Arial Narrow" w:cs="Arial Narrow" w:eastAsia="Arial Narrow" w:hAnsi="Arial Narrow"/>
                <w:sz w:val="20"/>
                <w:szCs w:val="20"/>
                <w:b w:val="1"/>
                <w:bCs w:val="1"/>
                <w:color w:val="auto"/>
              </w:rPr>
              <w:t>$</w:t>
            </w:r>
          </w:p>
        </w:tc>
        <w:tc>
          <w:tcPr>
            <w:tcW w:w="940" w:type="dxa"/>
            <w:vAlign w:val="bottom"/>
          </w:tcPr>
          <w:p>
            <w:pPr>
              <w:jc w:val="right"/>
              <w:ind w:right="102"/>
              <w:spacing w:after="0"/>
              <w:rPr>
                <w:sz w:val="20"/>
                <w:szCs w:val="20"/>
                <w:color w:val="auto"/>
              </w:rPr>
            </w:pPr>
            <w:r>
              <w:rPr>
                <w:rFonts w:ascii="Arial Narrow" w:cs="Arial Narrow" w:eastAsia="Arial Narrow" w:hAnsi="Arial Narrow"/>
                <w:sz w:val="20"/>
                <w:szCs w:val="20"/>
                <w:b w:val="1"/>
                <w:bCs w:val="1"/>
                <w:color w:val="auto"/>
              </w:rPr>
              <w:t>124</w:t>
            </w:r>
          </w:p>
        </w:tc>
        <w:tc>
          <w:tcPr>
            <w:tcW w:w="560" w:type="dxa"/>
            <w:vAlign w:val="bottom"/>
            <w:gridSpan w:val="2"/>
          </w:tcPr>
          <w:p>
            <w:pPr>
              <w:jc w:val="right"/>
              <w:ind w:right="340"/>
              <w:spacing w:after="0"/>
              <w:rPr>
                <w:sz w:val="20"/>
                <w:szCs w:val="20"/>
                <w:color w:val="auto"/>
              </w:rPr>
            </w:pPr>
            <w:r>
              <w:rPr>
                <w:rFonts w:ascii="Arial Narrow" w:cs="Arial Narrow" w:eastAsia="Arial Narrow" w:hAnsi="Arial Narrow"/>
                <w:sz w:val="20"/>
                <w:szCs w:val="20"/>
                <w:b w:val="1"/>
                <w:bCs w:val="1"/>
                <w:color w:val="auto"/>
              </w:rPr>
              <w:t>$</w:t>
            </w:r>
          </w:p>
        </w:tc>
        <w:tc>
          <w:tcPr>
            <w:tcW w:w="880" w:type="dxa"/>
            <w:vAlign w:val="bottom"/>
          </w:tcPr>
          <w:p>
            <w:pPr>
              <w:jc w:val="right"/>
              <w:ind w:right="82"/>
              <w:spacing w:after="0"/>
              <w:rPr>
                <w:sz w:val="20"/>
                <w:szCs w:val="20"/>
                <w:color w:val="auto"/>
              </w:rPr>
            </w:pPr>
            <w:r>
              <w:rPr>
                <w:rFonts w:ascii="Arial Narrow" w:cs="Arial Narrow" w:eastAsia="Arial Narrow" w:hAnsi="Arial Narrow"/>
                <w:sz w:val="20"/>
                <w:szCs w:val="20"/>
                <w:b w:val="1"/>
                <w:bCs w:val="1"/>
                <w:color w:val="auto"/>
              </w:rPr>
              <w:t>151</w:t>
            </w:r>
          </w:p>
        </w:tc>
      </w:tr>
      <w:tr>
        <w:trPr>
          <w:trHeight w:val="65"/>
        </w:trPr>
        <w:tc>
          <w:tcPr>
            <w:tcW w:w="514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r>
      <w:tr>
        <w:trPr>
          <w:trHeight w:val="20"/>
        </w:trPr>
        <w:tc>
          <w:tcPr>
            <w:tcW w:w="5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jc w:val="both"/>
        <w:ind w:right="120"/>
        <w:spacing w:after="0" w:line="325" w:lineRule="auto"/>
        <w:rPr>
          <w:sz w:val="20"/>
          <w:szCs w:val="20"/>
          <w:color w:val="auto"/>
        </w:rPr>
      </w:pPr>
      <w:r>
        <w:rPr>
          <w:rFonts w:ascii="Arial" w:cs="Arial" w:eastAsia="Arial" w:hAnsi="Arial"/>
          <w:sz w:val="20"/>
          <w:szCs w:val="20"/>
          <w:color w:val="auto"/>
        </w:rPr>
        <w:t>Expected benefit payments over the next five years, and the following five years under the pension plans are expected to be as follows (dollars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180" w:type="dxa"/>
            <w:vAlign w:val="bottom"/>
          </w:tcPr>
          <w:p>
            <w:pPr>
              <w:spacing w:after="0"/>
              <w:rPr>
                <w:sz w:val="20"/>
                <w:szCs w:val="20"/>
                <w:color w:val="auto"/>
              </w:rPr>
            </w:pPr>
            <w:r>
              <w:rPr>
                <w:rFonts w:ascii="Arial Narrow" w:cs="Arial Narrow" w:eastAsia="Arial Narrow" w:hAnsi="Arial Narrow"/>
                <w:sz w:val="18"/>
                <w:szCs w:val="18"/>
                <w:b w:val="1"/>
                <w:bCs w:val="1"/>
                <w:color w:val="auto"/>
              </w:rPr>
              <w:t>Fiscal Years</w:t>
            </w:r>
          </w:p>
        </w:tc>
        <w:tc>
          <w:tcPr>
            <w:tcW w:w="4000" w:type="dxa"/>
            <w:vAlign w:val="bottom"/>
          </w:tcPr>
          <w:p>
            <w:pPr>
              <w:spacing w:after="0"/>
              <w:rPr>
                <w:sz w:val="22"/>
                <w:szCs w:val="22"/>
                <w:color w:val="auto"/>
              </w:rPr>
            </w:pPr>
          </w:p>
        </w:tc>
        <w:tc>
          <w:tcPr>
            <w:tcW w:w="1180" w:type="dxa"/>
            <w:vAlign w:val="bottom"/>
          </w:tcPr>
          <w:p>
            <w:pPr>
              <w:jc w:val="right"/>
              <w:ind w:right="1"/>
              <w:spacing w:after="0"/>
              <w:rPr>
                <w:sz w:val="20"/>
                <w:szCs w:val="20"/>
                <w:color w:val="auto"/>
              </w:rPr>
            </w:pPr>
            <w:r>
              <w:rPr>
                <w:rFonts w:ascii="Arial Narrow" w:cs="Arial Narrow" w:eastAsia="Arial Narrow" w:hAnsi="Arial Narrow"/>
                <w:sz w:val="18"/>
                <w:szCs w:val="18"/>
                <w:b w:val="1"/>
                <w:bCs w:val="1"/>
                <w:color w:val="auto"/>
              </w:rPr>
              <w:t>Total</w:t>
            </w:r>
          </w:p>
        </w:tc>
      </w:tr>
      <w:tr>
        <w:trPr>
          <w:trHeight w:val="46"/>
        </w:trPr>
        <w:tc>
          <w:tcPr>
            <w:tcW w:w="4180" w:type="dxa"/>
            <w:vAlign w:val="bottom"/>
            <w:tcBorders>
              <w:bottom w:val="single" w:sz="8" w:color="auto"/>
            </w:tcBorders>
          </w:tcPr>
          <w:p>
            <w:pPr>
              <w:spacing w:after="0"/>
              <w:rPr>
                <w:sz w:val="3"/>
                <w:szCs w:val="3"/>
                <w:color w:val="auto"/>
              </w:rPr>
            </w:pPr>
          </w:p>
        </w:tc>
        <w:tc>
          <w:tcPr>
            <w:tcW w:w="40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344"/>
        </w:trPr>
        <w:tc>
          <w:tcPr>
            <w:tcW w:w="4180" w:type="dxa"/>
            <w:vAlign w:val="bottom"/>
          </w:tcPr>
          <w:p>
            <w:pPr>
              <w:spacing w:after="0"/>
              <w:rPr>
                <w:sz w:val="20"/>
                <w:szCs w:val="20"/>
                <w:color w:val="auto"/>
              </w:rPr>
            </w:pPr>
            <w:r>
              <w:rPr>
                <w:rFonts w:ascii="Arial Narrow" w:cs="Arial Narrow" w:eastAsia="Arial Narrow" w:hAnsi="Arial Narrow"/>
                <w:sz w:val="20"/>
                <w:szCs w:val="20"/>
                <w:b w:val="1"/>
                <w:bCs w:val="1"/>
                <w:color w:val="00085E"/>
              </w:rPr>
              <w:t>2027</w:t>
            </w:r>
          </w:p>
        </w:tc>
        <w:tc>
          <w:tcPr>
            <w:tcW w:w="4000" w:type="dxa"/>
            <w:vAlign w:val="bottom"/>
          </w:tcPr>
          <w:p>
            <w:pPr>
              <w:jc w:val="right"/>
              <w:ind w:right="500"/>
              <w:spacing w:after="0"/>
              <w:rPr>
                <w:sz w:val="20"/>
                <w:szCs w:val="20"/>
                <w:color w:val="auto"/>
              </w:rPr>
            </w:pPr>
            <w:r>
              <w:rPr>
                <w:rFonts w:ascii="Arial Narrow" w:cs="Arial Narrow" w:eastAsia="Arial Narrow" w:hAnsi="Arial Narrow"/>
                <w:sz w:val="20"/>
                <w:szCs w:val="20"/>
                <w:color w:val="auto"/>
              </w:rPr>
              <w:t>$</w:t>
            </w:r>
          </w:p>
        </w:tc>
        <w:tc>
          <w:tcPr>
            <w:tcW w:w="1180" w:type="dxa"/>
            <w:vAlign w:val="bottom"/>
          </w:tcPr>
          <w:p>
            <w:pPr>
              <w:jc w:val="right"/>
              <w:ind w:right="1"/>
              <w:spacing w:after="0"/>
              <w:rPr>
                <w:sz w:val="20"/>
                <w:szCs w:val="20"/>
                <w:color w:val="auto"/>
              </w:rPr>
            </w:pPr>
            <w:r>
              <w:rPr>
                <w:rFonts w:ascii="Arial Narrow" w:cs="Arial Narrow" w:eastAsia="Arial Narrow" w:hAnsi="Arial Narrow"/>
                <w:sz w:val="20"/>
                <w:szCs w:val="20"/>
                <w:color w:val="auto"/>
              </w:rPr>
              <w:t>2,047</w:t>
            </w:r>
          </w:p>
        </w:tc>
      </w:tr>
      <w:tr>
        <w:trPr>
          <w:trHeight w:val="65"/>
        </w:trPr>
        <w:tc>
          <w:tcPr>
            <w:tcW w:w="4180" w:type="dxa"/>
            <w:vAlign w:val="bottom"/>
            <w:tcBorders>
              <w:bottom w:val="single" w:sz="8" w:color="A6A6A6"/>
            </w:tcBorders>
          </w:tcPr>
          <w:p>
            <w:pPr>
              <w:spacing w:after="0"/>
              <w:rPr>
                <w:sz w:val="5"/>
                <w:szCs w:val="5"/>
                <w:color w:val="auto"/>
              </w:rPr>
            </w:pPr>
          </w:p>
        </w:tc>
        <w:tc>
          <w:tcPr>
            <w:tcW w:w="4000" w:type="dxa"/>
            <w:vAlign w:val="bottom"/>
            <w:tcBorders>
              <w:bottom w:val="single" w:sz="8" w:color="A6A6A6"/>
            </w:tcBorders>
          </w:tcPr>
          <w:p>
            <w:pPr>
              <w:spacing w:after="0"/>
              <w:rPr>
                <w:sz w:val="5"/>
                <w:szCs w:val="5"/>
                <w:color w:val="auto"/>
              </w:rPr>
            </w:pPr>
          </w:p>
        </w:tc>
        <w:tc>
          <w:tcPr>
            <w:tcW w:w="1180" w:type="dxa"/>
            <w:vAlign w:val="bottom"/>
            <w:tcBorders>
              <w:bottom w:val="single" w:sz="8" w:color="A6A6A6"/>
            </w:tcBorders>
          </w:tcPr>
          <w:p>
            <w:pPr>
              <w:spacing w:after="0"/>
              <w:rPr>
                <w:sz w:val="5"/>
                <w:szCs w:val="5"/>
                <w:color w:val="auto"/>
              </w:rPr>
            </w:pPr>
          </w:p>
        </w:tc>
      </w:tr>
      <w:tr>
        <w:trPr>
          <w:trHeight w:val="339"/>
        </w:trPr>
        <w:tc>
          <w:tcPr>
            <w:tcW w:w="4180" w:type="dxa"/>
            <w:vAlign w:val="bottom"/>
          </w:tcPr>
          <w:p>
            <w:pPr>
              <w:spacing w:after="0"/>
              <w:rPr>
                <w:sz w:val="20"/>
                <w:szCs w:val="20"/>
                <w:color w:val="auto"/>
              </w:rPr>
            </w:pPr>
            <w:r>
              <w:rPr>
                <w:rFonts w:ascii="Arial Narrow" w:cs="Arial Narrow" w:eastAsia="Arial Narrow" w:hAnsi="Arial Narrow"/>
                <w:sz w:val="20"/>
                <w:szCs w:val="20"/>
                <w:b w:val="1"/>
                <w:bCs w:val="1"/>
                <w:color w:val="00085E"/>
              </w:rPr>
              <w:t>2028</w:t>
            </w:r>
          </w:p>
        </w:tc>
        <w:tc>
          <w:tcPr>
            <w:tcW w:w="4000" w:type="dxa"/>
            <w:vAlign w:val="bottom"/>
          </w:tcPr>
          <w:p>
            <w:pPr>
              <w:jc w:val="right"/>
              <w:ind w:right="500"/>
              <w:spacing w:after="0"/>
              <w:rPr>
                <w:sz w:val="20"/>
                <w:szCs w:val="20"/>
                <w:color w:val="auto"/>
              </w:rPr>
            </w:pPr>
            <w:r>
              <w:rPr>
                <w:rFonts w:ascii="Arial Narrow" w:cs="Arial Narrow" w:eastAsia="Arial Narrow" w:hAnsi="Arial Narrow"/>
                <w:sz w:val="20"/>
                <w:szCs w:val="20"/>
                <w:color w:val="auto"/>
              </w:rPr>
              <w:t>$</w:t>
            </w:r>
          </w:p>
        </w:tc>
        <w:tc>
          <w:tcPr>
            <w:tcW w:w="1180" w:type="dxa"/>
            <w:vAlign w:val="bottom"/>
          </w:tcPr>
          <w:p>
            <w:pPr>
              <w:jc w:val="right"/>
              <w:ind w:right="1"/>
              <w:spacing w:after="0"/>
              <w:rPr>
                <w:sz w:val="20"/>
                <w:szCs w:val="20"/>
                <w:color w:val="auto"/>
              </w:rPr>
            </w:pPr>
            <w:r>
              <w:rPr>
                <w:rFonts w:ascii="Arial Narrow" w:cs="Arial Narrow" w:eastAsia="Arial Narrow" w:hAnsi="Arial Narrow"/>
                <w:sz w:val="20"/>
                <w:szCs w:val="20"/>
                <w:color w:val="auto"/>
              </w:rPr>
              <w:t>2,072</w:t>
            </w:r>
          </w:p>
        </w:tc>
      </w:tr>
      <w:tr>
        <w:trPr>
          <w:trHeight w:val="65"/>
        </w:trPr>
        <w:tc>
          <w:tcPr>
            <w:tcW w:w="4180" w:type="dxa"/>
            <w:vAlign w:val="bottom"/>
            <w:tcBorders>
              <w:bottom w:val="single" w:sz="8" w:color="A6A6A6"/>
            </w:tcBorders>
          </w:tcPr>
          <w:p>
            <w:pPr>
              <w:spacing w:after="0"/>
              <w:rPr>
                <w:sz w:val="5"/>
                <w:szCs w:val="5"/>
                <w:color w:val="auto"/>
              </w:rPr>
            </w:pPr>
          </w:p>
        </w:tc>
        <w:tc>
          <w:tcPr>
            <w:tcW w:w="4000" w:type="dxa"/>
            <w:vAlign w:val="bottom"/>
            <w:tcBorders>
              <w:bottom w:val="single" w:sz="8" w:color="A6A6A6"/>
            </w:tcBorders>
          </w:tcPr>
          <w:p>
            <w:pPr>
              <w:spacing w:after="0"/>
              <w:rPr>
                <w:sz w:val="5"/>
                <w:szCs w:val="5"/>
                <w:color w:val="auto"/>
              </w:rPr>
            </w:pPr>
          </w:p>
        </w:tc>
        <w:tc>
          <w:tcPr>
            <w:tcW w:w="1180" w:type="dxa"/>
            <w:vAlign w:val="bottom"/>
            <w:tcBorders>
              <w:bottom w:val="single" w:sz="8" w:color="A6A6A6"/>
            </w:tcBorders>
          </w:tcPr>
          <w:p>
            <w:pPr>
              <w:spacing w:after="0"/>
              <w:rPr>
                <w:sz w:val="5"/>
                <w:szCs w:val="5"/>
                <w:color w:val="auto"/>
              </w:rPr>
            </w:pPr>
          </w:p>
        </w:tc>
      </w:tr>
      <w:tr>
        <w:trPr>
          <w:trHeight w:val="339"/>
        </w:trPr>
        <w:tc>
          <w:tcPr>
            <w:tcW w:w="4180" w:type="dxa"/>
            <w:vAlign w:val="bottom"/>
          </w:tcPr>
          <w:p>
            <w:pPr>
              <w:spacing w:after="0"/>
              <w:rPr>
                <w:sz w:val="20"/>
                <w:szCs w:val="20"/>
                <w:color w:val="auto"/>
              </w:rPr>
            </w:pPr>
            <w:r>
              <w:rPr>
                <w:rFonts w:ascii="Arial Narrow" w:cs="Arial Narrow" w:eastAsia="Arial Narrow" w:hAnsi="Arial Narrow"/>
                <w:sz w:val="20"/>
                <w:szCs w:val="20"/>
                <w:b w:val="1"/>
                <w:bCs w:val="1"/>
                <w:color w:val="00085E"/>
              </w:rPr>
              <w:t>2029</w:t>
            </w:r>
          </w:p>
        </w:tc>
        <w:tc>
          <w:tcPr>
            <w:tcW w:w="4000" w:type="dxa"/>
            <w:vAlign w:val="bottom"/>
          </w:tcPr>
          <w:p>
            <w:pPr>
              <w:jc w:val="right"/>
              <w:ind w:right="500"/>
              <w:spacing w:after="0"/>
              <w:rPr>
                <w:sz w:val="20"/>
                <w:szCs w:val="20"/>
                <w:color w:val="auto"/>
              </w:rPr>
            </w:pPr>
            <w:r>
              <w:rPr>
                <w:rFonts w:ascii="Arial Narrow" w:cs="Arial Narrow" w:eastAsia="Arial Narrow" w:hAnsi="Arial Narrow"/>
                <w:sz w:val="20"/>
                <w:szCs w:val="20"/>
                <w:color w:val="auto"/>
              </w:rPr>
              <w:t>$</w:t>
            </w:r>
          </w:p>
        </w:tc>
        <w:tc>
          <w:tcPr>
            <w:tcW w:w="1180" w:type="dxa"/>
            <w:vAlign w:val="bottom"/>
          </w:tcPr>
          <w:p>
            <w:pPr>
              <w:jc w:val="right"/>
              <w:ind w:right="1"/>
              <w:spacing w:after="0"/>
              <w:rPr>
                <w:sz w:val="20"/>
                <w:szCs w:val="20"/>
                <w:color w:val="auto"/>
              </w:rPr>
            </w:pPr>
            <w:r>
              <w:rPr>
                <w:rFonts w:ascii="Arial Narrow" w:cs="Arial Narrow" w:eastAsia="Arial Narrow" w:hAnsi="Arial Narrow"/>
                <w:sz w:val="20"/>
                <w:szCs w:val="20"/>
                <w:color w:val="auto"/>
              </w:rPr>
              <w:t>2,054</w:t>
            </w:r>
          </w:p>
        </w:tc>
      </w:tr>
      <w:tr>
        <w:trPr>
          <w:trHeight w:val="65"/>
        </w:trPr>
        <w:tc>
          <w:tcPr>
            <w:tcW w:w="4180" w:type="dxa"/>
            <w:vAlign w:val="bottom"/>
            <w:tcBorders>
              <w:bottom w:val="single" w:sz="8" w:color="A6A6A6"/>
            </w:tcBorders>
          </w:tcPr>
          <w:p>
            <w:pPr>
              <w:spacing w:after="0"/>
              <w:rPr>
                <w:sz w:val="5"/>
                <w:szCs w:val="5"/>
                <w:color w:val="auto"/>
              </w:rPr>
            </w:pPr>
          </w:p>
        </w:tc>
        <w:tc>
          <w:tcPr>
            <w:tcW w:w="4000" w:type="dxa"/>
            <w:vAlign w:val="bottom"/>
            <w:tcBorders>
              <w:bottom w:val="single" w:sz="8" w:color="A6A6A6"/>
            </w:tcBorders>
          </w:tcPr>
          <w:p>
            <w:pPr>
              <w:spacing w:after="0"/>
              <w:rPr>
                <w:sz w:val="5"/>
                <w:szCs w:val="5"/>
                <w:color w:val="auto"/>
              </w:rPr>
            </w:pPr>
          </w:p>
        </w:tc>
        <w:tc>
          <w:tcPr>
            <w:tcW w:w="1180" w:type="dxa"/>
            <w:vAlign w:val="bottom"/>
            <w:tcBorders>
              <w:bottom w:val="single" w:sz="8" w:color="A6A6A6"/>
            </w:tcBorders>
          </w:tcPr>
          <w:p>
            <w:pPr>
              <w:spacing w:after="0"/>
              <w:rPr>
                <w:sz w:val="5"/>
                <w:szCs w:val="5"/>
                <w:color w:val="auto"/>
              </w:rPr>
            </w:pPr>
          </w:p>
        </w:tc>
      </w:tr>
      <w:tr>
        <w:trPr>
          <w:trHeight w:val="339"/>
        </w:trPr>
        <w:tc>
          <w:tcPr>
            <w:tcW w:w="4180" w:type="dxa"/>
            <w:vAlign w:val="bottom"/>
          </w:tcPr>
          <w:p>
            <w:pPr>
              <w:spacing w:after="0"/>
              <w:rPr>
                <w:sz w:val="20"/>
                <w:szCs w:val="20"/>
                <w:color w:val="auto"/>
              </w:rPr>
            </w:pPr>
            <w:r>
              <w:rPr>
                <w:rFonts w:ascii="Arial Narrow" w:cs="Arial Narrow" w:eastAsia="Arial Narrow" w:hAnsi="Arial Narrow"/>
                <w:sz w:val="20"/>
                <w:szCs w:val="20"/>
                <w:b w:val="1"/>
                <w:bCs w:val="1"/>
                <w:color w:val="00085E"/>
              </w:rPr>
              <w:t>2030</w:t>
            </w:r>
          </w:p>
        </w:tc>
        <w:tc>
          <w:tcPr>
            <w:tcW w:w="4000" w:type="dxa"/>
            <w:vAlign w:val="bottom"/>
          </w:tcPr>
          <w:p>
            <w:pPr>
              <w:jc w:val="right"/>
              <w:ind w:right="500"/>
              <w:spacing w:after="0"/>
              <w:rPr>
                <w:sz w:val="20"/>
                <w:szCs w:val="20"/>
                <w:color w:val="auto"/>
              </w:rPr>
            </w:pPr>
            <w:r>
              <w:rPr>
                <w:rFonts w:ascii="Arial Narrow" w:cs="Arial Narrow" w:eastAsia="Arial Narrow" w:hAnsi="Arial Narrow"/>
                <w:sz w:val="20"/>
                <w:szCs w:val="20"/>
                <w:color w:val="auto"/>
              </w:rPr>
              <w:t>$</w:t>
            </w:r>
          </w:p>
        </w:tc>
        <w:tc>
          <w:tcPr>
            <w:tcW w:w="1180" w:type="dxa"/>
            <w:vAlign w:val="bottom"/>
          </w:tcPr>
          <w:p>
            <w:pPr>
              <w:jc w:val="right"/>
              <w:ind w:right="1"/>
              <w:spacing w:after="0"/>
              <w:rPr>
                <w:sz w:val="20"/>
                <w:szCs w:val="20"/>
                <w:color w:val="auto"/>
              </w:rPr>
            </w:pPr>
            <w:r>
              <w:rPr>
                <w:rFonts w:ascii="Arial Narrow" w:cs="Arial Narrow" w:eastAsia="Arial Narrow" w:hAnsi="Arial Narrow"/>
                <w:sz w:val="20"/>
                <w:szCs w:val="20"/>
                <w:color w:val="auto"/>
              </w:rPr>
              <w:t>2,078</w:t>
            </w:r>
          </w:p>
        </w:tc>
      </w:tr>
      <w:tr>
        <w:trPr>
          <w:trHeight w:val="65"/>
        </w:trPr>
        <w:tc>
          <w:tcPr>
            <w:tcW w:w="4180" w:type="dxa"/>
            <w:vAlign w:val="bottom"/>
            <w:tcBorders>
              <w:bottom w:val="single" w:sz="8" w:color="A6A6A6"/>
            </w:tcBorders>
          </w:tcPr>
          <w:p>
            <w:pPr>
              <w:spacing w:after="0"/>
              <w:rPr>
                <w:sz w:val="5"/>
                <w:szCs w:val="5"/>
                <w:color w:val="auto"/>
              </w:rPr>
            </w:pPr>
          </w:p>
        </w:tc>
        <w:tc>
          <w:tcPr>
            <w:tcW w:w="4000" w:type="dxa"/>
            <w:vAlign w:val="bottom"/>
            <w:tcBorders>
              <w:bottom w:val="single" w:sz="8" w:color="A6A6A6"/>
            </w:tcBorders>
          </w:tcPr>
          <w:p>
            <w:pPr>
              <w:spacing w:after="0"/>
              <w:rPr>
                <w:sz w:val="5"/>
                <w:szCs w:val="5"/>
                <w:color w:val="auto"/>
              </w:rPr>
            </w:pPr>
          </w:p>
        </w:tc>
        <w:tc>
          <w:tcPr>
            <w:tcW w:w="1180" w:type="dxa"/>
            <w:vAlign w:val="bottom"/>
            <w:tcBorders>
              <w:bottom w:val="single" w:sz="8" w:color="A6A6A6"/>
            </w:tcBorders>
          </w:tcPr>
          <w:p>
            <w:pPr>
              <w:spacing w:after="0"/>
              <w:rPr>
                <w:sz w:val="5"/>
                <w:szCs w:val="5"/>
                <w:color w:val="auto"/>
              </w:rPr>
            </w:pPr>
          </w:p>
        </w:tc>
      </w:tr>
      <w:tr>
        <w:trPr>
          <w:trHeight w:val="339"/>
        </w:trPr>
        <w:tc>
          <w:tcPr>
            <w:tcW w:w="4180" w:type="dxa"/>
            <w:vAlign w:val="bottom"/>
          </w:tcPr>
          <w:p>
            <w:pPr>
              <w:spacing w:after="0"/>
              <w:rPr>
                <w:sz w:val="20"/>
                <w:szCs w:val="20"/>
                <w:color w:val="auto"/>
              </w:rPr>
            </w:pPr>
            <w:r>
              <w:rPr>
                <w:rFonts w:ascii="Arial Narrow" w:cs="Arial Narrow" w:eastAsia="Arial Narrow" w:hAnsi="Arial Narrow"/>
                <w:sz w:val="20"/>
                <w:szCs w:val="20"/>
                <w:b w:val="1"/>
                <w:bCs w:val="1"/>
                <w:color w:val="00085E"/>
              </w:rPr>
              <w:t>2031</w:t>
            </w:r>
          </w:p>
        </w:tc>
        <w:tc>
          <w:tcPr>
            <w:tcW w:w="4000" w:type="dxa"/>
            <w:vAlign w:val="bottom"/>
          </w:tcPr>
          <w:p>
            <w:pPr>
              <w:jc w:val="right"/>
              <w:ind w:right="500"/>
              <w:spacing w:after="0"/>
              <w:rPr>
                <w:sz w:val="20"/>
                <w:szCs w:val="20"/>
                <w:color w:val="auto"/>
              </w:rPr>
            </w:pPr>
            <w:r>
              <w:rPr>
                <w:rFonts w:ascii="Arial Narrow" w:cs="Arial Narrow" w:eastAsia="Arial Narrow" w:hAnsi="Arial Narrow"/>
                <w:sz w:val="20"/>
                <w:szCs w:val="20"/>
                <w:color w:val="auto"/>
              </w:rPr>
              <w:t>$</w:t>
            </w:r>
          </w:p>
        </w:tc>
        <w:tc>
          <w:tcPr>
            <w:tcW w:w="1180" w:type="dxa"/>
            <w:vAlign w:val="bottom"/>
          </w:tcPr>
          <w:p>
            <w:pPr>
              <w:jc w:val="right"/>
              <w:ind w:right="1"/>
              <w:spacing w:after="0"/>
              <w:rPr>
                <w:sz w:val="20"/>
                <w:szCs w:val="20"/>
                <w:color w:val="auto"/>
              </w:rPr>
            </w:pPr>
            <w:r>
              <w:rPr>
                <w:rFonts w:ascii="Arial Narrow" w:cs="Arial Narrow" w:eastAsia="Arial Narrow" w:hAnsi="Arial Narrow"/>
                <w:sz w:val="20"/>
                <w:szCs w:val="20"/>
                <w:color w:val="auto"/>
              </w:rPr>
              <w:t>2,052</w:t>
            </w:r>
          </w:p>
        </w:tc>
      </w:tr>
      <w:tr>
        <w:trPr>
          <w:trHeight w:val="65"/>
        </w:trPr>
        <w:tc>
          <w:tcPr>
            <w:tcW w:w="4180" w:type="dxa"/>
            <w:vAlign w:val="bottom"/>
            <w:tcBorders>
              <w:bottom w:val="single" w:sz="8" w:color="A6A6A6"/>
            </w:tcBorders>
          </w:tcPr>
          <w:p>
            <w:pPr>
              <w:spacing w:after="0"/>
              <w:rPr>
                <w:sz w:val="5"/>
                <w:szCs w:val="5"/>
                <w:color w:val="auto"/>
              </w:rPr>
            </w:pPr>
          </w:p>
        </w:tc>
        <w:tc>
          <w:tcPr>
            <w:tcW w:w="4000" w:type="dxa"/>
            <w:vAlign w:val="bottom"/>
            <w:tcBorders>
              <w:bottom w:val="single" w:sz="8" w:color="A6A6A6"/>
            </w:tcBorders>
          </w:tcPr>
          <w:p>
            <w:pPr>
              <w:spacing w:after="0"/>
              <w:rPr>
                <w:sz w:val="5"/>
                <w:szCs w:val="5"/>
                <w:color w:val="auto"/>
              </w:rPr>
            </w:pPr>
          </w:p>
        </w:tc>
        <w:tc>
          <w:tcPr>
            <w:tcW w:w="1180" w:type="dxa"/>
            <w:vAlign w:val="bottom"/>
            <w:tcBorders>
              <w:bottom w:val="single" w:sz="8" w:color="A6A6A6"/>
            </w:tcBorders>
          </w:tcPr>
          <w:p>
            <w:pPr>
              <w:spacing w:after="0"/>
              <w:rPr>
                <w:sz w:val="5"/>
                <w:szCs w:val="5"/>
                <w:color w:val="auto"/>
              </w:rPr>
            </w:pPr>
          </w:p>
        </w:tc>
      </w:tr>
      <w:tr>
        <w:trPr>
          <w:trHeight w:val="339"/>
        </w:trPr>
        <w:tc>
          <w:tcPr>
            <w:tcW w:w="4180" w:type="dxa"/>
            <w:vAlign w:val="bottom"/>
          </w:tcPr>
          <w:p>
            <w:pPr>
              <w:spacing w:after="0"/>
              <w:rPr>
                <w:sz w:val="20"/>
                <w:szCs w:val="20"/>
                <w:color w:val="auto"/>
              </w:rPr>
            </w:pPr>
            <w:r>
              <w:rPr>
                <w:rFonts w:ascii="Arial Narrow" w:cs="Arial Narrow" w:eastAsia="Arial Narrow" w:hAnsi="Arial Narrow"/>
                <w:sz w:val="20"/>
                <w:szCs w:val="20"/>
                <w:b w:val="1"/>
                <w:bCs w:val="1"/>
                <w:color w:val="00085E"/>
              </w:rPr>
              <w:t>2032-2036</w:t>
            </w:r>
          </w:p>
        </w:tc>
        <w:tc>
          <w:tcPr>
            <w:tcW w:w="4000" w:type="dxa"/>
            <w:vAlign w:val="bottom"/>
          </w:tcPr>
          <w:p>
            <w:pPr>
              <w:jc w:val="right"/>
              <w:ind w:right="500"/>
              <w:spacing w:after="0"/>
              <w:rPr>
                <w:sz w:val="20"/>
                <w:szCs w:val="20"/>
                <w:color w:val="auto"/>
              </w:rPr>
            </w:pPr>
            <w:r>
              <w:rPr>
                <w:rFonts w:ascii="Arial Narrow" w:cs="Arial Narrow" w:eastAsia="Arial Narrow" w:hAnsi="Arial Narrow"/>
                <w:sz w:val="20"/>
                <w:szCs w:val="20"/>
                <w:color w:val="auto"/>
              </w:rPr>
              <w:t>$</w:t>
            </w:r>
          </w:p>
        </w:tc>
        <w:tc>
          <w:tcPr>
            <w:tcW w:w="1180" w:type="dxa"/>
            <w:vAlign w:val="bottom"/>
          </w:tcPr>
          <w:p>
            <w:pPr>
              <w:jc w:val="right"/>
              <w:ind w:right="1"/>
              <w:spacing w:after="0"/>
              <w:rPr>
                <w:sz w:val="20"/>
                <w:szCs w:val="20"/>
                <w:color w:val="auto"/>
              </w:rPr>
            </w:pPr>
            <w:r>
              <w:rPr>
                <w:rFonts w:ascii="Arial Narrow" w:cs="Arial Narrow" w:eastAsia="Arial Narrow" w:hAnsi="Arial Narrow"/>
                <w:sz w:val="20"/>
                <w:szCs w:val="20"/>
                <w:color w:val="auto"/>
              </w:rPr>
              <w:t>10,063</w:t>
            </w:r>
          </w:p>
        </w:tc>
      </w:tr>
    </w:tbl>
    <w:p>
      <w:pPr>
        <w:spacing w:after="0" w:line="260" w:lineRule="exact"/>
        <w:rPr>
          <w:sz w:val="20"/>
          <w:szCs w:val="20"/>
          <w:color w:val="auto"/>
        </w:rPr>
      </w:pPr>
    </w:p>
    <w:p>
      <w:pPr>
        <w:ind w:right="320"/>
        <w:spacing w:after="0" w:line="325" w:lineRule="auto"/>
        <w:rPr>
          <w:sz w:val="20"/>
          <w:szCs w:val="20"/>
          <w:color w:val="auto"/>
        </w:rPr>
      </w:pPr>
      <w:r>
        <w:rPr>
          <w:rFonts w:ascii="Arial" w:cs="Arial" w:eastAsia="Arial" w:hAnsi="Arial"/>
          <w:sz w:val="20"/>
          <w:szCs w:val="20"/>
          <w:color w:val="auto"/>
        </w:rPr>
        <w:t>The following tables set forth the assumptions used in the actuarial calculations of the present value of Net Periodic Benefit Costs and Benefit Obligations.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50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700" w:type="dxa"/>
            <w:vAlign w:val="bottom"/>
          </w:tcPr>
          <w:p>
            <w:pPr>
              <w:jc w:val="right"/>
              <w:ind w:right="624"/>
              <w:spacing w:after="0"/>
              <w:rPr>
                <w:sz w:val="20"/>
                <w:szCs w:val="20"/>
                <w:color w:val="auto"/>
              </w:rPr>
            </w:pPr>
            <w:r>
              <w:rPr>
                <w:rFonts w:ascii="Arial Narrow" w:cs="Arial Narrow" w:eastAsia="Arial Narrow" w:hAnsi="Arial Narrow"/>
                <w:sz w:val="18"/>
                <w:szCs w:val="18"/>
                <w:b w:val="1"/>
                <w:bCs w:val="1"/>
                <w:color w:val="auto"/>
              </w:rPr>
              <w:t>March 31,</w:t>
            </w:r>
          </w:p>
        </w:tc>
        <w:tc>
          <w:tcPr>
            <w:tcW w:w="1100" w:type="dxa"/>
            <w:vAlign w:val="bottom"/>
          </w:tcPr>
          <w:p>
            <w:pPr>
              <w:spacing w:after="0"/>
              <w:rPr>
                <w:sz w:val="22"/>
                <w:szCs w:val="22"/>
                <w:color w:val="auto"/>
              </w:rPr>
            </w:pPr>
          </w:p>
        </w:tc>
      </w:tr>
      <w:tr>
        <w:trPr>
          <w:trHeight w:val="21"/>
        </w:trPr>
        <w:tc>
          <w:tcPr>
            <w:tcW w:w="50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69"/>
        </w:trPr>
        <w:tc>
          <w:tcPr>
            <w:tcW w:w="5040" w:type="dxa"/>
            <w:vAlign w:val="bottom"/>
          </w:tcPr>
          <w:p>
            <w:pPr>
              <w:spacing w:after="0"/>
              <w:rPr>
                <w:sz w:val="23"/>
                <w:szCs w:val="23"/>
                <w:color w:val="auto"/>
              </w:rPr>
            </w:pPr>
          </w:p>
        </w:tc>
        <w:tc>
          <w:tcPr>
            <w:tcW w:w="1520" w:type="dxa"/>
            <w:vAlign w:val="bottom"/>
            <w:gridSpan w:val="2"/>
          </w:tcPr>
          <w:p>
            <w:pPr>
              <w:jc w:val="right"/>
              <w:ind w:right="480"/>
              <w:spacing w:after="0"/>
              <w:rPr>
                <w:sz w:val="20"/>
                <w:szCs w:val="20"/>
                <w:color w:val="auto"/>
              </w:rPr>
            </w:pPr>
            <w:r>
              <w:rPr>
                <w:rFonts w:ascii="Arial Narrow" w:cs="Arial Narrow" w:eastAsia="Arial Narrow" w:hAnsi="Arial Narrow"/>
                <w:sz w:val="18"/>
                <w:szCs w:val="18"/>
                <w:b w:val="1"/>
                <w:bCs w:val="1"/>
                <w:color w:val="auto"/>
              </w:rPr>
              <w:t>2026</w:t>
            </w:r>
          </w:p>
        </w:tc>
        <w:tc>
          <w:tcPr>
            <w:tcW w:w="1700" w:type="dxa"/>
            <w:vAlign w:val="bottom"/>
          </w:tcPr>
          <w:p>
            <w:pPr>
              <w:jc w:val="right"/>
              <w:ind w:right="624"/>
              <w:spacing w:after="0"/>
              <w:rPr>
                <w:sz w:val="20"/>
                <w:szCs w:val="20"/>
                <w:color w:val="auto"/>
              </w:rPr>
            </w:pPr>
            <w:r>
              <w:rPr>
                <w:rFonts w:ascii="Arial Narrow" w:cs="Arial Narrow" w:eastAsia="Arial Narrow" w:hAnsi="Arial Narrow"/>
                <w:sz w:val="18"/>
                <w:szCs w:val="18"/>
                <w:b w:val="1"/>
                <w:bCs w:val="1"/>
                <w:color w:val="auto"/>
              </w:rPr>
              <w:t>2025</w:t>
            </w:r>
          </w:p>
        </w:tc>
        <w:tc>
          <w:tcPr>
            <w:tcW w:w="1100" w:type="dxa"/>
            <w:vAlign w:val="bottom"/>
          </w:tcPr>
          <w:p>
            <w:pPr>
              <w:jc w:val="right"/>
              <w:ind w:right="263"/>
              <w:spacing w:after="0"/>
              <w:rPr>
                <w:sz w:val="20"/>
                <w:szCs w:val="20"/>
                <w:color w:val="auto"/>
              </w:rPr>
            </w:pPr>
            <w:r>
              <w:rPr>
                <w:rFonts w:ascii="Arial Narrow" w:cs="Arial Narrow" w:eastAsia="Arial Narrow" w:hAnsi="Arial Narrow"/>
                <w:sz w:val="18"/>
                <w:szCs w:val="18"/>
                <w:b w:val="1"/>
                <w:bCs w:val="1"/>
                <w:color w:val="auto"/>
              </w:rPr>
              <w:t>2024</w:t>
            </w:r>
          </w:p>
        </w:tc>
      </w:tr>
      <w:tr>
        <w:trPr>
          <w:trHeight w:val="46"/>
        </w:trPr>
        <w:tc>
          <w:tcPr>
            <w:tcW w:w="50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345"/>
        </w:trPr>
        <w:tc>
          <w:tcPr>
            <w:tcW w:w="5040" w:type="dxa"/>
            <w:vAlign w:val="bottom"/>
          </w:tcPr>
          <w:p>
            <w:pPr>
              <w:spacing w:after="0"/>
              <w:rPr>
                <w:sz w:val="20"/>
                <w:szCs w:val="20"/>
                <w:color w:val="auto"/>
              </w:rPr>
            </w:pPr>
            <w:r>
              <w:rPr>
                <w:rFonts w:ascii="Arial Narrow" w:cs="Arial Narrow" w:eastAsia="Arial Narrow" w:hAnsi="Arial Narrow"/>
                <w:sz w:val="20"/>
                <w:szCs w:val="20"/>
                <w:b w:val="1"/>
                <w:bCs w:val="1"/>
                <w:color w:val="00085E"/>
              </w:rPr>
              <w:t>Net Periodic Benefit Costs</w:t>
            </w: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65"/>
        </w:trPr>
        <w:tc>
          <w:tcPr>
            <w:tcW w:w="5040" w:type="dxa"/>
            <w:vAlign w:val="bottom"/>
            <w:tcBorders>
              <w:bottom w:val="single" w:sz="8" w:color="A6A6A6"/>
            </w:tcBorders>
          </w:tcPr>
          <w:p>
            <w:pPr>
              <w:spacing w:after="0"/>
              <w:rPr>
                <w:sz w:val="5"/>
                <w:szCs w:val="5"/>
                <w:color w:val="auto"/>
              </w:rPr>
            </w:pPr>
          </w:p>
        </w:tc>
        <w:tc>
          <w:tcPr>
            <w:tcW w:w="880" w:type="dxa"/>
            <w:vAlign w:val="bottom"/>
            <w:tcBorders>
              <w:bottom w:val="single" w:sz="8" w:color="A6A6A6"/>
            </w:tcBorders>
          </w:tcPr>
          <w:p>
            <w:pPr>
              <w:spacing w:after="0"/>
              <w:rPr>
                <w:sz w:val="5"/>
                <w:szCs w:val="5"/>
                <w:color w:val="auto"/>
              </w:rPr>
            </w:pPr>
          </w:p>
        </w:tc>
        <w:tc>
          <w:tcPr>
            <w:tcW w:w="640" w:type="dxa"/>
            <w:vAlign w:val="bottom"/>
            <w:tcBorders>
              <w:bottom w:val="single" w:sz="8" w:color="A6A6A6"/>
            </w:tcBorders>
          </w:tcPr>
          <w:p>
            <w:pPr>
              <w:spacing w:after="0"/>
              <w:rPr>
                <w:sz w:val="5"/>
                <w:szCs w:val="5"/>
                <w:color w:val="auto"/>
              </w:rPr>
            </w:pPr>
          </w:p>
        </w:tc>
        <w:tc>
          <w:tcPr>
            <w:tcW w:w="1700" w:type="dxa"/>
            <w:vAlign w:val="bottom"/>
            <w:tcBorders>
              <w:bottom w:val="single" w:sz="8" w:color="A6A6A6"/>
            </w:tcBorders>
          </w:tcPr>
          <w:p>
            <w:pPr>
              <w:spacing w:after="0"/>
              <w:rPr>
                <w:sz w:val="5"/>
                <w:szCs w:val="5"/>
                <w:color w:val="auto"/>
              </w:rPr>
            </w:pPr>
          </w:p>
        </w:tc>
        <w:tc>
          <w:tcPr>
            <w:tcW w:w="1100" w:type="dxa"/>
            <w:vAlign w:val="bottom"/>
            <w:tcBorders>
              <w:bottom w:val="single" w:sz="8" w:color="A6A6A6"/>
            </w:tcBorders>
          </w:tcPr>
          <w:p>
            <w:pPr>
              <w:spacing w:after="0"/>
              <w:rPr>
                <w:sz w:val="5"/>
                <w:szCs w:val="5"/>
                <w:color w:val="auto"/>
              </w:rPr>
            </w:pPr>
          </w:p>
        </w:tc>
      </w:tr>
      <w:tr>
        <w:trPr>
          <w:trHeight w:val="340"/>
        </w:trPr>
        <w:tc>
          <w:tcPr>
            <w:tcW w:w="5040" w:type="dxa"/>
            <w:vAlign w:val="bottom"/>
          </w:tcPr>
          <w:p>
            <w:pPr>
              <w:ind w:left="200"/>
              <w:spacing w:after="0"/>
              <w:rPr>
                <w:sz w:val="20"/>
                <w:szCs w:val="20"/>
                <w:color w:val="auto"/>
              </w:rPr>
            </w:pPr>
            <w:r>
              <w:rPr>
                <w:rFonts w:ascii="Arial Narrow" w:cs="Arial Narrow" w:eastAsia="Arial Narrow" w:hAnsi="Arial Narrow"/>
                <w:sz w:val="20"/>
                <w:szCs w:val="20"/>
                <w:b w:val="1"/>
                <w:bCs w:val="1"/>
                <w:color w:val="00085E"/>
              </w:rPr>
              <w:t>Discount Rate</w:t>
            </w:r>
          </w:p>
        </w:tc>
        <w:tc>
          <w:tcPr>
            <w:tcW w:w="1520" w:type="dxa"/>
            <w:vAlign w:val="bottom"/>
            <w:gridSpan w:val="2"/>
          </w:tcPr>
          <w:p>
            <w:pPr>
              <w:jc w:val="right"/>
              <w:ind w:right="320"/>
              <w:spacing w:after="0"/>
              <w:rPr>
                <w:sz w:val="20"/>
                <w:szCs w:val="20"/>
                <w:color w:val="auto"/>
              </w:rPr>
            </w:pPr>
            <w:r>
              <w:rPr>
                <w:rFonts w:ascii="Arial Narrow" w:cs="Arial Narrow" w:eastAsia="Arial Narrow" w:hAnsi="Arial Narrow"/>
                <w:sz w:val="20"/>
                <w:szCs w:val="20"/>
                <w:color w:val="auto"/>
              </w:rPr>
              <w:t>5.53%</w:t>
            </w:r>
          </w:p>
        </w:tc>
        <w:tc>
          <w:tcPr>
            <w:tcW w:w="1700" w:type="dxa"/>
            <w:vAlign w:val="bottom"/>
          </w:tcPr>
          <w:p>
            <w:pPr>
              <w:jc w:val="right"/>
              <w:ind w:right="464"/>
              <w:spacing w:after="0"/>
              <w:rPr>
                <w:sz w:val="20"/>
                <w:szCs w:val="20"/>
                <w:color w:val="auto"/>
              </w:rPr>
            </w:pPr>
            <w:r>
              <w:rPr>
                <w:rFonts w:ascii="Arial Narrow" w:cs="Arial Narrow" w:eastAsia="Arial Narrow" w:hAnsi="Arial Narrow"/>
                <w:sz w:val="20"/>
                <w:szCs w:val="20"/>
                <w:color w:val="auto"/>
              </w:rPr>
              <w:t>5.27%</w:t>
            </w:r>
          </w:p>
        </w:tc>
        <w:tc>
          <w:tcPr>
            <w:tcW w:w="1100" w:type="dxa"/>
            <w:vAlign w:val="bottom"/>
          </w:tcPr>
          <w:p>
            <w:pPr>
              <w:jc w:val="right"/>
              <w:ind w:right="103"/>
              <w:spacing w:after="0"/>
              <w:rPr>
                <w:sz w:val="20"/>
                <w:szCs w:val="20"/>
                <w:color w:val="auto"/>
              </w:rPr>
            </w:pPr>
            <w:r>
              <w:rPr>
                <w:rFonts w:ascii="Arial Narrow" w:cs="Arial Narrow" w:eastAsia="Arial Narrow" w:hAnsi="Arial Narrow"/>
                <w:sz w:val="20"/>
                <w:szCs w:val="20"/>
                <w:color w:val="auto"/>
              </w:rPr>
              <w:t>4.99%</w:t>
            </w:r>
          </w:p>
        </w:tc>
      </w:tr>
      <w:tr>
        <w:trPr>
          <w:trHeight w:val="65"/>
        </w:trPr>
        <w:tc>
          <w:tcPr>
            <w:tcW w:w="5040" w:type="dxa"/>
            <w:vAlign w:val="bottom"/>
            <w:tcBorders>
              <w:bottom w:val="single" w:sz="8" w:color="A6A6A6"/>
            </w:tcBorders>
          </w:tcPr>
          <w:p>
            <w:pPr>
              <w:spacing w:after="0"/>
              <w:rPr>
                <w:sz w:val="5"/>
                <w:szCs w:val="5"/>
                <w:color w:val="auto"/>
              </w:rPr>
            </w:pPr>
          </w:p>
        </w:tc>
        <w:tc>
          <w:tcPr>
            <w:tcW w:w="880" w:type="dxa"/>
            <w:vAlign w:val="bottom"/>
            <w:tcBorders>
              <w:bottom w:val="single" w:sz="8" w:color="A6A6A6"/>
            </w:tcBorders>
          </w:tcPr>
          <w:p>
            <w:pPr>
              <w:spacing w:after="0"/>
              <w:rPr>
                <w:sz w:val="5"/>
                <w:szCs w:val="5"/>
                <w:color w:val="auto"/>
              </w:rPr>
            </w:pPr>
          </w:p>
        </w:tc>
        <w:tc>
          <w:tcPr>
            <w:tcW w:w="640" w:type="dxa"/>
            <w:vAlign w:val="bottom"/>
            <w:tcBorders>
              <w:bottom w:val="single" w:sz="8" w:color="A6A6A6"/>
            </w:tcBorders>
          </w:tcPr>
          <w:p>
            <w:pPr>
              <w:spacing w:after="0"/>
              <w:rPr>
                <w:sz w:val="5"/>
                <w:szCs w:val="5"/>
                <w:color w:val="auto"/>
              </w:rPr>
            </w:pPr>
          </w:p>
        </w:tc>
        <w:tc>
          <w:tcPr>
            <w:tcW w:w="1700" w:type="dxa"/>
            <w:vAlign w:val="bottom"/>
            <w:tcBorders>
              <w:bottom w:val="single" w:sz="8" w:color="A6A6A6"/>
            </w:tcBorders>
          </w:tcPr>
          <w:p>
            <w:pPr>
              <w:spacing w:after="0"/>
              <w:rPr>
                <w:sz w:val="5"/>
                <w:szCs w:val="5"/>
                <w:color w:val="auto"/>
              </w:rPr>
            </w:pPr>
          </w:p>
        </w:tc>
        <w:tc>
          <w:tcPr>
            <w:tcW w:w="1100" w:type="dxa"/>
            <w:vAlign w:val="bottom"/>
            <w:tcBorders>
              <w:bottom w:val="single" w:sz="8" w:color="A6A6A6"/>
            </w:tcBorders>
          </w:tcPr>
          <w:p>
            <w:pPr>
              <w:spacing w:after="0"/>
              <w:rPr>
                <w:sz w:val="5"/>
                <w:szCs w:val="5"/>
                <w:color w:val="auto"/>
              </w:rPr>
            </w:pPr>
          </w:p>
        </w:tc>
      </w:tr>
      <w:tr>
        <w:trPr>
          <w:trHeight w:val="340"/>
        </w:trPr>
        <w:tc>
          <w:tcPr>
            <w:tcW w:w="5040" w:type="dxa"/>
            <w:vAlign w:val="bottom"/>
          </w:tcPr>
          <w:p>
            <w:pPr>
              <w:ind w:left="200"/>
              <w:spacing w:after="0"/>
              <w:rPr>
                <w:sz w:val="20"/>
                <w:szCs w:val="20"/>
                <w:color w:val="auto"/>
              </w:rPr>
            </w:pPr>
            <w:r>
              <w:rPr>
                <w:rFonts w:ascii="Arial Narrow" w:cs="Arial Narrow" w:eastAsia="Arial Narrow" w:hAnsi="Arial Narrow"/>
                <w:sz w:val="20"/>
                <w:szCs w:val="20"/>
                <w:b w:val="1"/>
                <w:bCs w:val="1"/>
                <w:color w:val="00085E"/>
              </w:rPr>
              <w:t>Expected Return on Plan Assets</w:t>
            </w:r>
          </w:p>
        </w:tc>
        <w:tc>
          <w:tcPr>
            <w:tcW w:w="1520" w:type="dxa"/>
            <w:vAlign w:val="bottom"/>
            <w:gridSpan w:val="2"/>
          </w:tcPr>
          <w:p>
            <w:pPr>
              <w:jc w:val="right"/>
              <w:ind w:right="320"/>
              <w:spacing w:after="0"/>
              <w:rPr>
                <w:sz w:val="20"/>
                <w:szCs w:val="20"/>
                <w:color w:val="auto"/>
              </w:rPr>
            </w:pPr>
            <w:r>
              <w:rPr>
                <w:rFonts w:ascii="Arial Narrow" w:cs="Arial Narrow" w:eastAsia="Arial Narrow" w:hAnsi="Arial Narrow"/>
                <w:sz w:val="20"/>
                <w:szCs w:val="20"/>
                <w:color w:val="auto"/>
              </w:rPr>
              <w:t>5.55%</w:t>
            </w:r>
          </w:p>
        </w:tc>
        <w:tc>
          <w:tcPr>
            <w:tcW w:w="1700" w:type="dxa"/>
            <w:vAlign w:val="bottom"/>
          </w:tcPr>
          <w:p>
            <w:pPr>
              <w:jc w:val="right"/>
              <w:ind w:right="464"/>
              <w:spacing w:after="0"/>
              <w:rPr>
                <w:sz w:val="20"/>
                <w:szCs w:val="20"/>
                <w:color w:val="auto"/>
              </w:rPr>
            </w:pPr>
            <w:r>
              <w:rPr>
                <w:rFonts w:ascii="Arial Narrow" w:cs="Arial Narrow" w:eastAsia="Arial Narrow" w:hAnsi="Arial Narrow"/>
                <w:sz w:val="20"/>
                <w:szCs w:val="20"/>
                <w:color w:val="auto"/>
              </w:rPr>
              <w:t>5.30%</w:t>
            </w:r>
          </w:p>
        </w:tc>
        <w:tc>
          <w:tcPr>
            <w:tcW w:w="1100" w:type="dxa"/>
            <w:vAlign w:val="bottom"/>
          </w:tcPr>
          <w:p>
            <w:pPr>
              <w:jc w:val="right"/>
              <w:ind w:right="103"/>
              <w:spacing w:after="0"/>
              <w:rPr>
                <w:sz w:val="20"/>
                <w:szCs w:val="20"/>
                <w:color w:val="auto"/>
              </w:rPr>
            </w:pPr>
            <w:r>
              <w:rPr>
                <w:rFonts w:ascii="Arial Narrow" w:cs="Arial Narrow" w:eastAsia="Arial Narrow" w:hAnsi="Arial Narrow"/>
                <w:sz w:val="20"/>
                <w:szCs w:val="20"/>
                <w:color w:val="auto"/>
              </w:rPr>
              <w:t>5.00%</w:t>
            </w:r>
          </w:p>
        </w:tc>
      </w:tr>
      <w:tr>
        <w:trPr>
          <w:trHeight w:val="65"/>
        </w:trPr>
        <w:tc>
          <w:tcPr>
            <w:tcW w:w="5040" w:type="dxa"/>
            <w:vAlign w:val="bottom"/>
            <w:tcBorders>
              <w:bottom w:val="single" w:sz="8" w:color="A6A6A6"/>
            </w:tcBorders>
          </w:tcPr>
          <w:p>
            <w:pPr>
              <w:spacing w:after="0"/>
              <w:rPr>
                <w:sz w:val="5"/>
                <w:szCs w:val="5"/>
                <w:color w:val="auto"/>
              </w:rPr>
            </w:pPr>
          </w:p>
        </w:tc>
        <w:tc>
          <w:tcPr>
            <w:tcW w:w="880" w:type="dxa"/>
            <w:vAlign w:val="bottom"/>
            <w:tcBorders>
              <w:bottom w:val="single" w:sz="8" w:color="A6A6A6"/>
            </w:tcBorders>
          </w:tcPr>
          <w:p>
            <w:pPr>
              <w:spacing w:after="0"/>
              <w:rPr>
                <w:sz w:val="5"/>
                <w:szCs w:val="5"/>
                <w:color w:val="auto"/>
              </w:rPr>
            </w:pPr>
          </w:p>
        </w:tc>
        <w:tc>
          <w:tcPr>
            <w:tcW w:w="640" w:type="dxa"/>
            <w:vAlign w:val="bottom"/>
            <w:tcBorders>
              <w:bottom w:val="single" w:sz="8" w:color="A6A6A6"/>
            </w:tcBorders>
          </w:tcPr>
          <w:p>
            <w:pPr>
              <w:spacing w:after="0"/>
              <w:rPr>
                <w:sz w:val="5"/>
                <w:szCs w:val="5"/>
                <w:color w:val="auto"/>
              </w:rPr>
            </w:pPr>
          </w:p>
        </w:tc>
        <w:tc>
          <w:tcPr>
            <w:tcW w:w="1700" w:type="dxa"/>
            <w:vAlign w:val="bottom"/>
            <w:tcBorders>
              <w:bottom w:val="single" w:sz="8" w:color="A6A6A6"/>
            </w:tcBorders>
          </w:tcPr>
          <w:p>
            <w:pPr>
              <w:spacing w:after="0"/>
              <w:rPr>
                <w:sz w:val="5"/>
                <w:szCs w:val="5"/>
                <w:color w:val="auto"/>
              </w:rPr>
            </w:pPr>
          </w:p>
        </w:tc>
        <w:tc>
          <w:tcPr>
            <w:tcW w:w="1100" w:type="dxa"/>
            <w:vAlign w:val="bottom"/>
            <w:tcBorders>
              <w:bottom w:val="single" w:sz="8" w:color="A6A6A6"/>
            </w:tcBorders>
          </w:tcPr>
          <w:p>
            <w:pPr>
              <w:spacing w:after="0"/>
              <w:rPr>
                <w:sz w:val="5"/>
                <w:szCs w:val="5"/>
                <w:color w:val="auto"/>
              </w:rPr>
            </w:pPr>
          </w:p>
        </w:tc>
      </w:tr>
      <w:tr>
        <w:trPr>
          <w:trHeight w:val="340"/>
        </w:trPr>
        <w:tc>
          <w:tcPr>
            <w:tcW w:w="5040" w:type="dxa"/>
            <w:vAlign w:val="bottom"/>
          </w:tcPr>
          <w:p>
            <w:pPr>
              <w:ind w:left="200"/>
              <w:spacing w:after="0"/>
              <w:rPr>
                <w:sz w:val="20"/>
                <w:szCs w:val="20"/>
                <w:color w:val="auto"/>
              </w:rPr>
            </w:pPr>
            <w:r>
              <w:rPr>
                <w:rFonts w:ascii="Arial Narrow" w:cs="Arial Narrow" w:eastAsia="Arial Narrow" w:hAnsi="Arial Narrow"/>
                <w:sz w:val="20"/>
                <w:szCs w:val="20"/>
                <w:b w:val="1"/>
                <w:bCs w:val="1"/>
                <w:color w:val="00085E"/>
              </w:rPr>
              <w:t>Rate of Compensation Increase</w:t>
            </w:r>
          </w:p>
        </w:tc>
        <w:tc>
          <w:tcPr>
            <w:tcW w:w="1520" w:type="dxa"/>
            <w:vAlign w:val="bottom"/>
            <w:gridSpan w:val="2"/>
          </w:tcPr>
          <w:p>
            <w:pPr>
              <w:jc w:val="right"/>
              <w:ind w:right="480"/>
              <w:spacing w:after="0"/>
              <w:rPr>
                <w:sz w:val="20"/>
                <w:szCs w:val="20"/>
                <w:color w:val="auto"/>
              </w:rPr>
            </w:pPr>
            <w:r>
              <w:rPr>
                <w:rFonts w:ascii="Arial Narrow" w:cs="Arial Narrow" w:eastAsia="Arial Narrow" w:hAnsi="Arial Narrow"/>
                <w:sz w:val="20"/>
                <w:szCs w:val="20"/>
                <w:color w:val="auto"/>
              </w:rPr>
              <w:t>n/a</w:t>
            </w:r>
          </w:p>
        </w:tc>
        <w:tc>
          <w:tcPr>
            <w:tcW w:w="1700" w:type="dxa"/>
            <w:vAlign w:val="bottom"/>
          </w:tcPr>
          <w:p>
            <w:pPr>
              <w:jc w:val="right"/>
              <w:ind w:right="624"/>
              <w:spacing w:after="0"/>
              <w:rPr>
                <w:sz w:val="20"/>
                <w:szCs w:val="20"/>
                <w:color w:val="auto"/>
              </w:rPr>
            </w:pPr>
            <w:r>
              <w:rPr>
                <w:rFonts w:ascii="Arial Narrow" w:cs="Arial Narrow" w:eastAsia="Arial Narrow" w:hAnsi="Arial Narrow"/>
                <w:sz w:val="20"/>
                <w:szCs w:val="20"/>
                <w:color w:val="auto"/>
              </w:rPr>
              <w:t>n/a</w:t>
            </w:r>
          </w:p>
        </w:tc>
        <w:tc>
          <w:tcPr>
            <w:tcW w:w="1100" w:type="dxa"/>
            <w:vAlign w:val="bottom"/>
          </w:tcPr>
          <w:p>
            <w:pPr>
              <w:jc w:val="right"/>
              <w:ind w:right="263"/>
              <w:spacing w:after="0"/>
              <w:rPr>
                <w:sz w:val="20"/>
                <w:szCs w:val="20"/>
                <w:color w:val="auto"/>
              </w:rPr>
            </w:pPr>
            <w:r>
              <w:rPr>
                <w:rFonts w:ascii="Arial Narrow" w:cs="Arial Narrow" w:eastAsia="Arial Narrow" w:hAnsi="Arial Narrow"/>
                <w:sz w:val="20"/>
                <w:szCs w:val="20"/>
                <w:color w:val="auto"/>
              </w:rPr>
              <w:t>n/a</w:t>
            </w:r>
          </w:p>
        </w:tc>
      </w:tr>
      <w:tr>
        <w:trPr>
          <w:trHeight w:val="486"/>
        </w:trPr>
        <w:tc>
          <w:tcPr>
            <w:tcW w:w="5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00" w:type="dxa"/>
            <w:vAlign w:val="bottom"/>
          </w:tcPr>
          <w:p>
            <w:pPr>
              <w:jc w:val="right"/>
              <w:ind w:right="324"/>
              <w:spacing w:after="0"/>
              <w:rPr>
                <w:sz w:val="20"/>
                <w:szCs w:val="20"/>
                <w:color w:val="auto"/>
              </w:rPr>
            </w:pPr>
            <w:r>
              <w:rPr>
                <w:rFonts w:ascii="Arial Narrow" w:cs="Arial Narrow" w:eastAsia="Arial Narrow" w:hAnsi="Arial Narrow"/>
                <w:sz w:val="18"/>
                <w:szCs w:val="18"/>
                <w:b w:val="1"/>
                <w:bCs w:val="1"/>
                <w:color w:val="auto"/>
              </w:rPr>
              <w:t>March 31,</w:t>
            </w:r>
          </w:p>
        </w:tc>
        <w:tc>
          <w:tcPr>
            <w:tcW w:w="1100" w:type="dxa"/>
            <w:vAlign w:val="bottom"/>
          </w:tcPr>
          <w:p>
            <w:pPr>
              <w:spacing w:after="0"/>
              <w:rPr>
                <w:sz w:val="24"/>
                <w:szCs w:val="24"/>
                <w:color w:val="auto"/>
              </w:rPr>
            </w:pPr>
          </w:p>
        </w:tc>
      </w:tr>
      <w:tr>
        <w:trPr>
          <w:trHeight w:val="21"/>
        </w:trPr>
        <w:tc>
          <w:tcPr>
            <w:tcW w:w="5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69"/>
        </w:trPr>
        <w:tc>
          <w:tcPr>
            <w:tcW w:w="50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700" w:type="dxa"/>
            <w:vAlign w:val="bottom"/>
          </w:tcPr>
          <w:p>
            <w:pPr>
              <w:jc w:val="right"/>
              <w:ind w:right="864"/>
              <w:spacing w:after="0"/>
              <w:rPr>
                <w:sz w:val="20"/>
                <w:szCs w:val="20"/>
                <w:color w:val="auto"/>
              </w:rPr>
            </w:pPr>
            <w:r>
              <w:rPr>
                <w:rFonts w:ascii="Arial Narrow" w:cs="Arial Narrow" w:eastAsia="Arial Narrow" w:hAnsi="Arial Narrow"/>
                <w:sz w:val="18"/>
                <w:szCs w:val="18"/>
                <w:b w:val="1"/>
                <w:bCs w:val="1"/>
                <w:color w:val="auto"/>
              </w:rPr>
              <w:t>2026</w:t>
            </w:r>
          </w:p>
        </w:tc>
        <w:tc>
          <w:tcPr>
            <w:tcW w:w="1100" w:type="dxa"/>
            <w:vAlign w:val="bottom"/>
          </w:tcPr>
          <w:p>
            <w:pPr>
              <w:jc w:val="right"/>
              <w:ind w:right="263"/>
              <w:spacing w:after="0"/>
              <w:rPr>
                <w:sz w:val="20"/>
                <w:szCs w:val="20"/>
                <w:color w:val="auto"/>
              </w:rPr>
            </w:pPr>
            <w:r>
              <w:rPr>
                <w:rFonts w:ascii="Arial Narrow" w:cs="Arial Narrow" w:eastAsia="Arial Narrow" w:hAnsi="Arial Narrow"/>
                <w:sz w:val="18"/>
                <w:szCs w:val="18"/>
                <w:b w:val="1"/>
                <w:bCs w:val="1"/>
                <w:color w:val="auto"/>
              </w:rPr>
              <w:t>2025</w:t>
            </w:r>
          </w:p>
        </w:tc>
      </w:tr>
      <w:tr>
        <w:trPr>
          <w:trHeight w:val="46"/>
        </w:trPr>
        <w:tc>
          <w:tcPr>
            <w:tcW w:w="50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99"/>
        </w:trPr>
        <w:tc>
          <w:tcPr>
            <w:tcW w:w="5040" w:type="dxa"/>
            <w:vAlign w:val="bottom"/>
          </w:tcPr>
          <w:p>
            <w:pPr>
              <w:spacing w:after="0"/>
              <w:rPr>
                <w:sz w:val="20"/>
                <w:szCs w:val="20"/>
                <w:color w:val="auto"/>
              </w:rPr>
            </w:pPr>
            <w:r>
              <w:rPr>
                <w:rFonts w:ascii="Arial Narrow" w:cs="Arial Narrow" w:eastAsia="Arial Narrow" w:hAnsi="Arial Narrow"/>
                <w:sz w:val="20"/>
                <w:szCs w:val="20"/>
                <w:b w:val="1"/>
                <w:bCs w:val="1"/>
                <w:color w:val="00085E"/>
              </w:rPr>
              <w:t>Benefit Obligations</w:t>
            </w: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65"/>
        </w:trPr>
        <w:tc>
          <w:tcPr>
            <w:tcW w:w="5040" w:type="dxa"/>
            <w:vAlign w:val="bottom"/>
            <w:tcBorders>
              <w:bottom w:val="single" w:sz="8" w:color="A6A6A6"/>
            </w:tcBorders>
          </w:tcPr>
          <w:p>
            <w:pPr>
              <w:spacing w:after="0"/>
              <w:rPr>
                <w:sz w:val="5"/>
                <w:szCs w:val="5"/>
                <w:color w:val="auto"/>
              </w:rPr>
            </w:pPr>
          </w:p>
        </w:tc>
        <w:tc>
          <w:tcPr>
            <w:tcW w:w="880" w:type="dxa"/>
            <w:vAlign w:val="bottom"/>
            <w:tcBorders>
              <w:bottom w:val="single" w:sz="8" w:color="A6A6A6"/>
            </w:tcBorders>
          </w:tcPr>
          <w:p>
            <w:pPr>
              <w:spacing w:after="0"/>
              <w:rPr>
                <w:sz w:val="5"/>
                <w:szCs w:val="5"/>
                <w:color w:val="auto"/>
              </w:rPr>
            </w:pPr>
          </w:p>
        </w:tc>
        <w:tc>
          <w:tcPr>
            <w:tcW w:w="640" w:type="dxa"/>
            <w:vAlign w:val="bottom"/>
            <w:tcBorders>
              <w:bottom w:val="single" w:sz="8" w:color="A6A6A6"/>
            </w:tcBorders>
          </w:tcPr>
          <w:p>
            <w:pPr>
              <w:spacing w:after="0"/>
              <w:rPr>
                <w:sz w:val="5"/>
                <w:szCs w:val="5"/>
                <w:color w:val="auto"/>
              </w:rPr>
            </w:pPr>
          </w:p>
        </w:tc>
        <w:tc>
          <w:tcPr>
            <w:tcW w:w="1700" w:type="dxa"/>
            <w:vAlign w:val="bottom"/>
            <w:tcBorders>
              <w:bottom w:val="single" w:sz="8" w:color="A6A6A6"/>
            </w:tcBorders>
          </w:tcPr>
          <w:p>
            <w:pPr>
              <w:spacing w:after="0"/>
              <w:rPr>
                <w:sz w:val="5"/>
                <w:szCs w:val="5"/>
                <w:color w:val="auto"/>
              </w:rPr>
            </w:pPr>
          </w:p>
        </w:tc>
        <w:tc>
          <w:tcPr>
            <w:tcW w:w="1100" w:type="dxa"/>
            <w:vAlign w:val="bottom"/>
            <w:tcBorders>
              <w:bottom w:val="single" w:sz="8" w:color="A6A6A6"/>
            </w:tcBorders>
          </w:tcPr>
          <w:p>
            <w:pPr>
              <w:spacing w:after="0"/>
              <w:rPr>
                <w:sz w:val="5"/>
                <w:szCs w:val="5"/>
                <w:color w:val="auto"/>
              </w:rPr>
            </w:pPr>
          </w:p>
        </w:tc>
      </w:tr>
      <w:tr>
        <w:trPr>
          <w:trHeight w:val="340"/>
        </w:trPr>
        <w:tc>
          <w:tcPr>
            <w:tcW w:w="5040" w:type="dxa"/>
            <w:vAlign w:val="bottom"/>
          </w:tcPr>
          <w:p>
            <w:pPr>
              <w:ind w:left="200"/>
              <w:spacing w:after="0"/>
              <w:rPr>
                <w:sz w:val="20"/>
                <w:szCs w:val="20"/>
                <w:color w:val="auto"/>
              </w:rPr>
            </w:pPr>
            <w:r>
              <w:rPr>
                <w:rFonts w:ascii="Arial Narrow" w:cs="Arial Narrow" w:eastAsia="Arial Narrow" w:hAnsi="Arial Narrow"/>
                <w:sz w:val="20"/>
                <w:szCs w:val="20"/>
                <w:b w:val="1"/>
                <w:bCs w:val="1"/>
                <w:color w:val="00085E"/>
              </w:rPr>
              <w:t>Discount Rate</w:t>
            </w: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00" w:type="dxa"/>
            <w:vAlign w:val="bottom"/>
          </w:tcPr>
          <w:p>
            <w:pPr>
              <w:jc w:val="right"/>
              <w:ind w:right="704"/>
              <w:spacing w:after="0"/>
              <w:rPr>
                <w:sz w:val="20"/>
                <w:szCs w:val="20"/>
                <w:color w:val="auto"/>
              </w:rPr>
            </w:pPr>
            <w:r>
              <w:rPr>
                <w:rFonts w:ascii="Arial Narrow" w:cs="Arial Narrow" w:eastAsia="Arial Narrow" w:hAnsi="Arial Narrow"/>
                <w:sz w:val="20"/>
                <w:szCs w:val="20"/>
                <w:color w:val="auto"/>
              </w:rPr>
              <w:t>5.41%</w:t>
            </w:r>
          </w:p>
        </w:tc>
        <w:tc>
          <w:tcPr>
            <w:tcW w:w="1100" w:type="dxa"/>
            <w:vAlign w:val="bottom"/>
          </w:tcPr>
          <w:p>
            <w:pPr>
              <w:jc w:val="right"/>
              <w:ind w:right="103"/>
              <w:spacing w:after="0"/>
              <w:rPr>
                <w:sz w:val="20"/>
                <w:szCs w:val="20"/>
                <w:color w:val="auto"/>
              </w:rPr>
            </w:pPr>
            <w:r>
              <w:rPr>
                <w:rFonts w:ascii="Arial Narrow" w:cs="Arial Narrow" w:eastAsia="Arial Narrow" w:hAnsi="Arial Narrow"/>
                <w:sz w:val="20"/>
                <w:szCs w:val="20"/>
                <w:color w:val="auto"/>
              </w:rPr>
              <w:t>5.53%</w:t>
            </w:r>
          </w:p>
        </w:tc>
      </w:tr>
      <w:tr>
        <w:trPr>
          <w:trHeight w:val="65"/>
        </w:trPr>
        <w:tc>
          <w:tcPr>
            <w:tcW w:w="5040" w:type="dxa"/>
            <w:vAlign w:val="bottom"/>
            <w:tcBorders>
              <w:bottom w:val="single" w:sz="8" w:color="A6A6A6"/>
            </w:tcBorders>
          </w:tcPr>
          <w:p>
            <w:pPr>
              <w:spacing w:after="0"/>
              <w:rPr>
                <w:sz w:val="5"/>
                <w:szCs w:val="5"/>
                <w:color w:val="auto"/>
              </w:rPr>
            </w:pPr>
          </w:p>
        </w:tc>
        <w:tc>
          <w:tcPr>
            <w:tcW w:w="880" w:type="dxa"/>
            <w:vAlign w:val="bottom"/>
            <w:tcBorders>
              <w:bottom w:val="single" w:sz="8" w:color="A6A6A6"/>
            </w:tcBorders>
          </w:tcPr>
          <w:p>
            <w:pPr>
              <w:spacing w:after="0"/>
              <w:rPr>
                <w:sz w:val="5"/>
                <w:szCs w:val="5"/>
                <w:color w:val="auto"/>
              </w:rPr>
            </w:pPr>
          </w:p>
        </w:tc>
        <w:tc>
          <w:tcPr>
            <w:tcW w:w="640" w:type="dxa"/>
            <w:vAlign w:val="bottom"/>
            <w:tcBorders>
              <w:bottom w:val="single" w:sz="8" w:color="A6A6A6"/>
            </w:tcBorders>
          </w:tcPr>
          <w:p>
            <w:pPr>
              <w:spacing w:after="0"/>
              <w:rPr>
                <w:sz w:val="5"/>
                <w:szCs w:val="5"/>
                <w:color w:val="auto"/>
              </w:rPr>
            </w:pPr>
          </w:p>
        </w:tc>
        <w:tc>
          <w:tcPr>
            <w:tcW w:w="1700" w:type="dxa"/>
            <w:vAlign w:val="bottom"/>
            <w:tcBorders>
              <w:bottom w:val="single" w:sz="8" w:color="A6A6A6"/>
            </w:tcBorders>
          </w:tcPr>
          <w:p>
            <w:pPr>
              <w:spacing w:after="0"/>
              <w:rPr>
                <w:sz w:val="5"/>
                <w:szCs w:val="5"/>
                <w:color w:val="auto"/>
              </w:rPr>
            </w:pPr>
          </w:p>
        </w:tc>
        <w:tc>
          <w:tcPr>
            <w:tcW w:w="1100" w:type="dxa"/>
            <w:vAlign w:val="bottom"/>
            <w:tcBorders>
              <w:bottom w:val="single" w:sz="8" w:color="A6A6A6"/>
            </w:tcBorders>
          </w:tcPr>
          <w:p>
            <w:pPr>
              <w:spacing w:after="0"/>
              <w:rPr>
                <w:sz w:val="5"/>
                <w:szCs w:val="5"/>
                <w:color w:val="auto"/>
              </w:rPr>
            </w:pPr>
          </w:p>
        </w:tc>
      </w:tr>
      <w:tr>
        <w:trPr>
          <w:trHeight w:val="340"/>
        </w:trPr>
        <w:tc>
          <w:tcPr>
            <w:tcW w:w="5040" w:type="dxa"/>
            <w:vAlign w:val="bottom"/>
          </w:tcPr>
          <w:p>
            <w:pPr>
              <w:ind w:left="200"/>
              <w:spacing w:after="0"/>
              <w:rPr>
                <w:sz w:val="20"/>
                <w:szCs w:val="20"/>
                <w:color w:val="auto"/>
              </w:rPr>
            </w:pPr>
            <w:r>
              <w:rPr>
                <w:rFonts w:ascii="Arial Narrow" w:cs="Arial Narrow" w:eastAsia="Arial Narrow" w:hAnsi="Arial Narrow"/>
                <w:sz w:val="20"/>
                <w:szCs w:val="20"/>
                <w:b w:val="1"/>
                <w:bCs w:val="1"/>
                <w:color w:val="00085E"/>
              </w:rPr>
              <w:t>Rate of Compensation Increase</w:t>
            </w: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00" w:type="dxa"/>
            <w:vAlign w:val="bottom"/>
          </w:tcPr>
          <w:p>
            <w:pPr>
              <w:jc w:val="right"/>
              <w:ind w:right="864"/>
              <w:spacing w:after="0"/>
              <w:rPr>
                <w:sz w:val="20"/>
                <w:szCs w:val="20"/>
                <w:color w:val="auto"/>
              </w:rPr>
            </w:pPr>
            <w:r>
              <w:rPr>
                <w:rFonts w:ascii="Arial Narrow" w:cs="Arial Narrow" w:eastAsia="Arial Narrow" w:hAnsi="Arial Narrow"/>
                <w:sz w:val="20"/>
                <w:szCs w:val="20"/>
                <w:color w:val="auto"/>
              </w:rPr>
              <w:t>n/a</w:t>
            </w:r>
          </w:p>
        </w:tc>
        <w:tc>
          <w:tcPr>
            <w:tcW w:w="1100" w:type="dxa"/>
            <w:vAlign w:val="bottom"/>
          </w:tcPr>
          <w:p>
            <w:pPr>
              <w:jc w:val="right"/>
              <w:ind w:right="263"/>
              <w:spacing w:after="0"/>
              <w:rPr>
                <w:sz w:val="20"/>
                <w:szCs w:val="20"/>
                <w:color w:val="auto"/>
              </w:rPr>
            </w:pPr>
            <w:r>
              <w:rPr>
                <w:rFonts w:ascii="Arial Narrow" w:cs="Arial Narrow" w:eastAsia="Arial Narrow" w:hAnsi="Arial Narrow"/>
                <w:sz w:val="20"/>
                <w:szCs w:val="20"/>
                <w:color w:val="auto"/>
              </w:rPr>
              <w:t>n/a</w:t>
            </w:r>
          </w:p>
        </w:tc>
      </w:tr>
    </w:tbl>
    <w:p>
      <w:pPr>
        <w:spacing w:after="0" w:line="200" w:lineRule="exact"/>
        <w:rPr>
          <w:sz w:val="20"/>
          <w:szCs w:val="20"/>
          <w:color w:val="auto"/>
        </w:rPr>
      </w:pPr>
    </w:p>
    <w:p>
      <w:pPr>
        <w:sectPr>
          <w:pgSz w:w="11880" w:h="15480" w:orient="portrait"/>
          <w:cols w:equalWidth="0" w:num="1">
            <w:col w:w="9360"/>
          </w:cols>
          <w:pgMar w:left="1260" w:top="1267" w:right="1260" w:bottom="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109</w:t>
      </w:r>
    </w:p>
    <w:p>
      <w:pPr>
        <w:sectPr>
          <w:pgSz w:w="11880" w:h="15480" w:orient="portrait"/>
          <w:cols w:equalWidth="0" w:num="1">
            <w:col w:w="9360"/>
          </w:cols>
          <w:pgMar w:left="1260" w:top="1267" w:right="1260" w:bottom="7" w:gutter="0" w:footer="0" w:header="0"/>
          <w:type w:val="continuous"/>
        </w:sectPr>
      </w:pPr>
    </w:p>
    <w:bookmarkStart w:id="117" w:name="page118"/>
    <w:bookmarkEnd w:id="117"/>
    <w:p>
      <w:pPr>
        <w:ind w:right="40"/>
        <w:spacing w:after="0" w:line="289" w:lineRule="auto"/>
        <w:rPr>
          <w:sz w:val="20"/>
          <w:szCs w:val="20"/>
          <w:color w:val="auto"/>
        </w:rPr>
      </w:pPr>
      <w:r>
        <w:rPr>
          <w:rFonts w:ascii="Arial" w:cs="Arial" w:eastAsia="Arial" w:hAnsi="Arial"/>
          <w:sz w:val="20"/>
          <w:szCs w:val="20"/>
          <w:color w:val="auto"/>
        </w:rPr>
        <w:t>The expected long-term rate of return on plan assets is an assumption reflecting the anticipated weighted-average rate of earnings on the portfolio over the long term. To determine this rate, we developed estimates of the key components underlying capital asset returns that include market-based estimates of inflation, real risk-free rates of return, yield curve structure, credit-risk premiums, and equity-risk premiums. Because our pension plans were frozen beginning in fiscal 2021, the rate of compensation increase is not applicable. We used these components as appropriate to develop benchmark estimates for the expected long-term management approach that we employ.</w:t>
      </w:r>
    </w:p>
    <w:p>
      <w:pPr>
        <w:spacing w:after="0" w:line="71" w:lineRule="exact"/>
        <w:rPr>
          <w:sz w:val="20"/>
          <w:szCs w:val="20"/>
          <w:color w:val="auto"/>
        </w:rPr>
      </w:pPr>
    </w:p>
    <w:p>
      <w:pPr>
        <w:ind w:right="60"/>
        <w:spacing w:after="0" w:line="325" w:lineRule="auto"/>
        <w:rPr>
          <w:sz w:val="20"/>
          <w:szCs w:val="20"/>
          <w:color w:val="auto"/>
        </w:rPr>
      </w:pPr>
      <w:r>
        <w:rPr>
          <w:rFonts w:ascii="Arial" w:cs="Arial" w:eastAsia="Arial" w:hAnsi="Arial"/>
          <w:sz w:val="20"/>
          <w:szCs w:val="20"/>
          <w:color w:val="auto"/>
        </w:rPr>
        <w:t>The pension plans’ approximate weighted-average asset allocation at March 31, 2026, and 2025, and the range of target allocation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320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320" w:type="dxa"/>
            <w:vAlign w:val="bottom"/>
            <w:gridSpan w:val="3"/>
          </w:tcPr>
          <w:p>
            <w:pPr>
              <w:jc w:val="right"/>
              <w:ind w:right="200"/>
              <w:spacing w:after="0"/>
              <w:rPr>
                <w:sz w:val="20"/>
                <w:szCs w:val="20"/>
                <w:color w:val="auto"/>
              </w:rPr>
            </w:pPr>
            <w:r>
              <w:rPr>
                <w:rFonts w:ascii="Arial Narrow" w:cs="Arial Narrow" w:eastAsia="Arial Narrow" w:hAnsi="Arial Narrow"/>
                <w:sz w:val="18"/>
                <w:szCs w:val="18"/>
                <w:b w:val="1"/>
                <w:bCs w:val="1"/>
                <w:color w:val="auto"/>
              </w:rPr>
              <w:t>Percentage of Plan Assets at March 31,</w:t>
            </w: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2840" w:type="dxa"/>
            <w:vAlign w:val="bottom"/>
            <w:gridSpan w:val="2"/>
            <w:vMerge w:val="restart"/>
          </w:tcPr>
          <w:p>
            <w:pPr>
              <w:jc w:val="right"/>
              <w:ind w:right="143"/>
              <w:spacing w:after="0"/>
              <w:rPr>
                <w:sz w:val="20"/>
                <w:szCs w:val="20"/>
                <w:color w:val="auto"/>
              </w:rPr>
            </w:pPr>
            <w:r>
              <w:rPr>
                <w:rFonts w:ascii="Arial Narrow" w:cs="Arial Narrow" w:eastAsia="Arial Narrow" w:hAnsi="Arial Narrow"/>
                <w:sz w:val="18"/>
                <w:szCs w:val="18"/>
                <w:b w:val="1"/>
                <w:bCs w:val="1"/>
                <w:color w:val="auto"/>
              </w:rPr>
              <w:t>Range of</w:t>
            </w:r>
          </w:p>
        </w:tc>
        <w:tc>
          <w:tcPr>
            <w:tcW w:w="1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2"/>
        </w:trPr>
        <w:tc>
          <w:tcPr>
            <w:tcW w:w="3200" w:type="dxa"/>
            <w:vAlign w:val="bottom"/>
          </w:tcPr>
          <w:p>
            <w:pPr>
              <w:spacing w:after="0"/>
              <w:rPr>
                <w:sz w:val="19"/>
                <w:szCs w:val="19"/>
                <w:color w:val="auto"/>
              </w:rPr>
            </w:pPr>
          </w:p>
        </w:tc>
        <w:tc>
          <w:tcPr>
            <w:tcW w:w="2840" w:type="dxa"/>
            <w:vAlign w:val="bottom"/>
            <w:gridSpan w:val="2"/>
            <w:vMerge w:val="continue"/>
          </w:tcPr>
          <w:p>
            <w:pPr>
              <w:spacing w:after="0"/>
              <w:rPr>
                <w:sz w:val="19"/>
                <w:szCs w:val="19"/>
                <w:color w:val="auto"/>
              </w:rPr>
            </w:pP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2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740" w:type="dxa"/>
            <w:vAlign w:val="bottom"/>
          </w:tcPr>
          <w:p>
            <w:pPr>
              <w:jc w:val="right"/>
              <w:ind w:right="143"/>
              <w:spacing w:after="0"/>
              <w:rPr>
                <w:sz w:val="20"/>
                <w:szCs w:val="20"/>
                <w:color w:val="auto"/>
              </w:rPr>
            </w:pPr>
            <w:r>
              <w:rPr>
                <w:rFonts w:ascii="Arial Narrow" w:cs="Arial Narrow" w:eastAsia="Arial Narrow" w:hAnsi="Arial Narrow"/>
                <w:sz w:val="18"/>
                <w:szCs w:val="18"/>
                <w:b w:val="1"/>
                <w:bCs w:val="1"/>
                <w:color w:val="auto"/>
              </w:rPr>
              <w:t>Target</w:t>
            </w:r>
          </w:p>
        </w:tc>
        <w:tc>
          <w:tcPr>
            <w:tcW w:w="1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3200" w:type="dxa"/>
            <w:vAlign w:val="bottom"/>
          </w:tcPr>
          <w:p>
            <w:pPr>
              <w:spacing w:after="0"/>
              <w:rPr>
                <w:sz w:val="22"/>
                <w:szCs w:val="22"/>
                <w:color w:val="auto"/>
              </w:rPr>
            </w:pPr>
          </w:p>
        </w:tc>
        <w:tc>
          <w:tcPr>
            <w:tcW w:w="2840" w:type="dxa"/>
            <w:vAlign w:val="bottom"/>
            <w:gridSpan w:val="2"/>
          </w:tcPr>
          <w:p>
            <w:pPr>
              <w:jc w:val="right"/>
              <w:ind w:right="143"/>
              <w:spacing w:after="0"/>
              <w:rPr>
                <w:sz w:val="20"/>
                <w:szCs w:val="20"/>
                <w:color w:val="auto"/>
              </w:rPr>
            </w:pPr>
            <w:r>
              <w:rPr>
                <w:rFonts w:ascii="Arial Narrow" w:cs="Arial Narrow" w:eastAsia="Arial Narrow" w:hAnsi="Arial Narrow"/>
                <w:sz w:val="18"/>
                <w:szCs w:val="18"/>
                <w:b w:val="1"/>
                <w:bCs w:val="1"/>
                <w:color w:val="auto"/>
              </w:rPr>
              <w:t>Allocation</w:t>
            </w:r>
          </w:p>
        </w:tc>
        <w:tc>
          <w:tcPr>
            <w:tcW w:w="1600" w:type="dxa"/>
            <w:vAlign w:val="bottom"/>
          </w:tcPr>
          <w:p>
            <w:pPr>
              <w:jc w:val="right"/>
              <w:ind w:right="283"/>
              <w:spacing w:after="0"/>
              <w:rPr>
                <w:sz w:val="20"/>
                <w:szCs w:val="20"/>
                <w:color w:val="auto"/>
              </w:rPr>
            </w:pPr>
            <w:r>
              <w:rPr>
                <w:rFonts w:ascii="Arial Narrow" w:cs="Arial Narrow" w:eastAsia="Arial Narrow" w:hAnsi="Arial Narrow"/>
                <w:sz w:val="18"/>
                <w:szCs w:val="18"/>
                <w:b w:val="1"/>
                <w:bCs w:val="1"/>
                <w:color w:val="auto"/>
              </w:rPr>
              <w:t>2026</w:t>
            </w:r>
          </w:p>
        </w:tc>
        <w:tc>
          <w:tcPr>
            <w:tcW w:w="1720" w:type="dxa"/>
            <w:vAlign w:val="bottom"/>
            <w:gridSpan w:val="2"/>
          </w:tcPr>
          <w:p>
            <w:pPr>
              <w:jc w:val="right"/>
              <w:ind w:right="260"/>
              <w:spacing w:after="0"/>
              <w:rPr>
                <w:sz w:val="20"/>
                <w:szCs w:val="20"/>
                <w:color w:val="auto"/>
              </w:rPr>
            </w:pPr>
            <w:r>
              <w:rPr>
                <w:rFonts w:ascii="Arial Narrow" w:cs="Arial Narrow" w:eastAsia="Arial Narrow" w:hAnsi="Arial Narrow"/>
                <w:sz w:val="18"/>
                <w:szCs w:val="18"/>
                <w:b w:val="1"/>
                <w:bCs w:val="1"/>
                <w:color w:val="auto"/>
              </w:rPr>
              <w:t>2025</w:t>
            </w:r>
          </w:p>
        </w:tc>
        <w:tc>
          <w:tcPr>
            <w:tcW w:w="0" w:type="dxa"/>
            <w:vAlign w:val="bottom"/>
          </w:tcPr>
          <w:p>
            <w:pPr>
              <w:spacing w:after="0"/>
              <w:rPr>
                <w:sz w:val="1"/>
                <w:szCs w:val="1"/>
                <w:color w:val="auto"/>
              </w:rPr>
            </w:pPr>
          </w:p>
        </w:tc>
      </w:tr>
      <w:tr>
        <w:trPr>
          <w:trHeight w:val="46"/>
        </w:trPr>
        <w:tc>
          <w:tcPr>
            <w:tcW w:w="3200" w:type="dxa"/>
            <w:vAlign w:val="bottom"/>
            <w:tcBorders>
              <w:bottom w:val="single" w:sz="8" w:color="auto"/>
            </w:tcBorders>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9"/>
        </w:trPr>
        <w:tc>
          <w:tcPr>
            <w:tcW w:w="3200" w:type="dxa"/>
            <w:vAlign w:val="bottom"/>
          </w:tcPr>
          <w:p>
            <w:pPr>
              <w:spacing w:after="0"/>
              <w:rPr>
                <w:sz w:val="20"/>
                <w:szCs w:val="20"/>
                <w:color w:val="auto"/>
              </w:rPr>
            </w:pPr>
            <w:r>
              <w:rPr>
                <w:rFonts w:ascii="Arial Narrow" w:cs="Arial Narrow" w:eastAsia="Arial Narrow" w:hAnsi="Arial Narrow"/>
                <w:sz w:val="20"/>
                <w:szCs w:val="20"/>
                <w:b w:val="1"/>
                <w:bCs w:val="1"/>
                <w:color w:val="00085E"/>
              </w:rPr>
              <w:t>Asset Category</w:t>
            </w:r>
          </w:p>
        </w:tc>
        <w:tc>
          <w:tcPr>
            <w:tcW w:w="2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3200" w:type="dxa"/>
            <w:vAlign w:val="bottom"/>
            <w:tcBorders>
              <w:bottom w:val="single" w:sz="8" w:color="A6A6A6"/>
            </w:tcBorders>
          </w:tcPr>
          <w:p>
            <w:pPr>
              <w:spacing w:after="0"/>
              <w:rPr>
                <w:sz w:val="5"/>
                <w:szCs w:val="5"/>
                <w:color w:val="auto"/>
              </w:rPr>
            </w:pPr>
          </w:p>
        </w:tc>
        <w:tc>
          <w:tcPr>
            <w:tcW w:w="210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160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158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40"/>
        </w:trPr>
        <w:tc>
          <w:tcPr>
            <w:tcW w:w="3200" w:type="dxa"/>
            <w:vAlign w:val="bottom"/>
          </w:tcPr>
          <w:p>
            <w:pPr>
              <w:spacing w:after="0"/>
              <w:rPr>
                <w:sz w:val="20"/>
                <w:szCs w:val="20"/>
                <w:color w:val="auto"/>
              </w:rPr>
            </w:pPr>
            <w:r>
              <w:rPr>
                <w:rFonts w:ascii="Arial Narrow" w:cs="Arial Narrow" w:eastAsia="Arial Narrow" w:hAnsi="Arial Narrow"/>
                <w:sz w:val="20"/>
                <w:szCs w:val="20"/>
                <w:b w:val="1"/>
                <w:bCs w:val="1"/>
                <w:color w:val="00085E"/>
              </w:rPr>
              <w:t>Equity Securities</w:t>
            </w:r>
          </w:p>
        </w:tc>
        <w:tc>
          <w:tcPr>
            <w:tcW w:w="2100" w:type="dxa"/>
            <w:vAlign w:val="bottom"/>
          </w:tcPr>
          <w:p>
            <w:pPr>
              <w:jc w:val="right"/>
              <w:spacing w:after="0"/>
              <w:rPr>
                <w:sz w:val="20"/>
                <w:szCs w:val="20"/>
                <w:color w:val="auto"/>
              </w:rPr>
            </w:pPr>
            <w:r>
              <w:rPr>
                <w:rFonts w:ascii="Arial Narrow" w:cs="Arial Narrow" w:eastAsia="Arial Narrow" w:hAnsi="Arial Narrow"/>
                <w:sz w:val="20"/>
                <w:szCs w:val="20"/>
                <w:color w:val="auto"/>
              </w:rPr>
              <w:t>10</w:t>
            </w:r>
          </w:p>
        </w:tc>
        <w:tc>
          <w:tcPr>
            <w:tcW w:w="740" w:type="dxa"/>
            <w:vAlign w:val="bottom"/>
          </w:tcPr>
          <w:p>
            <w:pPr>
              <w:jc w:val="right"/>
              <w:ind w:right="143"/>
              <w:spacing w:after="0"/>
              <w:rPr>
                <w:sz w:val="20"/>
                <w:szCs w:val="20"/>
                <w:color w:val="auto"/>
              </w:rPr>
            </w:pPr>
            <w:r>
              <w:rPr>
                <w:rFonts w:ascii="Arial Narrow" w:cs="Arial Narrow" w:eastAsia="Arial Narrow" w:hAnsi="Arial Narrow"/>
                <w:sz w:val="20"/>
                <w:szCs w:val="20"/>
                <w:color w:val="auto"/>
              </w:rPr>
              <w:t>– 20%</w:t>
            </w:r>
          </w:p>
        </w:tc>
        <w:tc>
          <w:tcPr>
            <w:tcW w:w="1600" w:type="dxa"/>
            <w:vAlign w:val="bottom"/>
          </w:tcPr>
          <w:p>
            <w:pPr>
              <w:jc w:val="right"/>
              <w:ind w:right="283"/>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24"/>
                <w:szCs w:val="24"/>
                <w:color w:val="auto"/>
              </w:rPr>
            </w:pPr>
          </w:p>
        </w:tc>
        <w:tc>
          <w:tcPr>
            <w:tcW w:w="1580" w:type="dxa"/>
            <w:vAlign w:val="bottom"/>
          </w:tcPr>
          <w:p>
            <w:pPr>
              <w:jc w:val="right"/>
              <w:ind w:right="260"/>
              <w:spacing w:after="0"/>
              <w:rPr>
                <w:sz w:val="20"/>
                <w:szCs w:val="20"/>
                <w:color w:val="auto"/>
              </w:rPr>
            </w:pPr>
            <w:r>
              <w:rPr>
                <w:rFonts w:ascii="Arial Narrow" w:cs="Arial Narrow" w:eastAsia="Arial Narrow" w:hAnsi="Arial Narrow"/>
                <w:sz w:val="20"/>
                <w:szCs w:val="20"/>
                <w:color w:val="auto"/>
              </w:rPr>
              <w:t>—</w:t>
            </w:r>
          </w:p>
        </w:tc>
        <w:tc>
          <w:tcPr>
            <w:tcW w:w="0" w:type="dxa"/>
            <w:vAlign w:val="bottom"/>
          </w:tcPr>
          <w:p>
            <w:pPr>
              <w:spacing w:after="0"/>
              <w:rPr>
                <w:sz w:val="1"/>
                <w:szCs w:val="1"/>
                <w:color w:val="auto"/>
              </w:rPr>
            </w:pPr>
          </w:p>
        </w:tc>
      </w:tr>
      <w:tr>
        <w:trPr>
          <w:trHeight w:val="65"/>
        </w:trPr>
        <w:tc>
          <w:tcPr>
            <w:tcW w:w="3200" w:type="dxa"/>
            <w:vAlign w:val="bottom"/>
            <w:tcBorders>
              <w:bottom w:val="single" w:sz="8" w:color="A6A6A6"/>
            </w:tcBorders>
          </w:tcPr>
          <w:p>
            <w:pPr>
              <w:spacing w:after="0"/>
              <w:rPr>
                <w:sz w:val="5"/>
                <w:szCs w:val="5"/>
                <w:color w:val="auto"/>
              </w:rPr>
            </w:pPr>
          </w:p>
        </w:tc>
        <w:tc>
          <w:tcPr>
            <w:tcW w:w="210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160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158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40"/>
        </w:trPr>
        <w:tc>
          <w:tcPr>
            <w:tcW w:w="3200" w:type="dxa"/>
            <w:vAlign w:val="bottom"/>
          </w:tcPr>
          <w:p>
            <w:pPr>
              <w:spacing w:after="0"/>
              <w:rPr>
                <w:sz w:val="20"/>
                <w:szCs w:val="20"/>
                <w:color w:val="auto"/>
              </w:rPr>
            </w:pPr>
            <w:r>
              <w:rPr>
                <w:rFonts w:ascii="Arial Narrow" w:cs="Arial Narrow" w:eastAsia="Arial Narrow" w:hAnsi="Arial Narrow"/>
                <w:sz w:val="20"/>
                <w:szCs w:val="20"/>
                <w:b w:val="1"/>
                <w:bCs w:val="1"/>
                <w:color w:val="00085E"/>
              </w:rPr>
              <w:t>Debt Securities</w:t>
            </w:r>
          </w:p>
        </w:tc>
        <w:tc>
          <w:tcPr>
            <w:tcW w:w="2100" w:type="dxa"/>
            <w:vAlign w:val="bottom"/>
          </w:tcPr>
          <w:p>
            <w:pPr>
              <w:jc w:val="right"/>
              <w:spacing w:after="0"/>
              <w:rPr>
                <w:sz w:val="20"/>
                <w:szCs w:val="20"/>
                <w:color w:val="auto"/>
              </w:rPr>
            </w:pPr>
            <w:r>
              <w:rPr>
                <w:rFonts w:ascii="Arial Narrow" w:cs="Arial Narrow" w:eastAsia="Arial Narrow" w:hAnsi="Arial Narrow"/>
                <w:sz w:val="20"/>
                <w:szCs w:val="20"/>
                <w:color w:val="auto"/>
              </w:rPr>
              <w:t>60</w:t>
            </w:r>
          </w:p>
        </w:tc>
        <w:tc>
          <w:tcPr>
            <w:tcW w:w="740" w:type="dxa"/>
            <w:vAlign w:val="bottom"/>
          </w:tcPr>
          <w:p>
            <w:pPr>
              <w:jc w:val="right"/>
              <w:ind w:right="143"/>
              <w:spacing w:after="0"/>
              <w:rPr>
                <w:sz w:val="20"/>
                <w:szCs w:val="20"/>
                <w:color w:val="auto"/>
              </w:rPr>
            </w:pPr>
            <w:r>
              <w:rPr>
                <w:rFonts w:ascii="Arial Narrow" w:cs="Arial Narrow" w:eastAsia="Arial Narrow" w:hAnsi="Arial Narrow"/>
                <w:sz w:val="20"/>
                <w:szCs w:val="20"/>
                <w:color w:val="auto"/>
              </w:rPr>
              <w:t>– 90%</w:t>
            </w:r>
          </w:p>
        </w:tc>
        <w:tc>
          <w:tcPr>
            <w:tcW w:w="1600" w:type="dxa"/>
            <w:vAlign w:val="bottom"/>
          </w:tcPr>
          <w:p>
            <w:pPr>
              <w:jc w:val="right"/>
              <w:ind w:right="123"/>
              <w:spacing w:after="0"/>
              <w:rPr>
                <w:sz w:val="20"/>
                <w:szCs w:val="20"/>
                <w:color w:val="auto"/>
              </w:rPr>
            </w:pPr>
            <w:r>
              <w:rPr>
                <w:rFonts w:ascii="Arial Narrow" w:cs="Arial Narrow" w:eastAsia="Arial Narrow" w:hAnsi="Arial Narrow"/>
                <w:sz w:val="20"/>
                <w:szCs w:val="20"/>
                <w:color w:val="auto"/>
              </w:rPr>
              <w:t>70%</w:t>
            </w:r>
          </w:p>
        </w:tc>
        <w:tc>
          <w:tcPr>
            <w:tcW w:w="1720" w:type="dxa"/>
            <w:vAlign w:val="bottom"/>
            <w:gridSpan w:val="2"/>
          </w:tcPr>
          <w:p>
            <w:pPr>
              <w:jc w:val="right"/>
              <w:ind w:right="100"/>
              <w:spacing w:after="0"/>
              <w:rPr>
                <w:sz w:val="20"/>
                <w:szCs w:val="20"/>
                <w:color w:val="auto"/>
              </w:rPr>
            </w:pPr>
            <w:r>
              <w:rPr>
                <w:rFonts w:ascii="Arial Narrow" w:cs="Arial Narrow" w:eastAsia="Arial Narrow" w:hAnsi="Arial Narrow"/>
                <w:sz w:val="20"/>
                <w:szCs w:val="20"/>
                <w:color w:val="auto"/>
              </w:rPr>
              <w:t>98%</w:t>
            </w:r>
          </w:p>
        </w:tc>
        <w:tc>
          <w:tcPr>
            <w:tcW w:w="0" w:type="dxa"/>
            <w:vAlign w:val="bottom"/>
          </w:tcPr>
          <w:p>
            <w:pPr>
              <w:spacing w:after="0"/>
              <w:rPr>
                <w:sz w:val="1"/>
                <w:szCs w:val="1"/>
                <w:color w:val="auto"/>
              </w:rPr>
            </w:pPr>
          </w:p>
        </w:tc>
      </w:tr>
      <w:tr>
        <w:trPr>
          <w:trHeight w:val="65"/>
        </w:trPr>
        <w:tc>
          <w:tcPr>
            <w:tcW w:w="3200" w:type="dxa"/>
            <w:vAlign w:val="bottom"/>
            <w:tcBorders>
              <w:bottom w:val="single" w:sz="8" w:color="A6A6A6"/>
            </w:tcBorders>
          </w:tcPr>
          <w:p>
            <w:pPr>
              <w:spacing w:after="0"/>
              <w:rPr>
                <w:sz w:val="5"/>
                <w:szCs w:val="5"/>
                <w:color w:val="auto"/>
              </w:rPr>
            </w:pPr>
          </w:p>
        </w:tc>
        <w:tc>
          <w:tcPr>
            <w:tcW w:w="2100" w:type="dxa"/>
            <w:vAlign w:val="bottom"/>
            <w:tcBorders>
              <w:bottom w:val="single" w:sz="8" w:color="A6A6A6"/>
            </w:tcBorders>
          </w:tcPr>
          <w:p>
            <w:pPr>
              <w:spacing w:after="0"/>
              <w:rPr>
                <w:sz w:val="5"/>
                <w:szCs w:val="5"/>
                <w:color w:val="auto"/>
              </w:rPr>
            </w:pPr>
          </w:p>
        </w:tc>
        <w:tc>
          <w:tcPr>
            <w:tcW w:w="740" w:type="dxa"/>
            <w:vAlign w:val="bottom"/>
            <w:tcBorders>
              <w:bottom w:val="single" w:sz="8" w:color="A6A6A6"/>
            </w:tcBorders>
          </w:tcPr>
          <w:p>
            <w:pPr>
              <w:spacing w:after="0"/>
              <w:rPr>
                <w:sz w:val="5"/>
                <w:szCs w:val="5"/>
                <w:color w:val="auto"/>
              </w:rPr>
            </w:pPr>
          </w:p>
        </w:tc>
        <w:tc>
          <w:tcPr>
            <w:tcW w:w="160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158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340"/>
        </w:trPr>
        <w:tc>
          <w:tcPr>
            <w:tcW w:w="3200" w:type="dxa"/>
            <w:vAlign w:val="bottom"/>
          </w:tcPr>
          <w:p>
            <w:pPr>
              <w:spacing w:after="0"/>
              <w:rPr>
                <w:sz w:val="20"/>
                <w:szCs w:val="20"/>
                <w:color w:val="auto"/>
              </w:rPr>
            </w:pPr>
            <w:r>
              <w:rPr>
                <w:rFonts w:ascii="Arial Narrow" w:cs="Arial Narrow" w:eastAsia="Arial Narrow" w:hAnsi="Arial Narrow"/>
                <w:sz w:val="20"/>
                <w:szCs w:val="20"/>
                <w:b w:val="1"/>
                <w:bCs w:val="1"/>
                <w:color w:val="00085E"/>
              </w:rPr>
              <w:t>Other</w:t>
            </w:r>
          </w:p>
        </w:tc>
        <w:tc>
          <w:tcPr>
            <w:tcW w:w="2100" w:type="dxa"/>
            <w:vAlign w:val="bottom"/>
          </w:tcPr>
          <w:p>
            <w:pPr>
              <w:jc w:val="right"/>
              <w:spacing w:after="0"/>
              <w:rPr>
                <w:sz w:val="20"/>
                <w:szCs w:val="20"/>
                <w:color w:val="auto"/>
              </w:rPr>
            </w:pPr>
            <w:r>
              <w:rPr>
                <w:rFonts w:ascii="Arial Narrow" w:cs="Arial Narrow" w:eastAsia="Arial Narrow" w:hAnsi="Arial Narrow"/>
                <w:sz w:val="20"/>
                <w:szCs w:val="20"/>
                <w:color w:val="auto"/>
              </w:rPr>
              <w:t>0</w:t>
            </w:r>
          </w:p>
        </w:tc>
        <w:tc>
          <w:tcPr>
            <w:tcW w:w="740" w:type="dxa"/>
            <w:vAlign w:val="bottom"/>
          </w:tcPr>
          <w:p>
            <w:pPr>
              <w:jc w:val="right"/>
              <w:ind w:right="143"/>
              <w:spacing w:after="0"/>
              <w:rPr>
                <w:sz w:val="20"/>
                <w:szCs w:val="20"/>
                <w:color w:val="auto"/>
              </w:rPr>
            </w:pPr>
            <w:r>
              <w:rPr>
                <w:rFonts w:ascii="Arial Narrow" w:cs="Arial Narrow" w:eastAsia="Arial Narrow" w:hAnsi="Arial Narrow"/>
                <w:sz w:val="20"/>
                <w:szCs w:val="20"/>
                <w:color w:val="auto"/>
              </w:rPr>
              <w:t>– 20%</w:t>
            </w:r>
          </w:p>
        </w:tc>
        <w:tc>
          <w:tcPr>
            <w:tcW w:w="1600" w:type="dxa"/>
            <w:vAlign w:val="bottom"/>
          </w:tcPr>
          <w:p>
            <w:pPr>
              <w:jc w:val="right"/>
              <w:ind w:right="123"/>
              <w:spacing w:after="0"/>
              <w:rPr>
                <w:sz w:val="20"/>
                <w:szCs w:val="20"/>
                <w:color w:val="auto"/>
              </w:rPr>
            </w:pPr>
            <w:r>
              <w:rPr>
                <w:rFonts w:ascii="Arial Narrow" w:cs="Arial Narrow" w:eastAsia="Arial Narrow" w:hAnsi="Arial Narrow"/>
                <w:sz w:val="20"/>
                <w:szCs w:val="20"/>
                <w:color w:val="auto"/>
              </w:rPr>
              <w:t>30%</w:t>
            </w:r>
          </w:p>
        </w:tc>
        <w:tc>
          <w:tcPr>
            <w:tcW w:w="1720" w:type="dxa"/>
            <w:vAlign w:val="bottom"/>
            <w:gridSpan w:val="2"/>
          </w:tcPr>
          <w:p>
            <w:pPr>
              <w:jc w:val="right"/>
              <w:ind w:right="100"/>
              <w:spacing w:after="0"/>
              <w:rPr>
                <w:sz w:val="20"/>
                <w:szCs w:val="20"/>
                <w:color w:val="auto"/>
              </w:rPr>
            </w:pPr>
            <w:r>
              <w:rPr>
                <w:rFonts w:ascii="Arial Narrow" w:cs="Arial Narrow" w:eastAsia="Arial Narrow" w:hAnsi="Arial Narrow"/>
                <w:sz w:val="20"/>
                <w:szCs w:val="20"/>
                <w:color w:val="auto"/>
              </w:rPr>
              <w:t>2%</w:t>
            </w:r>
          </w:p>
        </w:tc>
        <w:tc>
          <w:tcPr>
            <w:tcW w:w="0" w:type="dxa"/>
            <w:vAlign w:val="bottom"/>
          </w:tcPr>
          <w:p>
            <w:pPr>
              <w:spacing w:after="0"/>
              <w:rPr>
                <w:sz w:val="1"/>
                <w:szCs w:val="1"/>
                <w:color w:val="auto"/>
              </w:rPr>
            </w:pPr>
          </w:p>
        </w:tc>
      </w:tr>
      <w:tr>
        <w:trPr>
          <w:trHeight w:val="90"/>
        </w:trPr>
        <w:tc>
          <w:tcPr>
            <w:tcW w:w="3200" w:type="dxa"/>
            <w:vAlign w:val="bottom"/>
            <w:tcBorders>
              <w:bottom w:val="single" w:sz="8" w:color="A6A6A6"/>
            </w:tcBorders>
          </w:tcPr>
          <w:p>
            <w:pPr>
              <w:spacing w:after="0"/>
              <w:rPr>
                <w:sz w:val="7"/>
                <w:szCs w:val="7"/>
                <w:color w:val="auto"/>
              </w:rPr>
            </w:pPr>
          </w:p>
        </w:tc>
        <w:tc>
          <w:tcPr>
            <w:tcW w:w="2100" w:type="dxa"/>
            <w:vAlign w:val="bottom"/>
            <w:tcBorders>
              <w:bottom w:val="single" w:sz="8" w:color="A6A6A6"/>
            </w:tcBorders>
          </w:tcPr>
          <w:p>
            <w:pPr>
              <w:spacing w:after="0"/>
              <w:rPr>
                <w:sz w:val="7"/>
                <w:szCs w:val="7"/>
                <w:color w:val="auto"/>
              </w:rPr>
            </w:pPr>
          </w:p>
        </w:tc>
        <w:tc>
          <w:tcPr>
            <w:tcW w:w="740" w:type="dxa"/>
            <w:vAlign w:val="bottom"/>
            <w:tcBorders>
              <w:bottom w:val="single" w:sz="8" w:color="A6A6A6"/>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5"/>
        </w:trPr>
        <w:tc>
          <w:tcPr>
            <w:tcW w:w="3200" w:type="dxa"/>
            <w:vAlign w:val="bottom"/>
          </w:tcPr>
          <w:p>
            <w:pPr>
              <w:ind w:left="200"/>
              <w:spacing w:after="0"/>
              <w:rPr>
                <w:sz w:val="20"/>
                <w:szCs w:val="20"/>
                <w:color w:val="auto"/>
              </w:rPr>
            </w:pPr>
            <w:r>
              <w:rPr>
                <w:rFonts w:ascii="Arial Narrow" w:cs="Arial Narrow" w:eastAsia="Arial Narrow" w:hAnsi="Arial Narrow"/>
                <w:sz w:val="20"/>
                <w:szCs w:val="20"/>
                <w:b w:val="1"/>
                <w:bCs w:val="1"/>
                <w:color w:val="auto"/>
              </w:rPr>
              <w:t>Total</w:t>
            </w:r>
          </w:p>
        </w:tc>
        <w:tc>
          <w:tcPr>
            <w:tcW w:w="2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0" w:type="dxa"/>
            <w:vAlign w:val="bottom"/>
          </w:tcPr>
          <w:p>
            <w:pPr>
              <w:jc w:val="right"/>
              <w:ind w:right="123"/>
              <w:spacing w:after="0"/>
              <w:rPr>
                <w:sz w:val="20"/>
                <w:szCs w:val="20"/>
                <w:color w:val="auto"/>
              </w:rPr>
            </w:pPr>
            <w:r>
              <w:rPr>
                <w:rFonts w:ascii="Arial Narrow" w:cs="Arial Narrow" w:eastAsia="Arial Narrow" w:hAnsi="Arial Narrow"/>
                <w:sz w:val="20"/>
                <w:szCs w:val="20"/>
                <w:b w:val="1"/>
                <w:bCs w:val="1"/>
                <w:color w:val="auto"/>
              </w:rPr>
              <w:t>100%</w:t>
            </w:r>
          </w:p>
        </w:tc>
        <w:tc>
          <w:tcPr>
            <w:tcW w:w="1720" w:type="dxa"/>
            <w:vAlign w:val="bottom"/>
            <w:gridSpan w:val="2"/>
          </w:tcPr>
          <w:p>
            <w:pPr>
              <w:jc w:val="right"/>
              <w:ind w:right="100"/>
              <w:spacing w:after="0"/>
              <w:rPr>
                <w:sz w:val="20"/>
                <w:szCs w:val="20"/>
                <w:color w:val="auto"/>
              </w:rPr>
            </w:pPr>
            <w:r>
              <w:rPr>
                <w:rFonts w:ascii="Arial Narrow" w:cs="Arial Narrow" w:eastAsia="Arial Narrow" w:hAnsi="Arial Narrow"/>
                <w:sz w:val="20"/>
                <w:szCs w:val="20"/>
                <w:b w:val="1"/>
                <w:bCs w:val="1"/>
                <w:color w:val="auto"/>
              </w:rPr>
              <w:t>100%</w:t>
            </w:r>
          </w:p>
        </w:tc>
        <w:tc>
          <w:tcPr>
            <w:tcW w:w="0" w:type="dxa"/>
            <w:vAlign w:val="bottom"/>
          </w:tcPr>
          <w:p>
            <w:pPr>
              <w:spacing w:after="0"/>
              <w:rPr>
                <w:sz w:val="1"/>
                <w:szCs w:val="1"/>
                <w:color w:val="auto"/>
              </w:rPr>
            </w:pPr>
          </w:p>
        </w:tc>
      </w:tr>
      <w:tr>
        <w:trPr>
          <w:trHeight w:val="65"/>
        </w:trPr>
        <w:tc>
          <w:tcPr>
            <w:tcW w:w="3200" w:type="dxa"/>
            <w:vAlign w:val="bottom"/>
          </w:tcPr>
          <w:p>
            <w:pPr>
              <w:spacing w:after="0"/>
              <w:rPr>
                <w:sz w:val="5"/>
                <w:szCs w:val="5"/>
                <w:color w:val="auto"/>
              </w:rPr>
            </w:pPr>
          </w:p>
        </w:tc>
        <w:tc>
          <w:tcPr>
            <w:tcW w:w="2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ind w:right="140"/>
        <w:spacing w:after="0" w:line="292" w:lineRule="auto"/>
        <w:rPr>
          <w:sz w:val="20"/>
          <w:szCs w:val="20"/>
          <w:color w:val="auto"/>
        </w:rPr>
      </w:pPr>
      <w:r>
        <w:rPr>
          <w:rFonts w:ascii="Arial" w:cs="Arial" w:eastAsia="Arial" w:hAnsi="Arial"/>
          <w:sz w:val="20"/>
          <w:szCs w:val="20"/>
          <w:color w:val="auto"/>
        </w:rPr>
        <w:t>Our pension investment strategies have been developed as part of a comprehensive management process that considers the interaction between the assets and liabilities within each plan. These strategies consider not only the expected risks and returns on plan assets, but also the detailed actuarial projections of liabilities as well as plan-level objectives, such as projected contributions, expense, and funded status.</w:t>
      </w:r>
    </w:p>
    <w:p>
      <w:pPr>
        <w:spacing w:after="0" w:line="71" w:lineRule="exact"/>
        <w:rPr>
          <w:sz w:val="20"/>
          <w:szCs w:val="20"/>
          <w:color w:val="auto"/>
        </w:rPr>
      </w:pPr>
    </w:p>
    <w:p>
      <w:pPr>
        <w:ind w:right="220"/>
        <w:spacing w:after="0" w:line="292" w:lineRule="auto"/>
        <w:rPr>
          <w:sz w:val="20"/>
          <w:szCs w:val="20"/>
          <w:color w:val="auto"/>
        </w:rPr>
      </w:pPr>
      <w:r>
        <w:rPr>
          <w:rFonts w:ascii="Arial" w:cs="Arial" w:eastAsia="Arial" w:hAnsi="Arial"/>
          <w:sz w:val="20"/>
          <w:szCs w:val="20"/>
          <w:color w:val="auto"/>
        </w:rPr>
        <w:t>The principal pension investment strategies include asset allocation and active asset management. The range of target asset allocations has been determined given the current funded status of the plan. Each asset class is actively managed by one or more external money managers with the objective of generating returns, net of management fees, that exceed market-based benchmarks. None of the plans hold any Company stock.</w:t>
      </w:r>
    </w:p>
    <w:p>
      <w:pPr>
        <w:spacing w:after="0" w:line="71" w:lineRule="exact"/>
        <w:rPr>
          <w:sz w:val="20"/>
          <w:szCs w:val="20"/>
          <w:color w:val="auto"/>
        </w:rPr>
      </w:pPr>
    </w:p>
    <w:p>
      <w:pPr>
        <w:ind w:right="100"/>
        <w:spacing w:after="0" w:line="296" w:lineRule="auto"/>
        <w:rPr>
          <w:sz w:val="20"/>
          <w:szCs w:val="20"/>
          <w:color w:val="auto"/>
        </w:rPr>
      </w:pPr>
      <w:r>
        <w:rPr>
          <w:rFonts w:ascii="Arial" w:cs="Arial" w:eastAsia="Arial" w:hAnsi="Arial"/>
          <w:sz w:val="20"/>
          <w:szCs w:val="20"/>
          <w:color w:val="auto"/>
        </w:rPr>
        <w:t>In fiscal 2026, we reduced our allocation to fixed income securities and increased our allocation to cash equivalents in expectation of lump-sum benefit payouts in conjunction with the plan termination process anticipated to be completed in fiscal 2027. Based on our current actuarial estimates, we do not anticipate making any contributions to our defined benefit plans for fiscal 2027.</w:t>
      </w:r>
    </w:p>
    <w:p>
      <w:pPr>
        <w:sectPr>
          <w:pgSz w:w="11880" w:h="15480" w:orient="portrait"/>
          <w:cols w:equalWidth="0" w:num="1">
            <w:col w:w="9360"/>
          </w:cols>
          <w:pgMar w:left="1260" w:top="1267" w:right="1260" w:bottom="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110</w:t>
      </w:r>
    </w:p>
    <w:p>
      <w:pPr>
        <w:sectPr>
          <w:pgSz w:w="11880" w:h="15480" w:orient="portrait"/>
          <w:cols w:equalWidth="0" w:num="1">
            <w:col w:w="9360"/>
          </w:cols>
          <w:pgMar w:left="1260" w:top="1267" w:right="1260" w:bottom="7" w:gutter="0" w:footer="0" w:header="0"/>
          <w:type w:val="continuous"/>
        </w:sectPr>
      </w:pPr>
    </w:p>
    <w:bookmarkStart w:id="118" w:name="page119"/>
    <w:bookmarkEnd w:id="118"/>
    <w:p>
      <w:pPr>
        <w:ind w:right="260"/>
        <w:spacing w:after="0" w:line="325" w:lineRule="auto"/>
        <w:rPr>
          <w:sz w:val="20"/>
          <w:szCs w:val="20"/>
          <w:color w:val="auto"/>
        </w:rPr>
      </w:pPr>
      <w:r>
        <w:rPr>
          <w:rFonts w:ascii="Arial" w:cs="Arial" w:eastAsia="Arial" w:hAnsi="Arial"/>
          <w:sz w:val="20"/>
          <w:szCs w:val="20"/>
          <w:color w:val="auto"/>
        </w:rPr>
        <w:t>The fair values of our defined benefit plans’ consolidated assets by category as of March 31, 2026, and 2025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5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60" w:type="dxa"/>
            <w:vAlign w:val="bottom"/>
            <w:gridSpan w:val="3"/>
          </w:tcPr>
          <w:p>
            <w:pPr>
              <w:jc w:val="right"/>
              <w:ind w:right="680"/>
              <w:spacing w:after="0"/>
              <w:rPr>
                <w:sz w:val="20"/>
                <w:szCs w:val="20"/>
                <w:color w:val="auto"/>
              </w:rPr>
            </w:pPr>
            <w:r>
              <w:rPr>
                <w:rFonts w:ascii="Arial Narrow" w:cs="Arial Narrow" w:eastAsia="Arial Narrow" w:hAnsi="Arial Narrow"/>
                <w:sz w:val="18"/>
                <w:szCs w:val="18"/>
                <w:b w:val="1"/>
                <w:bCs w:val="1"/>
                <w:color w:val="auto"/>
              </w:rPr>
              <w:t>March 31,</w:t>
            </w:r>
          </w:p>
        </w:tc>
        <w:tc>
          <w:tcPr>
            <w:tcW w:w="1000" w:type="dxa"/>
            <w:vAlign w:val="bottom"/>
          </w:tcPr>
          <w:p>
            <w:pPr>
              <w:spacing w:after="0"/>
              <w:rPr>
                <w:sz w:val="22"/>
                <w:szCs w:val="22"/>
                <w:color w:val="auto"/>
              </w:rPr>
            </w:pPr>
          </w:p>
        </w:tc>
      </w:tr>
      <w:tr>
        <w:trPr>
          <w:trHeight w:val="21"/>
        </w:trPr>
        <w:tc>
          <w:tcPr>
            <w:tcW w:w="54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69"/>
        </w:trPr>
        <w:tc>
          <w:tcPr>
            <w:tcW w:w="5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0" w:type="dxa"/>
            <w:vAlign w:val="bottom"/>
          </w:tcPr>
          <w:p>
            <w:pPr>
              <w:jc w:val="right"/>
              <w:ind w:right="6"/>
              <w:spacing w:after="0"/>
              <w:rPr>
                <w:sz w:val="20"/>
                <w:szCs w:val="20"/>
                <w:color w:val="auto"/>
              </w:rPr>
            </w:pPr>
            <w:r>
              <w:rPr>
                <w:rFonts w:ascii="Arial Narrow" w:cs="Arial Narrow" w:eastAsia="Arial Narrow" w:hAnsi="Arial Narrow"/>
                <w:sz w:val="18"/>
                <w:szCs w:val="18"/>
                <w:b w:val="1"/>
                <w:bCs w:val="1"/>
                <w:color w:val="auto"/>
              </w:rPr>
              <w:t>2026</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0" w:type="dxa"/>
            <w:vAlign w:val="bottom"/>
          </w:tcPr>
          <w:p>
            <w:pPr>
              <w:jc w:val="right"/>
              <w:ind w:right="2"/>
              <w:spacing w:after="0"/>
              <w:rPr>
                <w:sz w:val="20"/>
                <w:szCs w:val="20"/>
                <w:color w:val="auto"/>
              </w:rPr>
            </w:pPr>
            <w:r>
              <w:rPr>
                <w:rFonts w:ascii="Arial Narrow" w:cs="Arial Narrow" w:eastAsia="Arial Narrow" w:hAnsi="Arial Narrow"/>
                <w:sz w:val="18"/>
                <w:szCs w:val="18"/>
                <w:b w:val="1"/>
                <w:bCs w:val="1"/>
                <w:color w:val="auto"/>
              </w:rPr>
              <w:t>2025</w:t>
            </w:r>
          </w:p>
        </w:tc>
      </w:tr>
      <w:tr>
        <w:trPr>
          <w:trHeight w:val="21"/>
        </w:trPr>
        <w:tc>
          <w:tcPr>
            <w:tcW w:w="54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44"/>
        </w:trPr>
        <w:tc>
          <w:tcPr>
            <w:tcW w:w="5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60" w:type="dxa"/>
            <w:vAlign w:val="bottom"/>
            <w:gridSpan w:val="3"/>
          </w:tcPr>
          <w:p>
            <w:pPr>
              <w:jc w:val="right"/>
              <w:ind w:right="380"/>
              <w:spacing w:after="0"/>
              <w:rPr>
                <w:sz w:val="20"/>
                <w:szCs w:val="20"/>
                <w:color w:val="auto"/>
              </w:rPr>
            </w:pPr>
            <w:r>
              <w:rPr>
                <w:rFonts w:ascii="Arial Narrow" w:cs="Arial Narrow" w:eastAsia="Arial Narrow" w:hAnsi="Arial Narrow"/>
                <w:sz w:val="16"/>
                <w:szCs w:val="16"/>
                <w:color w:val="auto"/>
              </w:rPr>
              <w:t>(dollars in thousands)</w:t>
            </w:r>
          </w:p>
        </w:tc>
        <w:tc>
          <w:tcPr>
            <w:tcW w:w="1000" w:type="dxa"/>
            <w:vAlign w:val="bottom"/>
          </w:tcPr>
          <w:p>
            <w:pPr>
              <w:spacing w:after="0"/>
              <w:rPr>
                <w:sz w:val="21"/>
                <w:szCs w:val="21"/>
                <w:color w:val="auto"/>
              </w:rPr>
            </w:pPr>
          </w:p>
        </w:tc>
      </w:tr>
      <w:tr>
        <w:trPr>
          <w:trHeight w:val="48"/>
        </w:trPr>
        <w:tc>
          <w:tcPr>
            <w:tcW w:w="54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344"/>
        </w:trPr>
        <w:tc>
          <w:tcPr>
            <w:tcW w:w="5420" w:type="dxa"/>
            <w:vAlign w:val="bottom"/>
          </w:tcPr>
          <w:p>
            <w:pPr>
              <w:spacing w:after="0"/>
              <w:rPr>
                <w:sz w:val="20"/>
                <w:szCs w:val="20"/>
                <w:color w:val="auto"/>
              </w:rPr>
            </w:pPr>
            <w:r>
              <w:rPr>
                <w:rFonts w:ascii="Arial Narrow" w:cs="Arial Narrow" w:eastAsia="Arial Narrow" w:hAnsi="Arial Narrow"/>
                <w:sz w:val="20"/>
                <w:szCs w:val="20"/>
                <w:b w:val="1"/>
                <w:bCs w:val="1"/>
                <w:color w:val="00085E"/>
              </w:rPr>
              <w:t>Equity Securities</w:t>
            </w:r>
          </w:p>
        </w:tc>
        <w:tc>
          <w:tcPr>
            <w:tcW w:w="680" w:type="dxa"/>
            <w:vAlign w:val="bottom"/>
          </w:tcPr>
          <w:p>
            <w:pPr>
              <w:jc w:val="right"/>
              <w:ind w:right="480"/>
              <w:spacing w:after="0"/>
              <w:rPr>
                <w:sz w:val="20"/>
                <w:szCs w:val="20"/>
                <w:color w:val="auto"/>
              </w:rPr>
            </w:pPr>
            <w:r>
              <w:rPr>
                <w:rFonts w:ascii="Arial Narrow" w:cs="Arial Narrow" w:eastAsia="Arial Narrow" w:hAnsi="Arial Narrow"/>
                <w:sz w:val="20"/>
                <w:szCs w:val="20"/>
                <w:color w:val="auto"/>
                <w:w w:val="87"/>
              </w:rPr>
              <w:t>$</w:t>
            </w:r>
          </w:p>
        </w:tc>
        <w:tc>
          <w:tcPr>
            <w:tcW w:w="1200" w:type="dxa"/>
            <w:vAlign w:val="bottom"/>
          </w:tcPr>
          <w:p>
            <w:pPr>
              <w:jc w:val="right"/>
              <w:ind w:right="6"/>
              <w:spacing w:after="0"/>
              <w:rPr>
                <w:sz w:val="20"/>
                <w:szCs w:val="20"/>
                <w:color w:val="auto"/>
              </w:rPr>
            </w:pPr>
            <w:r>
              <w:rPr>
                <w:rFonts w:ascii="Arial Narrow" w:cs="Arial Narrow" w:eastAsia="Arial Narrow" w:hAnsi="Arial Narrow"/>
                <w:sz w:val="20"/>
                <w:szCs w:val="20"/>
                <w:color w:val="auto"/>
              </w:rPr>
              <w:t>—</w:t>
            </w:r>
          </w:p>
        </w:tc>
        <w:tc>
          <w:tcPr>
            <w:tcW w:w="1060" w:type="dxa"/>
            <w:vAlign w:val="bottom"/>
            <w:gridSpan w:val="2"/>
          </w:tcPr>
          <w:p>
            <w:pPr>
              <w:jc w:val="right"/>
              <w:ind w:right="780"/>
              <w:spacing w:after="0"/>
              <w:rPr>
                <w:sz w:val="20"/>
                <w:szCs w:val="20"/>
                <w:color w:val="auto"/>
              </w:rPr>
            </w:pPr>
            <w:r>
              <w:rPr>
                <w:rFonts w:ascii="Arial Narrow" w:cs="Arial Narrow" w:eastAsia="Arial Narrow" w:hAnsi="Arial Narrow"/>
                <w:sz w:val="20"/>
                <w:szCs w:val="20"/>
                <w:color w:val="auto"/>
              </w:rPr>
              <w:t>$</w:t>
            </w:r>
          </w:p>
        </w:tc>
        <w:tc>
          <w:tcPr>
            <w:tcW w:w="1000" w:type="dxa"/>
            <w:vAlign w:val="bottom"/>
          </w:tcPr>
          <w:p>
            <w:pPr>
              <w:jc w:val="right"/>
              <w:ind w:right="2"/>
              <w:spacing w:after="0"/>
              <w:rPr>
                <w:sz w:val="20"/>
                <w:szCs w:val="20"/>
                <w:color w:val="auto"/>
              </w:rPr>
            </w:pPr>
            <w:r>
              <w:rPr>
                <w:rFonts w:ascii="Arial Narrow" w:cs="Arial Narrow" w:eastAsia="Arial Narrow" w:hAnsi="Arial Narrow"/>
                <w:sz w:val="20"/>
                <w:szCs w:val="20"/>
                <w:color w:val="auto"/>
              </w:rPr>
              <w:t>—</w:t>
            </w:r>
          </w:p>
        </w:tc>
      </w:tr>
      <w:tr>
        <w:trPr>
          <w:trHeight w:val="65"/>
        </w:trPr>
        <w:tc>
          <w:tcPr>
            <w:tcW w:w="5420" w:type="dxa"/>
            <w:vAlign w:val="bottom"/>
            <w:tcBorders>
              <w:bottom w:val="single" w:sz="8" w:color="A6A6A6"/>
            </w:tcBorders>
          </w:tcPr>
          <w:p>
            <w:pPr>
              <w:spacing w:after="0"/>
              <w:rPr>
                <w:sz w:val="5"/>
                <w:szCs w:val="5"/>
                <w:color w:val="auto"/>
              </w:rPr>
            </w:pPr>
          </w:p>
        </w:tc>
        <w:tc>
          <w:tcPr>
            <w:tcW w:w="680" w:type="dxa"/>
            <w:vAlign w:val="bottom"/>
            <w:tcBorders>
              <w:bottom w:val="single" w:sz="8" w:color="A6A6A6"/>
            </w:tcBorders>
          </w:tcPr>
          <w:p>
            <w:pPr>
              <w:spacing w:after="0"/>
              <w:rPr>
                <w:sz w:val="5"/>
                <w:szCs w:val="5"/>
                <w:color w:val="auto"/>
              </w:rPr>
            </w:pPr>
          </w:p>
        </w:tc>
        <w:tc>
          <w:tcPr>
            <w:tcW w:w="1200" w:type="dxa"/>
            <w:vAlign w:val="bottom"/>
            <w:tcBorders>
              <w:bottom w:val="single" w:sz="8" w:color="A6A6A6"/>
            </w:tcBorders>
          </w:tcPr>
          <w:p>
            <w:pPr>
              <w:spacing w:after="0"/>
              <w:rPr>
                <w:sz w:val="5"/>
                <w:szCs w:val="5"/>
                <w:color w:val="auto"/>
              </w:rPr>
            </w:pPr>
          </w:p>
        </w:tc>
        <w:tc>
          <w:tcPr>
            <w:tcW w:w="200" w:type="dxa"/>
            <w:vAlign w:val="bottom"/>
            <w:tcBorders>
              <w:bottom w:val="single" w:sz="8" w:color="A6A6A6"/>
            </w:tcBorders>
          </w:tcPr>
          <w:p>
            <w:pPr>
              <w:spacing w:after="0"/>
              <w:rPr>
                <w:sz w:val="5"/>
                <w:szCs w:val="5"/>
                <w:color w:val="auto"/>
              </w:rPr>
            </w:pPr>
          </w:p>
        </w:tc>
        <w:tc>
          <w:tcPr>
            <w:tcW w:w="860" w:type="dxa"/>
            <w:vAlign w:val="bottom"/>
            <w:tcBorders>
              <w:bottom w:val="single" w:sz="8" w:color="A6A6A6"/>
            </w:tcBorders>
          </w:tcPr>
          <w:p>
            <w:pPr>
              <w:spacing w:after="0"/>
              <w:rPr>
                <w:sz w:val="5"/>
                <w:szCs w:val="5"/>
                <w:color w:val="auto"/>
              </w:rPr>
            </w:pPr>
          </w:p>
        </w:tc>
        <w:tc>
          <w:tcPr>
            <w:tcW w:w="1000" w:type="dxa"/>
            <w:vAlign w:val="bottom"/>
            <w:tcBorders>
              <w:bottom w:val="single" w:sz="8" w:color="A6A6A6"/>
            </w:tcBorders>
          </w:tcPr>
          <w:p>
            <w:pPr>
              <w:spacing w:after="0"/>
              <w:rPr>
                <w:sz w:val="5"/>
                <w:szCs w:val="5"/>
                <w:color w:val="auto"/>
              </w:rPr>
            </w:pPr>
          </w:p>
        </w:tc>
      </w:tr>
      <w:tr>
        <w:trPr>
          <w:trHeight w:val="339"/>
        </w:trPr>
        <w:tc>
          <w:tcPr>
            <w:tcW w:w="5420" w:type="dxa"/>
            <w:vAlign w:val="bottom"/>
          </w:tcPr>
          <w:p>
            <w:pPr>
              <w:spacing w:after="0"/>
              <w:rPr>
                <w:sz w:val="20"/>
                <w:szCs w:val="20"/>
                <w:color w:val="auto"/>
              </w:rPr>
            </w:pPr>
            <w:r>
              <w:rPr>
                <w:rFonts w:ascii="Arial Narrow" w:cs="Arial Narrow" w:eastAsia="Arial Narrow" w:hAnsi="Arial Narrow"/>
                <w:sz w:val="20"/>
                <w:szCs w:val="20"/>
                <w:b w:val="1"/>
                <w:bCs w:val="1"/>
                <w:color w:val="00085E"/>
              </w:rPr>
              <w:t>Fixed Income Securities</w:t>
            </w:r>
          </w:p>
        </w:tc>
        <w:tc>
          <w:tcPr>
            <w:tcW w:w="680" w:type="dxa"/>
            <w:vAlign w:val="bottom"/>
          </w:tcPr>
          <w:p>
            <w:pPr>
              <w:spacing w:after="0"/>
              <w:rPr>
                <w:sz w:val="24"/>
                <w:szCs w:val="24"/>
                <w:color w:val="auto"/>
              </w:rPr>
            </w:pPr>
          </w:p>
        </w:tc>
        <w:tc>
          <w:tcPr>
            <w:tcW w:w="1200" w:type="dxa"/>
            <w:vAlign w:val="bottom"/>
          </w:tcPr>
          <w:p>
            <w:pPr>
              <w:jc w:val="right"/>
              <w:ind w:right="6"/>
              <w:spacing w:after="0"/>
              <w:rPr>
                <w:sz w:val="20"/>
                <w:szCs w:val="20"/>
                <w:color w:val="auto"/>
              </w:rPr>
            </w:pPr>
            <w:r>
              <w:rPr>
                <w:rFonts w:ascii="Arial Narrow" w:cs="Arial Narrow" w:eastAsia="Arial Narrow" w:hAnsi="Arial Narrow"/>
                <w:sz w:val="20"/>
                <w:szCs w:val="20"/>
                <w:color w:val="auto"/>
              </w:rPr>
              <w:t>20,196</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jc w:val="right"/>
              <w:ind w:right="2"/>
              <w:spacing w:after="0"/>
              <w:rPr>
                <w:sz w:val="20"/>
                <w:szCs w:val="20"/>
                <w:color w:val="auto"/>
              </w:rPr>
            </w:pPr>
            <w:r>
              <w:rPr>
                <w:rFonts w:ascii="Arial Narrow" w:cs="Arial Narrow" w:eastAsia="Arial Narrow" w:hAnsi="Arial Narrow"/>
                <w:sz w:val="20"/>
                <w:szCs w:val="20"/>
                <w:color w:val="auto"/>
              </w:rPr>
              <w:t>29,010</w:t>
            </w:r>
          </w:p>
        </w:tc>
      </w:tr>
      <w:tr>
        <w:trPr>
          <w:trHeight w:val="65"/>
        </w:trPr>
        <w:tc>
          <w:tcPr>
            <w:tcW w:w="5420" w:type="dxa"/>
            <w:vAlign w:val="bottom"/>
            <w:tcBorders>
              <w:bottom w:val="single" w:sz="8" w:color="A6A6A6"/>
            </w:tcBorders>
          </w:tcPr>
          <w:p>
            <w:pPr>
              <w:spacing w:after="0"/>
              <w:rPr>
                <w:sz w:val="5"/>
                <w:szCs w:val="5"/>
                <w:color w:val="auto"/>
              </w:rPr>
            </w:pPr>
          </w:p>
        </w:tc>
        <w:tc>
          <w:tcPr>
            <w:tcW w:w="680" w:type="dxa"/>
            <w:vAlign w:val="bottom"/>
            <w:tcBorders>
              <w:bottom w:val="single" w:sz="8" w:color="A6A6A6"/>
            </w:tcBorders>
          </w:tcPr>
          <w:p>
            <w:pPr>
              <w:spacing w:after="0"/>
              <w:rPr>
                <w:sz w:val="5"/>
                <w:szCs w:val="5"/>
                <w:color w:val="auto"/>
              </w:rPr>
            </w:pPr>
          </w:p>
        </w:tc>
        <w:tc>
          <w:tcPr>
            <w:tcW w:w="1200" w:type="dxa"/>
            <w:vAlign w:val="bottom"/>
            <w:tcBorders>
              <w:bottom w:val="single" w:sz="8" w:color="A6A6A6"/>
            </w:tcBorders>
          </w:tcPr>
          <w:p>
            <w:pPr>
              <w:spacing w:after="0"/>
              <w:rPr>
                <w:sz w:val="5"/>
                <w:szCs w:val="5"/>
                <w:color w:val="auto"/>
              </w:rPr>
            </w:pPr>
          </w:p>
        </w:tc>
        <w:tc>
          <w:tcPr>
            <w:tcW w:w="200" w:type="dxa"/>
            <w:vAlign w:val="bottom"/>
            <w:tcBorders>
              <w:bottom w:val="single" w:sz="8" w:color="A6A6A6"/>
            </w:tcBorders>
          </w:tcPr>
          <w:p>
            <w:pPr>
              <w:spacing w:after="0"/>
              <w:rPr>
                <w:sz w:val="5"/>
                <w:szCs w:val="5"/>
                <w:color w:val="auto"/>
              </w:rPr>
            </w:pPr>
          </w:p>
        </w:tc>
        <w:tc>
          <w:tcPr>
            <w:tcW w:w="860" w:type="dxa"/>
            <w:vAlign w:val="bottom"/>
            <w:tcBorders>
              <w:bottom w:val="single" w:sz="8" w:color="A6A6A6"/>
            </w:tcBorders>
          </w:tcPr>
          <w:p>
            <w:pPr>
              <w:spacing w:after="0"/>
              <w:rPr>
                <w:sz w:val="5"/>
                <w:szCs w:val="5"/>
                <w:color w:val="auto"/>
              </w:rPr>
            </w:pPr>
          </w:p>
        </w:tc>
        <w:tc>
          <w:tcPr>
            <w:tcW w:w="1000" w:type="dxa"/>
            <w:vAlign w:val="bottom"/>
            <w:tcBorders>
              <w:bottom w:val="single" w:sz="8" w:color="A6A6A6"/>
            </w:tcBorders>
          </w:tcPr>
          <w:p>
            <w:pPr>
              <w:spacing w:after="0"/>
              <w:rPr>
                <w:sz w:val="5"/>
                <w:szCs w:val="5"/>
                <w:color w:val="auto"/>
              </w:rPr>
            </w:pPr>
          </w:p>
        </w:tc>
      </w:tr>
      <w:tr>
        <w:trPr>
          <w:trHeight w:val="339"/>
        </w:trPr>
        <w:tc>
          <w:tcPr>
            <w:tcW w:w="5420" w:type="dxa"/>
            <w:vAlign w:val="bottom"/>
          </w:tcPr>
          <w:p>
            <w:pPr>
              <w:spacing w:after="0"/>
              <w:rPr>
                <w:sz w:val="20"/>
                <w:szCs w:val="20"/>
                <w:color w:val="auto"/>
              </w:rPr>
            </w:pPr>
            <w:r>
              <w:rPr>
                <w:rFonts w:ascii="Arial Narrow" w:cs="Arial Narrow" w:eastAsia="Arial Narrow" w:hAnsi="Arial Narrow"/>
                <w:sz w:val="20"/>
                <w:szCs w:val="20"/>
                <w:b w:val="1"/>
                <w:bCs w:val="1"/>
                <w:color w:val="00085E"/>
              </w:rPr>
              <w:t>Cash Equivalents</w:t>
            </w:r>
          </w:p>
        </w:tc>
        <w:tc>
          <w:tcPr>
            <w:tcW w:w="680" w:type="dxa"/>
            <w:vAlign w:val="bottom"/>
          </w:tcPr>
          <w:p>
            <w:pPr>
              <w:spacing w:after="0"/>
              <w:rPr>
                <w:sz w:val="24"/>
                <w:szCs w:val="24"/>
                <w:color w:val="auto"/>
              </w:rPr>
            </w:pPr>
          </w:p>
        </w:tc>
        <w:tc>
          <w:tcPr>
            <w:tcW w:w="1200" w:type="dxa"/>
            <w:vAlign w:val="bottom"/>
          </w:tcPr>
          <w:p>
            <w:pPr>
              <w:jc w:val="right"/>
              <w:ind w:right="6"/>
              <w:spacing w:after="0"/>
              <w:rPr>
                <w:sz w:val="20"/>
                <w:szCs w:val="20"/>
                <w:color w:val="auto"/>
              </w:rPr>
            </w:pPr>
            <w:r>
              <w:rPr>
                <w:rFonts w:ascii="Arial Narrow" w:cs="Arial Narrow" w:eastAsia="Arial Narrow" w:hAnsi="Arial Narrow"/>
                <w:sz w:val="20"/>
                <w:szCs w:val="20"/>
                <w:color w:val="auto"/>
              </w:rPr>
              <w:t>8,540</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jc w:val="right"/>
              <w:ind w:right="2"/>
              <w:spacing w:after="0"/>
              <w:rPr>
                <w:sz w:val="20"/>
                <w:szCs w:val="20"/>
                <w:color w:val="auto"/>
              </w:rPr>
            </w:pPr>
            <w:r>
              <w:rPr>
                <w:rFonts w:ascii="Arial Narrow" w:cs="Arial Narrow" w:eastAsia="Arial Narrow" w:hAnsi="Arial Narrow"/>
                <w:sz w:val="20"/>
                <w:szCs w:val="20"/>
                <w:color w:val="auto"/>
              </w:rPr>
              <w:t>482</w:t>
            </w:r>
          </w:p>
        </w:tc>
      </w:tr>
      <w:tr>
        <w:trPr>
          <w:trHeight w:val="90"/>
        </w:trPr>
        <w:tc>
          <w:tcPr>
            <w:tcW w:w="5420" w:type="dxa"/>
            <w:vAlign w:val="bottom"/>
            <w:tcBorders>
              <w:bottom w:val="single" w:sz="8" w:color="A6A6A6"/>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r>
      <w:tr>
        <w:trPr>
          <w:trHeight w:val="344"/>
        </w:trPr>
        <w:tc>
          <w:tcPr>
            <w:tcW w:w="5420" w:type="dxa"/>
            <w:vAlign w:val="bottom"/>
          </w:tcPr>
          <w:p>
            <w:pPr>
              <w:ind w:left="200"/>
              <w:spacing w:after="0"/>
              <w:rPr>
                <w:sz w:val="20"/>
                <w:szCs w:val="20"/>
                <w:color w:val="auto"/>
              </w:rPr>
            </w:pPr>
            <w:r>
              <w:rPr>
                <w:rFonts w:ascii="Arial Narrow" w:cs="Arial Narrow" w:eastAsia="Arial Narrow" w:hAnsi="Arial Narrow"/>
                <w:sz w:val="20"/>
                <w:szCs w:val="20"/>
                <w:b w:val="1"/>
                <w:bCs w:val="1"/>
                <w:color w:val="auto"/>
              </w:rPr>
              <w:t>Total</w:t>
            </w:r>
          </w:p>
        </w:tc>
        <w:tc>
          <w:tcPr>
            <w:tcW w:w="680" w:type="dxa"/>
            <w:vAlign w:val="bottom"/>
          </w:tcPr>
          <w:p>
            <w:pPr>
              <w:jc w:val="right"/>
              <w:ind w:right="480"/>
              <w:spacing w:after="0"/>
              <w:rPr>
                <w:sz w:val="20"/>
                <w:szCs w:val="20"/>
                <w:color w:val="auto"/>
              </w:rPr>
            </w:pPr>
            <w:r>
              <w:rPr>
                <w:rFonts w:ascii="Arial Narrow" w:cs="Arial Narrow" w:eastAsia="Arial Narrow" w:hAnsi="Arial Narrow"/>
                <w:sz w:val="20"/>
                <w:szCs w:val="20"/>
                <w:b w:val="1"/>
                <w:bCs w:val="1"/>
                <w:color w:val="auto"/>
                <w:w w:val="87"/>
              </w:rPr>
              <w:t>$</w:t>
            </w:r>
          </w:p>
        </w:tc>
        <w:tc>
          <w:tcPr>
            <w:tcW w:w="1200" w:type="dxa"/>
            <w:vAlign w:val="bottom"/>
          </w:tcPr>
          <w:p>
            <w:pPr>
              <w:jc w:val="right"/>
              <w:ind w:right="6"/>
              <w:spacing w:after="0"/>
              <w:rPr>
                <w:sz w:val="20"/>
                <w:szCs w:val="20"/>
                <w:color w:val="auto"/>
              </w:rPr>
            </w:pPr>
            <w:r>
              <w:rPr>
                <w:rFonts w:ascii="Arial Narrow" w:cs="Arial Narrow" w:eastAsia="Arial Narrow" w:hAnsi="Arial Narrow"/>
                <w:sz w:val="20"/>
                <w:szCs w:val="20"/>
                <w:b w:val="1"/>
                <w:bCs w:val="1"/>
                <w:color w:val="auto"/>
              </w:rPr>
              <w:t>28,736</w:t>
            </w:r>
          </w:p>
        </w:tc>
        <w:tc>
          <w:tcPr>
            <w:tcW w:w="1060" w:type="dxa"/>
            <w:vAlign w:val="bottom"/>
            <w:gridSpan w:val="2"/>
          </w:tcPr>
          <w:p>
            <w:pPr>
              <w:jc w:val="right"/>
              <w:ind w:right="780"/>
              <w:spacing w:after="0"/>
              <w:rPr>
                <w:sz w:val="20"/>
                <w:szCs w:val="20"/>
                <w:color w:val="auto"/>
              </w:rPr>
            </w:pPr>
            <w:r>
              <w:rPr>
                <w:rFonts w:ascii="Arial Narrow" w:cs="Arial Narrow" w:eastAsia="Arial Narrow" w:hAnsi="Arial Narrow"/>
                <w:sz w:val="20"/>
                <w:szCs w:val="20"/>
                <w:b w:val="1"/>
                <w:bCs w:val="1"/>
                <w:color w:val="auto"/>
              </w:rPr>
              <w:t>$</w:t>
            </w:r>
          </w:p>
        </w:tc>
        <w:tc>
          <w:tcPr>
            <w:tcW w:w="1000" w:type="dxa"/>
            <w:vAlign w:val="bottom"/>
          </w:tcPr>
          <w:p>
            <w:pPr>
              <w:jc w:val="right"/>
              <w:ind w:right="2"/>
              <w:spacing w:after="0"/>
              <w:rPr>
                <w:sz w:val="20"/>
                <w:szCs w:val="20"/>
                <w:color w:val="auto"/>
              </w:rPr>
            </w:pPr>
            <w:r>
              <w:rPr>
                <w:rFonts w:ascii="Arial Narrow" w:cs="Arial Narrow" w:eastAsia="Arial Narrow" w:hAnsi="Arial Narrow"/>
                <w:sz w:val="20"/>
                <w:szCs w:val="20"/>
                <w:b w:val="1"/>
                <w:bCs w:val="1"/>
                <w:color w:val="auto"/>
              </w:rPr>
              <w:t>29,492</w:t>
            </w:r>
          </w:p>
        </w:tc>
      </w:tr>
      <w:tr>
        <w:trPr>
          <w:trHeight w:val="65"/>
        </w:trPr>
        <w:tc>
          <w:tcPr>
            <w:tcW w:w="5420" w:type="dxa"/>
            <w:vAlign w:val="bottom"/>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r>
      <w:tr>
        <w:trPr>
          <w:trHeight w:val="20"/>
        </w:trPr>
        <w:tc>
          <w:tcPr>
            <w:tcW w:w="54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right="440"/>
        <w:spacing w:after="0" w:line="325" w:lineRule="auto"/>
        <w:rPr>
          <w:sz w:val="20"/>
          <w:szCs w:val="20"/>
          <w:color w:val="auto"/>
        </w:rPr>
      </w:pPr>
      <w:r>
        <w:rPr>
          <w:rFonts w:ascii="Arial" w:cs="Arial" w:eastAsia="Arial" w:hAnsi="Arial"/>
          <w:sz w:val="20"/>
          <w:szCs w:val="20"/>
          <w:color w:val="auto"/>
        </w:rPr>
        <w:t>The fair values of our defined benefit plans’ consolidated assets were determined using the fair value hierarchy of inputs described in Footnote (A) to the Consolidated Financial Statements.</w:t>
      </w:r>
    </w:p>
    <w:p>
      <w:pPr>
        <w:spacing w:after="0" w:line="37" w:lineRule="exact"/>
        <w:rPr>
          <w:sz w:val="20"/>
          <w:szCs w:val="20"/>
          <w:color w:val="auto"/>
        </w:rPr>
      </w:pPr>
    </w:p>
    <w:p>
      <w:pPr>
        <w:spacing w:after="0"/>
        <w:rPr>
          <w:sz w:val="20"/>
          <w:szCs w:val="20"/>
          <w:color w:val="auto"/>
        </w:rPr>
      </w:pPr>
      <w:r>
        <w:rPr>
          <w:rFonts w:ascii="Arial" w:cs="Arial" w:eastAsia="Arial" w:hAnsi="Arial"/>
          <w:sz w:val="20"/>
          <w:szCs w:val="20"/>
          <w:color w:val="auto"/>
        </w:rPr>
        <w:t>The fair values by category of inputs as of March 31, 2026, were as follows.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ind w:right="5"/>
              <w:spacing w:after="0"/>
              <w:rPr>
                <w:sz w:val="20"/>
                <w:szCs w:val="20"/>
                <w:color w:val="auto"/>
              </w:rPr>
            </w:pPr>
            <w:r>
              <w:rPr>
                <w:rFonts w:ascii="Arial Narrow" w:cs="Arial Narrow" w:eastAsia="Arial Narrow" w:hAnsi="Arial Narrow"/>
                <w:sz w:val="18"/>
                <w:szCs w:val="18"/>
                <w:b w:val="1"/>
                <w:bCs w:val="1"/>
                <w:color w:val="auto"/>
              </w:rPr>
              <w:t>Quoted Prices in</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7"/>
        </w:trPr>
        <w:tc>
          <w:tcPr>
            <w:tcW w:w="3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ind w:right="5"/>
              <w:spacing w:after="0"/>
              <w:rPr>
                <w:sz w:val="20"/>
                <w:szCs w:val="20"/>
                <w:color w:val="auto"/>
              </w:rPr>
            </w:pPr>
            <w:r>
              <w:rPr>
                <w:rFonts w:ascii="Arial Narrow" w:cs="Arial Narrow" w:eastAsia="Arial Narrow" w:hAnsi="Arial Narrow"/>
                <w:sz w:val="18"/>
                <w:szCs w:val="18"/>
                <w:b w:val="1"/>
                <w:bCs w:val="1"/>
                <w:color w:val="auto"/>
              </w:rPr>
              <w:t>Active Markets</w:t>
            </w:r>
          </w:p>
        </w:tc>
        <w:tc>
          <w:tcPr>
            <w:tcW w:w="120" w:type="dxa"/>
            <w:vAlign w:val="bottom"/>
          </w:tcPr>
          <w:p>
            <w:pPr>
              <w:spacing w:after="0"/>
              <w:rPr>
                <w:sz w:val="17"/>
                <w:szCs w:val="17"/>
                <w:color w:val="auto"/>
              </w:rPr>
            </w:pPr>
          </w:p>
        </w:tc>
        <w:tc>
          <w:tcPr>
            <w:tcW w:w="1340" w:type="dxa"/>
            <w:vAlign w:val="bottom"/>
            <w:gridSpan w:val="2"/>
          </w:tcPr>
          <w:p>
            <w:pPr>
              <w:jc w:val="right"/>
              <w:ind w:right="26"/>
              <w:spacing w:after="0"/>
              <w:rPr>
                <w:sz w:val="20"/>
                <w:szCs w:val="20"/>
                <w:color w:val="auto"/>
              </w:rPr>
            </w:pPr>
            <w:r>
              <w:rPr>
                <w:rFonts w:ascii="Arial Narrow" w:cs="Arial Narrow" w:eastAsia="Arial Narrow" w:hAnsi="Arial Narrow"/>
                <w:sz w:val="18"/>
                <w:szCs w:val="18"/>
                <w:b w:val="1"/>
                <w:bCs w:val="1"/>
                <w:color w:val="auto"/>
              </w:rPr>
              <w:t>Significant Other</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ind w:right="24"/>
              <w:spacing w:after="0"/>
              <w:rPr>
                <w:sz w:val="20"/>
                <w:szCs w:val="20"/>
                <w:color w:val="auto"/>
              </w:rPr>
            </w:pPr>
            <w:r>
              <w:rPr>
                <w:rFonts w:ascii="Arial Narrow" w:cs="Arial Narrow" w:eastAsia="Arial Narrow" w:hAnsi="Arial Narrow"/>
                <w:sz w:val="18"/>
                <w:szCs w:val="18"/>
                <w:b w:val="1"/>
                <w:bCs w:val="1"/>
                <w:color w:val="auto"/>
              </w:rPr>
              <w:t>Significant</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7"/>
        </w:trPr>
        <w:tc>
          <w:tcPr>
            <w:tcW w:w="3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ind w:right="5"/>
              <w:spacing w:after="0"/>
              <w:rPr>
                <w:sz w:val="20"/>
                <w:szCs w:val="20"/>
                <w:color w:val="auto"/>
              </w:rPr>
            </w:pPr>
            <w:r>
              <w:rPr>
                <w:rFonts w:ascii="Arial Narrow" w:cs="Arial Narrow" w:eastAsia="Arial Narrow" w:hAnsi="Arial Narrow"/>
                <w:sz w:val="18"/>
                <w:szCs w:val="18"/>
                <w:b w:val="1"/>
                <w:bCs w:val="1"/>
                <w:color w:val="auto"/>
              </w:rPr>
              <w:t>for Identical</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ind w:right="26"/>
              <w:spacing w:after="0"/>
              <w:rPr>
                <w:sz w:val="20"/>
                <w:szCs w:val="20"/>
                <w:color w:val="auto"/>
              </w:rPr>
            </w:pPr>
            <w:r>
              <w:rPr>
                <w:rFonts w:ascii="Arial Narrow" w:cs="Arial Narrow" w:eastAsia="Arial Narrow" w:hAnsi="Arial Narrow"/>
                <w:sz w:val="18"/>
                <w:szCs w:val="18"/>
                <w:b w:val="1"/>
                <w:bCs w:val="1"/>
                <w:color w:val="auto"/>
              </w:rPr>
              <w:t>Observable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ind w:right="24"/>
              <w:spacing w:after="0"/>
              <w:rPr>
                <w:sz w:val="20"/>
                <w:szCs w:val="20"/>
                <w:color w:val="auto"/>
              </w:rPr>
            </w:pPr>
            <w:r>
              <w:rPr>
                <w:rFonts w:ascii="Arial Narrow" w:cs="Arial Narrow" w:eastAsia="Arial Narrow" w:hAnsi="Arial Narrow"/>
                <w:sz w:val="18"/>
                <w:szCs w:val="18"/>
                <w:b w:val="1"/>
                <w:bCs w:val="1"/>
                <w:color w:val="auto"/>
              </w:rPr>
              <w:t>Unobservable</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54"/>
        </w:trPr>
        <w:tc>
          <w:tcPr>
            <w:tcW w:w="3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jc w:val="right"/>
              <w:ind w:right="5"/>
              <w:spacing w:after="0"/>
              <w:rPr>
                <w:sz w:val="20"/>
                <w:szCs w:val="20"/>
                <w:color w:val="auto"/>
              </w:rPr>
            </w:pPr>
            <w:r>
              <w:rPr>
                <w:rFonts w:ascii="Arial Narrow" w:cs="Arial Narrow" w:eastAsia="Arial Narrow" w:hAnsi="Arial Narrow"/>
                <w:sz w:val="18"/>
                <w:szCs w:val="18"/>
                <w:b w:val="1"/>
                <w:bCs w:val="1"/>
                <w:color w:val="auto"/>
              </w:rPr>
              <w:t>Assets (Level 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ind w:right="26"/>
              <w:spacing w:after="0"/>
              <w:rPr>
                <w:sz w:val="20"/>
                <w:szCs w:val="20"/>
                <w:color w:val="auto"/>
              </w:rPr>
            </w:pPr>
            <w:r>
              <w:rPr>
                <w:rFonts w:ascii="Arial Narrow" w:cs="Arial Narrow" w:eastAsia="Arial Narrow" w:hAnsi="Arial Narrow"/>
                <w:sz w:val="18"/>
                <w:szCs w:val="18"/>
                <w:b w:val="1"/>
                <w:bCs w:val="1"/>
                <w:color w:val="auto"/>
                <w:w w:val="99"/>
              </w:rPr>
              <w:t>Inputs (Level 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ind w:right="24"/>
              <w:spacing w:after="0"/>
              <w:rPr>
                <w:sz w:val="20"/>
                <w:szCs w:val="20"/>
                <w:color w:val="auto"/>
              </w:rPr>
            </w:pPr>
            <w:r>
              <w:rPr>
                <w:rFonts w:ascii="Arial Narrow" w:cs="Arial Narrow" w:eastAsia="Arial Narrow" w:hAnsi="Arial Narrow"/>
                <w:sz w:val="18"/>
                <w:szCs w:val="18"/>
                <w:b w:val="1"/>
                <w:bCs w:val="1"/>
                <w:color w:val="auto"/>
                <w:w w:val="99"/>
              </w:rPr>
              <w:t>Inputs (Level 3)</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jc w:val="right"/>
              <w:ind w:right="2"/>
              <w:spacing w:after="0"/>
              <w:rPr>
                <w:sz w:val="20"/>
                <w:szCs w:val="20"/>
                <w:color w:val="auto"/>
              </w:rPr>
            </w:pPr>
            <w:r>
              <w:rPr>
                <w:rFonts w:ascii="Arial Narrow" w:cs="Arial Narrow" w:eastAsia="Arial Narrow" w:hAnsi="Arial Narrow"/>
                <w:sz w:val="18"/>
                <w:szCs w:val="18"/>
                <w:b w:val="1"/>
                <w:bCs w:val="1"/>
                <w:color w:val="auto"/>
              </w:rPr>
              <w:t>Total</w:t>
            </w:r>
          </w:p>
        </w:tc>
      </w:tr>
      <w:tr>
        <w:trPr>
          <w:trHeight w:val="340"/>
        </w:trPr>
        <w:tc>
          <w:tcPr>
            <w:tcW w:w="3600" w:type="dxa"/>
            <w:vAlign w:val="bottom"/>
          </w:tcPr>
          <w:p>
            <w:pPr>
              <w:spacing w:after="0"/>
              <w:rPr>
                <w:sz w:val="20"/>
                <w:szCs w:val="20"/>
                <w:color w:val="auto"/>
              </w:rPr>
            </w:pPr>
            <w:r>
              <w:rPr>
                <w:rFonts w:ascii="Arial Narrow" w:cs="Arial Narrow" w:eastAsia="Arial Narrow" w:hAnsi="Arial Narrow"/>
                <w:sz w:val="18"/>
                <w:szCs w:val="18"/>
                <w:b w:val="1"/>
                <w:bCs w:val="1"/>
                <w:color w:val="auto"/>
              </w:rPr>
              <w:t>Asset Categories</w:t>
            </w: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gridSpan w:val="4"/>
          </w:tcPr>
          <w:p>
            <w:pPr>
              <w:jc w:val="right"/>
              <w:ind w:right="704"/>
              <w:spacing w:after="0"/>
              <w:rPr>
                <w:sz w:val="20"/>
                <w:szCs w:val="20"/>
                <w:color w:val="auto"/>
              </w:rPr>
            </w:pPr>
            <w:r>
              <w:rPr>
                <w:rFonts w:ascii="Arial Narrow" w:cs="Arial Narrow" w:eastAsia="Arial Narrow" w:hAnsi="Arial Narrow"/>
                <w:sz w:val="16"/>
                <w:szCs w:val="16"/>
                <w:color w:val="auto"/>
              </w:rPr>
              <w:t>(dollars in thousands)</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6"/>
        </w:trPr>
        <w:tc>
          <w:tcPr>
            <w:tcW w:w="3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gridSpan w:val="2"/>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gridSpan w:val="2"/>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gridSpan w:val="2"/>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321"/>
        </w:trPr>
        <w:tc>
          <w:tcPr>
            <w:tcW w:w="3600" w:type="dxa"/>
            <w:vAlign w:val="bottom"/>
          </w:tcPr>
          <w:p>
            <w:pPr>
              <w:spacing w:after="0"/>
              <w:rPr>
                <w:sz w:val="20"/>
                <w:szCs w:val="20"/>
                <w:color w:val="auto"/>
              </w:rPr>
            </w:pPr>
            <w:r>
              <w:rPr>
                <w:rFonts w:ascii="Arial Narrow" w:cs="Arial Narrow" w:eastAsia="Arial Narrow" w:hAnsi="Arial Narrow"/>
                <w:sz w:val="20"/>
                <w:szCs w:val="20"/>
                <w:b w:val="1"/>
                <w:bCs w:val="1"/>
                <w:color w:val="00085E"/>
              </w:rPr>
              <w:t>Equity Securities</w:t>
            </w:r>
          </w:p>
        </w:tc>
        <w:tc>
          <w:tcPr>
            <w:tcW w:w="100" w:type="dxa"/>
            <w:vAlign w:val="bottom"/>
          </w:tcPr>
          <w:p>
            <w:pPr>
              <w:jc w:val="right"/>
              <w:spacing w:after="0"/>
              <w:rPr>
                <w:sz w:val="20"/>
                <w:szCs w:val="20"/>
                <w:color w:val="auto"/>
              </w:rPr>
            </w:pPr>
            <w:r>
              <w:rPr>
                <w:rFonts w:ascii="Arial Narrow" w:cs="Arial Narrow" w:eastAsia="Arial Narrow" w:hAnsi="Arial Narrow"/>
                <w:sz w:val="18"/>
                <w:szCs w:val="18"/>
                <w:color w:val="auto"/>
                <w:w w:val="72"/>
              </w:rPr>
              <w:t>$</w:t>
            </w:r>
          </w:p>
        </w:tc>
        <w:tc>
          <w:tcPr>
            <w:tcW w:w="1300" w:type="dxa"/>
            <w:vAlign w:val="bottom"/>
          </w:tcPr>
          <w:p>
            <w:pPr>
              <w:jc w:val="right"/>
              <w:ind w:right="5"/>
              <w:spacing w:after="0"/>
              <w:rPr>
                <w:sz w:val="20"/>
                <w:szCs w:val="20"/>
                <w:color w:val="auto"/>
              </w:rPr>
            </w:pPr>
            <w:r>
              <w:rPr>
                <w:rFonts w:ascii="Arial Narrow" w:cs="Arial Narrow" w:eastAsia="Arial Narrow" w:hAnsi="Arial Narrow"/>
                <w:sz w:val="20"/>
                <w:szCs w:val="20"/>
                <w:color w:val="auto"/>
              </w:rPr>
              <w:t>—</w:t>
            </w:r>
          </w:p>
        </w:tc>
        <w:tc>
          <w:tcPr>
            <w:tcW w:w="240" w:type="dxa"/>
            <w:vAlign w:val="bottom"/>
            <w:gridSpan w:val="2"/>
          </w:tcPr>
          <w:p>
            <w:pPr>
              <w:jc w:val="right"/>
              <w:spacing w:after="0"/>
              <w:rPr>
                <w:sz w:val="20"/>
                <w:szCs w:val="20"/>
                <w:color w:val="auto"/>
              </w:rPr>
            </w:pPr>
            <w:r>
              <w:rPr>
                <w:rFonts w:ascii="Arial Narrow" w:cs="Arial Narrow" w:eastAsia="Arial Narrow" w:hAnsi="Arial Narrow"/>
                <w:sz w:val="20"/>
                <w:szCs w:val="20"/>
                <w:color w:val="auto"/>
              </w:rPr>
              <w:t>$</w:t>
            </w:r>
          </w:p>
        </w:tc>
        <w:tc>
          <w:tcPr>
            <w:tcW w:w="1220" w:type="dxa"/>
            <w:vAlign w:val="bottom"/>
          </w:tcPr>
          <w:p>
            <w:pPr>
              <w:jc w:val="right"/>
              <w:ind w:right="26"/>
              <w:spacing w:after="0"/>
              <w:rPr>
                <w:sz w:val="20"/>
                <w:szCs w:val="20"/>
                <w:color w:val="auto"/>
              </w:rPr>
            </w:pPr>
            <w:r>
              <w:rPr>
                <w:rFonts w:ascii="Arial Narrow" w:cs="Arial Narrow" w:eastAsia="Arial Narrow" w:hAnsi="Arial Narrow"/>
                <w:sz w:val="20"/>
                <w:szCs w:val="20"/>
                <w:color w:val="auto"/>
              </w:rPr>
              <w:t>—</w:t>
            </w:r>
          </w:p>
        </w:tc>
        <w:tc>
          <w:tcPr>
            <w:tcW w:w="240" w:type="dxa"/>
            <w:vAlign w:val="bottom"/>
            <w:gridSpan w:val="2"/>
          </w:tcPr>
          <w:p>
            <w:pPr>
              <w:jc w:val="right"/>
              <w:ind w:right="40"/>
              <w:spacing w:after="0"/>
              <w:rPr>
                <w:sz w:val="20"/>
                <w:szCs w:val="20"/>
                <w:color w:val="auto"/>
              </w:rPr>
            </w:pPr>
            <w:r>
              <w:rPr>
                <w:rFonts w:ascii="Arial Narrow" w:cs="Arial Narrow" w:eastAsia="Arial Narrow" w:hAnsi="Arial Narrow"/>
                <w:sz w:val="20"/>
                <w:szCs w:val="20"/>
                <w:color w:val="auto"/>
              </w:rPr>
              <w:t>$</w:t>
            </w:r>
          </w:p>
        </w:tc>
        <w:tc>
          <w:tcPr>
            <w:tcW w:w="1220" w:type="dxa"/>
            <w:vAlign w:val="bottom"/>
          </w:tcPr>
          <w:p>
            <w:pPr>
              <w:jc w:val="right"/>
              <w:ind w:right="24"/>
              <w:spacing w:after="0"/>
              <w:rPr>
                <w:sz w:val="20"/>
                <w:szCs w:val="20"/>
                <w:color w:val="auto"/>
              </w:rPr>
            </w:pPr>
            <w:r>
              <w:rPr>
                <w:rFonts w:ascii="Arial Narrow" w:cs="Arial Narrow" w:eastAsia="Arial Narrow" w:hAnsi="Arial Narrow"/>
                <w:sz w:val="20"/>
                <w:szCs w:val="20"/>
                <w:color w:val="auto"/>
              </w:rPr>
              <w:t>—</w:t>
            </w:r>
          </w:p>
        </w:tc>
        <w:tc>
          <w:tcPr>
            <w:tcW w:w="520" w:type="dxa"/>
            <w:vAlign w:val="bottom"/>
            <w:gridSpan w:val="2"/>
          </w:tcPr>
          <w:p>
            <w:pPr>
              <w:jc w:val="right"/>
              <w:ind w:right="320"/>
              <w:spacing w:after="0"/>
              <w:rPr>
                <w:sz w:val="20"/>
                <w:szCs w:val="20"/>
                <w:color w:val="auto"/>
              </w:rPr>
            </w:pPr>
            <w:r>
              <w:rPr>
                <w:rFonts w:ascii="Arial Narrow" w:cs="Arial Narrow" w:eastAsia="Arial Narrow" w:hAnsi="Arial Narrow"/>
                <w:sz w:val="20"/>
                <w:szCs w:val="20"/>
                <w:color w:val="auto"/>
              </w:rPr>
              <w:t>$</w:t>
            </w:r>
          </w:p>
        </w:tc>
        <w:tc>
          <w:tcPr>
            <w:tcW w:w="920" w:type="dxa"/>
            <w:vAlign w:val="bottom"/>
          </w:tcPr>
          <w:p>
            <w:pPr>
              <w:jc w:val="right"/>
              <w:ind w:right="2"/>
              <w:spacing w:after="0"/>
              <w:rPr>
                <w:sz w:val="20"/>
                <w:szCs w:val="20"/>
                <w:color w:val="auto"/>
              </w:rPr>
            </w:pPr>
            <w:r>
              <w:rPr>
                <w:rFonts w:ascii="Arial Narrow" w:cs="Arial Narrow" w:eastAsia="Arial Narrow" w:hAnsi="Arial Narrow"/>
                <w:sz w:val="20"/>
                <w:szCs w:val="20"/>
                <w:color w:val="auto"/>
              </w:rPr>
              <w:t>—</w:t>
            </w:r>
          </w:p>
        </w:tc>
      </w:tr>
      <w:tr>
        <w:trPr>
          <w:trHeight w:val="65"/>
        </w:trPr>
        <w:tc>
          <w:tcPr>
            <w:tcW w:w="36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30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122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122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400" w:type="dxa"/>
            <w:vAlign w:val="bottom"/>
            <w:tcBorders>
              <w:bottom w:val="single" w:sz="8" w:color="A6A6A6"/>
            </w:tcBorders>
          </w:tcPr>
          <w:p>
            <w:pPr>
              <w:spacing w:after="0"/>
              <w:rPr>
                <w:sz w:val="5"/>
                <w:szCs w:val="5"/>
                <w:color w:val="auto"/>
              </w:rPr>
            </w:pPr>
          </w:p>
        </w:tc>
        <w:tc>
          <w:tcPr>
            <w:tcW w:w="920" w:type="dxa"/>
            <w:vAlign w:val="bottom"/>
            <w:tcBorders>
              <w:bottom w:val="single" w:sz="8" w:color="A6A6A6"/>
            </w:tcBorders>
          </w:tcPr>
          <w:p>
            <w:pPr>
              <w:spacing w:after="0"/>
              <w:rPr>
                <w:sz w:val="5"/>
                <w:szCs w:val="5"/>
                <w:color w:val="auto"/>
              </w:rPr>
            </w:pPr>
          </w:p>
        </w:tc>
      </w:tr>
      <w:tr>
        <w:trPr>
          <w:trHeight w:val="339"/>
        </w:trPr>
        <w:tc>
          <w:tcPr>
            <w:tcW w:w="3600" w:type="dxa"/>
            <w:vAlign w:val="bottom"/>
          </w:tcPr>
          <w:p>
            <w:pPr>
              <w:spacing w:after="0"/>
              <w:rPr>
                <w:sz w:val="20"/>
                <w:szCs w:val="20"/>
                <w:color w:val="auto"/>
              </w:rPr>
            </w:pPr>
            <w:r>
              <w:rPr>
                <w:rFonts w:ascii="Arial Narrow" w:cs="Arial Narrow" w:eastAsia="Arial Narrow" w:hAnsi="Arial Narrow"/>
                <w:sz w:val="20"/>
                <w:szCs w:val="20"/>
                <w:b w:val="1"/>
                <w:bCs w:val="1"/>
                <w:color w:val="00085E"/>
              </w:rPr>
              <w:t>Fixed Income Securities</w:t>
            </w:r>
          </w:p>
        </w:tc>
        <w:tc>
          <w:tcPr>
            <w:tcW w:w="100" w:type="dxa"/>
            <w:vAlign w:val="bottom"/>
          </w:tcPr>
          <w:p>
            <w:pPr>
              <w:spacing w:after="0"/>
              <w:rPr>
                <w:sz w:val="24"/>
                <w:szCs w:val="24"/>
                <w:color w:val="auto"/>
              </w:rPr>
            </w:pPr>
          </w:p>
        </w:tc>
        <w:tc>
          <w:tcPr>
            <w:tcW w:w="1300" w:type="dxa"/>
            <w:vAlign w:val="bottom"/>
          </w:tcPr>
          <w:p>
            <w:pPr>
              <w:jc w:val="right"/>
              <w:ind w:right="5"/>
              <w:spacing w:after="0"/>
              <w:rPr>
                <w:sz w:val="20"/>
                <w:szCs w:val="20"/>
                <w:color w:val="auto"/>
              </w:rPr>
            </w:pPr>
            <w:r>
              <w:rPr>
                <w:rFonts w:ascii="Arial Narrow" w:cs="Arial Narrow" w:eastAsia="Arial Narrow" w:hAnsi="Arial Narrow"/>
                <w:sz w:val="20"/>
                <w:szCs w:val="20"/>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ind w:right="26"/>
              <w:spacing w:after="0"/>
              <w:rPr>
                <w:sz w:val="20"/>
                <w:szCs w:val="20"/>
                <w:color w:val="auto"/>
              </w:rPr>
            </w:pPr>
            <w:r>
              <w:rPr>
                <w:rFonts w:ascii="Arial Narrow" w:cs="Arial Narrow" w:eastAsia="Arial Narrow" w:hAnsi="Arial Narrow"/>
                <w:sz w:val="20"/>
                <w:szCs w:val="20"/>
                <w:color w:val="auto"/>
              </w:rPr>
              <w:t>20,196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ind w:right="24"/>
              <w:spacing w:after="0"/>
              <w:rPr>
                <w:sz w:val="20"/>
                <w:szCs w:val="20"/>
                <w:color w:val="auto"/>
              </w:rPr>
            </w:pPr>
            <w:r>
              <w:rPr>
                <w:rFonts w:ascii="Arial Narrow" w:cs="Arial Narrow" w:eastAsia="Arial Narrow" w:hAnsi="Arial Narrow"/>
                <w:sz w:val="20"/>
                <w:szCs w:val="20"/>
                <w:color w:val="auto"/>
              </w:rPr>
              <w:t>—</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Arial Narrow" w:cs="Arial Narrow" w:eastAsia="Arial Narrow" w:hAnsi="Arial Narrow"/>
                <w:sz w:val="20"/>
                <w:szCs w:val="20"/>
                <w:color w:val="auto"/>
              </w:rPr>
              <w:t>20,196</w:t>
            </w:r>
          </w:p>
        </w:tc>
      </w:tr>
      <w:tr>
        <w:trPr>
          <w:trHeight w:val="65"/>
        </w:trPr>
        <w:tc>
          <w:tcPr>
            <w:tcW w:w="36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30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122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122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400" w:type="dxa"/>
            <w:vAlign w:val="bottom"/>
            <w:tcBorders>
              <w:bottom w:val="single" w:sz="8" w:color="A6A6A6"/>
            </w:tcBorders>
          </w:tcPr>
          <w:p>
            <w:pPr>
              <w:spacing w:after="0"/>
              <w:rPr>
                <w:sz w:val="5"/>
                <w:szCs w:val="5"/>
                <w:color w:val="auto"/>
              </w:rPr>
            </w:pPr>
          </w:p>
        </w:tc>
        <w:tc>
          <w:tcPr>
            <w:tcW w:w="920" w:type="dxa"/>
            <w:vAlign w:val="bottom"/>
            <w:tcBorders>
              <w:bottom w:val="single" w:sz="8" w:color="A6A6A6"/>
            </w:tcBorders>
          </w:tcPr>
          <w:p>
            <w:pPr>
              <w:spacing w:after="0"/>
              <w:rPr>
                <w:sz w:val="5"/>
                <w:szCs w:val="5"/>
                <w:color w:val="auto"/>
              </w:rPr>
            </w:pPr>
          </w:p>
        </w:tc>
      </w:tr>
      <w:tr>
        <w:trPr>
          <w:trHeight w:val="339"/>
        </w:trPr>
        <w:tc>
          <w:tcPr>
            <w:tcW w:w="3600" w:type="dxa"/>
            <w:vAlign w:val="bottom"/>
          </w:tcPr>
          <w:p>
            <w:pPr>
              <w:spacing w:after="0"/>
              <w:rPr>
                <w:sz w:val="20"/>
                <w:szCs w:val="20"/>
                <w:color w:val="auto"/>
              </w:rPr>
            </w:pPr>
            <w:r>
              <w:rPr>
                <w:rFonts w:ascii="Arial Narrow" w:cs="Arial Narrow" w:eastAsia="Arial Narrow" w:hAnsi="Arial Narrow"/>
                <w:sz w:val="20"/>
                <w:szCs w:val="20"/>
                <w:b w:val="1"/>
                <w:bCs w:val="1"/>
                <w:color w:val="00085E"/>
              </w:rPr>
              <w:t>Cash Equivalents</w:t>
            </w:r>
          </w:p>
        </w:tc>
        <w:tc>
          <w:tcPr>
            <w:tcW w:w="100" w:type="dxa"/>
            <w:vAlign w:val="bottom"/>
          </w:tcPr>
          <w:p>
            <w:pPr>
              <w:spacing w:after="0"/>
              <w:rPr>
                <w:sz w:val="24"/>
                <w:szCs w:val="24"/>
                <w:color w:val="auto"/>
              </w:rPr>
            </w:pPr>
          </w:p>
        </w:tc>
        <w:tc>
          <w:tcPr>
            <w:tcW w:w="1300" w:type="dxa"/>
            <w:vAlign w:val="bottom"/>
          </w:tcPr>
          <w:p>
            <w:pPr>
              <w:jc w:val="right"/>
              <w:ind w:right="5"/>
              <w:spacing w:after="0"/>
              <w:rPr>
                <w:sz w:val="20"/>
                <w:szCs w:val="20"/>
                <w:color w:val="auto"/>
              </w:rPr>
            </w:pPr>
            <w:r>
              <w:rPr>
                <w:rFonts w:ascii="Arial Narrow" w:cs="Arial Narrow" w:eastAsia="Arial Narrow" w:hAnsi="Arial Narrow"/>
                <w:sz w:val="20"/>
                <w:szCs w:val="20"/>
                <w:color w:val="auto"/>
              </w:rPr>
              <w:t>8,540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ind w:right="26"/>
              <w:spacing w:after="0"/>
              <w:rPr>
                <w:sz w:val="20"/>
                <w:szCs w:val="20"/>
                <w:color w:val="auto"/>
              </w:rPr>
            </w:pPr>
            <w:r>
              <w:rPr>
                <w:rFonts w:ascii="Arial Narrow" w:cs="Arial Narrow" w:eastAsia="Arial Narrow" w:hAnsi="Arial Narrow"/>
                <w:sz w:val="20"/>
                <w:szCs w:val="20"/>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ind w:right="24"/>
              <w:spacing w:after="0"/>
              <w:rPr>
                <w:sz w:val="20"/>
                <w:szCs w:val="20"/>
                <w:color w:val="auto"/>
              </w:rPr>
            </w:pPr>
            <w:r>
              <w:rPr>
                <w:rFonts w:ascii="Arial Narrow" w:cs="Arial Narrow" w:eastAsia="Arial Narrow" w:hAnsi="Arial Narrow"/>
                <w:sz w:val="20"/>
                <w:szCs w:val="20"/>
                <w:color w:val="auto"/>
              </w:rPr>
              <w:t>—</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Arial Narrow" w:cs="Arial Narrow" w:eastAsia="Arial Narrow" w:hAnsi="Arial Narrow"/>
                <w:sz w:val="20"/>
                <w:szCs w:val="20"/>
                <w:color w:val="auto"/>
              </w:rPr>
              <w:t>8,540</w:t>
            </w:r>
          </w:p>
        </w:tc>
      </w:tr>
      <w:tr>
        <w:trPr>
          <w:trHeight w:val="90"/>
        </w:trPr>
        <w:tc>
          <w:tcPr>
            <w:tcW w:w="3600" w:type="dxa"/>
            <w:vAlign w:val="bottom"/>
            <w:tcBorders>
              <w:bottom w:val="single" w:sz="8" w:color="A6A6A6"/>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r>
      <w:tr>
        <w:trPr>
          <w:trHeight w:val="344"/>
        </w:trPr>
        <w:tc>
          <w:tcPr>
            <w:tcW w:w="36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Narrow" w:cs="Arial Narrow" w:eastAsia="Arial Narrow" w:hAnsi="Arial Narrow"/>
                <w:sz w:val="18"/>
                <w:szCs w:val="18"/>
                <w:b w:val="1"/>
                <w:bCs w:val="1"/>
                <w:color w:val="auto"/>
                <w:w w:val="72"/>
              </w:rPr>
              <w:t>$</w:t>
            </w:r>
          </w:p>
        </w:tc>
        <w:tc>
          <w:tcPr>
            <w:tcW w:w="1300" w:type="dxa"/>
            <w:vAlign w:val="bottom"/>
          </w:tcPr>
          <w:p>
            <w:pPr>
              <w:jc w:val="right"/>
              <w:ind w:right="5"/>
              <w:spacing w:after="0"/>
              <w:rPr>
                <w:sz w:val="20"/>
                <w:szCs w:val="20"/>
                <w:color w:val="auto"/>
              </w:rPr>
            </w:pPr>
            <w:r>
              <w:rPr>
                <w:rFonts w:ascii="Arial Narrow" w:cs="Arial Narrow" w:eastAsia="Arial Narrow" w:hAnsi="Arial Narrow"/>
                <w:sz w:val="20"/>
                <w:szCs w:val="20"/>
                <w:b w:val="1"/>
                <w:bCs w:val="1"/>
                <w:color w:val="auto"/>
              </w:rPr>
              <w:t>8,540</w:t>
            </w:r>
          </w:p>
        </w:tc>
        <w:tc>
          <w:tcPr>
            <w:tcW w:w="240" w:type="dxa"/>
            <w:vAlign w:val="bottom"/>
            <w:gridSpan w:val="2"/>
          </w:tcPr>
          <w:p>
            <w:pPr>
              <w:jc w:val="right"/>
              <w:spacing w:after="0"/>
              <w:rPr>
                <w:sz w:val="20"/>
                <w:szCs w:val="20"/>
                <w:color w:val="auto"/>
              </w:rPr>
            </w:pPr>
            <w:r>
              <w:rPr>
                <w:rFonts w:ascii="Arial Narrow" w:cs="Arial Narrow" w:eastAsia="Arial Narrow" w:hAnsi="Arial Narrow"/>
                <w:sz w:val="20"/>
                <w:szCs w:val="20"/>
                <w:b w:val="1"/>
                <w:bCs w:val="1"/>
                <w:color w:val="auto"/>
              </w:rPr>
              <w:t>$</w:t>
            </w:r>
          </w:p>
        </w:tc>
        <w:tc>
          <w:tcPr>
            <w:tcW w:w="1220" w:type="dxa"/>
            <w:vAlign w:val="bottom"/>
          </w:tcPr>
          <w:p>
            <w:pPr>
              <w:jc w:val="right"/>
              <w:ind w:right="26"/>
              <w:spacing w:after="0"/>
              <w:rPr>
                <w:sz w:val="20"/>
                <w:szCs w:val="20"/>
                <w:color w:val="auto"/>
              </w:rPr>
            </w:pPr>
            <w:r>
              <w:rPr>
                <w:rFonts w:ascii="Arial Narrow" w:cs="Arial Narrow" w:eastAsia="Arial Narrow" w:hAnsi="Arial Narrow"/>
                <w:sz w:val="20"/>
                <w:szCs w:val="20"/>
                <w:b w:val="1"/>
                <w:bCs w:val="1"/>
                <w:color w:val="auto"/>
              </w:rPr>
              <w:t>20,196</w:t>
            </w:r>
          </w:p>
        </w:tc>
        <w:tc>
          <w:tcPr>
            <w:tcW w:w="240" w:type="dxa"/>
            <w:vAlign w:val="bottom"/>
            <w:gridSpan w:val="2"/>
          </w:tcPr>
          <w:p>
            <w:pPr>
              <w:jc w:val="right"/>
              <w:ind w:right="40"/>
              <w:spacing w:after="0"/>
              <w:rPr>
                <w:sz w:val="20"/>
                <w:szCs w:val="20"/>
                <w:color w:val="auto"/>
              </w:rPr>
            </w:pPr>
            <w:r>
              <w:rPr>
                <w:rFonts w:ascii="Arial Narrow" w:cs="Arial Narrow" w:eastAsia="Arial Narrow" w:hAnsi="Arial Narrow"/>
                <w:sz w:val="20"/>
                <w:szCs w:val="20"/>
                <w:b w:val="1"/>
                <w:bCs w:val="1"/>
                <w:color w:val="auto"/>
              </w:rPr>
              <w:t>$</w:t>
            </w:r>
          </w:p>
        </w:tc>
        <w:tc>
          <w:tcPr>
            <w:tcW w:w="1220" w:type="dxa"/>
            <w:vAlign w:val="bottom"/>
          </w:tcPr>
          <w:p>
            <w:pPr>
              <w:jc w:val="right"/>
              <w:ind w:right="24"/>
              <w:spacing w:after="0"/>
              <w:rPr>
                <w:sz w:val="20"/>
                <w:szCs w:val="20"/>
                <w:color w:val="auto"/>
              </w:rPr>
            </w:pPr>
            <w:r>
              <w:rPr>
                <w:rFonts w:ascii="Arial Narrow" w:cs="Arial Narrow" w:eastAsia="Arial Narrow" w:hAnsi="Arial Narrow"/>
                <w:sz w:val="20"/>
                <w:szCs w:val="20"/>
                <w:b w:val="1"/>
                <w:bCs w:val="1"/>
                <w:color w:val="auto"/>
              </w:rPr>
              <w:t>—</w:t>
            </w:r>
          </w:p>
        </w:tc>
        <w:tc>
          <w:tcPr>
            <w:tcW w:w="520" w:type="dxa"/>
            <w:vAlign w:val="bottom"/>
            <w:gridSpan w:val="2"/>
          </w:tcPr>
          <w:p>
            <w:pPr>
              <w:jc w:val="right"/>
              <w:ind w:right="320"/>
              <w:spacing w:after="0"/>
              <w:rPr>
                <w:sz w:val="20"/>
                <w:szCs w:val="20"/>
                <w:color w:val="auto"/>
              </w:rPr>
            </w:pPr>
            <w:r>
              <w:rPr>
                <w:rFonts w:ascii="Arial Narrow" w:cs="Arial Narrow" w:eastAsia="Arial Narrow" w:hAnsi="Arial Narrow"/>
                <w:sz w:val="20"/>
                <w:szCs w:val="20"/>
                <w:b w:val="1"/>
                <w:bCs w:val="1"/>
                <w:color w:val="auto"/>
              </w:rPr>
              <w:t>$</w:t>
            </w:r>
          </w:p>
        </w:tc>
        <w:tc>
          <w:tcPr>
            <w:tcW w:w="920" w:type="dxa"/>
            <w:vAlign w:val="bottom"/>
          </w:tcPr>
          <w:p>
            <w:pPr>
              <w:jc w:val="right"/>
              <w:ind w:right="2"/>
              <w:spacing w:after="0"/>
              <w:rPr>
                <w:sz w:val="20"/>
                <w:szCs w:val="20"/>
                <w:color w:val="auto"/>
              </w:rPr>
            </w:pPr>
            <w:r>
              <w:rPr>
                <w:rFonts w:ascii="Arial Narrow" w:cs="Arial Narrow" w:eastAsia="Arial Narrow" w:hAnsi="Arial Narrow"/>
                <w:sz w:val="20"/>
                <w:szCs w:val="20"/>
                <w:b w:val="1"/>
                <w:bCs w:val="1"/>
                <w:color w:val="auto"/>
              </w:rPr>
              <w:t>28,736</w:t>
            </w:r>
          </w:p>
        </w:tc>
      </w:tr>
      <w:tr>
        <w:trPr>
          <w:trHeight w:val="65"/>
        </w:trPr>
        <w:tc>
          <w:tcPr>
            <w:tcW w:w="360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r>
      <w:tr>
        <w:trPr>
          <w:trHeight w:val="20"/>
        </w:trPr>
        <w:tc>
          <w:tcPr>
            <w:tcW w:w="3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20"/>
          <w:szCs w:val="20"/>
          <w:color w:val="auto"/>
        </w:rPr>
        <w:t>The fair values by category of inputs as of March 31, 2025, were as follows.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ind w:right="5"/>
              <w:spacing w:after="0"/>
              <w:rPr>
                <w:sz w:val="20"/>
                <w:szCs w:val="20"/>
                <w:color w:val="auto"/>
              </w:rPr>
            </w:pPr>
            <w:r>
              <w:rPr>
                <w:rFonts w:ascii="Arial Narrow" w:cs="Arial Narrow" w:eastAsia="Arial Narrow" w:hAnsi="Arial Narrow"/>
                <w:sz w:val="18"/>
                <w:szCs w:val="18"/>
                <w:b w:val="1"/>
                <w:bCs w:val="1"/>
                <w:color w:val="auto"/>
              </w:rPr>
              <w:t>Quoted Prices in</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7"/>
        </w:trPr>
        <w:tc>
          <w:tcPr>
            <w:tcW w:w="3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ind w:right="5"/>
              <w:spacing w:after="0"/>
              <w:rPr>
                <w:sz w:val="20"/>
                <w:szCs w:val="20"/>
                <w:color w:val="auto"/>
              </w:rPr>
            </w:pPr>
            <w:r>
              <w:rPr>
                <w:rFonts w:ascii="Arial Narrow" w:cs="Arial Narrow" w:eastAsia="Arial Narrow" w:hAnsi="Arial Narrow"/>
                <w:sz w:val="18"/>
                <w:szCs w:val="18"/>
                <w:b w:val="1"/>
                <w:bCs w:val="1"/>
                <w:color w:val="auto"/>
              </w:rPr>
              <w:t>Active Markets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jc w:val="right"/>
              <w:ind w:right="6"/>
              <w:spacing w:after="0"/>
              <w:rPr>
                <w:sz w:val="20"/>
                <w:szCs w:val="20"/>
                <w:color w:val="auto"/>
              </w:rPr>
            </w:pPr>
            <w:r>
              <w:rPr>
                <w:rFonts w:ascii="Arial Narrow" w:cs="Arial Narrow" w:eastAsia="Arial Narrow" w:hAnsi="Arial Narrow"/>
                <w:sz w:val="18"/>
                <w:szCs w:val="18"/>
                <w:b w:val="1"/>
                <w:bCs w:val="1"/>
                <w:color w:val="auto"/>
                <w:w w:val="99"/>
              </w:rPr>
              <w:t>Significant Other</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ind w:right="4"/>
              <w:spacing w:after="0"/>
              <w:rPr>
                <w:sz w:val="20"/>
                <w:szCs w:val="20"/>
                <w:color w:val="auto"/>
              </w:rPr>
            </w:pPr>
            <w:r>
              <w:rPr>
                <w:rFonts w:ascii="Arial Narrow" w:cs="Arial Narrow" w:eastAsia="Arial Narrow" w:hAnsi="Arial Narrow"/>
                <w:sz w:val="18"/>
                <w:szCs w:val="18"/>
                <w:b w:val="1"/>
                <w:bCs w:val="1"/>
                <w:color w:val="auto"/>
              </w:rPr>
              <w:t>Significant</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7"/>
        </w:trPr>
        <w:tc>
          <w:tcPr>
            <w:tcW w:w="3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ind w:right="5"/>
              <w:spacing w:after="0"/>
              <w:rPr>
                <w:sz w:val="20"/>
                <w:szCs w:val="20"/>
                <w:color w:val="auto"/>
              </w:rPr>
            </w:pPr>
            <w:r>
              <w:rPr>
                <w:rFonts w:ascii="Arial Narrow" w:cs="Arial Narrow" w:eastAsia="Arial Narrow" w:hAnsi="Arial Narrow"/>
                <w:sz w:val="18"/>
                <w:szCs w:val="18"/>
                <w:b w:val="1"/>
                <w:bCs w:val="1"/>
                <w:color w:val="auto"/>
              </w:rPr>
              <w:t>for Identical</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jc w:val="right"/>
              <w:ind w:right="6"/>
              <w:spacing w:after="0"/>
              <w:rPr>
                <w:sz w:val="20"/>
                <w:szCs w:val="20"/>
                <w:color w:val="auto"/>
              </w:rPr>
            </w:pPr>
            <w:r>
              <w:rPr>
                <w:rFonts w:ascii="Arial Narrow" w:cs="Arial Narrow" w:eastAsia="Arial Narrow" w:hAnsi="Arial Narrow"/>
                <w:sz w:val="18"/>
                <w:szCs w:val="18"/>
                <w:b w:val="1"/>
                <w:bCs w:val="1"/>
                <w:color w:val="auto"/>
              </w:rPr>
              <w:t>Observable</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ind w:right="4"/>
              <w:spacing w:after="0"/>
              <w:rPr>
                <w:sz w:val="20"/>
                <w:szCs w:val="20"/>
                <w:color w:val="auto"/>
              </w:rPr>
            </w:pPr>
            <w:r>
              <w:rPr>
                <w:rFonts w:ascii="Arial Narrow" w:cs="Arial Narrow" w:eastAsia="Arial Narrow" w:hAnsi="Arial Narrow"/>
                <w:sz w:val="18"/>
                <w:szCs w:val="18"/>
                <w:b w:val="1"/>
                <w:bCs w:val="1"/>
                <w:color w:val="auto"/>
              </w:rPr>
              <w:t>Unobservable</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54"/>
        </w:trPr>
        <w:tc>
          <w:tcPr>
            <w:tcW w:w="3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jc w:val="right"/>
              <w:ind w:right="5"/>
              <w:spacing w:after="0"/>
              <w:rPr>
                <w:sz w:val="20"/>
                <w:szCs w:val="20"/>
                <w:color w:val="auto"/>
              </w:rPr>
            </w:pPr>
            <w:r>
              <w:rPr>
                <w:rFonts w:ascii="Arial Narrow" w:cs="Arial Narrow" w:eastAsia="Arial Narrow" w:hAnsi="Arial Narrow"/>
                <w:sz w:val="18"/>
                <w:szCs w:val="18"/>
                <w:b w:val="1"/>
                <w:bCs w:val="1"/>
                <w:color w:val="auto"/>
              </w:rPr>
              <w:t>Assets (Level 1)</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00" w:type="dxa"/>
            <w:vAlign w:val="bottom"/>
          </w:tcPr>
          <w:p>
            <w:pPr>
              <w:jc w:val="right"/>
              <w:ind w:right="6"/>
              <w:spacing w:after="0"/>
              <w:rPr>
                <w:sz w:val="20"/>
                <w:szCs w:val="20"/>
                <w:color w:val="auto"/>
              </w:rPr>
            </w:pPr>
            <w:r>
              <w:rPr>
                <w:rFonts w:ascii="Arial Narrow" w:cs="Arial Narrow" w:eastAsia="Arial Narrow" w:hAnsi="Arial Narrow"/>
                <w:sz w:val="18"/>
                <w:szCs w:val="18"/>
                <w:b w:val="1"/>
                <w:bCs w:val="1"/>
                <w:color w:val="auto"/>
              </w:rPr>
              <w:t>Inputs (Level 2)</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jc w:val="right"/>
              <w:ind w:right="4"/>
              <w:spacing w:after="0"/>
              <w:rPr>
                <w:sz w:val="20"/>
                <w:szCs w:val="20"/>
                <w:color w:val="auto"/>
              </w:rPr>
            </w:pPr>
            <w:r>
              <w:rPr>
                <w:rFonts w:ascii="Arial Narrow" w:cs="Arial Narrow" w:eastAsia="Arial Narrow" w:hAnsi="Arial Narrow"/>
                <w:sz w:val="18"/>
                <w:szCs w:val="18"/>
                <w:b w:val="1"/>
                <w:bCs w:val="1"/>
                <w:color w:val="auto"/>
                <w:w w:val="97"/>
              </w:rPr>
              <w:t>Inputs (Level 3)</w:t>
            </w: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jc w:val="right"/>
              <w:ind w:right="2"/>
              <w:spacing w:after="0"/>
              <w:rPr>
                <w:sz w:val="20"/>
                <w:szCs w:val="20"/>
                <w:color w:val="auto"/>
              </w:rPr>
            </w:pPr>
            <w:r>
              <w:rPr>
                <w:rFonts w:ascii="Arial Narrow" w:cs="Arial Narrow" w:eastAsia="Arial Narrow" w:hAnsi="Arial Narrow"/>
                <w:sz w:val="18"/>
                <w:szCs w:val="18"/>
                <w:b w:val="1"/>
                <w:bCs w:val="1"/>
                <w:color w:val="auto"/>
              </w:rPr>
              <w:t>Total</w:t>
            </w:r>
          </w:p>
        </w:tc>
      </w:tr>
      <w:tr>
        <w:trPr>
          <w:trHeight w:val="340"/>
        </w:trPr>
        <w:tc>
          <w:tcPr>
            <w:tcW w:w="3640" w:type="dxa"/>
            <w:vAlign w:val="bottom"/>
          </w:tcPr>
          <w:p>
            <w:pPr>
              <w:spacing w:after="0"/>
              <w:rPr>
                <w:sz w:val="20"/>
                <w:szCs w:val="20"/>
                <w:color w:val="auto"/>
              </w:rPr>
            </w:pPr>
            <w:r>
              <w:rPr>
                <w:rFonts w:ascii="Arial Narrow" w:cs="Arial Narrow" w:eastAsia="Arial Narrow" w:hAnsi="Arial Narrow"/>
                <w:sz w:val="18"/>
                <w:szCs w:val="18"/>
                <w:b w:val="1"/>
                <w:bCs w:val="1"/>
                <w:color w:val="auto"/>
              </w:rPr>
              <w:t>Asset Categories</w:t>
            </w: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20" w:type="dxa"/>
            <w:vAlign w:val="bottom"/>
            <w:gridSpan w:val="4"/>
          </w:tcPr>
          <w:p>
            <w:pPr>
              <w:jc w:val="right"/>
              <w:ind w:right="764"/>
              <w:spacing w:after="0"/>
              <w:rPr>
                <w:sz w:val="20"/>
                <w:szCs w:val="20"/>
                <w:color w:val="auto"/>
              </w:rPr>
            </w:pPr>
            <w:r>
              <w:rPr>
                <w:rFonts w:ascii="Arial Narrow" w:cs="Arial Narrow" w:eastAsia="Arial Narrow" w:hAnsi="Arial Narrow"/>
                <w:sz w:val="16"/>
                <w:szCs w:val="16"/>
                <w:color w:val="auto"/>
              </w:rPr>
              <w:t>(dollars in thousands)</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6"/>
        </w:trPr>
        <w:tc>
          <w:tcPr>
            <w:tcW w:w="3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gridSpan w:val="2"/>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gridSpan w:val="2"/>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gridSpan w:val="2"/>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344"/>
        </w:trPr>
        <w:tc>
          <w:tcPr>
            <w:tcW w:w="3640" w:type="dxa"/>
            <w:vAlign w:val="bottom"/>
          </w:tcPr>
          <w:p>
            <w:pPr>
              <w:spacing w:after="0"/>
              <w:rPr>
                <w:sz w:val="20"/>
                <w:szCs w:val="20"/>
                <w:color w:val="auto"/>
              </w:rPr>
            </w:pPr>
            <w:r>
              <w:rPr>
                <w:rFonts w:ascii="Arial Narrow" w:cs="Arial Narrow" w:eastAsia="Arial Narrow" w:hAnsi="Arial Narrow"/>
                <w:sz w:val="20"/>
                <w:szCs w:val="20"/>
                <w:b w:val="1"/>
                <w:bCs w:val="1"/>
                <w:color w:val="00085E"/>
              </w:rPr>
              <w:t>Equity Securities</w:t>
            </w:r>
          </w:p>
        </w:tc>
        <w:tc>
          <w:tcPr>
            <w:tcW w:w="100" w:type="dxa"/>
            <w:vAlign w:val="bottom"/>
          </w:tcPr>
          <w:p>
            <w:pPr>
              <w:jc w:val="right"/>
              <w:spacing w:after="0"/>
              <w:rPr>
                <w:sz w:val="20"/>
                <w:szCs w:val="20"/>
                <w:color w:val="auto"/>
              </w:rPr>
            </w:pPr>
            <w:r>
              <w:rPr>
                <w:rFonts w:ascii="Arial Narrow" w:cs="Arial Narrow" w:eastAsia="Arial Narrow" w:hAnsi="Arial Narrow"/>
                <w:sz w:val="20"/>
                <w:szCs w:val="20"/>
                <w:color w:val="auto"/>
                <w:w w:val="87"/>
              </w:rPr>
              <w:t>$</w:t>
            </w:r>
          </w:p>
        </w:tc>
        <w:tc>
          <w:tcPr>
            <w:tcW w:w="1300" w:type="dxa"/>
            <w:vAlign w:val="bottom"/>
          </w:tcPr>
          <w:p>
            <w:pPr>
              <w:jc w:val="right"/>
              <w:ind w:right="5"/>
              <w:spacing w:after="0"/>
              <w:rPr>
                <w:sz w:val="20"/>
                <w:szCs w:val="20"/>
                <w:color w:val="auto"/>
              </w:rPr>
            </w:pPr>
            <w:r>
              <w:rPr>
                <w:rFonts w:ascii="Arial Narrow" w:cs="Arial Narrow" w:eastAsia="Arial Narrow" w:hAnsi="Arial Narrow"/>
                <w:sz w:val="20"/>
                <w:szCs w:val="20"/>
                <w:color w:val="auto"/>
              </w:rPr>
              <w:t>—</w:t>
            </w:r>
          </w:p>
        </w:tc>
        <w:tc>
          <w:tcPr>
            <w:tcW w:w="180" w:type="dxa"/>
            <w:vAlign w:val="bottom"/>
            <w:gridSpan w:val="2"/>
          </w:tcPr>
          <w:p>
            <w:pPr>
              <w:jc w:val="right"/>
              <w:spacing w:after="0"/>
              <w:rPr>
                <w:sz w:val="20"/>
                <w:szCs w:val="20"/>
                <w:color w:val="auto"/>
              </w:rPr>
            </w:pPr>
            <w:r>
              <w:rPr>
                <w:rFonts w:ascii="Arial Narrow" w:cs="Arial Narrow" w:eastAsia="Arial Narrow" w:hAnsi="Arial Narrow"/>
                <w:sz w:val="20"/>
                <w:szCs w:val="20"/>
                <w:color w:val="auto"/>
              </w:rPr>
              <w:t>$</w:t>
            </w:r>
          </w:p>
        </w:tc>
        <w:tc>
          <w:tcPr>
            <w:tcW w:w="1300" w:type="dxa"/>
            <w:vAlign w:val="bottom"/>
          </w:tcPr>
          <w:p>
            <w:pPr>
              <w:jc w:val="right"/>
              <w:ind w:right="6"/>
              <w:spacing w:after="0"/>
              <w:rPr>
                <w:sz w:val="20"/>
                <w:szCs w:val="20"/>
                <w:color w:val="auto"/>
              </w:rPr>
            </w:pPr>
            <w:r>
              <w:rPr>
                <w:rFonts w:ascii="Arial Narrow" w:cs="Arial Narrow" w:eastAsia="Arial Narrow" w:hAnsi="Arial Narrow"/>
                <w:sz w:val="20"/>
                <w:szCs w:val="20"/>
                <w:color w:val="auto"/>
              </w:rPr>
              <w:t>—</w:t>
            </w:r>
          </w:p>
        </w:tc>
        <w:tc>
          <w:tcPr>
            <w:tcW w:w="240" w:type="dxa"/>
            <w:vAlign w:val="bottom"/>
            <w:gridSpan w:val="2"/>
          </w:tcPr>
          <w:p>
            <w:pPr>
              <w:jc w:val="right"/>
              <w:ind w:right="20"/>
              <w:spacing w:after="0"/>
              <w:rPr>
                <w:sz w:val="20"/>
                <w:szCs w:val="20"/>
                <w:color w:val="auto"/>
              </w:rPr>
            </w:pPr>
            <w:r>
              <w:rPr>
                <w:rFonts w:ascii="Arial Narrow" w:cs="Arial Narrow" w:eastAsia="Arial Narrow" w:hAnsi="Arial Narrow"/>
                <w:sz w:val="20"/>
                <w:szCs w:val="20"/>
                <w:color w:val="auto"/>
              </w:rPr>
              <w:t>$</w:t>
            </w:r>
          </w:p>
        </w:tc>
        <w:tc>
          <w:tcPr>
            <w:tcW w:w="1180" w:type="dxa"/>
            <w:vAlign w:val="bottom"/>
          </w:tcPr>
          <w:p>
            <w:pPr>
              <w:jc w:val="right"/>
              <w:ind w:right="4"/>
              <w:spacing w:after="0"/>
              <w:rPr>
                <w:sz w:val="20"/>
                <w:szCs w:val="20"/>
                <w:color w:val="auto"/>
              </w:rPr>
            </w:pPr>
            <w:r>
              <w:rPr>
                <w:rFonts w:ascii="Arial Narrow" w:cs="Arial Narrow" w:eastAsia="Arial Narrow" w:hAnsi="Arial Narrow"/>
                <w:sz w:val="20"/>
                <w:szCs w:val="20"/>
                <w:color w:val="auto"/>
              </w:rPr>
              <w:t>—</w:t>
            </w:r>
          </w:p>
        </w:tc>
        <w:tc>
          <w:tcPr>
            <w:tcW w:w="520" w:type="dxa"/>
            <w:vAlign w:val="bottom"/>
            <w:gridSpan w:val="2"/>
          </w:tcPr>
          <w:p>
            <w:pPr>
              <w:jc w:val="right"/>
              <w:ind w:right="300"/>
              <w:spacing w:after="0"/>
              <w:rPr>
                <w:sz w:val="20"/>
                <w:szCs w:val="20"/>
                <w:color w:val="auto"/>
              </w:rPr>
            </w:pPr>
            <w:r>
              <w:rPr>
                <w:rFonts w:ascii="Arial Narrow" w:cs="Arial Narrow" w:eastAsia="Arial Narrow" w:hAnsi="Arial Narrow"/>
                <w:sz w:val="20"/>
                <w:szCs w:val="20"/>
                <w:color w:val="auto"/>
              </w:rPr>
              <w:t>$</w:t>
            </w:r>
          </w:p>
        </w:tc>
        <w:tc>
          <w:tcPr>
            <w:tcW w:w="900" w:type="dxa"/>
            <w:vAlign w:val="bottom"/>
          </w:tcPr>
          <w:p>
            <w:pPr>
              <w:jc w:val="right"/>
              <w:ind w:right="2"/>
              <w:spacing w:after="0"/>
              <w:rPr>
                <w:sz w:val="20"/>
                <w:szCs w:val="20"/>
                <w:color w:val="auto"/>
              </w:rPr>
            </w:pPr>
            <w:r>
              <w:rPr>
                <w:rFonts w:ascii="Arial Narrow" w:cs="Arial Narrow" w:eastAsia="Arial Narrow" w:hAnsi="Arial Narrow"/>
                <w:sz w:val="20"/>
                <w:szCs w:val="20"/>
                <w:color w:val="auto"/>
              </w:rPr>
              <w:t>—</w:t>
            </w:r>
          </w:p>
        </w:tc>
      </w:tr>
      <w:tr>
        <w:trPr>
          <w:trHeight w:val="65"/>
        </w:trPr>
        <w:tc>
          <w:tcPr>
            <w:tcW w:w="364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3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30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18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380" w:type="dxa"/>
            <w:vAlign w:val="bottom"/>
            <w:tcBorders>
              <w:bottom w:val="single" w:sz="8" w:color="A6A6A6"/>
            </w:tcBorders>
          </w:tcPr>
          <w:p>
            <w:pPr>
              <w:spacing w:after="0"/>
              <w:rPr>
                <w:sz w:val="5"/>
                <w:szCs w:val="5"/>
                <w:color w:val="auto"/>
              </w:rPr>
            </w:pPr>
          </w:p>
        </w:tc>
        <w:tc>
          <w:tcPr>
            <w:tcW w:w="900" w:type="dxa"/>
            <w:vAlign w:val="bottom"/>
            <w:tcBorders>
              <w:bottom w:val="single" w:sz="8" w:color="A6A6A6"/>
            </w:tcBorders>
          </w:tcPr>
          <w:p>
            <w:pPr>
              <w:spacing w:after="0"/>
              <w:rPr>
                <w:sz w:val="5"/>
                <w:szCs w:val="5"/>
                <w:color w:val="auto"/>
              </w:rPr>
            </w:pPr>
          </w:p>
        </w:tc>
      </w:tr>
      <w:tr>
        <w:trPr>
          <w:trHeight w:val="339"/>
        </w:trPr>
        <w:tc>
          <w:tcPr>
            <w:tcW w:w="3640" w:type="dxa"/>
            <w:vAlign w:val="bottom"/>
          </w:tcPr>
          <w:p>
            <w:pPr>
              <w:spacing w:after="0"/>
              <w:rPr>
                <w:sz w:val="20"/>
                <w:szCs w:val="20"/>
                <w:color w:val="auto"/>
              </w:rPr>
            </w:pPr>
            <w:r>
              <w:rPr>
                <w:rFonts w:ascii="Arial Narrow" w:cs="Arial Narrow" w:eastAsia="Arial Narrow" w:hAnsi="Arial Narrow"/>
                <w:sz w:val="20"/>
                <w:szCs w:val="20"/>
                <w:b w:val="1"/>
                <w:bCs w:val="1"/>
                <w:color w:val="00085E"/>
              </w:rPr>
              <w:t>Fixed Income Securities</w:t>
            </w:r>
          </w:p>
        </w:tc>
        <w:tc>
          <w:tcPr>
            <w:tcW w:w="100" w:type="dxa"/>
            <w:vAlign w:val="bottom"/>
          </w:tcPr>
          <w:p>
            <w:pPr>
              <w:spacing w:after="0"/>
              <w:rPr>
                <w:sz w:val="24"/>
                <w:szCs w:val="24"/>
                <w:color w:val="auto"/>
              </w:rPr>
            </w:pPr>
          </w:p>
        </w:tc>
        <w:tc>
          <w:tcPr>
            <w:tcW w:w="1300" w:type="dxa"/>
            <w:vAlign w:val="bottom"/>
          </w:tcPr>
          <w:p>
            <w:pPr>
              <w:jc w:val="right"/>
              <w:ind w:right="5"/>
              <w:spacing w:after="0"/>
              <w:rPr>
                <w:sz w:val="20"/>
                <w:szCs w:val="20"/>
                <w:color w:val="auto"/>
              </w:rPr>
            </w:pPr>
            <w:r>
              <w:rPr>
                <w:rFonts w:ascii="Arial Narrow" w:cs="Arial Narrow" w:eastAsia="Arial Narrow" w:hAnsi="Arial Narrow"/>
                <w:sz w:val="20"/>
                <w:szCs w:val="20"/>
                <w:color w:val="auto"/>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jc w:val="right"/>
              <w:ind w:right="6"/>
              <w:spacing w:after="0"/>
              <w:rPr>
                <w:sz w:val="20"/>
                <w:szCs w:val="20"/>
                <w:color w:val="auto"/>
              </w:rPr>
            </w:pPr>
            <w:r>
              <w:rPr>
                <w:rFonts w:ascii="Arial Narrow" w:cs="Arial Narrow" w:eastAsia="Arial Narrow" w:hAnsi="Arial Narrow"/>
                <w:sz w:val="20"/>
                <w:szCs w:val="20"/>
                <w:color w:val="auto"/>
              </w:rPr>
              <w:t>29,010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jc w:val="right"/>
              <w:ind w:right="4"/>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ind w:right="2"/>
              <w:spacing w:after="0"/>
              <w:rPr>
                <w:sz w:val="20"/>
                <w:szCs w:val="20"/>
                <w:color w:val="auto"/>
              </w:rPr>
            </w:pPr>
            <w:r>
              <w:rPr>
                <w:rFonts w:ascii="Arial Narrow" w:cs="Arial Narrow" w:eastAsia="Arial Narrow" w:hAnsi="Arial Narrow"/>
                <w:sz w:val="20"/>
                <w:szCs w:val="20"/>
                <w:color w:val="auto"/>
              </w:rPr>
              <w:t>29,010</w:t>
            </w:r>
          </w:p>
        </w:tc>
      </w:tr>
      <w:tr>
        <w:trPr>
          <w:trHeight w:val="65"/>
        </w:trPr>
        <w:tc>
          <w:tcPr>
            <w:tcW w:w="364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30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80" w:type="dxa"/>
            <w:vAlign w:val="bottom"/>
            <w:tcBorders>
              <w:bottom w:val="single" w:sz="8" w:color="A6A6A6"/>
            </w:tcBorders>
          </w:tcPr>
          <w:p>
            <w:pPr>
              <w:spacing w:after="0"/>
              <w:rPr>
                <w:sz w:val="5"/>
                <w:szCs w:val="5"/>
                <w:color w:val="auto"/>
              </w:rPr>
            </w:pPr>
          </w:p>
        </w:tc>
        <w:tc>
          <w:tcPr>
            <w:tcW w:w="130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100" w:type="dxa"/>
            <w:vAlign w:val="bottom"/>
            <w:tcBorders>
              <w:bottom w:val="single" w:sz="8" w:color="A6A6A6"/>
            </w:tcBorders>
          </w:tcPr>
          <w:p>
            <w:pPr>
              <w:spacing w:after="0"/>
              <w:rPr>
                <w:sz w:val="5"/>
                <w:szCs w:val="5"/>
                <w:color w:val="auto"/>
              </w:rPr>
            </w:pPr>
          </w:p>
        </w:tc>
        <w:tc>
          <w:tcPr>
            <w:tcW w:w="1180" w:type="dxa"/>
            <w:vAlign w:val="bottom"/>
            <w:tcBorders>
              <w:bottom w:val="single" w:sz="8" w:color="A6A6A6"/>
            </w:tcBorders>
          </w:tcPr>
          <w:p>
            <w:pPr>
              <w:spacing w:after="0"/>
              <w:rPr>
                <w:sz w:val="5"/>
                <w:szCs w:val="5"/>
                <w:color w:val="auto"/>
              </w:rPr>
            </w:pPr>
          </w:p>
        </w:tc>
        <w:tc>
          <w:tcPr>
            <w:tcW w:w="140" w:type="dxa"/>
            <w:vAlign w:val="bottom"/>
            <w:tcBorders>
              <w:bottom w:val="single" w:sz="8" w:color="A6A6A6"/>
            </w:tcBorders>
          </w:tcPr>
          <w:p>
            <w:pPr>
              <w:spacing w:after="0"/>
              <w:rPr>
                <w:sz w:val="5"/>
                <w:szCs w:val="5"/>
                <w:color w:val="auto"/>
              </w:rPr>
            </w:pPr>
          </w:p>
        </w:tc>
        <w:tc>
          <w:tcPr>
            <w:tcW w:w="380" w:type="dxa"/>
            <w:vAlign w:val="bottom"/>
            <w:tcBorders>
              <w:bottom w:val="single" w:sz="8" w:color="A6A6A6"/>
            </w:tcBorders>
          </w:tcPr>
          <w:p>
            <w:pPr>
              <w:spacing w:after="0"/>
              <w:rPr>
                <w:sz w:val="5"/>
                <w:szCs w:val="5"/>
                <w:color w:val="auto"/>
              </w:rPr>
            </w:pPr>
          </w:p>
        </w:tc>
        <w:tc>
          <w:tcPr>
            <w:tcW w:w="900" w:type="dxa"/>
            <w:vAlign w:val="bottom"/>
            <w:tcBorders>
              <w:bottom w:val="single" w:sz="8" w:color="A6A6A6"/>
            </w:tcBorders>
          </w:tcPr>
          <w:p>
            <w:pPr>
              <w:spacing w:after="0"/>
              <w:rPr>
                <w:sz w:val="5"/>
                <w:szCs w:val="5"/>
                <w:color w:val="auto"/>
              </w:rPr>
            </w:pPr>
          </w:p>
        </w:tc>
      </w:tr>
      <w:tr>
        <w:trPr>
          <w:trHeight w:val="339"/>
        </w:trPr>
        <w:tc>
          <w:tcPr>
            <w:tcW w:w="3640" w:type="dxa"/>
            <w:vAlign w:val="bottom"/>
          </w:tcPr>
          <w:p>
            <w:pPr>
              <w:spacing w:after="0"/>
              <w:rPr>
                <w:sz w:val="20"/>
                <w:szCs w:val="20"/>
                <w:color w:val="auto"/>
              </w:rPr>
            </w:pPr>
            <w:r>
              <w:rPr>
                <w:rFonts w:ascii="Arial Narrow" w:cs="Arial Narrow" w:eastAsia="Arial Narrow" w:hAnsi="Arial Narrow"/>
                <w:sz w:val="20"/>
                <w:szCs w:val="20"/>
                <w:b w:val="1"/>
                <w:bCs w:val="1"/>
                <w:color w:val="00085E"/>
              </w:rPr>
              <w:t>Cash Equivalents</w:t>
            </w:r>
          </w:p>
        </w:tc>
        <w:tc>
          <w:tcPr>
            <w:tcW w:w="100" w:type="dxa"/>
            <w:vAlign w:val="bottom"/>
          </w:tcPr>
          <w:p>
            <w:pPr>
              <w:spacing w:after="0"/>
              <w:rPr>
                <w:sz w:val="24"/>
                <w:szCs w:val="24"/>
                <w:color w:val="auto"/>
              </w:rPr>
            </w:pPr>
          </w:p>
        </w:tc>
        <w:tc>
          <w:tcPr>
            <w:tcW w:w="1300" w:type="dxa"/>
            <w:vAlign w:val="bottom"/>
          </w:tcPr>
          <w:p>
            <w:pPr>
              <w:jc w:val="right"/>
              <w:ind w:right="5"/>
              <w:spacing w:after="0"/>
              <w:rPr>
                <w:sz w:val="20"/>
                <w:szCs w:val="20"/>
                <w:color w:val="auto"/>
              </w:rPr>
            </w:pPr>
            <w:r>
              <w:rPr>
                <w:rFonts w:ascii="Arial Narrow" w:cs="Arial Narrow" w:eastAsia="Arial Narrow" w:hAnsi="Arial Narrow"/>
                <w:sz w:val="20"/>
                <w:szCs w:val="20"/>
                <w:color w:val="auto"/>
              </w:rPr>
              <w:t>482</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jc w:val="right"/>
              <w:ind w:right="6"/>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jc w:val="right"/>
              <w:ind w:right="4"/>
              <w:spacing w:after="0"/>
              <w:rPr>
                <w:sz w:val="20"/>
                <w:szCs w:val="20"/>
                <w:color w:val="auto"/>
              </w:rPr>
            </w:pPr>
            <w:r>
              <w:rPr>
                <w:rFonts w:ascii="Arial Narrow" w:cs="Arial Narrow" w:eastAsia="Arial Narrow" w:hAnsi="Arial Narrow"/>
                <w:sz w:val="20"/>
                <w:szCs w:val="20"/>
                <w:color w:val="auto"/>
              </w:rPr>
              <w:t>—</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ind w:right="2"/>
              <w:spacing w:after="0"/>
              <w:rPr>
                <w:sz w:val="20"/>
                <w:szCs w:val="20"/>
                <w:color w:val="auto"/>
              </w:rPr>
            </w:pPr>
            <w:r>
              <w:rPr>
                <w:rFonts w:ascii="Arial Narrow" w:cs="Arial Narrow" w:eastAsia="Arial Narrow" w:hAnsi="Arial Narrow"/>
                <w:sz w:val="20"/>
                <w:szCs w:val="20"/>
                <w:color w:val="auto"/>
              </w:rPr>
              <w:t>482</w:t>
            </w:r>
          </w:p>
        </w:tc>
      </w:tr>
      <w:tr>
        <w:trPr>
          <w:trHeight w:val="90"/>
        </w:trPr>
        <w:tc>
          <w:tcPr>
            <w:tcW w:w="3640" w:type="dxa"/>
            <w:vAlign w:val="bottom"/>
            <w:tcBorders>
              <w:bottom w:val="single" w:sz="8" w:color="A6A6A6"/>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r>
      <w:tr>
        <w:trPr>
          <w:trHeight w:val="344"/>
        </w:trPr>
        <w:tc>
          <w:tcPr>
            <w:tcW w:w="36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Narrow" w:cs="Arial Narrow" w:eastAsia="Arial Narrow" w:hAnsi="Arial Narrow"/>
                <w:sz w:val="20"/>
                <w:szCs w:val="20"/>
                <w:b w:val="1"/>
                <w:bCs w:val="1"/>
                <w:color w:val="auto"/>
                <w:w w:val="87"/>
              </w:rPr>
              <w:t>$</w:t>
            </w:r>
          </w:p>
        </w:tc>
        <w:tc>
          <w:tcPr>
            <w:tcW w:w="1300" w:type="dxa"/>
            <w:vAlign w:val="bottom"/>
          </w:tcPr>
          <w:p>
            <w:pPr>
              <w:jc w:val="right"/>
              <w:ind w:right="5"/>
              <w:spacing w:after="0"/>
              <w:rPr>
                <w:sz w:val="20"/>
                <w:szCs w:val="20"/>
                <w:color w:val="auto"/>
              </w:rPr>
            </w:pPr>
            <w:r>
              <w:rPr>
                <w:rFonts w:ascii="Arial Narrow" w:cs="Arial Narrow" w:eastAsia="Arial Narrow" w:hAnsi="Arial Narrow"/>
                <w:sz w:val="20"/>
                <w:szCs w:val="20"/>
                <w:b w:val="1"/>
                <w:bCs w:val="1"/>
                <w:color w:val="auto"/>
              </w:rPr>
              <w:t>482</w:t>
            </w:r>
          </w:p>
        </w:tc>
        <w:tc>
          <w:tcPr>
            <w:tcW w:w="180" w:type="dxa"/>
            <w:vAlign w:val="bottom"/>
            <w:gridSpan w:val="2"/>
          </w:tcPr>
          <w:p>
            <w:pPr>
              <w:jc w:val="right"/>
              <w:spacing w:after="0"/>
              <w:rPr>
                <w:sz w:val="20"/>
                <w:szCs w:val="20"/>
                <w:color w:val="auto"/>
              </w:rPr>
            </w:pPr>
            <w:r>
              <w:rPr>
                <w:rFonts w:ascii="Arial Narrow" w:cs="Arial Narrow" w:eastAsia="Arial Narrow" w:hAnsi="Arial Narrow"/>
                <w:sz w:val="20"/>
                <w:szCs w:val="20"/>
                <w:b w:val="1"/>
                <w:bCs w:val="1"/>
                <w:color w:val="auto"/>
              </w:rPr>
              <w:t>$</w:t>
            </w:r>
          </w:p>
        </w:tc>
        <w:tc>
          <w:tcPr>
            <w:tcW w:w="1300" w:type="dxa"/>
            <w:vAlign w:val="bottom"/>
          </w:tcPr>
          <w:p>
            <w:pPr>
              <w:jc w:val="right"/>
              <w:ind w:right="6"/>
              <w:spacing w:after="0"/>
              <w:rPr>
                <w:sz w:val="20"/>
                <w:szCs w:val="20"/>
                <w:color w:val="auto"/>
              </w:rPr>
            </w:pPr>
            <w:r>
              <w:rPr>
                <w:rFonts w:ascii="Arial Narrow" w:cs="Arial Narrow" w:eastAsia="Arial Narrow" w:hAnsi="Arial Narrow"/>
                <w:sz w:val="20"/>
                <w:szCs w:val="20"/>
                <w:b w:val="1"/>
                <w:bCs w:val="1"/>
                <w:color w:val="auto"/>
              </w:rPr>
              <w:t>29,010</w:t>
            </w:r>
          </w:p>
        </w:tc>
        <w:tc>
          <w:tcPr>
            <w:tcW w:w="240" w:type="dxa"/>
            <w:vAlign w:val="bottom"/>
            <w:gridSpan w:val="2"/>
          </w:tcPr>
          <w:p>
            <w:pPr>
              <w:jc w:val="right"/>
              <w:ind w:right="20"/>
              <w:spacing w:after="0"/>
              <w:rPr>
                <w:sz w:val="20"/>
                <w:szCs w:val="20"/>
                <w:color w:val="auto"/>
              </w:rPr>
            </w:pPr>
            <w:r>
              <w:rPr>
                <w:rFonts w:ascii="Arial Narrow" w:cs="Arial Narrow" w:eastAsia="Arial Narrow" w:hAnsi="Arial Narrow"/>
                <w:sz w:val="20"/>
                <w:szCs w:val="20"/>
                <w:b w:val="1"/>
                <w:bCs w:val="1"/>
                <w:color w:val="auto"/>
              </w:rPr>
              <w:t>$</w:t>
            </w:r>
          </w:p>
        </w:tc>
        <w:tc>
          <w:tcPr>
            <w:tcW w:w="1180" w:type="dxa"/>
            <w:vAlign w:val="bottom"/>
          </w:tcPr>
          <w:p>
            <w:pPr>
              <w:jc w:val="right"/>
              <w:ind w:right="4"/>
              <w:spacing w:after="0"/>
              <w:rPr>
                <w:sz w:val="20"/>
                <w:szCs w:val="20"/>
                <w:color w:val="auto"/>
              </w:rPr>
            </w:pPr>
            <w:r>
              <w:rPr>
                <w:rFonts w:ascii="Arial Narrow" w:cs="Arial Narrow" w:eastAsia="Arial Narrow" w:hAnsi="Arial Narrow"/>
                <w:sz w:val="20"/>
                <w:szCs w:val="20"/>
                <w:b w:val="1"/>
                <w:bCs w:val="1"/>
                <w:color w:val="auto"/>
              </w:rPr>
              <w:t>—</w:t>
            </w:r>
          </w:p>
        </w:tc>
        <w:tc>
          <w:tcPr>
            <w:tcW w:w="520" w:type="dxa"/>
            <w:vAlign w:val="bottom"/>
            <w:gridSpan w:val="2"/>
          </w:tcPr>
          <w:p>
            <w:pPr>
              <w:jc w:val="right"/>
              <w:ind w:right="300"/>
              <w:spacing w:after="0"/>
              <w:rPr>
                <w:sz w:val="20"/>
                <w:szCs w:val="20"/>
                <w:color w:val="auto"/>
              </w:rPr>
            </w:pPr>
            <w:r>
              <w:rPr>
                <w:rFonts w:ascii="Arial Narrow" w:cs="Arial Narrow" w:eastAsia="Arial Narrow" w:hAnsi="Arial Narrow"/>
                <w:sz w:val="20"/>
                <w:szCs w:val="20"/>
                <w:b w:val="1"/>
                <w:bCs w:val="1"/>
                <w:color w:val="auto"/>
              </w:rPr>
              <w:t>$</w:t>
            </w:r>
          </w:p>
        </w:tc>
        <w:tc>
          <w:tcPr>
            <w:tcW w:w="900" w:type="dxa"/>
            <w:vAlign w:val="bottom"/>
          </w:tcPr>
          <w:p>
            <w:pPr>
              <w:jc w:val="right"/>
              <w:ind w:right="2"/>
              <w:spacing w:after="0"/>
              <w:rPr>
                <w:sz w:val="20"/>
                <w:szCs w:val="20"/>
                <w:color w:val="auto"/>
              </w:rPr>
            </w:pPr>
            <w:r>
              <w:rPr>
                <w:rFonts w:ascii="Arial Narrow" w:cs="Arial Narrow" w:eastAsia="Arial Narrow" w:hAnsi="Arial Narrow"/>
                <w:sz w:val="20"/>
                <w:szCs w:val="20"/>
                <w:b w:val="1"/>
                <w:bCs w:val="1"/>
                <w:color w:val="auto"/>
              </w:rPr>
              <w:t>29,492</w:t>
            </w:r>
          </w:p>
        </w:tc>
      </w:tr>
      <w:tr>
        <w:trPr>
          <w:trHeight w:val="65"/>
        </w:trPr>
        <w:tc>
          <w:tcPr>
            <w:tcW w:w="364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r>
      <w:tr>
        <w:trPr>
          <w:trHeight w:val="20"/>
        </w:trPr>
        <w:tc>
          <w:tcPr>
            <w:tcW w:w="3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right="20"/>
        <w:spacing w:after="0" w:line="303" w:lineRule="auto"/>
        <w:rPr>
          <w:sz w:val="20"/>
          <w:szCs w:val="20"/>
          <w:color w:val="auto"/>
        </w:rPr>
      </w:pPr>
      <w:r>
        <w:rPr>
          <w:rFonts w:ascii="Arial" w:cs="Arial" w:eastAsia="Arial" w:hAnsi="Arial"/>
          <w:sz w:val="20"/>
          <w:szCs w:val="20"/>
          <w:color w:val="auto"/>
        </w:rPr>
        <w:t>Equity securities consist of funds that are not actively traded. These funds are maintained by an investment manager and are primarily invested in indexes. The remaining funds, excluding cash, primarily consist of investments in institutional funds.</w:t>
      </w:r>
    </w:p>
    <w:p>
      <w:pPr>
        <w:sectPr>
          <w:pgSz w:w="11880" w:h="15480" w:orient="portrait"/>
          <w:cols w:equalWidth="0" w:num="1">
            <w:col w:w="9360"/>
          </w:cols>
          <w:pgMar w:left="1260" w:top="1267" w:right="1260" w:bottom="7"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111</w:t>
      </w:r>
    </w:p>
    <w:p>
      <w:pPr>
        <w:sectPr>
          <w:pgSz w:w="11880" w:h="15480" w:orient="portrait"/>
          <w:cols w:equalWidth="0" w:num="1">
            <w:col w:w="9360"/>
          </w:cols>
          <w:pgMar w:left="1260" w:top="1267" w:right="1260" w:bottom="7" w:gutter="0" w:footer="0" w:header="0"/>
          <w:type w:val="continuous"/>
        </w:sectPr>
      </w:pPr>
    </w:p>
    <w:bookmarkStart w:id="119" w:name="page120"/>
    <w:bookmarkEnd w:id="119"/>
    <w:p>
      <w:pPr>
        <w:spacing w:after="0"/>
        <w:rPr>
          <w:sz w:val="20"/>
          <w:szCs w:val="20"/>
          <w:color w:val="auto"/>
        </w:rPr>
      </w:pPr>
      <w:r>
        <w:rPr>
          <w:rFonts w:ascii="Arial" w:cs="Arial" w:eastAsia="Arial" w:hAnsi="Arial"/>
          <w:sz w:val="22"/>
          <w:szCs w:val="22"/>
          <w:b w:val="1"/>
          <w:bCs w:val="1"/>
          <w:u w:val="single" w:color="auto"/>
          <w:color w:val="00085E"/>
        </w:rPr>
        <w:t>Profit-Sharing Plans</w:t>
      </w:r>
    </w:p>
    <w:p>
      <w:pPr>
        <w:spacing w:after="0" w:line="161" w:lineRule="exact"/>
        <w:rPr>
          <w:sz w:val="20"/>
          <w:szCs w:val="20"/>
          <w:color w:val="auto"/>
        </w:rPr>
      </w:pPr>
    </w:p>
    <w:p>
      <w:pPr>
        <w:spacing w:after="0" w:line="290" w:lineRule="auto"/>
        <w:rPr>
          <w:sz w:val="20"/>
          <w:szCs w:val="20"/>
          <w:color w:val="auto"/>
        </w:rPr>
      </w:pPr>
      <w:r>
        <w:rPr>
          <w:rFonts w:ascii="Arial" w:cs="Arial" w:eastAsia="Arial" w:hAnsi="Arial"/>
          <w:sz w:val="20"/>
          <w:szCs w:val="20"/>
          <w:color w:val="auto"/>
        </w:rPr>
        <w:t>We also provide profit sharing plans, which cover substantially all salaried and certain hourly employees. The profit-sharing plans are defined contribution plans funded by employer discretionary contributions; employees may also contribute a certain percentage of their base annual salary. Employees are fully vested in their own contributions and become fully vested in any Company contributions over a four-year period. Costs relating to the employer discretionary contributions for our plan totaled $10.0 million, $9.8 million, and $9.6 million in fiscal years 2026, 2025, and 2024, respectively.</w:t>
      </w:r>
    </w:p>
    <w:p>
      <w:pPr>
        <w:spacing w:after="0" w:line="73" w:lineRule="exact"/>
        <w:rPr>
          <w:sz w:val="20"/>
          <w:szCs w:val="20"/>
          <w:color w:val="auto"/>
        </w:rPr>
      </w:pPr>
    </w:p>
    <w:p>
      <w:pPr>
        <w:ind w:right="20"/>
        <w:spacing w:after="0" w:line="303" w:lineRule="auto"/>
        <w:rPr>
          <w:sz w:val="20"/>
          <w:szCs w:val="20"/>
          <w:color w:val="auto"/>
        </w:rPr>
      </w:pPr>
      <w:r>
        <w:rPr>
          <w:rFonts w:ascii="Arial" w:cs="Arial" w:eastAsia="Arial" w:hAnsi="Arial"/>
          <w:sz w:val="20"/>
          <w:szCs w:val="20"/>
          <w:color w:val="auto"/>
        </w:rPr>
        <w:t>We also made matching contributions to the hourly profit-sharing plan for certain of our entities totaling $3.4 million, $2.7 million, and $1.8 million for these employees during fiscal years 2026, 2025, and 2024, respectively.</w:t>
      </w:r>
    </w:p>
    <w:p>
      <w:pPr>
        <w:spacing w:after="0" w:line="59" w:lineRule="exact"/>
        <w:rPr>
          <w:sz w:val="20"/>
          <w:szCs w:val="20"/>
          <w:color w:val="auto"/>
        </w:rPr>
      </w:pPr>
    </w:p>
    <w:p>
      <w:pPr>
        <w:ind w:right="40"/>
        <w:spacing w:after="0" w:line="288" w:lineRule="auto"/>
        <w:rPr>
          <w:sz w:val="20"/>
          <w:szCs w:val="20"/>
          <w:color w:val="auto"/>
        </w:rPr>
      </w:pPr>
      <w:r>
        <w:rPr>
          <w:rFonts w:ascii="Arial" w:cs="Arial" w:eastAsia="Arial" w:hAnsi="Arial"/>
          <w:sz w:val="20"/>
          <w:szCs w:val="20"/>
          <w:color w:val="auto"/>
        </w:rPr>
        <w:t>Historically, approximately 50 of our employees each belong to one of two multi-employer plans. The collective bargaining agreement relating to one of these multi-employer plans, which covers approximately 10 of our employees, expired in February 2024 and is currently being renegotiated. The other collective bargaining agreement relating to the other multi-employer plan, which covered approximately 40 of our employees, was terminated during fiscal 2025. Our expense related to these multi-employer plans was approximately $0.1 million, $0.5 million, and $1.7 million during fiscal years 2026, 2025, and 2024, respectively. We anticipate the total expense in fiscal 2027 related to these plans will be approximately $0.2 million.</w:t>
      </w:r>
    </w:p>
    <w:p>
      <w:pPr>
        <w:sectPr>
          <w:pgSz w:w="11880" w:h="15480" w:orient="portrait"/>
          <w:cols w:equalWidth="0" w:num="1">
            <w:col w:w="9240"/>
          </w:cols>
          <w:pgMar w:left="1260" w:top="1243" w:right="1380" w:bottom="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112</w:t>
      </w:r>
    </w:p>
    <w:p>
      <w:pPr>
        <w:sectPr>
          <w:pgSz w:w="11880" w:h="15480" w:orient="portrait"/>
          <w:cols w:equalWidth="0" w:num="1">
            <w:col w:w="9240"/>
          </w:cols>
          <w:pgMar w:left="1260" w:top="1243" w:right="1380" w:bottom="7" w:gutter="0" w:footer="0" w:header="0"/>
          <w:type w:val="continuous"/>
        </w:sectPr>
      </w:pPr>
    </w:p>
    <w:bookmarkStart w:id="120" w:name="page121"/>
    <w:bookmarkEnd w:id="120"/>
    <w:p>
      <w:pPr>
        <w:spacing w:after="0"/>
        <w:rPr>
          <w:sz w:val="20"/>
          <w:szCs w:val="20"/>
          <w:color w:val="auto"/>
        </w:rPr>
      </w:pPr>
      <w:r>
        <w:rPr>
          <w:rFonts w:ascii="Arial" w:cs="Arial" w:eastAsia="Arial" w:hAnsi="Arial"/>
          <w:sz w:val="22"/>
          <w:szCs w:val="22"/>
          <w:b w:val="1"/>
          <w:bCs w:val="1"/>
          <w:color w:val="auto"/>
        </w:rPr>
        <w:t>REPORT OF INDEPENDENT REGISTERED PUBLIC ACCOUNTING FIRM</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To the Stockholders and the Board of Directors of Eagle Materials Inc.</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Opinion on the Financial Statements</w:t>
      </w:r>
    </w:p>
    <w:p>
      <w:pPr>
        <w:spacing w:after="0" w:line="163" w:lineRule="exact"/>
        <w:rPr>
          <w:sz w:val="20"/>
          <w:szCs w:val="20"/>
          <w:color w:val="auto"/>
        </w:rPr>
      </w:pPr>
    </w:p>
    <w:p>
      <w:pPr>
        <w:ind w:right="20"/>
        <w:spacing w:after="0" w:line="288" w:lineRule="auto"/>
        <w:rPr>
          <w:sz w:val="20"/>
          <w:szCs w:val="20"/>
          <w:color w:val="auto"/>
        </w:rPr>
      </w:pPr>
      <w:r>
        <w:rPr>
          <w:rFonts w:ascii="Arial" w:cs="Arial" w:eastAsia="Arial" w:hAnsi="Arial"/>
          <w:sz w:val="20"/>
          <w:szCs w:val="20"/>
          <w:color w:val="auto"/>
        </w:rPr>
        <w:t>We have audited the accompanying consolidated balance sheets of Eagle Materials Inc. and subsidiaries (the Company) as of March 31, 2026 and 2025, the related consolidated statements of earnings, comprehensive earnings, stockholders' equity and cash flows for each of the three years in the period ended March 31, 2026, and the related notes (collectively referred to as the “consolidated financial statements”). In our opinion, the consolidated financial statements present fairly, in all material respects, the financial position of the Company at March 31, 2026 and 2025, and the results of its operations and its cash flows for each of the three years in the period ended March 31, 2026, in conformity with U.S. generally accepted accounting principles.</w:t>
      </w:r>
    </w:p>
    <w:p>
      <w:pPr>
        <w:spacing w:after="0" w:line="112" w:lineRule="exact"/>
        <w:rPr>
          <w:sz w:val="20"/>
          <w:szCs w:val="20"/>
          <w:color w:val="auto"/>
        </w:rPr>
      </w:pPr>
    </w:p>
    <w:p>
      <w:pPr>
        <w:ind w:right="180"/>
        <w:spacing w:after="0" w:line="292" w:lineRule="auto"/>
        <w:rPr>
          <w:sz w:val="20"/>
          <w:szCs w:val="20"/>
          <w:color w:val="auto"/>
        </w:rPr>
      </w:pPr>
      <w:r>
        <w:rPr>
          <w:rFonts w:ascii="Arial" w:cs="Arial" w:eastAsia="Arial" w:hAnsi="Arial"/>
          <w:sz w:val="20"/>
          <w:szCs w:val="20"/>
          <w:color w:val="auto"/>
        </w:rPr>
        <w:t>We also have audited, in accordance with the standards of the Public Company Accounting Oversight Board (United States) (PCAOB), the Company's internal control over financial reporting as of March 31, 2026, based on criteria established in Internal Control—Integrated Framework issued by the Committee of Sponsoring Organizations of the Treadway Commission (2013 framework), and our report dated May 19, 2026 expressed an unqualified opinion thereon.</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168" w:lineRule="exact"/>
        <w:rPr>
          <w:sz w:val="20"/>
          <w:szCs w:val="20"/>
          <w:color w:val="auto"/>
        </w:rPr>
      </w:pPr>
    </w:p>
    <w:p>
      <w:pPr>
        <w:ind w:right="140"/>
        <w:spacing w:after="0" w:line="292" w:lineRule="auto"/>
        <w:rPr>
          <w:sz w:val="20"/>
          <w:szCs w:val="20"/>
          <w:color w:val="auto"/>
        </w:rPr>
      </w:pPr>
      <w:r>
        <w:rPr>
          <w:rFonts w:ascii="Arial" w:cs="Arial" w:eastAsia="Arial" w:hAnsi="Arial"/>
          <w:sz w:val="20"/>
          <w:szCs w:val="20"/>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1" w:lineRule="exact"/>
        <w:rPr>
          <w:sz w:val="20"/>
          <w:szCs w:val="20"/>
          <w:color w:val="auto"/>
        </w:rPr>
      </w:pPr>
    </w:p>
    <w:p>
      <w:pPr>
        <w:spacing w:after="0" w:line="287" w:lineRule="auto"/>
        <w:rPr>
          <w:sz w:val="20"/>
          <w:szCs w:val="20"/>
          <w:color w:val="auto"/>
        </w:rPr>
      </w:pPr>
      <w:r>
        <w:rPr>
          <w:rFonts w:ascii="Arial" w:cs="Arial" w:eastAsia="Arial" w:hAnsi="Arial"/>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ectPr>
          <w:pgSz w:w="11880" w:h="15480" w:orient="portrait"/>
          <w:cols w:equalWidth="0" w:num="1">
            <w:col w:w="9320"/>
          </w:cols>
          <w:pgMar w:left="1260" w:top="1243" w:right="1300" w:bottom="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113</w:t>
      </w:r>
    </w:p>
    <w:p>
      <w:pPr>
        <w:sectPr>
          <w:pgSz w:w="11880" w:h="15480" w:orient="portrait"/>
          <w:cols w:equalWidth="0" w:num="1">
            <w:col w:w="9320"/>
          </w:cols>
          <w:pgMar w:left="1260" w:top="1243" w:right="1300" w:bottom="7" w:gutter="0" w:footer="0" w:header="0"/>
          <w:type w:val="continuous"/>
        </w:sectPr>
      </w:pPr>
    </w:p>
    <w:bookmarkStart w:id="121" w:name="page122"/>
    <w:bookmarkEnd w:id="121"/>
    <w:p>
      <w:pPr>
        <w:spacing w:after="0"/>
        <w:rPr>
          <w:sz w:val="20"/>
          <w:szCs w:val="20"/>
          <w:color w:val="auto"/>
        </w:rPr>
      </w:pPr>
      <w:r>
        <w:rPr>
          <w:rFonts w:ascii="Arial" w:cs="Arial" w:eastAsia="Arial" w:hAnsi="Arial"/>
          <w:sz w:val="20"/>
          <w:szCs w:val="20"/>
          <w:b w:val="1"/>
          <w:bCs w:val="1"/>
          <w:color w:val="auto"/>
        </w:rPr>
        <w:t>Critical Audit Matter</w:t>
      </w:r>
    </w:p>
    <w:p>
      <w:pPr>
        <w:spacing w:after="0" w:line="163" w:lineRule="exact"/>
        <w:rPr>
          <w:sz w:val="20"/>
          <w:szCs w:val="20"/>
          <w:color w:val="auto"/>
        </w:rPr>
      </w:pPr>
    </w:p>
    <w:p>
      <w:pPr>
        <w:ind w:right="120"/>
        <w:spacing w:after="0" w:line="289" w:lineRule="auto"/>
        <w:rPr>
          <w:sz w:val="20"/>
          <w:szCs w:val="20"/>
          <w:color w:val="auto"/>
        </w:rPr>
      </w:pPr>
      <w:r>
        <w:rPr>
          <w:rFonts w:ascii="Arial" w:cs="Arial" w:eastAsia="Arial" w:hAnsi="Arial"/>
          <w:sz w:val="20"/>
          <w:szCs w:val="20"/>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Raw Materials and Materials-in-Progress inventory existence</w:t>
      </w:r>
    </w:p>
    <w:p>
      <w:pPr>
        <w:sectPr>
          <w:pgSz w:w="11880" w:h="15480" w:orient="portrait"/>
          <w:cols w:equalWidth="0" w:num="1">
            <w:col w:w="9340"/>
          </w:cols>
          <w:pgMar w:left="1260" w:top="1264" w:right="1280" w:bottom="7" w:gutter="0" w:footer="0" w:header="0"/>
        </w:sectPr>
      </w:pPr>
    </w:p>
    <w:p>
      <w:pPr>
        <w:spacing w:after="0" w:line="161" w:lineRule="exact"/>
        <w:rPr>
          <w:sz w:val="20"/>
          <w:szCs w:val="20"/>
          <w:color w:val="auto"/>
        </w:rPr>
      </w:pPr>
    </w:p>
    <w:p>
      <w:pPr>
        <w:spacing w:after="0" w:line="304" w:lineRule="auto"/>
        <w:rPr>
          <w:sz w:val="20"/>
          <w:szCs w:val="20"/>
          <w:color w:val="auto"/>
        </w:rPr>
      </w:pPr>
      <w:r>
        <w:rPr>
          <w:rFonts w:ascii="Arial" w:cs="Arial" w:eastAsia="Arial" w:hAnsi="Arial"/>
          <w:sz w:val="21"/>
          <w:szCs w:val="21"/>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280"/>
        <w:spacing w:after="0" w:line="280" w:lineRule="auto"/>
        <w:rPr>
          <w:sz w:val="20"/>
          <w:szCs w:val="20"/>
          <w:color w:val="auto"/>
        </w:rPr>
      </w:pPr>
      <w:r>
        <w:rPr>
          <w:rFonts w:ascii="Arial" w:cs="Arial" w:eastAsia="Arial" w:hAnsi="Arial"/>
          <w:sz w:val="21"/>
          <w:szCs w:val="21"/>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right="40"/>
        <w:spacing w:after="0" w:line="287" w:lineRule="auto"/>
        <w:rPr>
          <w:sz w:val="20"/>
          <w:szCs w:val="20"/>
          <w:color w:val="auto"/>
        </w:rPr>
      </w:pPr>
      <w:r>
        <w:rPr>
          <w:rFonts w:ascii="Arial" w:cs="Arial" w:eastAsia="Arial" w:hAnsi="Arial"/>
          <w:sz w:val="20"/>
          <w:szCs w:val="20"/>
          <w:color w:val="auto"/>
        </w:rPr>
        <w:t>As described in Note A, the Company’s raw materials and materials-in-progress inventory balance was $158.8 million at March 31, 2026. Components of this balance include raw materials that are purchased from third parties, as well as clinker, which is internally manufactured and represents an intermediary product before it is ground into cement powder. Due to the nature of raw materials and materials-in-progress inventory, the Company utilizes technology to measure certain volumes of the inventory stockpiles and applies standard density factors to convert the measurements to tons of inventory, which is then compared to the Company’s recorded balance.</w:t>
      </w:r>
    </w:p>
    <w:p>
      <w:pPr>
        <w:spacing w:after="0" w:line="75" w:lineRule="exact"/>
        <w:rPr>
          <w:sz w:val="20"/>
          <w:szCs w:val="20"/>
          <w:color w:val="auto"/>
        </w:rPr>
      </w:pPr>
    </w:p>
    <w:p>
      <w:pPr>
        <w:jc w:val="both"/>
        <w:ind w:right="140"/>
        <w:spacing w:after="0" w:line="296" w:lineRule="auto"/>
        <w:rPr>
          <w:sz w:val="20"/>
          <w:szCs w:val="20"/>
          <w:color w:val="auto"/>
        </w:rPr>
      </w:pPr>
      <w:r>
        <w:rPr>
          <w:rFonts w:ascii="Arial" w:cs="Arial" w:eastAsia="Arial" w:hAnsi="Arial"/>
          <w:sz w:val="20"/>
          <w:szCs w:val="20"/>
          <w:color w:val="auto"/>
        </w:rPr>
        <w:t>Auditing management’s process for measuring certain raw materials and materials-in-progress inventory was complex as auditor judgment was necessary to evaluate the Company’s process for measuring the inventory, given the technology utilized, and converting the measurements to tonnage.</w:t>
      </w:r>
    </w:p>
    <w:p>
      <w:pPr>
        <w:spacing w:after="0" w:line="65" w:lineRule="exact"/>
        <w:rPr>
          <w:sz w:val="20"/>
          <w:szCs w:val="20"/>
          <w:color w:val="auto"/>
        </w:rPr>
      </w:pPr>
    </w:p>
    <w:p>
      <w:pPr>
        <w:ind w:right="200"/>
        <w:spacing w:after="0" w:line="303" w:lineRule="auto"/>
        <w:rPr>
          <w:sz w:val="20"/>
          <w:szCs w:val="20"/>
          <w:color w:val="auto"/>
        </w:rPr>
      </w:pPr>
      <w:r>
        <w:rPr>
          <w:rFonts w:ascii="Arial" w:cs="Arial" w:eastAsia="Arial" w:hAnsi="Arial"/>
          <w:sz w:val="20"/>
          <w:szCs w:val="20"/>
          <w:color w:val="auto"/>
        </w:rPr>
        <w:t>We obtained an understanding, evaluated the design and tested the operating effectiveness of controls over the Company’s process of determining the existence of certain raw materials and materials-in-progress inventory.</w:t>
      </w:r>
    </w:p>
    <w:p>
      <w:pPr>
        <w:spacing w:after="0" w:line="59" w:lineRule="exact"/>
        <w:rPr>
          <w:sz w:val="20"/>
          <w:szCs w:val="20"/>
          <w:color w:val="auto"/>
        </w:rPr>
      </w:pPr>
    </w:p>
    <w:p>
      <w:pPr>
        <w:spacing w:after="0" w:line="288" w:lineRule="auto"/>
        <w:rPr>
          <w:sz w:val="20"/>
          <w:szCs w:val="20"/>
          <w:color w:val="auto"/>
        </w:rPr>
      </w:pPr>
      <w:r>
        <w:rPr>
          <w:rFonts w:ascii="Arial" w:cs="Arial" w:eastAsia="Arial" w:hAnsi="Arial"/>
          <w:sz w:val="20"/>
          <w:szCs w:val="20"/>
          <w:color w:val="auto"/>
        </w:rPr>
        <w:t>To test the existence of certain raw materials and materials-in-progress inventory, we performed audit procedures, assisted by specialists, that included, among others, obtaining inventory measurements performed by third parties, observing management’s inspection and measurement of inventory, testing the measurement techniques of the inventory stockpiles, testing the underlying calculations of the measurements in the conversion calculations utilizing density factors, and evaluating the appropriateness of the density factors utilized in the calculations as compared to industry information.</w:t>
      </w:r>
    </w:p>
    <w:p>
      <w:pPr>
        <w:spacing w:after="0" w:line="62" w:lineRule="exact"/>
        <w:rPr>
          <w:sz w:val="20"/>
          <w:szCs w:val="20"/>
          <w:color w:val="auto"/>
        </w:rPr>
      </w:pPr>
    </w:p>
    <w:p>
      <w:pPr>
        <w:sectPr>
          <w:pgSz w:w="11880" w:h="15480" w:orient="portrait"/>
          <w:cols w:equalWidth="0" w:num="2">
            <w:col w:w="1640" w:space="200"/>
            <w:col w:w="7500"/>
          </w:cols>
          <w:pgMar w:left="1260" w:top="1264" w:right="1280" w:bottom="7" w:gutter="0" w:footer="0" w:header="0"/>
          <w:type w:val="continuous"/>
        </w:sectPr>
      </w:pPr>
    </w:p>
    <w:p>
      <w:pPr>
        <w:spacing w:after="0"/>
        <w:rPr>
          <w:sz w:val="20"/>
          <w:szCs w:val="20"/>
          <w:color w:val="auto"/>
        </w:rPr>
      </w:pPr>
      <w:r>
        <w:rPr>
          <w:rFonts w:ascii="Arial" w:cs="Arial" w:eastAsia="Arial" w:hAnsi="Arial"/>
          <w:sz w:val="21"/>
          <w:szCs w:val="21"/>
          <w:color w:val="auto"/>
        </w:rPr>
        <w:t>/s/ Ernst &amp; Young LLP</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Company’s auditor since 2002.</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color w:val="auto"/>
        </w:rPr>
        <w:t>Dallas, Texas</w:t>
      </w:r>
    </w:p>
    <w:p>
      <w:pPr>
        <w:spacing w:after="0" w:line="149" w:lineRule="exact"/>
        <w:rPr>
          <w:sz w:val="20"/>
          <w:szCs w:val="20"/>
          <w:color w:val="auto"/>
        </w:rPr>
      </w:pPr>
    </w:p>
    <w:p>
      <w:pPr>
        <w:spacing w:after="0"/>
        <w:rPr>
          <w:sz w:val="20"/>
          <w:szCs w:val="20"/>
          <w:color w:val="auto"/>
        </w:rPr>
      </w:pPr>
      <w:r>
        <w:rPr>
          <w:rFonts w:ascii="Arial" w:cs="Arial" w:eastAsia="Arial" w:hAnsi="Arial"/>
          <w:sz w:val="21"/>
          <w:szCs w:val="21"/>
          <w:color w:val="auto"/>
        </w:rPr>
        <w:t>May 19, 2026</w:t>
      </w:r>
    </w:p>
    <w:p>
      <w:pPr>
        <w:sectPr>
          <w:pgSz w:w="11880" w:h="15480" w:orient="portrait"/>
          <w:cols w:equalWidth="0" w:num="1">
            <w:col w:w="9340"/>
          </w:cols>
          <w:pgMar w:left="1260" w:top="1264" w:right="1280" w:bottom="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114</w:t>
      </w:r>
    </w:p>
    <w:p>
      <w:pPr>
        <w:sectPr>
          <w:pgSz w:w="11880" w:h="15480" w:orient="portrait"/>
          <w:cols w:equalWidth="0" w:num="1">
            <w:col w:w="9340"/>
          </w:cols>
          <w:pgMar w:left="1260" w:top="1264" w:right="1280" w:bottom="7" w:gutter="0" w:footer="0" w:header="0"/>
          <w:type w:val="continuous"/>
        </w:sectPr>
      </w:pPr>
    </w:p>
    <w:bookmarkStart w:id="122" w:name="page123"/>
    <w:bookmarkEnd w:id="122"/>
    <w:p>
      <w:pPr>
        <w:ind w:right="280"/>
        <w:spacing w:after="0" w:line="274" w:lineRule="auto"/>
        <w:rPr>
          <w:sz w:val="20"/>
          <w:szCs w:val="20"/>
          <w:color w:val="auto"/>
        </w:rPr>
      </w:pPr>
      <w:r>
        <w:rPr>
          <w:rFonts w:ascii="Arial" w:cs="Arial" w:eastAsia="Arial" w:hAnsi="Arial"/>
          <w:sz w:val="26"/>
          <w:szCs w:val="26"/>
          <w:b w:val="1"/>
          <w:bCs w:val="1"/>
          <w:color w:val="auto"/>
        </w:rPr>
        <w:t>ITEM 9. Changes in and Disagreements with Accountants on Accounting and Financial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-40005</wp:posOffset>
            </wp:positionV>
            <wp:extent cx="5943600" cy="127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1">
                      <a:extLst>
                        <a:ext uri="{28A0092B-C50C-407E-A947-70E740481C1C}"/>
                      </a:extLst>
                    </a:blip>
                    <a:srcRect/>
                    <a:stretch>
                      <a:fillRect/>
                    </a:stretch>
                  </pic:blipFill>
                  <pic:spPr bwMode="auto">
                    <a:xfrm>
                      <a:off x="0" y="0"/>
                      <a:ext cx="5943600" cy="12700"/>
                    </a:xfrm>
                    <a:prstGeom prst="rect">
                      <a:avLst/>
                    </a:prstGeom>
                    <a:noFill/>
                  </pic:spPr>
                </pic:pic>
              </a:graphicData>
            </a:graphic>
          </wp:anchor>
        </w:drawing>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Item 9a.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5943600" cy="127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2">
                      <a:extLst>
                        <a:ext uri="{28A0092B-C50C-407E-A947-70E740481C1C}"/>
                      </a:extLst>
                    </a:blip>
                    <a:srcRect/>
                    <a:stretch>
                      <a:fillRect/>
                    </a:stretch>
                  </pic:blipFill>
                  <pic:spPr bwMode="auto">
                    <a:xfrm>
                      <a:off x="0" y="0"/>
                      <a:ext cx="5943600" cy="12700"/>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b w:val="1"/>
          <w:bCs w:val="1"/>
          <w:color w:val="00085E"/>
        </w:rPr>
        <w:t>EVALUATION OF DISCLOSURE CONTROLS AND PROCEDURES</w:t>
      </w:r>
    </w:p>
    <w:p>
      <w:pPr>
        <w:spacing w:after="0" w:line="163" w:lineRule="exact"/>
        <w:rPr>
          <w:sz w:val="20"/>
          <w:szCs w:val="20"/>
          <w:color w:val="auto"/>
        </w:rPr>
      </w:pPr>
    </w:p>
    <w:p>
      <w:pPr>
        <w:spacing w:after="0" w:line="303" w:lineRule="auto"/>
        <w:rPr>
          <w:sz w:val="20"/>
          <w:szCs w:val="20"/>
          <w:color w:val="auto"/>
        </w:rPr>
      </w:pPr>
      <w:r>
        <w:rPr>
          <w:rFonts w:ascii="Arial" w:cs="Arial" w:eastAsia="Arial" w:hAnsi="Arial"/>
          <w:sz w:val="19"/>
          <w:szCs w:val="19"/>
          <w:color w:val="auto"/>
        </w:rPr>
        <w:t>We have established a system of disclosure controls and other procedures that are designed to ensure that information related to the Company, that is required to be disclosed by us in the reports that we file or submit under the Exchange Act is recorded, processed, summarized, and reported within the time periods specified by the SEC's rules and forms, and that such information is accumulated and communicated to management, including our Chief Executive Officer (CEO) and CFO, as appropriate to allow timely decisions regarding required disclosure. An evaluation of the effectiveness of the design and operation of our disclosure controls and procedures (as defined in Exchange Act Rule 13a-15(e)) was performed as of the end of the period covered by this annual report. This evaluation was performed under the supervision and with the participation of management, including our CEO and CFO. Based upon that evaluation, our CEO and CFO have concluded that these disclosure controls and procedures were effective.</w:t>
      </w:r>
    </w:p>
    <w:p>
      <w:pPr>
        <w:spacing w:after="0" w:line="62" w:lineRule="exact"/>
        <w:rPr>
          <w:sz w:val="20"/>
          <w:szCs w:val="20"/>
          <w:color w:val="auto"/>
        </w:rPr>
      </w:pPr>
    </w:p>
    <w:p>
      <w:pPr>
        <w:ind w:right="120"/>
        <w:spacing w:after="0" w:line="292" w:lineRule="auto"/>
        <w:rPr>
          <w:sz w:val="20"/>
          <w:szCs w:val="20"/>
          <w:color w:val="auto"/>
        </w:rPr>
      </w:pPr>
      <w:r>
        <w:rPr>
          <w:rFonts w:ascii="Arial" w:cs="Arial" w:eastAsia="Arial" w:hAnsi="Arial"/>
          <w:sz w:val="20"/>
          <w:szCs w:val="20"/>
          <w:color w:val="auto"/>
        </w:rPr>
        <w:t>We are currently undertaking a significant multi-year ERP implementation to upgrade our information technology platforms and business processes. The ERP implementation is occurring in phases over several years, which began in fiscal 2025 with the implementation at Corporate. During the three months ended September 30, 2025, we implemented the ERP at our Gypsum Wallboard and Recycled Paperboard segments.</w:t>
      </w:r>
    </w:p>
    <w:p>
      <w:pPr>
        <w:spacing w:after="0" w:line="71" w:lineRule="exact"/>
        <w:rPr>
          <w:sz w:val="20"/>
          <w:szCs w:val="20"/>
          <w:color w:val="auto"/>
        </w:rPr>
      </w:pPr>
    </w:p>
    <w:p>
      <w:pPr>
        <w:spacing w:after="0" w:line="290" w:lineRule="auto"/>
        <w:rPr>
          <w:sz w:val="20"/>
          <w:szCs w:val="20"/>
          <w:color w:val="auto"/>
        </w:rPr>
      </w:pPr>
      <w:r>
        <w:rPr>
          <w:rFonts w:ascii="Arial" w:cs="Arial" w:eastAsia="Arial" w:hAnsi="Arial"/>
          <w:sz w:val="20"/>
          <w:szCs w:val="20"/>
          <w:color w:val="auto"/>
        </w:rPr>
        <w:t>As a result of this multi-year implementation, we expect certain changes to our processes and procedures, which, in turn, will result in changes to our internal control over financial reporting. While we expect this implementation to strengthen our internal control over financial reporting by automating certain manual processes and standardizing business processes and reporting across our organization, we will continue to evaluate and monitor our internal control over financial reporting as processes and procedures in the affected areas evolve.</w:t>
      </w:r>
    </w:p>
    <w:p>
      <w:pPr>
        <w:spacing w:after="0" w:line="73" w:lineRule="exact"/>
        <w:rPr>
          <w:sz w:val="20"/>
          <w:szCs w:val="20"/>
          <w:color w:val="auto"/>
        </w:rPr>
      </w:pPr>
    </w:p>
    <w:p>
      <w:pPr>
        <w:ind w:right="300"/>
        <w:spacing w:after="0" w:line="325" w:lineRule="auto"/>
        <w:rPr>
          <w:sz w:val="20"/>
          <w:szCs w:val="20"/>
          <w:color w:val="auto"/>
        </w:rPr>
      </w:pPr>
      <w:r>
        <w:rPr>
          <w:rFonts w:ascii="Arial" w:cs="Arial" w:eastAsia="Arial" w:hAnsi="Arial"/>
          <w:sz w:val="20"/>
          <w:szCs w:val="20"/>
          <w:color w:val="auto"/>
        </w:rPr>
        <w:t>There were no changes that occurred during our last fiscal quarter that have materially affected, or are reasonably likely to materially affect, our internal control over financial reporting.</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color w:val="00085E"/>
        </w:rPr>
        <w:t>MANAGEMENT REPORT ON INTERNAL CONTROL OVER FINANCIAL REPORTING</w:t>
      </w:r>
    </w:p>
    <w:p>
      <w:pPr>
        <w:spacing w:after="0" w:line="163" w:lineRule="exact"/>
        <w:rPr>
          <w:sz w:val="20"/>
          <w:szCs w:val="20"/>
          <w:color w:val="auto"/>
        </w:rPr>
      </w:pPr>
    </w:p>
    <w:p>
      <w:pPr>
        <w:ind w:right="40"/>
        <w:spacing w:after="0" w:line="286" w:lineRule="auto"/>
        <w:rPr>
          <w:sz w:val="20"/>
          <w:szCs w:val="20"/>
          <w:color w:val="auto"/>
        </w:rPr>
      </w:pPr>
      <w:r>
        <w:rPr>
          <w:rFonts w:ascii="Arial" w:cs="Arial" w:eastAsia="Arial" w:hAnsi="Arial"/>
          <w:sz w:val="20"/>
          <w:szCs w:val="20"/>
          <w:color w:val="auto"/>
        </w:rPr>
        <w:t xml:space="preserve">Our management is responsible for establishing and maintaining adequate internal control over financial reporting, as defined in Exchange Act Rule 13a-15(f). Under the supervision and with the participation of our management, including our CEO and CFO, we conducted an evaluation of the effectiveness of our internal control over financial reporting based on the framework in </w:t>
      </w:r>
      <w:r>
        <w:rPr>
          <w:rFonts w:ascii="Arial" w:cs="Arial" w:eastAsia="Arial" w:hAnsi="Arial"/>
          <w:sz w:val="20"/>
          <w:szCs w:val="20"/>
          <w:i w:val="1"/>
          <w:iCs w:val="1"/>
          <w:color w:val="auto"/>
        </w:rPr>
        <w:t>Internal Control – Integrated</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Framework </w:t>
      </w:r>
      <w:r>
        <w:rPr>
          <w:rFonts w:ascii="Arial" w:cs="Arial" w:eastAsia="Arial" w:hAnsi="Arial"/>
          <w:sz w:val="20"/>
          <w:szCs w:val="20"/>
          <w:color w:val="auto"/>
        </w:rPr>
        <w:t>issued by the Committee of Sponsoring Organizations of the Treadway Commission (2013</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framework). Based on our evaluation under the framework in </w:t>
      </w:r>
      <w:r>
        <w:rPr>
          <w:rFonts w:ascii="Arial" w:cs="Arial" w:eastAsia="Arial" w:hAnsi="Arial"/>
          <w:sz w:val="20"/>
          <w:szCs w:val="20"/>
          <w:i w:val="1"/>
          <w:iCs w:val="1"/>
          <w:color w:val="auto"/>
        </w:rPr>
        <w:t>Internal Control – Integrated Framework</w:t>
      </w:r>
      <w:r>
        <w:rPr>
          <w:rFonts w:ascii="Arial" w:cs="Arial" w:eastAsia="Arial" w:hAnsi="Arial"/>
          <w:sz w:val="20"/>
          <w:szCs w:val="20"/>
          <w:color w:val="auto"/>
        </w:rPr>
        <w:t>, our management concluded that our internal control over financial reporting was effective as of March 31, 2026. The effectiveness of our internal control over financial reporting as of March 31, 2026, has been audited by Ernst &amp; Young LLP, an independent registered public accounting firm, as stated in their report which is included herein.</w:t>
      </w:r>
    </w:p>
    <w:p>
      <w:pPr>
        <w:sectPr>
          <w:pgSz w:w="11880" w:h="15480" w:orient="portrait"/>
          <w:cols w:equalWidth="0" w:num="1">
            <w:col w:w="9340"/>
          </w:cols>
          <w:pgMar w:left="1260" w:top="1201" w:right="1280" w:bottom="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115</w:t>
      </w:r>
    </w:p>
    <w:p>
      <w:pPr>
        <w:sectPr>
          <w:pgSz w:w="11880" w:h="15480" w:orient="portrait"/>
          <w:cols w:equalWidth="0" w:num="1">
            <w:col w:w="9340"/>
          </w:cols>
          <w:pgMar w:left="1260" w:top="1201" w:right="1280" w:bottom="7" w:gutter="0" w:footer="0" w:header="0"/>
          <w:type w:val="continuous"/>
        </w:sectPr>
      </w:pPr>
    </w:p>
    <w:bookmarkStart w:id="123" w:name="page124"/>
    <w:bookmarkEnd w:id="123"/>
    <w:p>
      <w:pPr>
        <w:ind w:right="2540"/>
        <w:spacing w:after="0" w:line="408" w:lineRule="auto"/>
        <w:rPr>
          <w:sz w:val="20"/>
          <w:szCs w:val="20"/>
          <w:color w:val="auto"/>
        </w:rPr>
      </w:pPr>
      <w:r>
        <w:rPr>
          <w:rFonts w:ascii="Arial" w:cs="Arial" w:eastAsia="Arial" w:hAnsi="Arial"/>
          <w:sz w:val="20"/>
          <w:szCs w:val="20"/>
          <w:b w:val="1"/>
          <w:bCs w:val="1"/>
          <w:color w:val="auto"/>
        </w:rPr>
        <w:t xml:space="preserve">REPORT OF INDEPENDENT REGISTERED PUBLIC ACCOUNTING FIRM </w:t>
      </w:r>
      <w:r>
        <w:rPr>
          <w:rFonts w:ascii="Arial" w:cs="Arial" w:eastAsia="Arial" w:hAnsi="Arial"/>
          <w:sz w:val="20"/>
          <w:szCs w:val="20"/>
          <w:color w:val="auto"/>
        </w:rPr>
        <w:t xml:space="preserve">To the Stockholders and the Board of Directors of Eagle Materials Inc. </w:t>
      </w:r>
      <w:r>
        <w:rPr>
          <w:rFonts w:ascii="Arial" w:cs="Arial" w:eastAsia="Arial" w:hAnsi="Arial"/>
          <w:sz w:val="20"/>
          <w:szCs w:val="20"/>
          <w:b w:val="1"/>
          <w:bCs w:val="1"/>
          <w:color w:val="auto"/>
        </w:rPr>
        <w:t>Opinion on Internal Control Over Financial Reporting</w:t>
      </w:r>
    </w:p>
    <w:p>
      <w:pPr>
        <w:ind w:right="220"/>
        <w:spacing w:after="0" w:line="290" w:lineRule="auto"/>
        <w:rPr>
          <w:sz w:val="20"/>
          <w:szCs w:val="20"/>
          <w:color w:val="auto"/>
        </w:rPr>
      </w:pPr>
      <w:r>
        <w:rPr>
          <w:rFonts w:ascii="Arial" w:cs="Arial" w:eastAsia="Arial" w:hAnsi="Arial"/>
          <w:sz w:val="20"/>
          <w:szCs w:val="20"/>
          <w:color w:val="auto"/>
        </w:rPr>
        <w:t>We have audited Eagle Materials Inc. and subsidiaries’ internal control over financial reporting as of March 31, 2026, based on criteria established in Internal Control—Integrated Framework issued by the Committee of Sponsoring Organizations of the Treadway Commission (2013 framework) (the COSO criteria). In our opinion, Eagle Materials Inc. and subsidiaries (the Company) maintained, in all material respects, effective internal control over financial reporting as of March 31, 2026, based on the COSO criteria.</w:t>
      </w:r>
    </w:p>
    <w:p>
      <w:pPr>
        <w:spacing w:after="0" w:line="73" w:lineRule="exact"/>
        <w:rPr>
          <w:sz w:val="20"/>
          <w:szCs w:val="20"/>
          <w:color w:val="auto"/>
        </w:rPr>
      </w:pPr>
    </w:p>
    <w:p>
      <w:pPr>
        <w:spacing w:after="0" w:line="292" w:lineRule="auto"/>
        <w:rPr>
          <w:sz w:val="20"/>
          <w:szCs w:val="20"/>
          <w:color w:val="auto"/>
        </w:rPr>
      </w:pPr>
      <w:r>
        <w:rPr>
          <w:rFonts w:ascii="Arial" w:cs="Arial" w:eastAsia="Arial" w:hAnsi="Arial"/>
          <w:sz w:val="20"/>
          <w:szCs w:val="20"/>
          <w:color w:val="auto"/>
        </w:rPr>
        <w:t>We also have audited, in accordance with the standards of the Public Company Accounting Oversight Board (United States) (PCAOB), the consolidated balance sheets of the Company as of March 31, 2026 and 2025, the related consolidated statements of earnings, comprehensive earnings, stockholders’ equity and cash flows for each of the three years in the period ended March 31, 2026, and the related notes and our report dated May 19, 2026 expressed an unqualified opinion thereon.</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163" w:lineRule="exact"/>
        <w:rPr>
          <w:sz w:val="20"/>
          <w:szCs w:val="20"/>
          <w:color w:val="auto"/>
        </w:rPr>
      </w:pPr>
    </w:p>
    <w:p>
      <w:pPr>
        <w:spacing w:after="0" w:line="289" w:lineRule="auto"/>
        <w:rPr>
          <w:sz w:val="20"/>
          <w:szCs w:val="20"/>
          <w:color w:val="auto"/>
        </w:rPr>
      </w:pPr>
      <w:r>
        <w:rPr>
          <w:rFonts w:ascii="Arial" w:cs="Arial" w:eastAsia="Arial" w:hAnsi="Arial"/>
          <w:sz w:val="20"/>
          <w:szCs w:val="20"/>
          <w:color w:val="auto"/>
        </w:rPr>
        <w:t>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1" w:lineRule="exact"/>
        <w:rPr>
          <w:sz w:val="20"/>
          <w:szCs w:val="20"/>
          <w:color w:val="auto"/>
        </w:rPr>
      </w:pPr>
    </w:p>
    <w:p>
      <w:pPr>
        <w:jc w:val="both"/>
        <w:ind w:right="220"/>
        <w:spacing w:after="0" w:line="303" w:lineRule="auto"/>
        <w:rPr>
          <w:sz w:val="20"/>
          <w:szCs w:val="20"/>
          <w:color w:val="auto"/>
        </w:rPr>
      </w:pPr>
      <w:r>
        <w:rPr>
          <w:rFonts w:ascii="Arial" w:cs="Arial" w:eastAsia="Arial" w:hAnsi="Arial"/>
          <w:sz w:val="20"/>
          <w:szCs w:val="20"/>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99" w:lineRule="exact"/>
        <w:rPr>
          <w:sz w:val="20"/>
          <w:szCs w:val="20"/>
          <w:color w:val="auto"/>
        </w:rPr>
      </w:pPr>
    </w:p>
    <w:p>
      <w:pPr>
        <w:ind w:right="200"/>
        <w:spacing w:after="0" w:line="296" w:lineRule="auto"/>
        <w:rPr>
          <w:sz w:val="20"/>
          <w:szCs w:val="20"/>
          <w:color w:val="auto"/>
        </w:rPr>
      </w:pPr>
      <w:r>
        <w:rPr>
          <w:rFonts w:ascii="Arial" w:cs="Arial" w:eastAsia="Arial" w:hAnsi="Arial"/>
          <w:sz w:val="20"/>
          <w:szCs w:val="20"/>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Definition and Limitations of Internal Control Over Financial Reporting</w:t>
      </w:r>
    </w:p>
    <w:p>
      <w:pPr>
        <w:spacing w:after="0" w:line="163" w:lineRule="exact"/>
        <w:rPr>
          <w:sz w:val="20"/>
          <w:szCs w:val="20"/>
          <w:color w:val="auto"/>
        </w:rPr>
      </w:pPr>
    </w:p>
    <w:p>
      <w:pPr>
        <w:spacing w:after="0" w:line="286" w:lineRule="auto"/>
        <w:rPr>
          <w:sz w:val="20"/>
          <w:szCs w:val="20"/>
          <w:color w:val="auto"/>
        </w:rPr>
      </w:pPr>
      <w:r>
        <w:rPr>
          <w:rFonts w:ascii="Arial" w:cs="Arial" w:eastAsia="Arial" w:hAnsi="Arial"/>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ectPr>
          <w:pgSz w:w="11880" w:h="15480" w:orient="portrait"/>
          <w:cols w:equalWidth="0" w:num="1">
            <w:col w:w="9300"/>
          </w:cols>
          <w:pgMar w:left="1260" w:top="1264" w:right="1320" w:bottom="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116</w:t>
      </w:r>
    </w:p>
    <w:p>
      <w:pPr>
        <w:sectPr>
          <w:pgSz w:w="11880" w:h="15480" w:orient="portrait"/>
          <w:cols w:equalWidth="0" w:num="1">
            <w:col w:w="9300"/>
          </w:cols>
          <w:pgMar w:left="1260" w:top="1264" w:right="1320" w:bottom="7" w:gutter="0" w:footer="0" w:header="0"/>
          <w:type w:val="continuous"/>
        </w:sectPr>
      </w:pPr>
    </w:p>
    <w:bookmarkStart w:id="124" w:name="page125"/>
    <w:bookmarkEnd w:id="124"/>
    <w:p>
      <w:pPr>
        <w:spacing w:after="0" w:line="296" w:lineRule="auto"/>
        <w:rPr>
          <w:sz w:val="20"/>
          <w:szCs w:val="20"/>
          <w:color w:val="auto"/>
        </w:rPr>
      </w:pPr>
      <w:r>
        <w:rPr>
          <w:rFonts w:ascii="Arial" w:cs="Arial" w:eastAsia="Arial" w:hAnsi="Arial"/>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color w:val="auto"/>
        </w:rPr>
        <w:t>/s/ Ernst &amp; Young LLP</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color w:val="auto"/>
        </w:rPr>
        <w:t>Dallas, Texas</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color w:val="auto"/>
        </w:rPr>
        <w:t>May 19, 2026</w:t>
      </w:r>
    </w:p>
    <w:p>
      <w:pPr>
        <w:sectPr>
          <w:pgSz w:w="11880" w:h="15480" w:orient="portrait"/>
          <w:cols w:equalWidth="0" w:num="1">
            <w:col w:w="9340"/>
          </w:cols>
          <w:pgMar w:left="1260" w:top="1267" w:right="1280" w:bottom="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117</w:t>
      </w:r>
    </w:p>
    <w:p>
      <w:pPr>
        <w:sectPr>
          <w:pgSz w:w="11880" w:h="15480" w:orient="portrait"/>
          <w:cols w:equalWidth="0" w:num="1">
            <w:col w:w="9340"/>
          </w:cols>
          <w:pgMar w:left="1260" w:top="1267" w:right="1280" w:bottom="7" w:gutter="0" w:footer="0" w:header="0"/>
          <w:type w:val="continuous"/>
        </w:sectPr>
      </w:pPr>
    </w:p>
    <w:bookmarkStart w:id="125" w:name="page126"/>
    <w:bookmarkEnd w:id="125"/>
    <w:p>
      <w:pPr>
        <w:spacing w:after="0"/>
        <w:rPr>
          <w:sz w:val="20"/>
          <w:szCs w:val="20"/>
          <w:color w:val="auto"/>
        </w:rPr>
      </w:pPr>
      <w:r>
        <w:rPr>
          <w:rFonts w:ascii="Arial" w:cs="Arial" w:eastAsia="Arial" w:hAnsi="Arial"/>
          <w:sz w:val="26"/>
          <w:szCs w:val="26"/>
          <w:b w:val="1"/>
          <w:bCs w:val="1"/>
          <w:color w:val="auto"/>
        </w:rPr>
        <w:t>ITEM 9b.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5943600" cy="127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3">
                      <a:extLst>
                        <a:ext uri="{28A0092B-C50C-407E-A947-70E740481C1C}"/>
                      </a:extLst>
                    </a:blip>
                    <a:srcRect/>
                    <a:stretch>
                      <a:fillRect/>
                    </a:stretch>
                  </pic:blipFill>
                  <pic:spPr bwMode="auto">
                    <a:xfrm>
                      <a:off x="0" y="0"/>
                      <a:ext cx="5943600" cy="12700"/>
                    </a:xfrm>
                    <a:prstGeom prst="rect">
                      <a:avLst/>
                    </a:prstGeom>
                    <a:noFill/>
                  </pic:spPr>
                </pic:pic>
              </a:graphicData>
            </a:graphic>
          </wp:anchor>
        </w:drawing>
      </w:r>
    </w:p>
    <w:p>
      <w:pPr>
        <w:spacing w:after="0" w:line="178" w:lineRule="exact"/>
        <w:rPr>
          <w:sz w:val="20"/>
          <w:szCs w:val="20"/>
          <w:color w:val="auto"/>
        </w:rPr>
      </w:pPr>
    </w:p>
    <w:p>
      <w:pPr>
        <w:jc w:val="both"/>
        <w:ind w:right="420"/>
        <w:spacing w:after="0" w:line="303" w:lineRule="auto"/>
        <w:rPr>
          <w:sz w:val="20"/>
          <w:szCs w:val="20"/>
          <w:color w:val="auto"/>
        </w:rPr>
      </w:pPr>
      <w:r>
        <w:rPr>
          <w:rFonts w:ascii="Arial" w:cs="Arial" w:eastAsia="Arial" w:hAnsi="Arial"/>
          <w:sz w:val="20"/>
          <w:szCs w:val="20"/>
          <w:color w:val="auto"/>
        </w:rPr>
        <w:t>None of the Company's directors or officers adopted, modified, or terminated a Rule 10b5-1 trading arrangement, or a non-Rule 10b5-1 trading arrangement during the Company's fiscal fourth quarter ended March 31, 2026.</w:t>
      </w:r>
    </w:p>
    <w:p>
      <w:pPr>
        <w:spacing w:after="0" w:line="200" w:lineRule="exact"/>
        <w:rPr>
          <w:sz w:val="20"/>
          <w:szCs w:val="20"/>
          <w:color w:val="auto"/>
        </w:rPr>
      </w:pPr>
    </w:p>
    <w:p>
      <w:pPr>
        <w:spacing w:after="0" w:line="232" w:lineRule="exact"/>
        <w:rPr>
          <w:sz w:val="20"/>
          <w:szCs w:val="20"/>
          <w:color w:val="auto"/>
        </w:rPr>
      </w:pPr>
    </w:p>
    <w:p>
      <w:pPr>
        <w:ind w:right="940"/>
        <w:spacing w:after="0" w:line="274" w:lineRule="auto"/>
        <w:rPr>
          <w:sz w:val="20"/>
          <w:szCs w:val="20"/>
          <w:color w:val="auto"/>
        </w:rPr>
      </w:pPr>
      <w:r>
        <w:rPr>
          <w:rFonts w:ascii="Arial" w:cs="Arial" w:eastAsia="Arial" w:hAnsi="Arial"/>
          <w:sz w:val="26"/>
          <w:szCs w:val="26"/>
          <w:b w:val="1"/>
          <w:bCs w:val="1"/>
          <w:color w:val="auto"/>
        </w:rPr>
        <w:t>ITEM 9c. Disclosure Regarding Foreign Jurisdictions That Prevent Inspections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-40005</wp:posOffset>
            </wp:positionV>
            <wp:extent cx="5943600" cy="127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4">
                      <a:extLst>
                        <a:ext uri="{28A0092B-C50C-407E-A947-70E740481C1C}"/>
                      </a:extLst>
                    </a:blip>
                    <a:srcRect/>
                    <a:stretch>
                      <a:fillRect/>
                    </a:stretch>
                  </pic:blipFill>
                  <pic:spPr bwMode="auto">
                    <a:xfrm>
                      <a:off x="0" y="0"/>
                      <a:ext cx="5943600" cy="12700"/>
                    </a:xfrm>
                    <a:prstGeom prst="rect">
                      <a:avLst/>
                    </a:prstGeom>
                    <a:noFill/>
                  </pic:spPr>
                </pic:pic>
              </a:graphicData>
            </a:graphic>
          </wp:anchor>
        </w:drawing>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ectPr>
          <w:pgSz w:w="11880" w:h="15480" w:orient="portrait"/>
          <w:cols w:equalWidth="0" w:num="1">
            <w:col w:w="9180"/>
          </w:cols>
          <w:pgMar w:left="1260" w:top="1201" w:right="1440" w:bottom="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118</w:t>
      </w:r>
    </w:p>
    <w:p>
      <w:pPr>
        <w:sectPr>
          <w:pgSz w:w="11880" w:h="15480" w:orient="portrait"/>
          <w:cols w:equalWidth="0" w:num="1">
            <w:col w:w="9180"/>
          </w:cols>
          <w:pgMar w:left="1260" w:top="1201" w:right="1440" w:bottom="7" w:gutter="0" w:footer="0" w:header="0"/>
          <w:type w:val="continuous"/>
        </w:sectPr>
      </w:pPr>
    </w:p>
    <w:bookmarkStart w:id="126" w:name="page127"/>
    <w:bookmarkEnd w:id="126"/>
    <w:p>
      <w:pPr>
        <w:spacing w:after="0"/>
        <w:rPr>
          <w:sz w:val="20"/>
          <w:szCs w:val="20"/>
          <w:color w:val="auto"/>
        </w:rPr>
      </w:pPr>
      <w:r>
        <w:rPr>
          <w:rFonts w:ascii="Arial" w:cs="Arial" w:eastAsia="Arial" w:hAnsi="Arial"/>
          <w:sz w:val="26"/>
          <w:szCs w:val="26"/>
          <w:b w:val="1"/>
          <w:bCs w:val="1"/>
          <w:color w:val="00085E"/>
        </w:rPr>
        <w:t>PART III</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ITEM 10. Directors, Executive Officers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5943600" cy="127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5">
                      <a:extLst>
                        <a:ext uri="{28A0092B-C50C-407E-A947-70E740481C1C}"/>
                      </a:extLst>
                    </a:blip>
                    <a:srcRect/>
                    <a:stretch>
                      <a:fillRect/>
                    </a:stretch>
                  </pic:blipFill>
                  <pic:spPr bwMode="auto">
                    <a:xfrm>
                      <a:off x="0" y="0"/>
                      <a:ext cx="5943600" cy="12700"/>
                    </a:xfrm>
                    <a:prstGeom prst="rect">
                      <a:avLst/>
                    </a:prstGeom>
                    <a:noFill/>
                  </pic:spPr>
                </pic:pic>
              </a:graphicData>
            </a:graphic>
          </wp:anchor>
        </w:drawing>
      </w:r>
    </w:p>
    <w:p>
      <w:pPr>
        <w:spacing w:after="0" w:line="178" w:lineRule="exact"/>
        <w:rPr>
          <w:sz w:val="20"/>
          <w:szCs w:val="20"/>
          <w:color w:val="auto"/>
        </w:rPr>
      </w:pPr>
    </w:p>
    <w:p>
      <w:pPr>
        <w:jc w:val="both"/>
        <w:ind w:right="160"/>
        <w:spacing w:after="0" w:line="296" w:lineRule="auto"/>
        <w:rPr>
          <w:sz w:val="20"/>
          <w:szCs w:val="20"/>
          <w:color w:val="auto"/>
        </w:rPr>
      </w:pPr>
      <w:r>
        <w:rPr>
          <w:rFonts w:ascii="Arial" w:cs="Arial" w:eastAsia="Arial" w:hAnsi="Arial"/>
          <w:sz w:val="20"/>
          <w:szCs w:val="20"/>
          <w:color w:val="auto"/>
        </w:rPr>
        <w:t>Except for the information below regarding our code of ethics, the information called for by Items 10, 11, 12, 13, and 14 is incorporated herein by reference to the information included and referenced under the following captions in the Company’s Proxy Statement for the Company’s July 30, 2026, Annual Meeting of Stockholders (the 2026 EXP Proxy Statement):</w:t>
      </w:r>
    </w:p>
    <w:p>
      <w:pPr>
        <w:spacing w:after="0" w:line="21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Items</w:t>
      </w:r>
      <w:r>
        <w:rPr>
          <w:sz w:val="20"/>
          <w:szCs w:val="20"/>
          <w:color w:val="auto"/>
        </w:rPr>
        <w:tab/>
      </w:r>
      <w:r>
        <w:rPr>
          <w:rFonts w:ascii="Arial" w:cs="Arial" w:eastAsia="Arial" w:hAnsi="Arial"/>
          <w:sz w:val="17"/>
          <w:szCs w:val="17"/>
          <w:b w:val="1"/>
          <w:bCs w:val="1"/>
          <w:color w:val="auto"/>
        </w:rPr>
        <w:t>Caption in the 2026 EXP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57150</wp:posOffset>
            </wp:positionV>
            <wp:extent cx="5943600" cy="285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6">
                      <a:extLst>
                        <a:ext uri="{28A0092B-C50C-407E-A947-70E740481C1C}"/>
                      </a:extLst>
                    </a:blip>
                    <a:srcRect/>
                    <a:stretch>
                      <a:fillRect/>
                    </a:stretch>
                  </pic:blipFill>
                  <pic:spPr bwMode="auto">
                    <a:xfrm>
                      <a:off x="0" y="0"/>
                      <a:ext cx="5943600" cy="28575"/>
                    </a:xfrm>
                    <a:prstGeom prst="rect">
                      <a:avLst/>
                    </a:prstGeom>
                    <a:noFill/>
                  </pic:spPr>
                </pic:pic>
              </a:graphicData>
            </a:graphic>
          </wp:anchor>
        </w:drawing>
      </w:r>
    </w:p>
    <w:p>
      <w:pPr>
        <w:spacing w:after="0" w:line="164" w:lineRule="exact"/>
        <w:rPr>
          <w:sz w:val="20"/>
          <w:szCs w:val="20"/>
          <w:color w:val="auto"/>
        </w:rPr>
      </w:pPr>
    </w:p>
    <w:p>
      <w:pPr>
        <w:ind w:left="640" w:hanging="640"/>
        <w:spacing w:after="0"/>
        <w:tabs>
          <w:tab w:leader="none" w:pos="640" w:val="left"/>
        </w:tabs>
        <w:numPr>
          <w:ilvl w:val="0"/>
          <w:numId w:val="35"/>
        </w:numPr>
        <w:rPr>
          <w:rFonts w:ascii="Arial" w:cs="Arial" w:eastAsia="Arial" w:hAnsi="Arial"/>
          <w:sz w:val="20"/>
          <w:szCs w:val="20"/>
          <w:color w:val="auto"/>
        </w:rPr>
      </w:pPr>
      <w:r>
        <w:rPr>
          <w:rFonts w:ascii="Arial" w:cs="Arial" w:eastAsia="Arial" w:hAnsi="Arial"/>
          <w:sz w:val="20"/>
          <w:szCs w:val="20"/>
          <w:color w:val="00085E"/>
        </w:rPr>
        <w:t>Executive Officers Who Are Not Directors</w:t>
      </w:r>
    </w:p>
    <w:p>
      <w:pPr>
        <w:spacing w:after="0" w:line="148" w:lineRule="exact"/>
        <w:rPr>
          <w:rFonts w:ascii="Arial" w:cs="Arial" w:eastAsia="Arial" w:hAnsi="Arial"/>
          <w:sz w:val="20"/>
          <w:szCs w:val="20"/>
          <w:color w:val="auto"/>
        </w:rPr>
      </w:pPr>
    </w:p>
    <w:p>
      <w:pPr>
        <w:ind w:left="640" w:hanging="640"/>
        <w:spacing w:after="0"/>
        <w:tabs>
          <w:tab w:leader="none" w:pos="640" w:val="left"/>
        </w:tabs>
        <w:numPr>
          <w:ilvl w:val="0"/>
          <w:numId w:val="36"/>
        </w:numPr>
        <w:rPr>
          <w:rFonts w:ascii="Arial" w:cs="Arial" w:eastAsia="Arial" w:hAnsi="Arial"/>
          <w:sz w:val="20"/>
          <w:szCs w:val="20"/>
          <w:color w:val="auto"/>
        </w:rPr>
      </w:pPr>
      <w:r>
        <w:rPr>
          <w:rFonts w:ascii="Arial" w:cs="Arial" w:eastAsia="Arial" w:hAnsi="Arial"/>
          <w:sz w:val="20"/>
          <w:szCs w:val="20"/>
          <w:color w:val="00085E"/>
        </w:rPr>
        <w:t>Election of Directors and Related Matters</w:t>
      </w:r>
    </w:p>
    <w:p>
      <w:pPr>
        <w:spacing w:after="0" w:line="148" w:lineRule="exact"/>
        <w:rPr>
          <w:rFonts w:ascii="Arial" w:cs="Arial" w:eastAsia="Arial" w:hAnsi="Arial"/>
          <w:sz w:val="20"/>
          <w:szCs w:val="20"/>
          <w:color w:val="auto"/>
        </w:rPr>
      </w:pPr>
    </w:p>
    <w:p>
      <w:pPr>
        <w:ind w:left="640" w:hanging="640"/>
        <w:spacing w:after="0"/>
        <w:tabs>
          <w:tab w:leader="none" w:pos="640" w:val="left"/>
        </w:tabs>
        <w:numPr>
          <w:ilvl w:val="0"/>
          <w:numId w:val="37"/>
        </w:numPr>
        <w:rPr>
          <w:rFonts w:ascii="Arial" w:cs="Arial" w:eastAsia="Arial" w:hAnsi="Arial"/>
          <w:sz w:val="20"/>
          <w:szCs w:val="20"/>
          <w:color w:val="auto"/>
        </w:rPr>
      </w:pPr>
      <w:r>
        <w:rPr>
          <w:rFonts w:ascii="Arial" w:cs="Arial" w:eastAsia="Arial" w:hAnsi="Arial"/>
          <w:sz w:val="20"/>
          <w:szCs w:val="20"/>
          <w:color w:val="00085E"/>
        </w:rPr>
        <w:t>Stock Ownership - Insider Trading and Prohibited Transactions in Company Securities</w:t>
      </w:r>
    </w:p>
    <w:p>
      <w:pPr>
        <w:spacing w:after="0" w:line="148" w:lineRule="exact"/>
        <w:rPr>
          <w:rFonts w:ascii="Arial" w:cs="Arial" w:eastAsia="Arial" w:hAnsi="Arial"/>
          <w:sz w:val="20"/>
          <w:szCs w:val="20"/>
          <w:color w:val="auto"/>
        </w:rPr>
      </w:pPr>
    </w:p>
    <w:p>
      <w:pPr>
        <w:ind w:left="640" w:hanging="640"/>
        <w:spacing w:after="0"/>
        <w:tabs>
          <w:tab w:leader="none" w:pos="640" w:val="left"/>
        </w:tabs>
        <w:numPr>
          <w:ilvl w:val="0"/>
          <w:numId w:val="38"/>
        </w:numPr>
        <w:rPr>
          <w:rFonts w:ascii="Arial" w:cs="Arial" w:eastAsia="Arial" w:hAnsi="Arial"/>
          <w:sz w:val="20"/>
          <w:szCs w:val="20"/>
          <w:color w:val="auto"/>
        </w:rPr>
      </w:pPr>
      <w:r>
        <w:rPr>
          <w:rFonts w:ascii="Arial" w:cs="Arial" w:eastAsia="Arial" w:hAnsi="Arial"/>
          <w:sz w:val="20"/>
          <w:szCs w:val="20"/>
          <w:color w:val="00085E"/>
        </w:rPr>
        <w:t>Stock Ownership – Code of Conduct</w:t>
      </w:r>
    </w:p>
    <w:p>
      <w:pPr>
        <w:spacing w:after="0" w:line="148" w:lineRule="exact"/>
        <w:rPr>
          <w:rFonts w:ascii="Arial" w:cs="Arial" w:eastAsia="Arial" w:hAnsi="Arial"/>
          <w:sz w:val="20"/>
          <w:szCs w:val="20"/>
          <w:color w:val="auto"/>
        </w:rPr>
      </w:pPr>
    </w:p>
    <w:p>
      <w:pPr>
        <w:ind w:left="640" w:hanging="640"/>
        <w:spacing w:after="0"/>
        <w:tabs>
          <w:tab w:leader="none" w:pos="640" w:val="left"/>
        </w:tabs>
        <w:numPr>
          <w:ilvl w:val="0"/>
          <w:numId w:val="38"/>
        </w:numPr>
        <w:rPr>
          <w:rFonts w:ascii="Arial" w:cs="Arial" w:eastAsia="Arial" w:hAnsi="Arial"/>
          <w:sz w:val="20"/>
          <w:szCs w:val="20"/>
          <w:color w:val="auto"/>
        </w:rPr>
      </w:pPr>
      <w:r>
        <w:rPr>
          <w:rFonts w:ascii="Arial" w:cs="Arial" w:eastAsia="Arial" w:hAnsi="Arial"/>
          <w:sz w:val="20"/>
          <w:szCs w:val="20"/>
          <w:color w:val="00085E"/>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-902970</wp:posOffset>
            </wp:positionV>
            <wp:extent cx="5943600" cy="6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7">
                      <a:extLst>
                        <a:ext uri="{28A0092B-C50C-407E-A947-70E740481C1C}"/>
                      </a:extLst>
                    </a:blip>
                    <a:srcRect/>
                    <a:stretch>
                      <a:fillRect/>
                    </a:stretch>
                  </pic:blipFill>
                  <pic:spPr bwMode="auto">
                    <a:xfrm>
                      <a:off x="0" y="0"/>
                      <a:ext cx="594360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-662940</wp:posOffset>
            </wp:positionV>
            <wp:extent cx="5943600" cy="6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78">
                      <a:extLst>
                        <a:ext uri="{28A0092B-C50C-407E-A947-70E740481C1C}"/>
                      </a:extLst>
                    </a:blip>
                    <a:srcRect/>
                    <a:stretch>
                      <a:fillRect/>
                    </a:stretch>
                  </pic:blipFill>
                  <pic:spPr bwMode="auto">
                    <a:xfrm>
                      <a:off x="0" y="0"/>
                      <a:ext cx="594360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-422910</wp:posOffset>
            </wp:positionV>
            <wp:extent cx="5943600" cy="6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79">
                      <a:extLst>
                        <a:ext uri="{28A0092B-C50C-407E-A947-70E740481C1C}"/>
                      </a:extLst>
                    </a:blip>
                    <a:srcRect/>
                    <a:stretch>
                      <a:fillRect/>
                    </a:stretch>
                  </pic:blipFill>
                  <pic:spPr bwMode="auto">
                    <a:xfrm>
                      <a:off x="0" y="0"/>
                      <a:ext cx="594360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-182880</wp:posOffset>
            </wp:positionV>
            <wp:extent cx="5943600"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0">
                      <a:extLst>
                        <a:ext uri="{28A0092B-C50C-407E-A947-70E740481C1C}"/>
                      </a:extLst>
                    </a:blip>
                    <a:srcRect/>
                    <a:stretch>
                      <a:fillRect/>
                    </a:stretch>
                  </pic:blipFill>
                  <pic:spPr bwMode="auto">
                    <a:xfrm>
                      <a:off x="0" y="0"/>
                      <a:ext cx="594360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56515</wp:posOffset>
            </wp:positionV>
            <wp:extent cx="5943600" cy="63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1">
                      <a:extLst>
                        <a:ext uri="{28A0092B-C50C-407E-A947-70E740481C1C}"/>
                      </a:extLst>
                    </a:blip>
                    <a:srcRect/>
                    <a:stretch>
                      <a:fillRect/>
                    </a:stretch>
                  </pic:blipFill>
                  <pic:spPr bwMode="auto">
                    <a:xfrm>
                      <a:off x="0" y="0"/>
                      <a:ext cx="5943600" cy="6350"/>
                    </a:xfrm>
                    <a:prstGeom prst="rect">
                      <a:avLst/>
                    </a:prstGeom>
                    <a:noFill/>
                  </pic:spPr>
                </pic:pic>
              </a:graphicData>
            </a:graphic>
          </wp:anchor>
        </w:drawing>
      </w:r>
    </w:p>
    <w:p>
      <w:pPr>
        <w:spacing w:after="0" w:line="128" w:lineRule="exact"/>
        <w:rPr>
          <w:sz w:val="20"/>
          <w:szCs w:val="20"/>
          <w:color w:val="auto"/>
        </w:rPr>
      </w:pPr>
    </w:p>
    <w:p>
      <w:pPr>
        <w:ind w:left="640" w:hanging="640"/>
        <w:spacing w:after="0"/>
        <w:tabs>
          <w:tab w:leader="none" w:pos="640" w:val="left"/>
        </w:tabs>
        <w:numPr>
          <w:ilvl w:val="0"/>
          <w:numId w:val="39"/>
        </w:numPr>
        <w:rPr>
          <w:rFonts w:ascii="Arial" w:cs="Arial" w:eastAsia="Arial" w:hAnsi="Arial"/>
          <w:sz w:val="20"/>
          <w:szCs w:val="20"/>
          <w:color w:val="auto"/>
        </w:rPr>
      </w:pPr>
      <w:r>
        <w:rPr>
          <w:rFonts w:ascii="Arial" w:cs="Arial" w:eastAsia="Arial" w:hAnsi="Arial"/>
          <w:sz w:val="20"/>
          <w:szCs w:val="20"/>
          <w:color w:val="00085E"/>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5943600" cy="6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2">
                      <a:extLst>
                        <a:ext uri="{28A0092B-C50C-407E-A947-70E740481C1C}"/>
                      </a:extLst>
                    </a:blip>
                    <a:srcRect/>
                    <a:stretch>
                      <a:fillRect/>
                    </a:stretch>
                  </pic:blipFill>
                  <pic:spPr bwMode="auto">
                    <a:xfrm>
                      <a:off x="0" y="0"/>
                      <a:ext cx="5943600" cy="6350"/>
                    </a:xfrm>
                    <a:prstGeom prst="rect">
                      <a:avLst/>
                    </a:prstGeom>
                    <a:noFill/>
                  </pic:spPr>
                </pic:pic>
              </a:graphicData>
            </a:graphic>
          </wp:anchor>
        </w:drawing>
      </w:r>
    </w:p>
    <w:p>
      <w:pPr>
        <w:spacing w:after="0" w:line="128" w:lineRule="exact"/>
        <w:rPr>
          <w:sz w:val="20"/>
          <w:szCs w:val="20"/>
          <w:color w:val="auto"/>
        </w:rPr>
      </w:pPr>
    </w:p>
    <w:p>
      <w:pPr>
        <w:ind w:left="640" w:hanging="640"/>
        <w:spacing w:after="0"/>
        <w:tabs>
          <w:tab w:leader="none" w:pos="640" w:val="left"/>
        </w:tabs>
        <w:numPr>
          <w:ilvl w:val="0"/>
          <w:numId w:val="40"/>
        </w:numPr>
        <w:rPr>
          <w:rFonts w:ascii="Arial" w:cs="Arial" w:eastAsia="Arial" w:hAnsi="Arial"/>
          <w:sz w:val="20"/>
          <w:szCs w:val="20"/>
          <w:color w:val="auto"/>
        </w:rPr>
      </w:pPr>
      <w:r>
        <w:rPr>
          <w:rFonts w:ascii="Arial" w:cs="Arial" w:eastAsia="Arial" w:hAnsi="Arial"/>
          <w:sz w:val="20"/>
          <w:szCs w:val="20"/>
          <w:color w:val="00085E"/>
        </w:rPr>
        <w:t>Potential Payments Upon Termination or Change in Control</w:t>
      </w:r>
    </w:p>
    <w:p>
      <w:pPr>
        <w:spacing w:after="0" w:line="148" w:lineRule="exact"/>
        <w:rPr>
          <w:rFonts w:ascii="Arial" w:cs="Arial" w:eastAsia="Arial" w:hAnsi="Arial"/>
          <w:sz w:val="20"/>
          <w:szCs w:val="20"/>
          <w:color w:val="auto"/>
        </w:rPr>
      </w:pPr>
    </w:p>
    <w:p>
      <w:pPr>
        <w:ind w:left="640" w:hanging="640"/>
        <w:spacing w:after="0"/>
        <w:tabs>
          <w:tab w:leader="none" w:pos="640" w:val="left"/>
        </w:tabs>
        <w:numPr>
          <w:ilvl w:val="0"/>
          <w:numId w:val="40"/>
        </w:numPr>
        <w:rPr>
          <w:rFonts w:ascii="Arial" w:cs="Arial" w:eastAsia="Arial" w:hAnsi="Arial"/>
          <w:sz w:val="20"/>
          <w:szCs w:val="20"/>
          <w:color w:val="auto"/>
        </w:rPr>
      </w:pPr>
      <w:r>
        <w:rPr>
          <w:rFonts w:ascii="Arial" w:cs="Arial" w:eastAsia="Arial" w:hAnsi="Arial"/>
          <w:sz w:val="20"/>
          <w:szCs w:val="20"/>
          <w:color w:val="00085E"/>
        </w:rPr>
        <w:t>Stock Ownership</w:t>
      </w:r>
    </w:p>
    <w:p>
      <w:pPr>
        <w:spacing w:after="0" w:line="148" w:lineRule="exact"/>
        <w:rPr>
          <w:rFonts w:ascii="Arial" w:cs="Arial" w:eastAsia="Arial" w:hAnsi="Arial"/>
          <w:sz w:val="20"/>
          <w:szCs w:val="20"/>
          <w:color w:val="auto"/>
        </w:rPr>
      </w:pPr>
    </w:p>
    <w:p>
      <w:pPr>
        <w:ind w:left="640" w:hanging="640"/>
        <w:spacing w:after="0"/>
        <w:tabs>
          <w:tab w:leader="none" w:pos="640" w:val="left"/>
        </w:tabs>
        <w:numPr>
          <w:ilvl w:val="0"/>
          <w:numId w:val="40"/>
        </w:numPr>
        <w:rPr>
          <w:rFonts w:ascii="Arial" w:cs="Arial" w:eastAsia="Arial" w:hAnsi="Arial"/>
          <w:sz w:val="20"/>
          <w:szCs w:val="20"/>
          <w:color w:val="auto"/>
        </w:rPr>
      </w:pPr>
      <w:r>
        <w:rPr>
          <w:rFonts w:ascii="Arial" w:cs="Arial" w:eastAsia="Arial" w:hAnsi="Arial"/>
          <w:sz w:val="20"/>
          <w:szCs w:val="20"/>
          <w:color w:val="00085E"/>
        </w:rPr>
        <w:t>Stock Ownership –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-422910</wp:posOffset>
            </wp:positionV>
            <wp:extent cx="5943600" cy="63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3">
                      <a:extLst>
                        <a:ext uri="{28A0092B-C50C-407E-A947-70E740481C1C}"/>
                      </a:extLst>
                    </a:blip>
                    <a:srcRect/>
                    <a:stretch>
                      <a:fillRect/>
                    </a:stretch>
                  </pic:blipFill>
                  <pic:spPr bwMode="auto">
                    <a:xfrm>
                      <a:off x="0" y="0"/>
                      <a:ext cx="594360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-182880</wp:posOffset>
            </wp:positionV>
            <wp:extent cx="5943600" cy="6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4">
                      <a:extLst>
                        <a:ext uri="{28A0092B-C50C-407E-A947-70E740481C1C}"/>
                      </a:extLst>
                    </a:blip>
                    <a:srcRect/>
                    <a:stretch>
                      <a:fillRect/>
                    </a:stretch>
                  </pic:blipFill>
                  <pic:spPr bwMode="auto">
                    <a:xfrm>
                      <a:off x="0" y="0"/>
                      <a:ext cx="594360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56515</wp:posOffset>
            </wp:positionV>
            <wp:extent cx="5943600" cy="63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5">
                      <a:extLst>
                        <a:ext uri="{28A0092B-C50C-407E-A947-70E740481C1C}"/>
                      </a:extLst>
                    </a:blip>
                    <a:srcRect/>
                    <a:stretch>
                      <a:fillRect/>
                    </a:stretch>
                  </pic:blipFill>
                  <pic:spPr bwMode="auto">
                    <a:xfrm>
                      <a:off x="0" y="0"/>
                      <a:ext cx="5943600" cy="6350"/>
                    </a:xfrm>
                    <a:prstGeom prst="rect">
                      <a:avLst/>
                    </a:prstGeom>
                    <a:noFill/>
                  </pic:spPr>
                </pic:pic>
              </a:graphicData>
            </a:graphic>
          </wp:anchor>
        </w:drawing>
      </w:r>
    </w:p>
    <w:p>
      <w:pPr>
        <w:spacing w:after="0" w:line="128" w:lineRule="exact"/>
        <w:rPr>
          <w:sz w:val="20"/>
          <w:szCs w:val="20"/>
          <w:color w:val="auto"/>
        </w:rPr>
      </w:pPr>
    </w:p>
    <w:p>
      <w:pPr>
        <w:ind w:left="640" w:hanging="640"/>
        <w:spacing w:after="0"/>
        <w:tabs>
          <w:tab w:leader="none" w:pos="640" w:val="left"/>
        </w:tabs>
        <w:numPr>
          <w:ilvl w:val="0"/>
          <w:numId w:val="41"/>
        </w:numPr>
        <w:rPr>
          <w:rFonts w:ascii="Arial" w:cs="Arial" w:eastAsia="Arial" w:hAnsi="Arial"/>
          <w:sz w:val="20"/>
          <w:szCs w:val="20"/>
          <w:color w:val="auto"/>
        </w:rPr>
      </w:pPr>
      <w:r>
        <w:rPr>
          <w:rFonts w:ascii="Arial" w:cs="Arial" w:eastAsia="Arial" w:hAnsi="Arial"/>
          <w:sz w:val="20"/>
          <w:szCs w:val="20"/>
          <w:color w:val="00085E"/>
        </w:rPr>
        <w:t>Election of Directors and Related Matters</w:t>
      </w:r>
    </w:p>
    <w:p>
      <w:pPr>
        <w:spacing w:after="0" w:line="148" w:lineRule="exact"/>
        <w:rPr>
          <w:rFonts w:ascii="Arial" w:cs="Arial" w:eastAsia="Arial" w:hAnsi="Arial"/>
          <w:sz w:val="20"/>
          <w:szCs w:val="20"/>
          <w:color w:val="auto"/>
        </w:rPr>
      </w:pPr>
    </w:p>
    <w:p>
      <w:pPr>
        <w:ind w:left="640" w:hanging="640"/>
        <w:spacing w:after="0"/>
        <w:tabs>
          <w:tab w:leader="none" w:pos="640" w:val="left"/>
        </w:tabs>
        <w:numPr>
          <w:ilvl w:val="0"/>
          <w:numId w:val="41"/>
        </w:numPr>
        <w:rPr>
          <w:rFonts w:ascii="Arial" w:cs="Arial" w:eastAsia="Arial" w:hAnsi="Arial"/>
          <w:sz w:val="20"/>
          <w:szCs w:val="20"/>
          <w:color w:val="auto"/>
        </w:rPr>
      </w:pPr>
      <w:r>
        <w:rPr>
          <w:rFonts w:ascii="Arial" w:cs="Arial" w:eastAsia="Arial" w:hAnsi="Arial"/>
          <w:sz w:val="20"/>
          <w:szCs w:val="20"/>
          <w:color w:val="00085E"/>
        </w:rPr>
        <w:t>Relationship with Independent Public Accountants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-182880</wp:posOffset>
            </wp:positionV>
            <wp:extent cx="5943600" cy="6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6">
                      <a:extLst>
                        <a:ext uri="{28A0092B-C50C-407E-A947-70E740481C1C}"/>
                      </a:extLst>
                    </a:blip>
                    <a:srcRect/>
                    <a:stretch>
                      <a:fillRect/>
                    </a:stretch>
                  </pic:blipFill>
                  <pic:spPr bwMode="auto">
                    <a:xfrm>
                      <a:off x="0" y="0"/>
                      <a:ext cx="594360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56515</wp:posOffset>
            </wp:positionV>
            <wp:extent cx="5943600" cy="6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7">
                      <a:extLst>
                        <a:ext uri="{28A0092B-C50C-407E-A947-70E740481C1C}"/>
                      </a:extLst>
                    </a:blip>
                    <a:srcRect/>
                    <a:stretch>
                      <a:fillRect/>
                    </a:stretch>
                  </pic:blipFill>
                  <pic:spPr bwMode="auto">
                    <a:xfrm>
                      <a:off x="0" y="0"/>
                      <a:ext cx="5943600" cy="6350"/>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b w:val="1"/>
          <w:bCs w:val="1"/>
          <w:color w:val="00085E"/>
        </w:rPr>
        <w:t>CODE OF ETHICS</w:t>
      </w:r>
    </w:p>
    <w:p>
      <w:pPr>
        <w:spacing w:after="0" w:line="163" w:lineRule="exact"/>
        <w:rPr>
          <w:sz w:val="20"/>
          <w:szCs w:val="20"/>
          <w:color w:val="auto"/>
        </w:rPr>
      </w:pPr>
    </w:p>
    <w:p>
      <w:pPr>
        <w:ind w:right="260"/>
        <w:spacing w:after="0" w:line="290" w:lineRule="auto"/>
        <w:rPr>
          <w:sz w:val="20"/>
          <w:szCs w:val="20"/>
          <w:color w:val="auto"/>
        </w:rPr>
      </w:pPr>
      <w:r>
        <w:rPr>
          <w:rFonts w:ascii="Arial" w:cs="Arial" w:eastAsia="Arial" w:hAnsi="Arial"/>
          <w:sz w:val="20"/>
          <w:szCs w:val="20"/>
          <w:color w:val="auto"/>
        </w:rPr>
        <w:t xml:space="preserve">The policies comprising the Company’s code of ethics are detailed in </w:t>
      </w:r>
      <w:r>
        <w:rPr>
          <w:rFonts w:ascii="Arial" w:cs="Arial" w:eastAsia="Arial" w:hAnsi="Arial"/>
          <w:sz w:val="20"/>
          <w:szCs w:val="20"/>
          <w:i w:val="1"/>
          <w:iCs w:val="1"/>
          <w:color w:val="auto"/>
        </w:rPr>
        <w:t>The Eagle Way – A Guide to</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Decision-Making on Business Conduct Issues. </w:t>
      </w:r>
      <w:r>
        <w:rPr>
          <w:rFonts w:ascii="Arial" w:cs="Arial" w:eastAsia="Arial" w:hAnsi="Arial"/>
          <w:sz w:val="20"/>
          <w:szCs w:val="20"/>
          <w:color w:val="auto"/>
        </w:rPr>
        <w:t>This represents the code of ethics for the principal</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executive officer, principal financial officer, and principal accounting officer under SEC rules, as well as the code of business conduct and ethics for directors, officers, and employees under NYSE listing standards. The code of ethics is published on the corporate governance section of the Company’s website at </w:t>
      </w:r>
      <w:r>
        <w:rPr>
          <w:rFonts w:ascii="Arial" w:cs="Arial" w:eastAsia="Arial" w:hAnsi="Arial"/>
          <w:sz w:val="20"/>
          <w:szCs w:val="20"/>
          <w:i w:val="1"/>
          <w:iCs w:val="1"/>
          <w:u w:val="single" w:color="auto"/>
          <w:color w:val="001987"/>
        </w:rPr>
        <w:t>eaglematerials.com</w:t>
      </w:r>
      <w:r>
        <w:rPr>
          <w:rFonts w:ascii="Arial" w:cs="Arial" w:eastAsia="Arial" w:hAnsi="Arial"/>
          <w:sz w:val="20"/>
          <w:szCs w:val="20"/>
          <w:color w:val="auto"/>
        </w:rPr>
        <w:t>.</w:t>
      </w:r>
    </w:p>
    <w:p>
      <w:pPr>
        <w:spacing w:after="0" w:line="73" w:lineRule="exact"/>
        <w:rPr>
          <w:sz w:val="20"/>
          <w:szCs w:val="20"/>
          <w:color w:val="auto"/>
        </w:rPr>
      </w:pPr>
    </w:p>
    <w:p>
      <w:pPr>
        <w:spacing w:after="0" w:line="290" w:lineRule="auto"/>
        <w:rPr>
          <w:sz w:val="20"/>
          <w:szCs w:val="20"/>
          <w:color w:val="auto"/>
        </w:rPr>
      </w:pPr>
      <w:r>
        <w:rPr>
          <w:rFonts w:ascii="Arial" w:cs="Arial" w:eastAsia="Arial" w:hAnsi="Arial"/>
          <w:sz w:val="20"/>
          <w:szCs w:val="20"/>
          <w:color w:val="auto"/>
        </w:rPr>
        <w:t>Although the Company does not anticipate that any waivers of the code of ethics will be granted, should a waiver occur for the principal executive officer, principal financial officer, principal accounting officer, or controller, it will be promptly disclosed on our website. Also, any amendments of the code will be promptly posted on our website. These references to our website are intended solely to inform investors where they may obtain additional information; the materials and other information presented on our website are not incorporated in and should not otherwise be considered part of this Report.</w:t>
      </w:r>
    </w:p>
    <w:p>
      <w:pPr>
        <w:sectPr>
          <w:pgSz w:w="11880" w:h="15480" w:orient="portrait"/>
          <w:cols w:equalWidth="0" w:num="1">
            <w:col w:w="9340"/>
          </w:cols>
          <w:pgMar w:left="1260" w:top="1201" w:right="1280" w:bottom="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119</w:t>
      </w:r>
    </w:p>
    <w:p>
      <w:pPr>
        <w:sectPr>
          <w:pgSz w:w="11880" w:h="15480" w:orient="portrait"/>
          <w:cols w:equalWidth="0" w:num="1">
            <w:col w:w="9340"/>
          </w:cols>
          <w:pgMar w:left="1260" w:top="1201" w:right="1280" w:bottom="7" w:gutter="0" w:footer="0" w:header="0"/>
          <w:type w:val="continuous"/>
        </w:sectPr>
      </w:pPr>
    </w:p>
    <w:bookmarkStart w:id="127" w:name="page128"/>
    <w:bookmarkEnd w:id="127"/>
    <w:p>
      <w:pPr>
        <w:spacing w:after="0"/>
        <w:rPr>
          <w:sz w:val="20"/>
          <w:szCs w:val="20"/>
          <w:color w:val="auto"/>
        </w:rPr>
      </w:pPr>
      <w:r>
        <w:rPr>
          <w:rFonts w:ascii="Arial" w:cs="Arial" w:eastAsia="Arial" w:hAnsi="Arial"/>
          <w:sz w:val="26"/>
          <w:szCs w:val="26"/>
          <w:b w:val="1"/>
          <w:bCs w:val="1"/>
          <w:color w:val="auto"/>
        </w:rPr>
        <w:t>ITEM 11.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5943600" cy="127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88">
                      <a:extLst>
                        <a:ext uri="{28A0092B-C50C-407E-A947-70E740481C1C}"/>
                      </a:extLst>
                    </a:blip>
                    <a:srcRect/>
                    <a:stretch>
                      <a:fillRect/>
                    </a:stretch>
                  </pic:blipFill>
                  <pic:spPr bwMode="auto">
                    <a:xfrm>
                      <a:off x="0" y="0"/>
                      <a:ext cx="5943600" cy="12700"/>
                    </a:xfrm>
                    <a:prstGeom prst="rect">
                      <a:avLst/>
                    </a:prstGeom>
                    <a:noFill/>
                  </pic:spPr>
                </pic:pic>
              </a:graphicData>
            </a:graphic>
          </wp:anchor>
        </w:drawing>
      </w:r>
    </w:p>
    <w:p>
      <w:pPr>
        <w:spacing w:after="0" w:line="338" w:lineRule="exact"/>
        <w:rPr>
          <w:sz w:val="20"/>
          <w:szCs w:val="20"/>
          <w:color w:val="auto"/>
        </w:rPr>
      </w:pPr>
    </w:p>
    <w:p>
      <w:pPr>
        <w:spacing w:after="0"/>
        <w:rPr>
          <w:sz w:val="20"/>
          <w:szCs w:val="20"/>
          <w:color w:val="auto"/>
        </w:rPr>
      </w:pPr>
      <w:r>
        <w:rPr>
          <w:rFonts w:ascii="Arial" w:cs="Arial" w:eastAsia="Arial" w:hAnsi="Arial"/>
          <w:sz w:val="20"/>
          <w:szCs w:val="20"/>
          <w:color w:val="auto"/>
        </w:rPr>
        <w:t>See Item 10.</w:t>
      </w:r>
    </w:p>
    <w:p>
      <w:pPr>
        <w:spacing w:after="0" w:line="200" w:lineRule="exact"/>
        <w:rPr>
          <w:sz w:val="20"/>
          <w:szCs w:val="20"/>
          <w:color w:val="auto"/>
        </w:rPr>
      </w:pPr>
    </w:p>
    <w:p>
      <w:pPr>
        <w:spacing w:after="0" w:line="333" w:lineRule="exact"/>
        <w:rPr>
          <w:sz w:val="20"/>
          <w:szCs w:val="20"/>
          <w:color w:val="auto"/>
        </w:rPr>
      </w:pPr>
    </w:p>
    <w:p>
      <w:pPr>
        <w:ind w:right="1580"/>
        <w:spacing w:after="0" w:line="274" w:lineRule="auto"/>
        <w:rPr>
          <w:sz w:val="20"/>
          <w:szCs w:val="20"/>
          <w:color w:val="auto"/>
        </w:rPr>
      </w:pPr>
      <w:r>
        <w:rPr>
          <w:rFonts w:ascii="Arial" w:cs="Arial" w:eastAsia="Arial" w:hAnsi="Arial"/>
          <w:sz w:val="26"/>
          <w:szCs w:val="26"/>
          <w:b w:val="1"/>
          <w:bCs w:val="1"/>
          <w:color w:val="auto"/>
        </w:rPr>
        <w:t>ITEM 12. Security Ownership of Certain Beneficial Owners and Management and Related Stockholder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-40005</wp:posOffset>
            </wp:positionV>
            <wp:extent cx="5943600" cy="127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89">
                      <a:extLst>
                        <a:ext uri="{28A0092B-C50C-407E-A947-70E740481C1C}"/>
                      </a:extLst>
                    </a:blip>
                    <a:srcRect/>
                    <a:stretch>
                      <a:fillRect/>
                    </a:stretch>
                  </pic:blipFill>
                  <pic:spPr bwMode="auto">
                    <a:xfrm>
                      <a:off x="0" y="0"/>
                      <a:ext cx="5943600" cy="12700"/>
                    </a:xfrm>
                    <a:prstGeom prst="rect">
                      <a:avLst/>
                    </a:prstGeom>
                    <a:noFill/>
                  </pic:spPr>
                </pic:pic>
              </a:graphicData>
            </a:graphic>
          </wp:anchor>
        </w:drawing>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See Item 10.</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00085E"/>
        </w:rPr>
        <w:t>EQUITY COMPENSATION PLAN</w:t>
      </w:r>
    </w:p>
    <w:p>
      <w:pPr>
        <w:spacing w:after="0" w:line="163" w:lineRule="exact"/>
        <w:rPr>
          <w:sz w:val="20"/>
          <w:szCs w:val="20"/>
          <w:color w:val="auto"/>
        </w:rPr>
      </w:pPr>
    </w:p>
    <w:p>
      <w:pPr>
        <w:jc w:val="both"/>
        <w:ind w:right="80"/>
        <w:spacing w:after="0" w:line="303" w:lineRule="auto"/>
        <w:rPr>
          <w:sz w:val="20"/>
          <w:szCs w:val="20"/>
          <w:color w:val="auto"/>
        </w:rPr>
      </w:pPr>
      <w:r>
        <w:rPr>
          <w:rFonts w:ascii="Arial" w:cs="Arial" w:eastAsia="Arial" w:hAnsi="Arial"/>
          <w:sz w:val="20"/>
          <w:szCs w:val="20"/>
          <w:color w:val="auto"/>
        </w:rPr>
        <w:t>The following table shows the number of outstanding options and shares available for future issuance of options under the Company's equity compensation plans as of March 31, 2026. Our equity compensation plans have been approved by the Company's stockholders.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ind w:right="9"/>
              <w:spacing w:after="0"/>
              <w:rPr>
                <w:sz w:val="20"/>
                <w:szCs w:val="20"/>
                <w:color w:val="auto"/>
              </w:rPr>
            </w:pPr>
            <w:r>
              <w:rPr>
                <w:rFonts w:ascii="Arial Narrow" w:cs="Arial Narrow" w:eastAsia="Arial Narrow" w:hAnsi="Arial Narrow"/>
                <w:sz w:val="18"/>
                <w:szCs w:val="18"/>
                <w:b w:val="1"/>
                <w:bCs w:val="1"/>
                <w:color w:val="auto"/>
              </w:rPr>
              <w:t>Number of</w:t>
            </w:r>
          </w:p>
        </w:tc>
        <w:tc>
          <w:tcPr>
            <w:tcW w:w="0" w:type="dxa"/>
            <w:vAlign w:val="bottom"/>
          </w:tcPr>
          <w:p>
            <w:pPr>
              <w:spacing w:after="0"/>
              <w:rPr>
                <w:sz w:val="1"/>
                <w:szCs w:val="1"/>
                <w:color w:val="auto"/>
              </w:rPr>
            </w:pPr>
          </w:p>
        </w:tc>
      </w:tr>
      <w:tr>
        <w:trPr>
          <w:trHeight w:val="207"/>
        </w:trPr>
        <w:tc>
          <w:tcPr>
            <w:tcW w:w="38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ind w:right="9"/>
              <w:spacing w:after="0"/>
              <w:rPr>
                <w:sz w:val="20"/>
                <w:szCs w:val="20"/>
                <w:color w:val="auto"/>
              </w:rPr>
            </w:pPr>
            <w:r>
              <w:rPr>
                <w:rFonts w:ascii="Arial Narrow" w:cs="Arial Narrow" w:eastAsia="Arial Narrow" w:hAnsi="Arial Narrow"/>
                <w:sz w:val="18"/>
                <w:szCs w:val="18"/>
                <w:b w:val="1"/>
                <w:bCs w:val="1"/>
                <w:color w:val="auto"/>
              </w:rPr>
              <w:t>securities</w:t>
            </w:r>
          </w:p>
        </w:tc>
        <w:tc>
          <w:tcPr>
            <w:tcW w:w="0" w:type="dxa"/>
            <w:vAlign w:val="bottom"/>
          </w:tcPr>
          <w:p>
            <w:pPr>
              <w:spacing w:after="0"/>
              <w:rPr>
                <w:sz w:val="1"/>
                <w:szCs w:val="1"/>
                <w:color w:val="auto"/>
              </w:rPr>
            </w:pPr>
          </w:p>
        </w:tc>
      </w:tr>
      <w:tr>
        <w:trPr>
          <w:trHeight w:val="207"/>
        </w:trPr>
        <w:tc>
          <w:tcPr>
            <w:tcW w:w="38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80" w:type="dxa"/>
            <w:vAlign w:val="bottom"/>
            <w:vMerge w:val="restart"/>
          </w:tcPr>
          <w:p>
            <w:pPr>
              <w:jc w:val="right"/>
              <w:ind w:right="7"/>
              <w:spacing w:after="0"/>
              <w:rPr>
                <w:sz w:val="20"/>
                <w:szCs w:val="20"/>
                <w:color w:val="auto"/>
              </w:rPr>
            </w:pPr>
            <w:r>
              <w:rPr>
                <w:rFonts w:ascii="Arial Narrow" w:cs="Arial Narrow" w:eastAsia="Arial Narrow" w:hAnsi="Arial Narrow"/>
                <w:sz w:val="18"/>
                <w:szCs w:val="18"/>
                <w:b w:val="1"/>
                <w:bCs w:val="1"/>
                <w:color w:val="auto"/>
              </w:rPr>
              <w:t>Number of</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ind w:right="9"/>
              <w:spacing w:after="0"/>
              <w:rPr>
                <w:sz w:val="20"/>
                <w:szCs w:val="20"/>
                <w:color w:val="auto"/>
              </w:rPr>
            </w:pPr>
            <w:r>
              <w:rPr>
                <w:rFonts w:ascii="Arial Narrow" w:cs="Arial Narrow" w:eastAsia="Arial Narrow" w:hAnsi="Arial Narrow"/>
                <w:sz w:val="18"/>
                <w:szCs w:val="18"/>
                <w:b w:val="1"/>
                <w:bCs w:val="1"/>
                <w:color w:val="auto"/>
              </w:rPr>
              <w:t>remaining</w:t>
            </w:r>
          </w:p>
        </w:tc>
        <w:tc>
          <w:tcPr>
            <w:tcW w:w="0" w:type="dxa"/>
            <w:vAlign w:val="bottom"/>
          </w:tcPr>
          <w:p>
            <w:pPr>
              <w:spacing w:after="0"/>
              <w:rPr>
                <w:sz w:val="1"/>
                <w:szCs w:val="1"/>
                <w:color w:val="auto"/>
              </w:rPr>
            </w:pPr>
          </w:p>
        </w:tc>
      </w:tr>
      <w:tr>
        <w:trPr>
          <w:trHeight w:val="207"/>
        </w:trPr>
        <w:tc>
          <w:tcPr>
            <w:tcW w:w="38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ind w:right="9"/>
              <w:spacing w:after="0"/>
              <w:rPr>
                <w:sz w:val="20"/>
                <w:szCs w:val="20"/>
                <w:color w:val="auto"/>
              </w:rPr>
            </w:pPr>
            <w:r>
              <w:rPr>
                <w:rFonts w:ascii="Arial Narrow" w:cs="Arial Narrow" w:eastAsia="Arial Narrow" w:hAnsi="Arial Narrow"/>
                <w:sz w:val="18"/>
                <w:szCs w:val="18"/>
                <w:b w:val="1"/>
                <w:bCs w:val="1"/>
                <w:color w:val="auto"/>
              </w:rPr>
              <w:t>for future</w:t>
            </w:r>
          </w:p>
        </w:tc>
        <w:tc>
          <w:tcPr>
            <w:tcW w:w="0" w:type="dxa"/>
            <w:vAlign w:val="bottom"/>
          </w:tcPr>
          <w:p>
            <w:pPr>
              <w:spacing w:after="0"/>
              <w:rPr>
                <w:sz w:val="1"/>
                <w:szCs w:val="1"/>
                <w:color w:val="auto"/>
              </w:rPr>
            </w:pPr>
          </w:p>
        </w:tc>
      </w:tr>
      <w:tr>
        <w:trPr>
          <w:trHeight w:val="207"/>
        </w:trPr>
        <w:tc>
          <w:tcPr>
            <w:tcW w:w="38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80" w:type="dxa"/>
            <w:vAlign w:val="bottom"/>
          </w:tcPr>
          <w:p>
            <w:pPr>
              <w:jc w:val="right"/>
              <w:ind w:right="7"/>
              <w:spacing w:after="0"/>
              <w:rPr>
                <w:sz w:val="20"/>
                <w:szCs w:val="20"/>
                <w:color w:val="auto"/>
              </w:rPr>
            </w:pPr>
            <w:r>
              <w:rPr>
                <w:rFonts w:ascii="Arial Narrow" w:cs="Arial Narrow" w:eastAsia="Arial Narrow" w:hAnsi="Arial Narrow"/>
                <w:sz w:val="18"/>
                <w:szCs w:val="18"/>
                <w:b w:val="1"/>
                <w:bCs w:val="1"/>
                <w:color w:val="auto"/>
              </w:rPr>
              <w:t>securities to</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ind w:right="9"/>
              <w:spacing w:after="0"/>
              <w:rPr>
                <w:sz w:val="20"/>
                <w:szCs w:val="20"/>
                <w:color w:val="auto"/>
              </w:rPr>
            </w:pPr>
            <w:r>
              <w:rPr>
                <w:rFonts w:ascii="Arial Narrow" w:cs="Arial Narrow" w:eastAsia="Arial Narrow" w:hAnsi="Arial Narrow"/>
                <w:sz w:val="18"/>
                <w:szCs w:val="18"/>
                <w:b w:val="1"/>
                <w:bCs w:val="1"/>
                <w:color w:val="auto"/>
              </w:rPr>
              <w:t>issuance</w:t>
            </w:r>
          </w:p>
        </w:tc>
        <w:tc>
          <w:tcPr>
            <w:tcW w:w="0" w:type="dxa"/>
            <w:vAlign w:val="bottom"/>
          </w:tcPr>
          <w:p>
            <w:pPr>
              <w:spacing w:after="0"/>
              <w:rPr>
                <w:sz w:val="1"/>
                <w:szCs w:val="1"/>
                <w:color w:val="auto"/>
              </w:rPr>
            </w:pPr>
          </w:p>
        </w:tc>
      </w:tr>
      <w:tr>
        <w:trPr>
          <w:trHeight w:val="207"/>
        </w:trPr>
        <w:tc>
          <w:tcPr>
            <w:tcW w:w="38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80" w:type="dxa"/>
            <w:vAlign w:val="bottom"/>
          </w:tcPr>
          <w:p>
            <w:pPr>
              <w:jc w:val="right"/>
              <w:ind w:right="7"/>
              <w:spacing w:after="0"/>
              <w:rPr>
                <w:sz w:val="20"/>
                <w:szCs w:val="20"/>
                <w:color w:val="auto"/>
              </w:rPr>
            </w:pPr>
            <w:r>
              <w:rPr>
                <w:rFonts w:ascii="Arial Narrow" w:cs="Arial Narrow" w:eastAsia="Arial Narrow" w:hAnsi="Arial Narrow"/>
                <w:sz w:val="18"/>
                <w:szCs w:val="18"/>
                <w:b w:val="1"/>
                <w:bCs w:val="1"/>
                <w:color w:val="auto"/>
              </w:rPr>
              <w:t>be issued</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6"/>
              <w:spacing w:after="0"/>
              <w:rPr>
                <w:sz w:val="20"/>
                <w:szCs w:val="20"/>
                <w:color w:val="auto"/>
              </w:rPr>
            </w:pPr>
            <w:r>
              <w:rPr>
                <w:rFonts w:ascii="Arial Narrow" w:cs="Arial Narrow" w:eastAsia="Arial Narrow" w:hAnsi="Arial Narrow"/>
                <w:sz w:val="18"/>
                <w:szCs w:val="18"/>
                <w:b w:val="1"/>
                <w:bCs w:val="1"/>
                <w:color w:val="auto"/>
              </w:rPr>
              <w:t>Weighted-</w:t>
            </w:r>
          </w:p>
        </w:tc>
        <w:tc>
          <w:tcPr>
            <w:tcW w:w="120" w:type="dxa"/>
            <w:vAlign w:val="bottom"/>
          </w:tcPr>
          <w:p>
            <w:pPr>
              <w:spacing w:after="0"/>
              <w:rPr>
                <w:sz w:val="17"/>
                <w:szCs w:val="17"/>
                <w:color w:val="auto"/>
              </w:rPr>
            </w:pPr>
          </w:p>
        </w:tc>
        <w:tc>
          <w:tcPr>
            <w:tcW w:w="1180" w:type="dxa"/>
            <w:vAlign w:val="bottom"/>
          </w:tcPr>
          <w:p>
            <w:pPr>
              <w:jc w:val="right"/>
              <w:ind w:right="9"/>
              <w:spacing w:after="0"/>
              <w:rPr>
                <w:sz w:val="20"/>
                <w:szCs w:val="20"/>
                <w:color w:val="auto"/>
              </w:rPr>
            </w:pPr>
            <w:r>
              <w:rPr>
                <w:rFonts w:ascii="Arial Narrow" w:cs="Arial Narrow" w:eastAsia="Arial Narrow" w:hAnsi="Arial Narrow"/>
                <w:sz w:val="18"/>
                <w:szCs w:val="18"/>
                <w:b w:val="1"/>
                <w:bCs w:val="1"/>
                <w:color w:val="auto"/>
              </w:rPr>
              <w:t>under equity</w:t>
            </w:r>
          </w:p>
        </w:tc>
        <w:tc>
          <w:tcPr>
            <w:tcW w:w="0" w:type="dxa"/>
            <w:vAlign w:val="bottom"/>
          </w:tcPr>
          <w:p>
            <w:pPr>
              <w:spacing w:after="0"/>
              <w:rPr>
                <w:sz w:val="1"/>
                <w:szCs w:val="1"/>
                <w:color w:val="auto"/>
              </w:rPr>
            </w:pPr>
          </w:p>
        </w:tc>
      </w:tr>
      <w:tr>
        <w:trPr>
          <w:trHeight w:val="207"/>
        </w:trPr>
        <w:tc>
          <w:tcPr>
            <w:tcW w:w="38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80" w:type="dxa"/>
            <w:vAlign w:val="bottom"/>
          </w:tcPr>
          <w:p>
            <w:pPr>
              <w:jc w:val="right"/>
              <w:ind w:right="7"/>
              <w:spacing w:after="0"/>
              <w:rPr>
                <w:sz w:val="20"/>
                <w:szCs w:val="20"/>
                <w:color w:val="auto"/>
              </w:rPr>
            </w:pPr>
            <w:r>
              <w:rPr>
                <w:rFonts w:ascii="Arial Narrow" w:cs="Arial Narrow" w:eastAsia="Arial Narrow" w:hAnsi="Arial Narrow"/>
                <w:sz w:val="18"/>
                <w:szCs w:val="18"/>
                <w:b w:val="1"/>
                <w:bCs w:val="1"/>
                <w:color w:val="auto"/>
              </w:rPr>
              <w:t>upon</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6"/>
              <w:spacing w:after="0"/>
              <w:rPr>
                <w:sz w:val="20"/>
                <w:szCs w:val="20"/>
                <w:color w:val="auto"/>
              </w:rPr>
            </w:pPr>
            <w:r>
              <w:rPr>
                <w:rFonts w:ascii="Arial Narrow" w:cs="Arial Narrow" w:eastAsia="Arial Narrow" w:hAnsi="Arial Narrow"/>
                <w:sz w:val="18"/>
                <w:szCs w:val="18"/>
                <w:b w:val="1"/>
                <w:bCs w:val="1"/>
                <w:color w:val="auto"/>
              </w:rPr>
              <w:t>average</w:t>
            </w:r>
          </w:p>
        </w:tc>
        <w:tc>
          <w:tcPr>
            <w:tcW w:w="120" w:type="dxa"/>
            <w:vAlign w:val="bottom"/>
          </w:tcPr>
          <w:p>
            <w:pPr>
              <w:spacing w:after="0"/>
              <w:rPr>
                <w:sz w:val="17"/>
                <w:szCs w:val="17"/>
                <w:color w:val="auto"/>
              </w:rPr>
            </w:pPr>
          </w:p>
        </w:tc>
        <w:tc>
          <w:tcPr>
            <w:tcW w:w="1180" w:type="dxa"/>
            <w:vAlign w:val="bottom"/>
          </w:tcPr>
          <w:p>
            <w:pPr>
              <w:jc w:val="right"/>
              <w:ind w:right="9"/>
              <w:spacing w:after="0"/>
              <w:rPr>
                <w:sz w:val="20"/>
                <w:szCs w:val="20"/>
                <w:color w:val="auto"/>
              </w:rPr>
            </w:pPr>
            <w:r>
              <w:rPr>
                <w:rFonts w:ascii="Arial Narrow" w:cs="Arial Narrow" w:eastAsia="Arial Narrow" w:hAnsi="Arial Narrow"/>
                <w:sz w:val="18"/>
                <w:szCs w:val="18"/>
                <w:b w:val="1"/>
                <w:bCs w:val="1"/>
                <w:color w:val="auto"/>
              </w:rPr>
              <w:t>compensation</w:t>
            </w:r>
          </w:p>
        </w:tc>
        <w:tc>
          <w:tcPr>
            <w:tcW w:w="0" w:type="dxa"/>
            <w:vAlign w:val="bottom"/>
          </w:tcPr>
          <w:p>
            <w:pPr>
              <w:spacing w:after="0"/>
              <w:rPr>
                <w:sz w:val="1"/>
                <w:szCs w:val="1"/>
                <w:color w:val="auto"/>
              </w:rPr>
            </w:pPr>
          </w:p>
        </w:tc>
      </w:tr>
      <w:tr>
        <w:trPr>
          <w:trHeight w:val="207"/>
        </w:trPr>
        <w:tc>
          <w:tcPr>
            <w:tcW w:w="38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80" w:type="dxa"/>
            <w:vAlign w:val="bottom"/>
          </w:tcPr>
          <w:p>
            <w:pPr>
              <w:jc w:val="right"/>
              <w:ind w:right="7"/>
              <w:spacing w:after="0"/>
              <w:rPr>
                <w:sz w:val="20"/>
                <w:szCs w:val="20"/>
                <w:color w:val="auto"/>
              </w:rPr>
            </w:pPr>
            <w:r>
              <w:rPr>
                <w:rFonts w:ascii="Arial Narrow" w:cs="Arial Narrow" w:eastAsia="Arial Narrow" w:hAnsi="Arial Narrow"/>
                <w:sz w:val="18"/>
                <w:szCs w:val="18"/>
                <w:b w:val="1"/>
                <w:bCs w:val="1"/>
                <w:color w:val="auto"/>
              </w:rPr>
              <w:t>exercise of</w:t>
            </w:r>
          </w:p>
        </w:tc>
        <w:tc>
          <w:tcPr>
            <w:tcW w:w="120" w:type="dxa"/>
            <w:vAlign w:val="bottom"/>
          </w:tcPr>
          <w:p>
            <w:pPr>
              <w:spacing w:after="0"/>
              <w:rPr>
                <w:sz w:val="17"/>
                <w:szCs w:val="17"/>
                <w:color w:val="auto"/>
              </w:rPr>
            </w:pPr>
          </w:p>
        </w:tc>
        <w:tc>
          <w:tcPr>
            <w:tcW w:w="1340" w:type="dxa"/>
            <w:vAlign w:val="bottom"/>
            <w:gridSpan w:val="2"/>
          </w:tcPr>
          <w:p>
            <w:pPr>
              <w:jc w:val="right"/>
              <w:ind w:right="6"/>
              <w:spacing w:after="0"/>
              <w:rPr>
                <w:sz w:val="20"/>
                <w:szCs w:val="20"/>
                <w:color w:val="auto"/>
              </w:rPr>
            </w:pPr>
            <w:r>
              <w:rPr>
                <w:rFonts w:ascii="Arial Narrow" w:cs="Arial Narrow" w:eastAsia="Arial Narrow" w:hAnsi="Arial Narrow"/>
                <w:sz w:val="18"/>
                <w:szCs w:val="18"/>
                <w:b w:val="1"/>
                <w:bCs w:val="1"/>
                <w:color w:val="auto"/>
              </w:rPr>
              <w:t>exercise price of</w:t>
            </w:r>
          </w:p>
        </w:tc>
        <w:tc>
          <w:tcPr>
            <w:tcW w:w="120" w:type="dxa"/>
            <w:vAlign w:val="bottom"/>
          </w:tcPr>
          <w:p>
            <w:pPr>
              <w:spacing w:after="0"/>
              <w:rPr>
                <w:sz w:val="17"/>
                <w:szCs w:val="17"/>
                <w:color w:val="auto"/>
              </w:rPr>
            </w:pPr>
          </w:p>
        </w:tc>
        <w:tc>
          <w:tcPr>
            <w:tcW w:w="1180" w:type="dxa"/>
            <w:vAlign w:val="bottom"/>
          </w:tcPr>
          <w:p>
            <w:pPr>
              <w:jc w:val="right"/>
              <w:ind w:right="9"/>
              <w:spacing w:after="0"/>
              <w:rPr>
                <w:sz w:val="20"/>
                <w:szCs w:val="20"/>
                <w:color w:val="auto"/>
              </w:rPr>
            </w:pPr>
            <w:r>
              <w:rPr>
                <w:rFonts w:ascii="Arial Narrow" w:cs="Arial Narrow" w:eastAsia="Arial Narrow" w:hAnsi="Arial Narrow"/>
                <w:sz w:val="18"/>
                <w:szCs w:val="18"/>
                <w:b w:val="1"/>
                <w:bCs w:val="1"/>
                <w:color w:val="auto"/>
              </w:rPr>
              <w:t>plans,</w:t>
            </w:r>
          </w:p>
        </w:tc>
        <w:tc>
          <w:tcPr>
            <w:tcW w:w="0" w:type="dxa"/>
            <w:vAlign w:val="bottom"/>
          </w:tcPr>
          <w:p>
            <w:pPr>
              <w:spacing w:after="0"/>
              <w:rPr>
                <w:sz w:val="1"/>
                <w:szCs w:val="1"/>
                <w:color w:val="auto"/>
              </w:rPr>
            </w:pPr>
          </w:p>
        </w:tc>
      </w:tr>
      <w:tr>
        <w:trPr>
          <w:trHeight w:val="207"/>
        </w:trPr>
        <w:tc>
          <w:tcPr>
            <w:tcW w:w="38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80" w:type="dxa"/>
            <w:vAlign w:val="bottom"/>
          </w:tcPr>
          <w:p>
            <w:pPr>
              <w:jc w:val="right"/>
              <w:ind w:right="7"/>
              <w:spacing w:after="0"/>
              <w:rPr>
                <w:sz w:val="20"/>
                <w:szCs w:val="20"/>
                <w:color w:val="auto"/>
              </w:rPr>
            </w:pPr>
            <w:r>
              <w:rPr>
                <w:rFonts w:ascii="Arial Narrow" w:cs="Arial Narrow" w:eastAsia="Arial Narrow" w:hAnsi="Arial Narrow"/>
                <w:sz w:val="18"/>
                <w:szCs w:val="18"/>
                <w:b w:val="1"/>
                <w:bCs w:val="1"/>
                <w:color w:val="auto"/>
              </w:rPr>
              <w:t>outstanding</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6"/>
              <w:spacing w:after="0"/>
              <w:rPr>
                <w:sz w:val="20"/>
                <w:szCs w:val="20"/>
                <w:color w:val="auto"/>
              </w:rPr>
            </w:pPr>
            <w:r>
              <w:rPr>
                <w:rFonts w:ascii="Arial Narrow" w:cs="Arial Narrow" w:eastAsia="Arial Narrow" w:hAnsi="Arial Narrow"/>
                <w:sz w:val="18"/>
                <w:szCs w:val="18"/>
                <w:b w:val="1"/>
                <w:bCs w:val="1"/>
                <w:color w:val="auto"/>
              </w:rPr>
              <w:t>outstanding</w:t>
            </w:r>
          </w:p>
        </w:tc>
        <w:tc>
          <w:tcPr>
            <w:tcW w:w="120" w:type="dxa"/>
            <w:vAlign w:val="bottom"/>
          </w:tcPr>
          <w:p>
            <w:pPr>
              <w:spacing w:after="0"/>
              <w:rPr>
                <w:sz w:val="17"/>
                <w:szCs w:val="17"/>
                <w:color w:val="auto"/>
              </w:rPr>
            </w:pPr>
          </w:p>
        </w:tc>
        <w:tc>
          <w:tcPr>
            <w:tcW w:w="1180" w:type="dxa"/>
            <w:vAlign w:val="bottom"/>
          </w:tcPr>
          <w:p>
            <w:pPr>
              <w:jc w:val="right"/>
              <w:ind w:right="9"/>
              <w:spacing w:after="0"/>
              <w:rPr>
                <w:sz w:val="20"/>
                <w:szCs w:val="20"/>
                <w:color w:val="auto"/>
              </w:rPr>
            </w:pPr>
            <w:r>
              <w:rPr>
                <w:rFonts w:ascii="Arial Narrow" w:cs="Arial Narrow" w:eastAsia="Arial Narrow" w:hAnsi="Arial Narrow"/>
                <w:sz w:val="18"/>
                <w:szCs w:val="18"/>
                <w:b w:val="1"/>
                <w:bCs w:val="1"/>
                <w:color w:val="auto"/>
              </w:rPr>
              <w:t>excluding</w:t>
            </w:r>
          </w:p>
        </w:tc>
        <w:tc>
          <w:tcPr>
            <w:tcW w:w="0" w:type="dxa"/>
            <w:vAlign w:val="bottom"/>
          </w:tcPr>
          <w:p>
            <w:pPr>
              <w:spacing w:after="0"/>
              <w:rPr>
                <w:sz w:val="1"/>
                <w:szCs w:val="1"/>
                <w:color w:val="auto"/>
              </w:rPr>
            </w:pPr>
          </w:p>
        </w:tc>
      </w:tr>
      <w:tr>
        <w:trPr>
          <w:trHeight w:val="207"/>
        </w:trPr>
        <w:tc>
          <w:tcPr>
            <w:tcW w:w="38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80" w:type="dxa"/>
            <w:vAlign w:val="bottom"/>
          </w:tcPr>
          <w:p>
            <w:pPr>
              <w:jc w:val="right"/>
              <w:ind w:right="7"/>
              <w:spacing w:after="0"/>
              <w:rPr>
                <w:sz w:val="20"/>
                <w:szCs w:val="20"/>
                <w:color w:val="auto"/>
              </w:rPr>
            </w:pPr>
            <w:r>
              <w:rPr>
                <w:rFonts w:ascii="Arial Narrow" w:cs="Arial Narrow" w:eastAsia="Arial Narrow" w:hAnsi="Arial Narrow"/>
                <w:sz w:val="18"/>
                <w:szCs w:val="18"/>
                <w:b w:val="1"/>
                <w:bCs w:val="1"/>
                <w:color w:val="auto"/>
              </w:rPr>
              <w:t>options,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6"/>
              <w:spacing w:after="0"/>
              <w:rPr>
                <w:sz w:val="20"/>
                <w:szCs w:val="20"/>
                <w:color w:val="auto"/>
              </w:rPr>
            </w:pPr>
            <w:r>
              <w:rPr>
                <w:rFonts w:ascii="Arial Narrow" w:cs="Arial Narrow" w:eastAsia="Arial Narrow" w:hAnsi="Arial Narrow"/>
                <w:sz w:val="18"/>
                <w:szCs w:val="18"/>
                <w:b w:val="1"/>
                <w:bCs w:val="1"/>
                <w:color w:val="auto"/>
              </w:rPr>
              <w:t>options,</w:t>
            </w:r>
          </w:p>
        </w:tc>
        <w:tc>
          <w:tcPr>
            <w:tcW w:w="120" w:type="dxa"/>
            <w:vAlign w:val="bottom"/>
          </w:tcPr>
          <w:p>
            <w:pPr>
              <w:spacing w:after="0"/>
              <w:rPr>
                <w:sz w:val="17"/>
                <w:szCs w:val="17"/>
                <w:color w:val="auto"/>
              </w:rPr>
            </w:pPr>
          </w:p>
        </w:tc>
        <w:tc>
          <w:tcPr>
            <w:tcW w:w="1180" w:type="dxa"/>
            <w:vAlign w:val="bottom"/>
          </w:tcPr>
          <w:p>
            <w:pPr>
              <w:jc w:val="right"/>
              <w:ind w:right="9"/>
              <w:spacing w:after="0"/>
              <w:rPr>
                <w:sz w:val="20"/>
                <w:szCs w:val="20"/>
                <w:color w:val="auto"/>
              </w:rPr>
            </w:pPr>
            <w:r>
              <w:rPr>
                <w:rFonts w:ascii="Arial Narrow" w:cs="Arial Narrow" w:eastAsia="Arial Narrow" w:hAnsi="Arial Narrow"/>
                <w:sz w:val="18"/>
                <w:szCs w:val="18"/>
                <w:b w:val="1"/>
                <w:bCs w:val="1"/>
                <w:color w:val="auto"/>
              </w:rPr>
              <w:t>securities</w:t>
            </w:r>
          </w:p>
        </w:tc>
        <w:tc>
          <w:tcPr>
            <w:tcW w:w="0" w:type="dxa"/>
            <w:vAlign w:val="bottom"/>
          </w:tcPr>
          <w:p>
            <w:pPr>
              <w:spacing w:after="0"/>
              <w:rPr>
                <w:sz w:val="1"/>
                <w:szCs w:val="1"/>
                <w:color w:val="auto"/>
              </w:rPr>
            </w:pPr>
          </w:p>
        </w:tc>
      </w:tr>
      <w:tr>
        <w:trPr>
          <w:trHeight w:val="207"/>
        </w:trPr>
        <w:tc>
          <w:tcPr>
            <w:tcW w:w="3880" w:type="dxa"/>
            <w:vAlign w:val="bottom"/>
            <w:vMerge w:val="restart"/>
          </w:tcPr>
          <w:p>
            <w:pPr>
              <w:spacing w:after="0"/>
              <w:rPr>
                <w:sz w:val="20"/>
                <w:szCs w:val="20"/>
                <w:color w:val="auto"/>
              </w:rPr>
            </w:pPr>
            <w:r>
              <w:rPr>
                <w:rFonts w:ascii="Arial Narrow" w:cs="Arial Narrow" w:eastAsia="Arial Narrow" w:hAnsi="Arial Narrow"/>
                <w:sz w:val="18"/>
                <w:szCs w:val="18"/>
                <w:b w:val="1"/>
                <w:bCs w:val="1"/>
                <w:color w:val="auto"/>
              </w:rPr>
              <w:t>Plan Category</w:t>
            </w:r>
          </w:p>
        </w:tc>
        <w:tc>
          <w:tcPr>
            <w:tcW w:w="1540" w:type="dxa"/>
            <w:vAlign w:val="bottom"/>
            <w:vMerge w:val="restart"/>
          </w:tcPr>
          <w:p>
            <w:pPr>
              <w:jc w:val="right"/>
              <w:ind w:right="43"/>
              <w:spacing w:after="0"/>
              <w:rPr>
                <w:sz w:val="20"/>
                <w:szCs w:val="20"/>
                <w:color w:val="auto"/>
              </w:rPr>
            </w:pPr>
            <w:r>
              <w:rPr>
                <w:rFonts w:ascii="Arial Narrow" w:cs="Arial Narrow" w:eastAsia="Arial Narrow" w:hAnsi="Arial Narrow"/>
                <w:sz w:val="18"/>
                <w:szCs w:val="18"/>
                <w:b w:val="1"/>
                <w:bCs w:val="1"/>
                <w:color w:val="auto"/>
              </w:rPr>
              <w:t>Incentive Plan</w:t>
            </w:r>
          </w:p>
        </w:tc>
        <w:tc>
          <w:tcPr>
            <w:tcW w:w="1180" w:type="dxa"/>
            <w:vAlign w:val="bottom"/>
          </w:tcPr>
          <w:p>
            <w:pPr>
              <w:jc w:val="right"/>
              <w:ind w:right="7"/>
              <w:spacing w:after="0"/>
              <w:rPr>
                <w:sz w:val="20"/>
                <w:szCs w:val="20"/>
                <w:color w:val="auto"/>
              </w:rPr>
            </w:pPr>
            <w:r>
              <w:rPr>
                <w:rFonts w:ascii="Arial Narrow" w:cs="Arial Narrow" w:eastAsia="Arial Narrow" w:hAnsi="Arial Narrow"/>
                <w:sz w:val="18"/>
                <w:szCs w:val="18"/>
                <w:b w:val="1"/>
                <w:bCs w:val="1"/>
                <w:color w:val="auto"/>
              </w:rPr>
              <w:t>warrants, and</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6"/>
              <w:spacing w:after="0"/>
              <w:rPr>
                <w:sz w:val="20"/>
                <w:szCs w:val="20"/>
                <w:color w:val="auto"/>
              </w:rPr>
            </w:pPr>
            <w:r>
              <w:rPr>
                <w:rFonts w:ascii="Arial Narrow" w:cs="Arial Narrow" w:eastAsia="Arial Narrow" w:hAnsi="Arial Narrow"/>
                <w:sz w:val="18"/>
                <w:szCs w:val="18"/>
                <w:b w:val="1"/>
                <w:bCs w:val="1"/>
                <w:color w:val="auto"/>
              </w:rPr>
              <w:t>warrants, and</w:t>
            </w:r>
          </w:p>
        </w:tc>
        <w:tc>
          <w:tcPr>
            <w:tcW w:w="120" w:type="dxa"/>
            <w:vAlign w:val="bottom"/>
          </w:tcPr>
          <w:p>
            <w:pPr>
              <w:spacing w:after="0"/>
              <w:rPr>
                <w:sz w:val="17"/>
                <w:szCs w:val="17"/>
                <w:color w:val="auto"/>
              </w:rPr>
            </w:pPr>
          </w:p>
        </w:tc>
        <w:tc>
          <w:tcPr>
            <w:tcW w:w="1180" w:type="dxa"/>
            <w:vAlign w:val="bottom"/>
          </w:tcPr>
          <w:p>
            <w:pPr>
              <w:jc w:val="right"/>
              <w:ind w:right="9"/>
              <w:spacing w:after="0"/>
              <w:rPr>
                <w:sz w:val="20"/>
                <w:szCs w:val="20"/>
                <w:color w:val="auto"/>
              </w:rPr>
            </w:pPr>
            <w:r>
              <w:rPr>
                <w:rFonts w:ascii="Arial Narrow" w:cs="Arial Narrow" w:eastAsia="Arial Narrow" w:hAnsi="Arial Narrow"/>
                <w:sz w:val="18"/>
                <w:szCs w:val="18"/>
                <w:b w:val="1"/>
                <w:bCs w:val="1"/>
                <w:color w:val="auto"/>
              </w:rPr>
              <w:t>reflected in</w:t>
            </w:r>
          </w:p>
        </w:tc>
        <w:tc>
          <w:tcPr>
            <w:tcW w:w="0" w:type="dxa"/>
            <w:vAlign w:val="bottom"/>
          </w:tcPr>
          <w:p>
            <w:pPr>
              <w:spacing w:after="0"/>
              <w:rPr>
                <w:sz w:val="1"/>
                <w:szCs w:val="1"/>
                <w:color w:val="auto"/>
              </w:rPr>
            </w:pPr>
          </w:p>
        </w:tc>
      </w:tr>
      <w:tr>
        <w:trPr>
          <w:trHeight w:val="254"/>
        </w:trPr>
        <w:tc>
          <w:tcPr>
            <w:tcW w:w="3880" w:type="dxa"/>
            <w:vAlign w:val="bottom"/>
            <w:vMerge w:val="continue"/>
          </w:tcPr>
          <w:p>
            <w:pPr>
              <w:spacing w:after="0"/>
              <w:rPr>
                <w:sz w:val="22"/>
                <w:szCs w:val="22"/>
                <w:color w:val="auto"/>
              </w:rPr>
            </w:pPr>
          </w:p>
        </w:tc>
        <w:tc>
          <w:tcPr>
            <w:tcW w:w="1540" w:type="dxa"/>
            <w:vAlign w:val="bottom"/>
            <w:vMerge w:val="continue"/>
          </w:tcPr>
          <w:p>
            <w:pPr>
              <w:spacing w:after="0"/>
              <w:rPr>
                <w:sz w:val="22"/>
                <w:szCs w:val="22"/>
                <w:color w:val="auto"/>
              </w:rPr>
            </w:pPr>
          </w:p>
        </w:tc>
        <w:tc>
          <w:tcPr>
            <w:tcW w:w="1180" w:type="dxa"/>
            <w:vAlign w:val="bottom"/>
          </w:tcPr>
          <w:p>
            <w:pPr>
              <w:jc w:val="right"/>
              <w:ind w:right="7"/>
              <w:spacing w:after="0"/>
              <w:rPr>
                <w:sz w:val="20"/>
                <w:szCs w:val="20"/>
                <w:color w:val="auto"/>
              </w:rPr>
            </w:pPr>
            <w:r>
              <w:rPr>
                <w:rFonts w:ascii="Arial Narrow" w:cs="Arial Narrow" w:eastAsia="Arial Narrow" w:hAnsi="Arial Narrow"/>
                <w:sz w:val="18"/>
                <w:szCs w:val="18"/>
                <w:b w:val="1"/>
                <w:bCs w:val="1"/>
                <w:color w:val="auto"/>
              </w:rPr>
              <w:t>rights</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6"/>
              <w:spacing w:after="0"/>
              <w:rPr>
                <w:sz w:val="20"/>
                <w:szCs w:val="20"/>
                <w:color w:val="auto"/>
              </w:rPr>
            </w:pPr>
            <w:r>
              <w:rPr>
                <w:rFonts w:ascii="Arial Narrow" w:cs="Arial Narrow" w:eastAsia="Arial Narrow" w:hAnsi="Arial Narrow"/>
                <w:sz w:val="18"/>
                <w:szCs w:val="18"/>
                <w:b w:val="1"/>
                <w:bCs w:val="1"/>
                <w:color w:val="auto"/>
              </w:rPr>
              <w:t>rights</w:t>
            </w:r>
          </w:p>
        </w:tc>
        <w:tc>
          <w:tcPr>
            <w:tcW w:w="120" w:type="dxa"/>
            <w:vAlign w:val="bottom"/>
          </w:tcPr>
          <w:p>
            <w:pPr>
              <w:spacing w:after="0"/>
              <w:rPr>
                <w:sz w:val="22"/>
                <w:szCs w:val="22"/>
                <w:color w:val="auto"/>
              </w:rPr>
            </w:pPr>
          </w:p>
        </w:tc>
        <w:tc>
          <w:tcPr>
            <w:tcW w:w="1180" w:type="dxa"/>
            <w:vAlign w:val="bottom"/>
          </w:tcPr>
          <w:p>
            <w:pPr>
              <w:jc w:val="right"/>
              <w:ind w:right="9"/>
              <w:spacing w:after="0"/>
              <w:rPr>
                <w:sz w:val="20"/>
                <w:szCs w:val="20"/>
                <w:color w:val="auto"/>
              </w:rPr>
            </w:pPr>
            <w:r>
              <w:rPr>
                <w:rFonts w:ascii="Arial Narrow" w:cs="Arial Narrow" w:eastAsia="Arial Narrow" w:hAnsi="Arial Narrow"/>
                <w:sz w:val="18"/>
                <w:szCs w:val="18"/>
                <w:b w:val="1"/>
                <w:bCs w:val="1"/>
                <w:color w:val="auto"/>
              </w:rPr>
              <w:t>column</w:t>
            </w:r>
          </w:p>
        </w:tc>
        <w:tc>
          <w:tcPr>
            <w:tcW w:w="0" w:type="dxa"/>
            <w:vAlign w:val="bottom"/>
          </w:tcPr>
          <w:p>
            <w:pPr>
              <w:spacing w:after="0"/>
              <w:rPr>
                <w:sz w:val="1"/>
                <w:szCs w:val="1"/>
                <w:color w:val="auto"/>
              </w:rPr>
            </w:pPr>
          </w:p>
        </w:tc>
      </w:tr>
      <w:tr>
        <w:trPr>
          <w:trHeight w:val="46"/>
        </w:trPr>
        <w:tc>
          <w:tcPr>
            <w:tcW w:w="388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2"/>
        </w:trPr>
        <w:tc>
          <w:tcPr>
            <w:tcW w:w="3880" w:type="dxa"/>
            <w:vAlign w:val="bottom"/>
          </w:tcPr>
          <w:p>
            <w:pPr>
              <w:spacing w:after="0"/>
              <w:rPr>
                <w:sz w:val="20"/>
                <w:szCs w:val="20"/>
                <w:color w:val="auto"/>
              </w:rPr>
            </w:pPr>
            <w:r>
              <w:rPr>
                <w:rFonts w:ascii="Arial Narrow" w:cs="Arial Narrow" w:eastAsia="Arial Narrow" w:hAnsi="Arial Narrow"/>
                <w:sz w:val="20"/>
                <w:szCs w:val="20"/>
                <w:b w:val="1"/>
                <w:bCs w:val="1"/>
                <w:color w:val="00085E"/>
              </w:rPr>
              <w:t>Equity compensation plans approved by</w:t>
            </w:r>
          </w:p>
        </w:tc>
        <w:tc>
          <w:tcPr>
            <w:tcW w:w="1540" w:type="dxa"/>
            <w:vAlign w:val="bottom"/>
            <w:vMerge w:val="restart"/>
          </w:tcPr>
          <w:p>
            <w:pPr>
              <w:jc w:val="right"/>
              <w:ind w:right="43"/>
              <w:spacing w:after="0"/>
              <w:rPr>
                <w:sz w:val="20"/>
                <w:szCs w:val="20"/>
                <w:color w:val="auto"/>
              </w:rPr>
            </w:pPr>
            <w:r>
              <w:rPr>
                <w:rFonts w:ascii="Arial Narrow" w:cs="Arial Narrow" w:eastAsia="Arial Narrow" w:hAnsi="Arial Narrow"/>
                <w:sz w:val="20"/>
                <w:szCs w:val="20"/>
                <w:color w:val="auto"/>
              </w:rPr>
              <w:t>2013</w:t>
            </w:r>
          </w:p>
        </w:tc>
        <w:tc>
          <w:tcPr>
            <w:tcW w:w="1180" w:type="dxa"/>
            <w:vAlign w:val="bottom"/>
            <w:vMerge w:val="restart"/>
          </w:tcPr>
          <w:p>
            <w:pPr>
              <w:jc w:val="right"/>
              <w:ind w:right="7"/>
              <w:spacing w:after="0"/>
              <w:rPr>
                <w:sz w:val="20"/>
                <w:szCs w:val="20"/>
                <w:color w:val="auto"/>
              </w:rPr>
            </w:pPr>
            <w:r>
              <w:rPr>
                <w:rFonts w:ascii="Arial Narrow" w:cs="Arial Narrow" w:eastAsia="Arial Narrow" w:hAnsi="Arial Narrow"/>
                <w:sz w:val="20"/>
                <w:szCs w:val="20"/>
                <w:color w:val="auto"/>
              </w:rPr>
              <w:t>170,473</w:t>
            </w:r>
          </w:p>
        </w:tc>
        <w:tc>
          <w:tcPr>
            <w:tcW w:w="300" w:type="dxa"/>
            <w:vAlign w:val="bottom"/>
            <w:gridSpan w:val="2"/>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1160" w:type="dxa"/>
            <w:vAlign w:val="bottom"/>
            <w:vMerge w:val="restart"/>
          </w:tcPr>
          <w:p>
            <w:pPr>
              <w:jc w:val="right"/>
              <w:ind w:right="6"/>
              <w:spacing w:after="0"/>
              <w:rPr>
                <w:sz w:val="20"/>
                <w:szCs w:val="20"/>
                <w:color w:val="auto"/>
              </w:rPr>
            </w:pPr>
            <w:r>
              <w:rPr>
                <w:rFonts w:ascii="Arial Narrow" w:cs="Arial Narrow" w:eastAsia="Arial Narrow" w:hAnsi="Arial Narrow"/>
                <w:sz w:val="20"/>
                <w:szCs w:val="20"/>
                <w:color w:val="auto"/>
              </w:rPr>
              <w:t>90.97</w:t>
            </w:r>
          </w:p>
        </w:tc>
        <w:tc>
          <w:tcPr>
            <w:tcW w:w="120" w:type="dxa"/>
            <w:vAlign w:val="bottom"/>
          </w:tcPr>
          <w:p>
            <w:pPr>
              <w:spacing w:after="0"/>
              <w:rPr>
                <w:sz w:val="24"/>
                <w:szCs w:val="24"/>
                <w:color w:val="auto"/>
              </w:rPr>
            </w:pPr>
          </w:p>
        </w:tc>
        <w:tc>
          <w:tcPr>
            <w:tcW w:w="1180" w:type="dxa"/>
            <w:vAlign w:val="bottom"/>
            <w:vMerge w:val="restart"/>
          </w:tcPr>
          <w:p>
            <w:pPr>
              <w:jc w:val="right"/>
              <w:ind w:right="9"/>
              <w:spacing w:after="0"/>
              <w:rPr>
                <w:sz w:val="20"/>
                <w:szCs w:val="20"/>
                <w:color w:val="auto"/>
              </w:rPr>
            </w:pPr>
            <w:r>
              <w:rPr>
                <w:rFonts w:ascii="Arial Narrow" w:cs="Arial Narrow" w:eastAsia="Arial Narrow" w:hAnsi="Arial Narrow"/>
                <w:sz w:val="20"/>
                <w:szCs w:val="20"/>
                <w:color w:val="auto"/>
              </w:rPr>
              <w:t>—</w:t>
            </w:r>
          </w:p>
        </w:tc>
        <w:tc>
          <w:tcPr>
            <w:tcW w:w="0" w:type="dxa"/>
            <w:vAlign w:val="bottom"/>
          </w:tcPr>
          <w:p>
            <w:pPr>
              <w:spacing w:after="0"/>
              <w:rPr>
                <w:sz w:val="1"/>
                <w:szCs w:val="1"/>
                <w:color w:val="auto"/>
              </w:rPr>
            </w:pPr>
          </w:p>
        </w:tc>
      </w:tr>
      <w:tr>
        <w:trPr>
          <w:trHeight w:val="167"/>
        </w:trPr>
        <w:tc>
          <w:tcPr>
            <w:tcW w:w="3880" w:type="dxa"/>
            <w:vAlign w:val="bottom"/>
            <w:vMerge w:val="restart"/>
          </w:tcPr>
          <w:p>
            <w:pPr>
              <w:spacing w:after="0"/>
              <w:rPr>
                <w:sz w:val="20"/>
                <w:szCs w:val="20"/>
                <w:color w:val="auto"/>
              </w:rPr>
            </w:pPr>
            <w:r>
              <w:rPr>
                <w:rFonts w:ascii="Arial Narrow" w:cs="Arial Narrow" w:eastAsia="Arial Narrow" w:hAnsi="Arial Narrow"/>
                <w:sz w:val="20"/>
                <w:szCs w:val="20"/>
                <w:b w:val="1"/>
                <w:bCs w:val="1"/>
                <w:color w:val="00085E"/>
              </w:rPr>
              <w:t>stockholders</w:t>
            </w:r>
          </w:p>
        </w:tc>
        <w:tc>
          <w:tcPr>
            <w:tcW w:w="154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3880" w:type="dxa"/>
            <w:vAlign w:val="bottom"/>
            <w:vMerge w:val="continue"/>
          </w:tcPr>
          <w:p>
            <w:pPr>
              <w:spacing w:after="0"/>
              <w:rPr>
                <w:sz w:val="9"/>
                <w:szCs w:val="9"/>
                <w:color w:val="auto"/>
              </w:rPr>
            </w:pPr>
          </w:p>
        </w:tc>
        <w:tc>
          <w:tcPr>
            <w:tcW w:w="15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3880" w:type="dxa"/>
            <w:vAlign w:val="bottom"/>
            <w:tcBorders>
              <w:bottom w:val="single" w:sz="8" w:color="A6A6A6"/>
            </w:tcBorders>
          </w:tcPr>
          <w:p>
            <w:pPr>
              <w:spacing w:after="0"/>
              <w:rPr>
                <w:sz w:val="5"/>
                <w:szCs w:val="5"/>
                <w:color w:val="auto"/>
              </w:rPr>
            </w:pPr>
          </w:p>
        </w:tc>
        <w:tc>
          <w:tcPr>
            <w:tcW w:w="1540" w:type="dxa"/>
            <w:vAlign w:val="bottom"/>
            <w:tcBorders>
              <w:bottom w:val="single" w:sz="8" w:color="A6A6A6"/>
            </w:tcBorders>
          </w:tcPr>
          <w:p>
            <w:pPr>
              <w:spacing w:after="0"/>
              <w:rPr>
                <w:sz w:val="5"/>
                <w:szCs w:val="5"/>
                <w:color w:val="auto"/>
              </w:rPr>
            </w:pPr>
          </w:p>
        </w:tc>
        <w:tc>
          <w:tcPr>
            <w:tcW w:w="118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116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118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287"/>
        </w:trPr>
        <w:tc>
          <w:tcPr>
            <w:tcW w:w="3880" w:type="dxa"/>
            <w:vAlign w:val="bottom"/>
          </w:tcPr>
          <w:p>
            <w:pPr>
              <w:spacing w:after="0"/>
              <w:rPr>
                <w:sz w:val="20"/>
                <w:szCs w:val="20"/>
                <w:color w:val="auto"/>
              </w:rPr>
            </w:pPr>
            <w:r>
              <w:rPr>
                <w:rFonts w:ascii="Arial Narrow" w:cs="Arial Narrow" w:eastAsia="Arial Narrow" w:hAnsi="Arial Narrow"/>
                <w:sz w:val="20"/>
                <w:szCs w:val="20"/>
                <w:b w:val="1"/>
                <w:bCs w:val="1"/>
                <w:color w:val="00085E"/>
              </w:rPr>
              <w:t>Equity compensation plans approved by</w:t>
            </w:r>
          </w:p>
        </w:tc>
        <w:tc>
          <w:tcPr>
            <w:tcW w:w="1540" w:type="dxa"/>
            <w:vAlign w:val="bottom"/>
            <w:vMerge w:val="restart"/>
          </w:tcPr>
          <w:p>
            <w:pPr>
              <w:jc w:val="right"/>
              <w:ind w:right="43"/>
              <w:spacing w:after="0"/>
              <w:rPr>
                <w:sz w:val="20"/>
                <w:szCs w:val="20"/>
                <w:color w:val="auto"/>
              </w:rPr>
            </w:pPr>
            <w:r>
              <w:rPr>
                <w:rFonts w:ascii="Arial Narrow" w:cs="Arial Narrow" w:eastAsia="Arial Narrow" w:hAnsi="Arial Narrow"/>
                <w:sz w:val="20"/>
                <w:szCs w:val="20"/>
                <w:color w:val="auto"/>
              </w:rPr>
              <w:t>2023</w:t>
            </w:r>
          </w:p>
        </w:tc>
        <w:tc>
          <w:tcPr>
            <w:tcW w:w="1180" w:type="dxa"/>
            <w:vAlign w:val="bottom"/>
            <w:vMerge w:val="restart"/>
          </w:tcPr>
          <w:p>
            <w:pPr>
              <w:jc w:val="right"/>
              <w:ind w:right="7"/>
              <w:spacing w:after="0"/>
              <w:rPr>
                <w:sz w:val="20"/>
                <w:szCs w:val="20"/>
                <w:color w:val="auto"/>
              </w:rPr>
            </w:pPr>
            <w:r>
              <w:rPr>
                <w:rFonts w:ascii="Arial Narrow" w:cs="Arial Narrow" w:eastAsia="Arial Narrow" w:hAnsi="Arial Narrow"/>
                <w:sz w:val="20"/>
                <w:szCs w:val="20"/>
                <w:color w:val="auto"/>
              </w:rPr>
              <w:t>36,248</w:t>
            </w:r>
          </w:p>
        </w:tc>
        <w:tc>
          <w:tcPr>
            <w:tcW w:w="300" w:type="dxa"/>
            <w:vAlign w:val="bottom"/>
            <w:gridSpan w:val="2"/>
            <w:vMerge w:val="restart"/>
          </w:tcPr>
          <w:p>
            <w:pPr>
              <w:jc w:val="right"/>
              <w:spacing w:after="0"/>
              <w:rPr>
                <w:sz w:val="20"/>
                <w:szCs w:val="20"/>
                <w:color w:val="auto"/>
              </w:rPr>
            </w:pPr>
            <w:r>
              <w:rPr>
                <w:rFonts w:ascii="Arial Narrow" w:cs="Arial Narrow" w:eastAsia="Arial Narrow" w:hAnsi="Arial Narrow"/>
                <w:sz w:val="20"/>
                <w:szCs w:val="20"/>
                <w:color w:val="auto"/>
              </w:rPr>
              <w:t>$</w:t>
            </w:r>
          </w:p>
        </w:tc>
        <w:tc>
          <w:tcPr>
            <w:tcW w:w="1160" w:type="dxa"/>
            <w:vAlign w:val="bottom"/>
            <w:vMerge w:val="restart"/>
          </w:tcPr>
          <w:p>
            <w:pPr>
              <w:jc w:val="right"/>
              <w:ind w:right="6"/>
              <w:spacing w:after="0"/>
              <w:rPr>
                <w:sz w:val="20"/>
                <w:szCs w:val="20"/>
                <w:color w:val="auto"/>
              </w:rPr>
            </w:pPr>
            <w:r>
              <w:rPr>
                <w:rFonts w:ascii="Arial Narrow" w:cs="Arial Narrow" w:eastAsia="Arial Narrow" w:hAnsi="Arial Narrow"/>
                <w:sz w:val="20"/>
                <w:szCs w:val="20"/>
                <w:color w:val="auto"/>
              </w:rPr>
              <w:t>217.54</w:t>
            </w:r>
          </w:p>
        </w:tc>
        <w:tc>
          <w:tcPr>
            <w:tcW w:w="1300" w:type="dxa"/>
            <w:vAlign w:val="bottom"/>
            <w:gridSpan w:val="2"/>
            <w:vMerge w:val="restart"/>
          </w:tcPr>
          <w:p>
            <w:pPr>
              <w:jc w:val="right"/>
              <w:ind w:right="9"/>
              <w:spacing w:after="0"/>
              <w:rPr>
                <w:sz w:val="20"/>
                <w:szCs w:val="20"/>
                <w:color w:val="auto"/>
              </w:rPr>
            </w:pPr>
            <w:r>
              <w:rPr>
                <w:rFonts w:ascii="Arial Narrow" w:cs="Arial Narrow" w:eastAsia="Arial Narrow" w:hAnsi="Arial Narrow"/>
                <w:sz w:val="20"/>
                <w:szCs w:val="20"/>
                <w:color w:val="auto"/>
              </w:rPr>
              <w:t>1,315,254</w:t>
            </w:r>
          </w:p>
        </w:tc>
        <w:tc>
          <w:tcPr>
            <w:tcW w:w="0" w:type="dxa"/>
            <w:vAlign w:val="bottom"/>
          </w:tcPr>
          <w:p>
            <w:pPr>
              <w:spacing w:after="0"/>
              <w:rPr>
                <w:sz w:val="1"/>
                <w:szCs w:val="1"/>
                <w:color w:val="auto"/>
              </w:rPr>
            </w:pPr>
          </w:p>
        </w:tc>
      </w:tr>
      <w:tr>
        <w:trPr>
          <w:trHeight w:val="167"/>
        </w:trPr>
        <w:tc>
          <w:tcPr>
            <w:tcW w:w="3880" w:type="dxa"/>
            <w:vAlign w:val="bottom"/>
            <w:vMerge w:val="restart"/>
          </w:tcPr>
          <w:p>
            <w:pPr>
              <w:spacing w:after="0"/>
              <w:rPr>
                <w:sz w:val="20"/>
                <w:szCs w:val="20"/>
                <w:color w:val="auto"/>
              </w:rPr>
            </w:pPr>
            <w:r>
              <w:rPr>
                <w:rFonts w:ascii="Arial Narrow" w:cs="Arial Narrow" w:eastAsia="Arial Narrow" w:hAnsi="Arial Narrow"/>
                <w:sz w:val="20"/>
                <w:szCs w:val="20"/>
                <w:b w:val="1"/>
                <w:bCs w:val="1"/>
                <w:color w:val="00085E"/>
              </w:rPr>
              <w:t>stockholders</w:t>
            </w:r>
          </w:p>
        </w:tc>
        <w:tc>
          <w:tcPr>
            <w:tcW w:w="154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3880" w:type="dxa"/>
            <w:vAlign w:val="bottom"/>
            <w:vMerge w:val="continue"/>
          </w:tcPr>
          <w:p>
            <w:pPr>
              <w:spacing w:after="0"/>
              <w:rPr>
                <w:sz w:val="9"/>
                <w:szCs w:val="9"/>
                <w:color w:val="auto"/>
              </w:rPr>
            </w:pPr>
          </w:p>
        </w:tc>
        <w:tc>
          <w:tcPr>
            <w:tcW w:w="15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3880" w:type="dxa"/>
            <w:vAlign w:val="bottom"/>
            <w:tcBorders>
              <w:bottom w:val="single" w:sz="8" w:color="A6A6A6"/>
            </w:tcBorders>
          </w:tcPr>
          <w:p>
            <w:pPr>
              <w:spacing w:after="0"/>
              <w:rPr>
                <w:sz w:val="5"/>
                <w:szCs w:val="5"/>
                <w:color w:val="auto"/>
              </w:rPr>
            </w:pPr>
          </w:p>
        </w:tc>
        <w:tc>
          <w:tcPr>
            <w:tcW w:w="1540" w:type="dxa"/>
            <w:vAlign w:val="bottom"/>
            <w:tcBorders>
              <w:bottom w:val="single" w:sz="8" w:color="A6A6A6"/>
            </w:tcBorders>
          </w:tcPr>
          <w:p>
            <w:pPr>
              <w:spacing w:after="0"/>
              <w:rPr>
                <w:sz w:val="5"/>
                <w:szCs w:val="5"/>
                <w:color w:val="auto"/>
              </w:rPr>
            </w:pPr>
          </w:p>
        </w:tc>
        <w:tc>
          <w:tcPr>
            <w:tcW w:w="118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180" w:type="dxa"/>
            <w:vAlign w:val="bottom"/>
            <w:tcBorders>
              <w:bottom w:val="single" w:sz="8" w:color="A6A6A6"/>
            </w:tcBorders>
          </w:tcPr>
          <w:p>
            <w:pPr>
              <w:spacing w:after="0"/>
              <w:rPr>
                <w:sz w:val="5"/>
                <w:szCs w:val="5"/>
                <w:color w:val="auto"/>
              </w:rPr>
            </w:pPr>
          </w:p>
        </w:tc>
        <w:tc>
          <w:tcPr>
            <w:tcW w:w="1160" w:type="dxa"/>
            <w:vAlign w:val="bottom"/>
            <w:tcBorders>
              <w:bottom w:val="single" w:sz="8" w:color="A6A6A6"/>
            </w:tcBorders>
          </w:tcPr>
          <w:p>
            <w:pPr>
              <w:spacing w:after="0"/>
              <w:rPr>
                <w:sz w:val="5"/>
                <w:szCs w:val="5"/>
                <w:color w:val="auto"/>
              </w:rPr>
            </w:pPr>
          </w:p>
        </w:tc>
        <w:tc>
          <w:tcPr>
            <w:tcW w:w="120" w:type="dxa"/>
            <w:vAlign w:val="bottom"/>
            <w:tcBorders>
              <w:bottom w:val="single" w:sz="8" w:color="A6A6A6"/>
            </w:tcBorders>
          </w:tcPr>
          <w:p>
            <w:pPr>
              <w:spacing w:after="0"/>
              <w:rPr>
                <w:sz w:val="5"/>
                <w:szCs w:val="5"/>
                <w:color w:val="auto"/>
              </w:rPr>
            </w:pPr>
          </w:p>
        </w:tc>
        <w:tc>
          <w:tcPr>
            <w:tcW w:w="1180" w:type="dxa"/>
            <w:vAlign w:val="bottom"/>
            <w:tcBorders>
              <w:bottom w:val="single" w:sz="8" w:color="A6A6A6"/>
            </w:tcBorders>
          </w:tcPr>
          <w:p>
            <w:pPr>
              <w:spacing w:after="0"/>
              <w:rPr>
                <w:sz w:val="5"/>
                <w:szCs w:val="5"/>
                <w:color w:val="auto"/>
              </w:rPr>
            </w:pPr>
          </w:p>
        </w:tc>
        <w:tc>
          <w:tcPr>
            <w:tcW w:w="0" w:type="dxa"/>
            <w:vAlign w:val="bottom"/>
          </w:tcPr>
          <w:p>
            <w:pPr>
              <w:spacing w:after="0"/>
              <w:rPr>
                <w:sz w:val="1"/>
                <w:szCs w:val="1"/>
                <w:color w:val="auto"/>
              </w:rPr>
            </w:pPr>
          </w:p>
        </w:tc>
      </w:tr>
      <w:tr>
        <w:trPr>
          <w:trHeight w:val="287"/>
        </w:trPr>
        <w:tc>
          <w:tcPr>
            <w:tcW w:w="3880" w:type="dxa"/>
            <w:vAlign w:val="bottom"/>
          </w:tcPr>
          <w:p>
            <w:pPr>
              <w:spacing w:after="0"/>
              <w:rPr>
                <w:sz w:val="20"/>
                <w:szCs w:val="20"/>
                <w:color w:val="auto"/>
              </w:rPr>
            </w:pPr>
            <w:r>
              <w:rPr>
                <w:rFonts w:ascii="Arial Narrow" w:cs="Arial Narrow" w:eastAsia="Arial Narrow" w:hAnsi="Arial Narrow"/>
                <w:sz w:val="20"/>
                <w:szCs w:val="20"/>
                <w:b w:val="1"/>
                <w:bCs w:val="1"/>
                <w:color w:val="00085E"/>
              </w:rPr>
              <w:t>Equity compensation plans not approved by</w:t>
            </w:r>
          </w:p>
        </w:tc>
        <w:tc>
          <w:tcPr>
            <w:tcW w:w="1540" w:type="dxa"/>
            <w:vAlign w:val="bottom"/>
          </w:tcPr>
          <w:p>
            <w:pPr>
              <w:spacing w:after="0"/>
              <w:rPr>
                <w:sz w:val="24"/>
                <w:szCs w:val="24"/>
                <w:color w:val="auto"/>
              </w:rPr>
            </w:pPr>
          </w:p>
        </w:tc>
        <w:tc>
          <w:tcPr>
            <w:tcW w:w="1180" w:type="dxa"/>
            <w:vAlign w:val="bottom"/>
            <w:vMerge w:val="restart"/>
          </w:tcPr>
          <w:p>
            <w:pPr>
              <w:jc w:val="right"/>
              <w:ind w:right="7"/>
              <w:spacing w:after="0"/>
              <w:rPr>
                <w:sz w:val="20"/>
                <w:szCs w:val="20"/>
                <w:color w:val="auto"/>
              </w:rPr>
            </w:pPr>
            <w:r>
              <w:rPr>
                <w:rFonts w:ascii="Arial Narrow" w:cs="Arial Narrow" w:eastAsia="Arial Narrow" w:hAnsi="Arial Narrow"/>
                <w:sz w:val="20"/>
                <w:szCs w:val="20"/>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vMerge w:val="restart"/>
          </w:tcPr>
          <w:p>
            <w:pPr>
              <w:jc w:val="right"/>
              <w:ind w:right="6"/>
              <w:spacing w:after="0"/>
              <w:rPr>
                <w:sz w:val="20"/>
                <w:szCs w:val="20"/>
                <w:color w:val="auto"/>
              </w:rPr>
            </w:pPr>
            <w:r>
              <w:rPr>
                <w:rFonts w:ascii="Arial Narrow" w:cs="Arial Narrow" w:eastAsia="Arial Narrow" w:hAnsi="Arial Narrow"/>
                <w:sz w:val="20"/>
                <w:szCs w:val="20"/>
                <w:color w:val="auto"/>
              </w:rPr>
              <w:t>—</w:t>
            </w:r>
          </w:p>
        </w:tc>
        <w:tc>
          <w:tcPr>
            <w:tcW w:w="120" w:type="dxa"/>
            <w:vAlign w:val="bottom"/>
          </w:tcPr>
          <w:p>
            <w:pPr>
              <w:spacing w:after="0"/>
              <w:rPr>
                <w:sz w:val="24"/>
                <w:szCs w:val="24"/>
                <w:color w:val="auto"/>
              </w:rPr>
            </w:pPr>
          </w:p>
        </w:tc>
        <w:tc>
          <w:tcPr>
            <w:tcW w:w="1180" w:type="dxa"/>
            <w:vAlign w:val="bottom"/>
            <w:vMerge w:val="restart"/>
          </w:tcPr>
          <w:p>
            <w:pPr>
              <w:jc w:val="right"/>
              <w:ind w:right="9"/>
              <w:spacing w:after="0"/>
              <w:rPr>
                <w:sz w:val="20"/>
                <w:szCs w:val="20"/>
                <w:color w:val="auto"/>
              </w:rPr>
            </w:pPr>
            <w:r>
              <w:rPr>
                <w:rFonts w:ascii="Arial Narrow" w:cs="Arial Narrow" w:eastAsia="Arial Narrow" w:hAnsi="Arial Narrow"/>
                <w:sz w:val="20"/>
                <w:szCs w:val="20"/>
                <w:color w:val="auto"/>
              </w:rPr>
              <w:t>—</w:t>
            </w:r>
          </w:p>
        </w:tc>
        <w:tc>
          <w:tcPr>
            <w:tcW w:w="0" w:type="dxa"/>
            <w:vAlign w:val="bottom"/>
          </w:tcPr>
          <w:p>
            <w:pPr>
              <w:spacing w:after="0"/>
              <w:rPr>
                <w:sz w:val="1"/>
                <w:szCs w:val="1"/>
                <w:color w:val="auto"/>
              </w:rPr>
            </w:pPr>
          </w:p>
        </w:tc>
      </w:tr>
      <w:tr>
        <w:trPr>
          <w:trHeight w:val="167"/>
        </w:trPr>
        <w:tc>
          <w:tcPr>
            <w:tcW w:w="3880" w:type="dxa"/>
            <w:vAlign w:val="bottom"/>
            <w:vMerge w:val="restart"/>
          </w:tcPr>
          <w:p>
            <w:pPr>
              <w:spacing w:after="0"/>
              <w:rPr>
                <w:sz w:val="20"/>
                <w:szCs w:val="20"/>
                <w:color w:val="auto"/>
              </w:rPr>
            </w:pPr>
            <w:r>
              <w:rPr>
                <w:rFonts w:ascii="Arial Narrow" w:cs="Arial Narrow" w:eastAsia="Arial Narrow" w:hAnsi="Arial Narrow"/>
                <w:sz w:val="20"/>
                <w:szCs w:val="20"/>
                <w:b w:val="1"/>
                <w:bCs w:val="1"/>
                <w:color w:val="00085E"/>
              </w:rPr>
              <w:t>stockholders</w:t>
            </w:r>
          </w:p>
        </w:tc>
        <w:tc>
          <w:tcPr>
            <w:tcW w:w="15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3880" w:type="dxa"/>
            <w:vAlign w:val="bottom"/>
            <w:vMerge w:val="continue"/>
          </w:tcPr>
          <w:p>
            <w:pPr>
              <w:spacing w:after="0"/>
              <w:rPr>
                <w:sz w:val="9"/>
                <w:szCs w:val="9"/>
                <w:color w:val="auto"/>
              </w:rPr>
            </w:pPr>
          </w:p>
        </w:tc>
        <w:tc>
          <w:tcPr>
            <w:tcW w:w="15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3880" w:type="dxa"/>
            <w:vAlign w:val="bottom"/>
            <w:tcBorders>
              <w:bottom w:val="single" w:sz="8" w:color="A6A6A6"/>
            </w:tcBorders>
          </w:tcPr>
          <w:p>
            <w:pPr>
              <w:spacing w:after="0"/>
              <w:rPr>
                <w:sz w:val="7"/>
                <w:szCs w:val="7"/>
                <w:color w:val="auto"/>
              </w:rPr>
            </w:pPr>
          </w:p>
        </w:tc>
        <w:tc>
          <w:tcPr>
            <w:tcW w:w="1540" w:type="dxa"/>
            <w:vAlign w:val="bottom"/>
            <w:tcBorders>
              <w:bottom w:val="single" w:sz="8" w:color="A6A6A6"/>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4"/>
        </w:trPr>
        <w:tc>
          <w:tcPr>
            <w:tcW w:w="38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80" w:type="dxa"/>
            <w:vAlign w:val="bottom"/>
          </w:tcPr>
          <w:p>
            <w:pPr>
              <w:jc w:val="right"/>
              <w:ind w:right="7"/>
              <w:spacing w:after="0"/>
              <w:rPr>
                <w:sz w:val="20"/>
                <w:szCs w:val="20"/>
                <w:color w:val="auto"/>
              </w:rPr>
            </w:pPr>
            <w:r>
              <w:rPr>
                <w:rFonts w:ascii="Arial Narrow" w:cs="Arial Narrow" w:eastAsia="Arial Narrow" w:hAnsi="Arial Narrow"/>
                <w:sz w:val="20"/>
                <w:szCs w:val="20"/>
                <w:b w:val="1"/>
                <w:bCs w:val="1"/>
                <w:color w:val="auto"/>
              </w:rPr>
              <w:t>206,721</w:t>
            </w:r>
          </w:p>
        </w:tc>
        <w:tc>
          <w:tcPr>
            <w:tcW w:w="300" w:type="dxa"/>
            <w:vAlign w:val="bottom"/>
            <w:gridSpan w:val="2"/>
          </w:tcPr>
          <w:p>
            <w:pPr>
              <w:jc w:val="right"/>
              <w:spacing w:after="0"/>
              <w:rPr>
                <w:sz w:val="20"/>
                <w:szCs w:val="20"/>
                <w:color w:val="auto"/>
              </w:rPr>
            </w:pPr>
            <w:r>
              <w:rPr>
                <w:rFonts w:ascii="Arial Narrow" w:cs="Arial Narrow" w:eastAsia="Arial Narrow" w:hAnsi="Arial Narrow"/>
                <w:sz w:val="20"/>
                <w:szCs w:val="20"/>
                <w:b w:val="1"/>
                <w:bCs w:val="1"/>
                <w:color w:val="auto"/>
              </w:rPr>
              <w:t>$</w:t>
            </w:r>
          </w:p>
        </w:tc>
        <w:tc>
          <w:tcPr>
            <w:tcW w:w="1160" w:type="dxa"/>
            <w:vAlign w:val="bottom"/>
          </w:tcPr>
          <w:p>
            <w:pPr>
              <w:jc w:val="right"/>
              <w:ind w:right="6"/>
              <w:spacing w:after="0"/>
              <w:rPr>
                <w:sz w:val="20"/>
                <w:szCs w:val="20"/>
                <w:color w:val="auto"/>
              </w:rPr>
            </w:pPr>
            <w:r>
              <w:rPr>
                <w:rFonts w:ascii="Arial Narrow" w:cs="Arial Narrow" w:eastAsia="Arial Narrow" w:hAnsi="Arial Narrow"/>
                <w:sz w:val="20"/>
                <w:szCs w:val="20"/>
                <w:b w:val="1"/>
                <w:bCs w:val="1"/>
                <w:color w:val="auto"/>
              </w:rPr>
              <w:t>113.16</w:t>
            </w:r>
          </w:p>
        </w:tc>
        <w:tc>
          <w:tcPr>
            <w:tcW w:w="1300" w:type="dxa"/>
            <w:vAlign w:val="bottom"/>
            <w:gridSpan w:val="2"/>
          </w:tcPr>
          <w:p>
            <w:pPr>
              <w:jc w:val="right"/>
              <w:ind w:right="9"/>
              <w:spacing w:after="0"/>
              <w:rPr>
                <w:sz w:val="20"/>
                <w:szCs w:val="20"/>
                <w:color w:val="auto"/>
              </w:rPr>
            </w:pPr>
            <w:r>
              <w:rPr>
                <w:rFonts w:ascii="Arial Narrow" w:cs="Arial Narrow" w:eastAsia="Arial Narrow" w:hAnsi="Arial Narrow"/>
                <w:sz w:val="20"/>
                <w:szCs w:val="20"/>
                <w:b w:val="1"/>
                <w:bCs w:val="1"/>
                <w:color w:val="auto"/>
              </w:rPr>
              <w:t>1,315,254</w:t>
            </w:r>
          </w:p>
        </w:tc>
        <w:tc>
          <w:tcPr>
            <w:tcW w:w="0" w:type="dxa"/>
            <w:vAlign w:val="bottom"/>
          </w:tcPr>
          <w:p>
            <w:pPr>
              <w:spacing w:after="0"/>
              <w:rPr>
                <w:sz w:val="1"/>
                <w:szCs w:val="1"/>
                <w:color w:val="auto"/>
              </w:rPr>
            </w:pPr>
          </w:p>
        </w:tc>
      </w:tr>
      <w:tr>
        <w:trPr>
          <w:trHeight w:val="65"/>
        </w:trPr>
        <w:tc>
          <w:tcPr>
            <w:tcW w:w="38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right="580"/>
        <w:spacing w:after="0" w:line="274" w:lineRule="auto"/>
        <w:rPr>
          <w:sz w:val="20"/>
          <w:szCs w:val="20"/>
          <w:color w:val="auto"/>
        </w:rPr>
      </w:pPr>
      <w:r>
        <w:rPr>
          <w:rFonts w:ascii="Arial" w:cs="Arial" w:eastAsia="Arial" w:hAnsi="Arial"/>
          <w:sz w:val="26"/>
          <w:szCs w:val="26"/>
          <w:b w:val="1"/>
          <w:bCs w:val="1"/>
          <w:color w:val="auto"/>
        </w:rPr>
        <w:t>ITEM 13. Certain Relationships and Related Transactions, and 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-40005</wp:posOffset>
            </wp:positionV>
            <wp:extent cx="5943600" cy="127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0">
                      <a:extLst>
                        <a:ext uri="{28A0092B-C50C-407E-A947-70E740481C1C}"/>
                      </a:extLst>
                    </a:blip>
                    <a:srcRect/>
                    <a:stretch>
                      <a:fillRect/>
                    </a:stretch>
                  </pic:blipFill>
                  <pic:spPr bwMode="auto">
                    <a:xfrm>
                      <a:off x="0" y="0"/>
                      <a:ext cx="5943600" cy="12700"/>
                    </a:xfrm>
                    <a:prstGeom prst="rect">
                      <a:avLst/>
                    </a:prstGeom>
                    <a:noFill/>
                  </pic:spPr>
                </pic:pic>
              </a:graphicData>
            </a:graphic>
          </wp:anchor>
        </w:drawing>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See Item 10.</w:t>
      </w:r>
    </w:p>
    <w:p>
      <w:pPr>
        <w:spacing w:after="0" w:line="333"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ITEM 14. Principal Accounting Fees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5943600" cy="127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1">
                      <a:extLst>
                        <a:ext uri="{28A0092B-C50C-407E-A947-70E740481C1C}"/>
                      </a:extLst>
                    </a:blip>
                    <a:srcRect/>
                    <a:stretch>
                      <a:fillRect/>
                    </a:stretch>
                  </pic:blipFill>
                  <pic:spPr bwMode="auto">
                    <a:xfrm>
                      <a:off x="0" y="0"/>
                      <a:ext cx="5943600" cy="1270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color w:val="auto"/>
        </w:rPr>
        <w:t>See Item 10.</w:t>
      </w:r>
    </w:p>
    <w:p>
      <w:pPr>
        <w:sectPr>
          <w:pgSz w:w="11880" w:h="15480" w:orient="portrait"/>
          <w:cols w:equalWidth="0" w:num="1">
            <w:col w:w="9360"/>
          </w:cols>
          <w:pgMar w:left="1260" w:top="1201" w:right="1260" w:bottom="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120</w:t>
      </w:r>
    </w:p>
    <w:p>
      <w:pPr>
        <w:sectPr>
          <w:pgSz w:w="11880" w:h="15480" w:orient="portrait"/>
          <w:cols w:equalWidth="0" w:num="1">
            <w:col w:w="9360"/>
          </w:cols>
          <w:pgMar w:left="1260" w:top="1201" w:right="1260" w:bottom="7" w:gutter="0" w:footer="0" w:header="0"/>
          <w:type w:val="continuous"/>
        </w:sectPr>
      </w:pPr>
    </w:p>
    <w:bookmarkStart w:id="128" w:name="page129"/>
    <w:bookmarkEnd w:id="128"/>
    <w:p>
      <w:pPr>
        <w:spacing w:after="0"/>
        <w:rPr>
          <w:sz w:val="20"/>
          <w:szCs w:val="20"/>
          <w:color w:val="auto"/>
        </w:rPr>
      </w:pPr>
      <w:r>
        <w:rPr>
          <w:rFonts w:ascii="Arial" w:cs="Arial" w:eastAsia="Arial" w:hAnsi="Arial"/>
          <w:sz w:val="26"/>
          <w:szCs w:val="26"/>
          <w:b w:val="1"/>
          <w:bCs w:val="1"/>
          <w:color w:val="00085E"/>
        </w:rPr>
        <w:t>PART IV</w:t>
      </w:r>
    </w:p>
    <w:p>
      <w:pPr>
        <w:spacing w:after="0" w:line="331"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ITEM 15. Exhibits and Financial Statement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5943600" cy="127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2">
                      <a:extLst>
                        <a:ext uri="{28A0092B-C50C-407E-A947-70E740481C1C}"/>
                      </a:extLst>
                    </a:blip>
                    <a:srcRect/>
                    <a:stretch>
                      <a:fillRect/>
                    </a:stretch>
                  </pic:blipFill>
                  <pic:spPr bwMode="auto">
                    <a:xfrm>
                      <a:off x="0" y="0"/>
                      <a:ext cx="5943600" cy="1270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color w:val="auto"/>
        </w:rPr>
        <w:t>A. The following documents are filed as part of this Report:</w:t>
      </w:r>
    </w:p>
    <w:p>
      <w:pPr>
        <w:spacing w:after="0" w:line="157" w:lineRule="exact"/>
        <w:rPr>
          <w:sz w:val="20"/>
          <w:szCs w:val="20"/>
          <w:color w:val="auto"/>
        </w:rPr>
      </w:pPr>
    </w:p>
    <w:p>
      <w:pPr>
        <w:ind w:left="440" w:hanging="224"/>
        <w:spacing w:after="0"/>
        <w:tabs>
          <w:tab w:leader="none" w:pos="440" w:val="left"/>
        </w:tabs>
        <w:numPr>
          <w:ilvl w:val="0"/>
          <w:numId w:val="42"/>
        </w:numPr>
        <w:rPr>
          <w:rFonts w:ascii="Arial" w:cs="Arial" w:eastAsia="Arial" w:hAnsi="Arial"/>
          <w:sz w:val="20"/>
          <w:szCs w:val="20"/>
          <w:color w:val="auto"/>
        </w:rPr>
      </w:pPr>
      <w:r>
        <w:rPr>
          <w:rFonts w:ascii="Arial" w:cs="Arial" w:eastAsia="Arial" w:hAnsi="Arial"/>
          <w:sz w:val="20"/>
          <w:szCs w:val="20"/>
          <w:b w:val="1"/>
          <w:bCs w:val="1"/>
          <w:color w:val="auto"/>
        </w:rPr>
        <w:t>Financial Statements</w:t>
      </w:r>
    </w:p>
    <w:p>
      <w:pPr>
        <w:spacing w:after="0" w:line="43" w:lineRule="exact"/>
        <w:rPr>
          <w:rFonts w:ascii="Arial" w:cs="Arial" w:eastAsia="Arial" w:hAnsi="Arial"/>
          <w:sz w:val="20"/>
          <w:szCs w:val="20"/>
          <w:color w:val="auto"/>
        </w:rPr>
      </w:pPr>
    </w:p>
    <w:p>
      <w:pPr>
        <w:ind w:left="440" w:right="180"/>
        <w:spacing w:after="0" w:line="325" w:lineRule="auto"/>
        <w:rPr>
          <w:rFonts w:ascii="Arial" w:cs="Arial" w:eastAsia="Arial" w:hAnsi="Arial"/>
          <w:sz w:val="20"/>
          <w:szCs w:val="20"/>
          <w:color w:val="auto"/>
        </w:rPr>
      </w:pPr>
      <w:r>
        <w:rPr>
          <w:rFonts w:ascii="Arial" w:cs="Arial" w:eastAsia="Arial" w:hAnsi="Arial"/>
          <w:sz w:val="20"/>
          <w:szCs w:val="20"/>
          <w:color w:val="auto"/>
        </w:rPr>
        <w:t>Reference is made to the Index to Financial Statements under Item 8 in Part II hereof, where these documents are listed.</w:t>
      </w:r>
    </w:p>
    <w:p>
      <w:pPr>
        <w:spacing w:after="0" w:line="33" w:lineRule="exact"/>
        <w:rPr>
          <w:rFonts w:ascii="Arial" w:cs="Arial" w:eastAsia="Arial" w:hAnsi="Arial"/>
          <w:sz w:val="20"/>
          <w:szCs w:val="20"/>
          <w:color w:val="auto"/>
        </w:rPr>
      </w:pPr>
    </w:p>
    <w:p>
      <w:pPr>
        <w:ind w:left="440" w:hanging="224"/>
        <w:spacing w:after="0"/>
        <w:tabs>
          <w:tab w:leader="none" w:pos="440" w:val="left"/>
        </w:tabs>
        <w:numPr>
          <w:ilvl w:val="0"/>
          <w:numId w:val="42"/>
        </w:numPr>
        <w:rPr>
          <w:rFonts w:ascii="Arial" w:cs="Arial" w:eastAsia="Arial" w:hAnsi="Arial"/>
          <w:sz w:val="20"/>
          <w:szCs w:val="20"/>
          <w:color w:val="auto"/>
        </w:rPr>
      </w:pPr>
      <w:r>
        <w:rPr>
          <w:rFonts w:ascii="Arial" w:cs="Arial" w:eastAsia="Arial" w:hAnsi="Arial"/>
          <w:sz w:val="20"/>
          <w:szCs w:val="20"/>
          <w:b w:val="1"/>
          <w:bCs w:val="1"/>
          <w:color w:val="auto"/>
        </w:rPr>
        <w:t>Schedules</w:t>
      </w:r>
    </w:p>
    <w:p>
      <w:pPr>
        <w:spacing w:after="0" w:line="43" w:lineRule="exact"/>
        <w:rPr>
          <w:rFonts w:ascii="Arial" w:cs="Arial" w:eastAsia="Arial" w:hAnsi="Arial"/>
          <w:sz w:val="20"/>
          <w:szCs w:val="20"/>
          <w:color w:val="auto"/>
        </w:rPr>
      </w:pPr>
    </w:p>
    <w:p>
      <w:pPr>
        <w:jc w:val="both"/>
        <w:ind w:left="440"/>
        <w:spacing w:after="0" w:line="281" w:lineRule="auto"/>
        <w:rPr>
          <w:rFonts w:ascii="Arial" w:cs="Arial" w:eastAsia="Arial" w:hAnsi="Arial"/>
          <w:sz w:val="20"/>
          <w:szCs w:val="20"/>
          <w:color w:val="auto"/>
        </w:rPr>
      </w:pPr>
      <w:r>
        <w:rPr>
          <w:rFonts w:ascii="Arial" w:cs="Arial" w:eastAsia="Arial" w:hAnsi="Arial"/>
          <w:sz w:val="20"/>
          <w:szCs w:val="20"/>
          <w:color w:val="auto"/>
        </w:rPr>
        <w:t>Schedules are omitted because they are not applicable or not required, or the information required to be set forth therein is included in the Consolidated Financial Statements referenced above in section</w:t>
      </w:r>
    </w:p>
    <w:p>
      <w:pPr>
        <w:spacing w:after="0" w:line="1" w:lineRule="exact"/>
        <w:rPr>
          <w:rFonts w:ascii="Arial" w:cs="Arial" w:eastAsia="Arial" w:hAnsi="Arial"/>
          <w:sz w:val="20"/>
          <w:szCs w:val="20"/>
          <w:color w:val="auto"/>
        </w:rPr>
      </w:pPr>
    </w:p>
    <w:p>
      <w:pPr>
        <w:ind w:left="440"/>
        <w:spacing w:after="0"/>
        <w:rPr>
          <w:rFonts w:ascii="Arial" w:cs="Arial" w:eastAsia="Arial" w:hAnsi="Arial"/>
          <w:sz w:val="20"/>
          <w:szCs w:val="20"/>
          <w:color w:val="auto"/>
        </w:rPr>
      </w:pPr>
      <w:r>
        <w:rPr>
          <w:rFonts w:ascii="Arial" w:cs="Arial" w:eastAsia="Arial" w:hAnsi="Arial"/>
          <w:sz w:val="20"/>
          <w:szCs w:val="20"/>
          <w:color w:val="auto"/>
        </w:rPr>
        <w:t>(a) (1) of this Item 15.</w:t>
      </w:r>
    </w:p>
    <w:p>
      <w:pPr>
        <w:spacing w:after="0" w:line="156" w:lineRule="exact"/>
        <w:rPr>
          <w:rFonts w:ascii="Arial" w:cs="Arial" w:eastAsia="Arial" w:hAnsi="Arial"/>
          <w:sz w:val="20"/>
          <w:szCs w:val="20"/>
          <w:color w:val="auto"/>
        </w:rPr>
      </w:pPr>
    </w:p>
    <w:p>
      <w:pPr>
        <w:ind w:left="440" w:hanging="224"/>
        <w:spacing w:after="0"/>
        <w:tabs>
          <w:tab w:leader="none" w:pos="440" w:val="left"/>
        </w:tabs>
        <w:numPr>
          <w:ilvl w:val="0"/>
          <w:numId w:val="42"/>
        </w:numPr>
        <w:rPr>
          <w:rFonts w:ascii="Arial" w:cs="Arial" w:eastAsia="Arial" w:hAnsi="Arial"/>
          <w:sz w:val="20"/>
          <w:szCs w:val="20"/>
          <w:color w:val="auto"/>
        </w:rPr>
      </w:pPr>
      <w:r>
        <w:rPr>
          <w:rFonts w:ascii="Arial" w:cs="Arial" w:eastAsia="Arial" w:hAnsi="Arial"/>
          <w:sz w:val="20"/>
          <w:szCs w:val="20"/>
          <w:b w:val="1"/>
          <w:bCs w:val="1"/>
          <w:color w:val="auto"/>
        </w:rPr>
        <w:t>Exhibits</w:t>
      </w:r>
    </w:p>
    <w:p>
      <w:pPr>
        <w:spacing w:after="0" w:line="43" w:lineRule="exact"/>
        <w:rPr>
          <w:rFonts w:ascii="Arial" w:cs="Arial" w:eastAsia="Arial" w:hAnsi="Arial"/>
          <w:sz w:val="20"/>
          <w:szCs w:val="20"/>
          <w:color w:val="auto"/>
        </w:rPr>
      </w:pPr>
    </w:p>
    <w:p>
      <w:pPr>
        <w:ind w:left="440" w:right="260"/>
        <w:spacing w:after="0" w:line="325" w:lineRule="auto"/>
        <w:rPr>
          <w:rFonts w:ascii="Arial" w:cs="Arial" w:eastAsia="Arial" w:hAnsi="Arial"/>
          <w:sz w:val="20"/>
          <w:szCs w:val="20"/>
          <w:color w:val="auto"/>
        </w:rPr>
      </w:pPr>
      <w:r>
        <w:rPr>
          <w:rFonts w:ascii="Arial" w:cs="Arial" w:eastAsia="Arial" w:hAnsi="Arial"/>
          <w:sz w:val="20"/>
          <w:szCs w:val="20"/>
          <w:color w:val="auto"/>
        </w:rPr>
        <w:t>The information on exhibits required by this Item 15 is set forth in the Eagle Materials Inc. Index to Exhibits appearing on pages 122-127 of this Report.</w:t>
      </w:r>
    </w:p>
    <w:p>
      <w:pPr>
        <w:sectPr>
          <w:pgSz w:w="11880" w:h="15480" w:orient="portrait"/>
          <w:cols w:equalWidth="0" w:num="1">
            <w:col w:w="9360"/>
          </w:cols>
          <w:pgMar w:left="1260" w:top="1201" w:right="1260" w:bottom="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121</w:t>
      </w:r>
    </w:p>
    <w:p>
      <w:pPr>
        <w:sectPr>
          <w:pgSz w:w="11880" w:h="15480" w:orient="portrait"/>
          <w:cols w:equalWidth="0" w:num="1">
            <w:col w:w="9360"/>
          </w:cols>
          <w:pgMar w:left="1260" w:top="1201" w:right="1260" w:bottom="7" w:gutter="0" w:footer="0" w:header="0"/>
          <w:type w:val="continuous"/>
        </w:sectPr>
      </w:pPr>
    </w:p>
    <w:bookmarkStart w:id="129" w:name="page130"/>
    <w:bookmarkEnd w:id="129"/>
    <w:p>
      <w:pPr>
        <w:spacing w:after="0"/>
        <w:rPr>
          <w:sz w:val="20"/>
          <w:szCs w:val="20"/>
          <w:color w:val="auto"/>
        </w:rPr>
      </w:pPr>
      <w:r>
        <w:rPr>
          <w:rFonts w:ascii="Arial" w:cs="Arial" w:eastAsia="Arial" w:hAnsi="Arial"/>
          <w:sz w:val="22"/>
          <w:szCs w:val="22"/>
          <w:b w:val="1"/>
          <w:bCs w:val="1"/>
          <w:color w:val="auto"/>
        </w:rPr>
        <w:t>INDEX TO EXHIBITS</w:t>
      </w:r>
    </w:p>
    <w:p>
      <w:pPr>
        <w:spacing w:after="0"/>
        <w:rPr>
          <w:sz w:val="20"/>
          <w:szCs w:val="20"/>
          <w:color w:val="auto"/>
        </w:rPr>
      </w:pPr>
      <w:r>
        <w:rPr>
          <w:rFonts w:ascii="Arial" w:cs="Arial" w:eastAsia="Arial" w:hAnsi="Arial"/>
          <w:sz w:val="22"/>
          <w:szCs w:val="22"/>
          <w:b w:val="1"/>
          <w:bCs w:val="1"/>
          <w:color w:val="auto"/>
        </w:rPr>
        <w:t>EAGLE MATERIALS INC.</w:t>
      </w:r>
    </w:p>
    <w:p>
      <w:pPr>
        <w:spacing w:after="0"/>
        <w:rPr>
          <w:sz w:val="20"/>
          <w:szCs w:val="20"/>
          <w:color w:val="auto"/>
        </w:rPr>
      </w:pPr>
      <w:r>
        <w:rPr>
          <w:rFonts w:ascii="Arial" w:cs="Arial" w:eastAsia="Arial" w:hAnsi="Arial"/>
          <w:sz w:val="22"/>
          <w:szCs w:val="22"/>
          <w:b w:val="1"/>
          <w:bCs w:val="1"/>
          <w:color w:val="auto"/>
        </w:rPr>
        <w:t>AND SUBSIDIARIES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0" w:type="dxa"/>
            <w:vAlign w:val="bottom"/>
          </w:tcPr>
          <w:p>
            <w:pPr>
              <w:spacing w:after="0"/>
              <w:rPr>
                <w:sz w:val="20"/>
                <w:szCs w:val="20"/>
                <w:color w:val="auto"/>
              </w:rPr>
            </w:pPr>
            <w:r>
              <w:rPr>
                <w:rFonts w:ascii="Arial" w:cs="Arial" w:eastAsia="Arial" w:hAnsi="Arial"/>
                <w:sz w:val="16"/>
                <w:szCs w:val="16"/>
                <w:color w:val="auto"/>
              </w:rPr>
              <w:t>EXHIBIT</w:t>
            </w:r>
          </w:p>
        </w:tc>
        <w:tc>
          <w:tcPr>
            <w:tcW w:w="140" w:type="dxa"/>
            <w:vAlign w:val="bottom"/>
          </w:tcPr>
          <w:p>
            <w:pPr>
              <w:spacing w:after="0"/>
              <w:rPr>
                <w:sz w:val="16"/>
                <w:szCs w:val="16"/>
                <w:color w:val="auto"/>
              </w:rPr>
            </w:pPr>
          </w:p>
        </w:tc>
        <w:tc>
          <w:tcPr>
            <w:tcW w:w="8380" w:type="dxa"/>
            <w:vAlign w:val="bottom"/>
          </w:tcPr>
          <w:p>
            <w:pPr>
              <w:spacing w:after="0"/>
              <w:rPr>
                <w:sz w:val="16"/>
                <w:szCs w:val="16"/>
                <w:color w:val="auto"/>
              </w:rPr>
            </w:pPr>
          </w:p>
        </w:tc>
      </w:tr>
      <w:tr>
        <w:trPr>
          <w:trHeight w:val="218"/>
        </w:trPr>
        <w:tc>
          <w:tcPr>
            <w:tcW w:w="8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NUMBER</w:t>
            </w:r>
          </w:p>
        </w:tc>
        <w:tc>
          <w:tcPr>
            <w:tcW w:w="140" w:type="dxa"/>
            <w:vAlign w:val="bottom"/>
          </w:tcPr>
          <w:p>
            <w:pPr>
              <w:spacing w:after="0"/>
              <w:rPr>
                <w:sz w:val="18"/>
                <w:szCs w:val="18"/>
                <w:color w:val="auto"/>
              </w:rPr>
            </w:pPr>
          </w:p>
        </w:tc>
        <w:tc>
          <w:tcPr>
            <w:tcW w:w="83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DESCRIPTION OF EXHIBITS</w:t>
            </w:r>
          </w:p>
        </w:tc>
      </w:tr>
      <w:tr>
        <w:trPr>
          <w:trHeight w:val="415"/>
        </w:trPr>
        <w:tc>
          <w:tcPr>
            <w:tcW w:w="840" w:type="dxa"/>
            <w:vAlign w:val="bottom"/>
          </w:tcPr>
          <w:p>
            <w:pPr>
              <w:spacing w:after="0"/>
              <w:rPr>
                <w:sz w:val="20"/>
                <w:szCs w:val="20"/>
                <w:color w:val="auto"/>
              </w:rPr>
            </w:pPr>
            <w:r>
              <w:rPr>
                <w:rFonts w:ascii="Arial" w:cs="Arial" w:eastAsia="Arial" w:hAnsi="Arial"/>
                <w:sz w:val="18"/>
                <w:szCs w:val="18"/>
                <w:color w:val="auto"/>
              </w:rPr>
              <w:t>3.1</w:t>
            </w:r>
          </w:p>
        </w:tc>
        <w:tc>
          <w:tcPr>
            <w:tcW w:w="8520" w:type="dxa"/>
            <w:vAlign w:val="bottom"/>
            <w:gridSpan w:val="2"/>
          </w:tcPr>
          <w:p>
            <w:pPr>
              <w:ind w:left="140"/>
              <w:spacing w:after="0"/>
              <w:rPr>
                <w:sz w:val="20"/>
                <w:szCs w:val="20"/>
                <w:color w:val="auto"/>
              </w:rPr>
            </w:pPr>
            <w:r>
              <w:rPr>
                <w:rFonts w:ascii="Arial" w:cs="Arial" w:eastAsia="Arial" w:hAnsi="Arial"/>
                <w:sz w:val="18"/>
                <w:szCs w:val="18"/>
                <w:color w:val="auto"/>
              </w:rPr>
              <w:t>Restated Certificate of Incorporation filed as Exhibit 3.1 to the Company’s Current Report on Form 8-K</w:t>
            </w:r>
          </w:p>
        </w:tc>
      </w:tr>
      <w:tr>
        <w:trPr>
          <w:trHeight w:val="245"/>
        </w:trPr>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filed with the Commission on April 11, 2006 (File No. 001-12984) and incorporated herein by reference.</w:t>
            </w:r>
          </w:p>
        </w:tc>
      </w:tr>
      <w:tr>
        <w:trPr>
          <w:trHeight w:val="399"/>
        </w:trPr>
        <w:tc>
          <w:tcPr>
            <w:tcW w:w="840" w:type="dxa"/>
            <w:vAlign w:val="bottom"/>
          </w:tcPr>
          <w:p>
            <w:pPr>
              <w:spacing w:after="0"/>
              <w:rPr>
                <w:sz w:val="20"/>
                <w:szCs w:val="20"/>
                <w:color w:val="auto"/>
              </w:rPr>
            </w:pPr>
            <w:r>
              <w:rPr>
                <w:rFonts w:ascii="Arial" w:cs="Arial" w:eastAsia="Arial" w:hAnsi="Arial"/>
                <w:sz w:val="18"/>
                <w:szCs w:val="18"/>
                <w:color w:val="auto"/>
              </w:rPr>
              <w:t>3.2</w:t>
            </w:r>
          </w:p>
        </w:tc>
        <w:tc>
          <w:tcPr>
            <w:tcW w:w="8520" w:type="dxa"/>
            <w:vAlign w:val="bottom"/>
            <w:gridSpan w:val="2"/>
          </w:tcPr>
          <w:p>
            <w:pPr>
              <w:ind w:left="140"/>
              <w:spacing w:after="0"/>
              <w:rPr>
                <w:sz w:val="20"/>
                <w:szCs w:val="20"/>
                <w:color w:val="auto"/>
              </w:rPr>
            </w:pPr>
            <w:r>
              <w:rPr>
                <w:rFonts w:ascii="Arial" w:cs="Arial" w:eastAsia="Arial" w:hAnsi="Arial"/>
                <w:sz w:val="18"/>
                <w:szCs w:val="18"/>
                <w:color w:val="auto"/>
              </w:rPr>
              <w:t>Certificate of Amendment of Restated Certificate of Incorporation of Eagle Materials Inc., filed as Exhibit</w:t>
            </w:r>
          </w:p>
        </w:tc>
      </w:tr>
      <w:tr>
        <w:trPr>
          <w:trHeight w:val="207"/>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3.1 to the Company’s Current Report on Form 8-K filed with the Commission on August 7, 2024 (File No.</w:t>
            </w:r>
          </w:p>
        </w:tc>
      </w:tr>
      <w:tr>
        <w:trPr>
          <w:trHeight w:val="245"/>
        </w:trPr>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001-12984) and incorporated herein by reference.</w:t>
            </w:r>
          </w:p>
        </w:tc>
      </w:tr>
      <w:tr>
        <w:trPr>
          <w:trHeight w:val="399"/>
        </w:trPr>
        <w:tc>
          <w:tcPr>
            <w:tcW w:w="840" w:type="dxa"/>
            <w:vAlign w:val="bottom"/>
          </w:tcPr>
          <w:p>
            <w:pPr>
              <w:spacing w:after="0"/>
              <w:rPr>
                <w:sz w:val="20"/>
                <w:szCs w:val="20"/>
                <w:color w:val="auto"/>
              </w:rPr>
            </w:pPr>
            <w:r>
              <w:rPr>
                <w:rFonts w:ascii="Arial" w:cs="Arial" w:eastAsia="Arial" w:hAnsi="Arial"/>
                <w:sz w:val="18"/>
                <w:szCs w:val="18"/>
                <w:color w:val="auto"/>
              </w:rPr>
              <w:t>3.3</w:t>
            </w:r>
          </w:p>
        </w:tc>
        <w:tc>
          <w:tcPr>
            <w:tcW w:w="8520" w:type="dxa"/>
            <w:vAlign w:val="bottom"/>
            <w:gridSpan w:val="2"/>
          </w:tcPr>
          <w:p>
            <w:pPr>
              <w:ind w:left="140"/>
              <w:spacing w:after="0"/>
              <w:rPr>
                <w:sz w:val="20"/>
                <w:szCs w:val="20"/>
                <w:color w:val="auto"/>
              </w:rPr>
            </w:pPr>
            <w:r>
              <w:rPr>
                <w:rFonts w:ascii="Arial" w:cs="Arial" w:eastAsia="Arial" w:hAnsi="Arial"/>
                <w:sz w:val="18"/>
                <w:szCs w:val="18"/>
                <w:color w:val="auto"/>
              </w:rPr>
              <w:t>Restated Certificate of Designation, Preferences and Rights of Series A Preferred Stock filed as Exhibit</w:t>
            </w:r>
          </w:p>
        </w:tc>
      </w:tr>
      <w:tr>
        <w:trPr>
          <w:trHeight w:val="207"/>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3.2 to the Company’s Current Report on Form 8-K filed with the Commission on April 11, 2006 (File No.</w:t>
            </w:r>
          </w:p>
        </w:tc>
      </w:tr>
      <w:tr>
        <w:trPr>
          <w:trHeight w:val="245"/>
        </w:trPr>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001-12984) and incorporated herein by reference.</w:t>
            </w:r>
          </w:p>
        </w:tc>
      </w:tr>
      <w:tr>
        <w:trPr>
          <w:trHeight w:val="399"/>
        </w:trPr>
        <w:tc>
          <w:tcPr>
            <w:tcW w:w="840" w:type="dxa"/>
            <w:vAlign w:val="bottom"/>
          </w:tcPr>
          <w:p>
            <w:pPr>
              <w:spacing w:after="0"/>
              <w:rPr>
                <w:sz w:val="20"/>
                <w:szCs w:val="20"/>
                <w:color w:val="auto"/>
              </w:rPr>
            </w:pPr>
            <w:r>
              <w:rPr>
                <w:rFonts w:ascii="Arial" w:cs="Arial" w:eastAsia="Arial" w:hAnsi="Arial"/>
                <w:sz w:val="18"/>
                <w:szCs w:val="18"/>
                <w:color w:val="auto"/>
              </w:rPr>
              <w:t>3.4</w:t>
            </w:r>
          </w:p>
        </w:tc>
        <w:tc>
          <w:tcPr>
            <w:tcW w:w="8520" w:type="dxa"/>
            <w:vAlign w:val="bottom"/>
            <w:gridSpan w:val="2"/>
          </w:tcPr>
          <w:p>
            <w:pPr>
              <w:ind w:left="140"/>
              <w:spacing w:after="0"/>
              <w:rPr>
                <w:sz w:val="20"/>
                <w:szCs w:val="20"/>
                <w:color w:val="auto"/>
              </w:rPr>
            </w:pPr>
            <w:r>
              <w:rPr>
                <w:rFonts w:ascii="Arial" w:cs="Arial" w:eastAsia="Arial" w:hAnsi="Arial"/>
                <w:sz w:val="18"/>
                <w:szCs w:val="18"/>
                <w:color w:val="auto"/>
              </w:rPr>
              <w:t>Second Amended and Restated Bylaws filed as Exhibit 3.1 to the Company’s Current Report on Form 8-</w:t>
            </w:r>
          </w:p>
        </w:tc>
      </w:tr>
      <w:tr>
        <w:trPr>
          <w:trHeight w:val="207"/>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K, filed with the Commission on November 7, 2022 (File No. 001-12984) and incorporated herein by</w:t>
            </w:r>
          </w:p>
        </w:tc>
      </w:tr>
      <w:tr>
        <w:trPr>
          <w:trHeight w:val="245"/>
        </w:trPr>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reference.</w:t>
            </w:r>
          </w:p>
        </w:tc>
      </w:tr>
      <w:tr>
        <w:trPr>
          <w:trHeight w:val="399"/>
        </w:trPr>
        <w:tc>
          <w:tcPr>
            <w:tcW w:w="840" w:type="dxa"/>
            <w:vAlign w:val="bottom"/>
          </w:tcPr>
          <w:p>
            <w:pPr>
              <w:spacing w:after="0"/>
              <w:rPr>
                <w:sz w:val="20"/>
                <w:szCs w:val="20"/>
                <w:color w:val="auto"/>
              </w:rPr>
            </w:pPr>
            <w:r>
              <w:rPr>
                <w:rFonts w:ascii="Arial" w:cs="Arial" w:eastAsia="Arial" w:hAnsi="Arial"/>
                <w:sz w:val="18"/>
                <w:szCs w:val="18"/>
                <w:color w:val="auto"/>
              </w:rPr>
              <w:t>4.1</w:t>
            </w:r>
          </w:p>
        </w:tc>
        <w:tc>
          <w:tcPr>
            <w:tcW w:w="8520" w:type="dxa"/>
            <w:vAlign w:val="bottom"/>
            <w:gridSpan w:val="2"/>
          </w:tcPr>
          <w:p>
            <w:pPr>
              <w:ind w:left="140"/>
              <w:spacing w:after="0"/>
              <w:rPr>
                <w:sz w:val="20"/>
                <w:szCs w:val="20"/>
                <w:color w:val="auto"/>
              </w:rPr>
            </w:pPr>
            <w:r>
              <w:rPr>
                <w:rFonts w:ascii="Arial" w:cs="Arial" w:eastAsia="Arial" w:hAnsi="Arial"/>
                <w:sz w:val="18"/>
                <w:szCs w:val="18"/>
                <w:color w:val="auto"/>
              </w:rPr>
              <w:t>Description of Securities filed as Exhibit 4.1 to the Company's Annual Report on Form 10-K for the fiscal</w:t>
            </w:r>
          </w:p>
        </w:tc>
      </w:tr>
      <w:tr>
        <w:trPr>
          <w:trHeight w:val="207"/>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year ended March 31, 2022, filed with the Commission on May 20, 2022 (File No. 001-12984) and</w:t>
            </w:r>
          </w:p>
        </w:tc>
      </w:tr>
      <w:tr>
        <w:trPr>
          <w:trHeight w:val="245"/>
        </w:trPr>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incorporated herein by reference.</w:t>
            </w:r>
          </w:p>
        </w:tc>
      </w:tr>
      <w:tr>
        <w:trPr>
          <w:trHeight w:val="413"/>
        </w:trPr>
        <w:tc>
          <w:tcPr>
            <w:tcW w:w="840" w:type="dxa"/>
            <w:vAlign w:val="bottom"/>
          </w:tcPr>
          <w:p>
            <w:pPr>
              <w:spacing w:after="0"/>
              <w:rPr>
                <w:sz w:val="20"/>
                <w:szCs w:val="20"/>
                <w:color w:val="auto"/>
              </w:rPr>
            </w:pPr>
            <w:r>
              <w:rPr>
                <w:rFonts w:ascii="Arial" w:cs="Arial" w:eastAsia="Arial" w:hAnsi="Arial"/>
                <w:sz w:val="18"/>
                <w:szCs w:val="18"/>
                <w:color w:val="auto"/>
              </w:rPr>
              <w:t>4.2</w:t>
            </w:r>
          </w:p>
        </w:tc>
        <w:tc>
          <w:tcPr>
            <w:tcW w:w="8520" w:type="dxa"/>
            <w:vAlign w:val="bottom"/>
            <w:gridSpan w:val="2"/>
          </w:tcPr>
          <w:p>
            <w:pPr>
              <w:ind w:left="140"/>
              <w:spacing w:after="0"/>
              <w:rPr>
                <w:sz w:val="20"/>
                <w:szCs w:val="20"/>
                <w:color w:val="auto"/>
              </w:rPr>
            </w:pPr>
            <w:r>
              <w:rPr>
                <w:rFonts w:ascii="Arial" w:cs="Arial" w:eastAsia="Arial" w:hAnsi="Arial"/>
                <w:sz w:val="18"/>
                <w:szCs w:val="18"/>
                <w:color w:val="auto"/>
              </w:rPr>
              <w:t>Credit Agreement, dated as of July 1, 2021, among the Company, the lenders identified therein and</w:t>
            </w:r>
          </w:p>
        </w:tc>
      </w:tr>
      <w:tr>
        <w:trPr>
          <w:trHeight w:val="221"/>
        </w:trPr>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JPMorgan Chase Bank, N.A., as the administrative agent, issuing bank and swingline lender thereunder,</w:t>
            </w:r>
          </w:p>
        </w:tc>
      </w:tr>
      <w:tr>
        <w:trPr>
          <w:trHeight w:val="221"/>
        </w:trPr>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filed as Exhibit 10.1 to the Company’s Current Report on Form 8-K filed with the Commission on July 1,</w:t>
            </w:r>
          </w:p>
        </w:tc>
      </w:tr>
      <w:tr>
        <w:trPr>
          <w:trHeight w:val="245"/>
        </w:trPr>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2021 (File No. 001-12984) and incorporated herein by reference.</w:t>
            </w:r>
          </w:p>
        </w:tc>
      </w:tr>
      <w:tr>
        <w:trPr>
          <w:trHeight w:val="428"/>
        </w:trPr>
        <w:tc>
          <w:tcPr>
            <w:tcW w:w="840" w:type="dxa"/>
            <w:vAlign w:val="bottom"/>
          </w:tcPr>
          <w:p>
            <w:pPr>
              <w:spacing w:after="0"/>
              <w:rPr>
                <w:sz w:val="20"/>
                <w:szCs w:val="20"/>
                <w:color w:val="auto"/>
              </w:rPr>
            </w:pPr>
            <w:r>
              <w:rPr>
                <w:rFonts w:ascii="Arial" w:cs="Arial" w:eastAsia="Arial" w:hAnsi="Arial"/>
                <w:sz w:val="18"/>
                <w:szCs w:val="18"/>
                <w:color w:val="auto"/>
              </w:rPr>
              <w:t>4.2(a)</w:t>
            </w:r>
          </w:p>
        </w:tc>
        <w:tc>
          <w:tcPr>
            <w:tcW w:w="140" w:type="dxa"/>
            <w:vAlign w:val="bottom"/>
          </w:tcPr>
          <w:p>
            <w:pPr>
              <w:spacing w:after="0"/>
              <w:rPr>
                <w:sz w:val="24"/>
                <w:szCs w:val="24"/>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Amendment No. 1, dated as of May 5, 2022, to that certain Credit Agreement, dated as of July 1, 2021,</w:t>
            </w:r>
          </w:p>
        </w:tc>
      </w:tr>
      <w:tr>
        <w:trPr>
          <w:trHeight w:val="221"/>
        </w:trPr>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among the Company, the lenders identified therein and JPMorgan Chase Bank, N.A., as the</w:t>
            </w:r>
          </w:p>
        </w:tc>
      </w:tr>
      <w:tr>
        <w:trPr>
          <w:trHeight w:val="221"/>
        </w:trPr>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administrative agent, issuing bank and swingline lender thereunder, filed as Exhibit 10.1 to the</w:t>
            </w:r>
          </w:p>
        </w:tc>
      </w:tr>
      <w:tr>
        <w:trPr>
          <w:trHeight w:val="221"/>
        </w:trPr>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Company’s Current Report on Form 8-K filed with the Commission on May 6, 2022 (File No. 001-12984)</w:t>
            </w:r>
          </w:p>
        </w:tc>
      </w:tr>
      <w:tr>
        <w:trPr>
          <w:trHeight w:val="245"/>
        </w:trPr>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and incorporated herein by reference.</w:t>
            </w:r>
          </w:p>
        </w:tc>
      </w:tr>
      <w:tr>
        <w:trPr>
          <w:trHeight w:val="413"/>
        </w:trPr>
        <w:tc>
          <w:tcPr>
            <w:tcW w:w="840" w:type="dxa"/>
            <w:vAlign w:val="bottom"/>
          </w:tcPr>
          <w:p>
            <w:pPr>
              <w:spacing w:after="0"/>
              <w:rPr>
                <w:sz w:val="20"/>
                <w:szCs w:val="20"/>
                <w:color w:val="auto"/>
              </w:rPr>
            </w:pPr>
            <w:r>
              <w:rPr>
                <w:rFonts w:ascii="Arial" w:cs="Arial" w:eastAsia="Arial" w:hAnsi="Arial"/>
                <w:sz w:val="18"/>
                <w:szCs w:val="18"/>
                <w:color w:val="auto"/>
              </w:rPr>
              <w:t>4.3</w:t>
            </w:r>
          </w:p>
        </w:tc>
        <w:tc>
          <w:tcPr>
            <w:tcW w:w="8520" w:type="dxa"/>
            <w:vAlign w:val="bottom"/>
            <w:gridSpan w:val="2"/>
          </w:tcPr>
          <w:p>
            <w:pPr>
              <w:ind w:left="140"/>
              <w:spacing w:after="0"/>
              <w:rPr>
                <w:sz w:val="20"/>
                <w:szCs w:val="20"/>
                <w:color w:val="auto"/>
              </w:rPr>
            </w:pPr>
            <w:r>
              <w:rPr>
                <w:rFonts w:ascii="Arial" w:cs="Arial" w:eastAsia="Arial" w:hAnsi="Arial"/>
                <w:sz w:val="18"/>
                <w:szCs w:val="18"/>
                <w:color w:val="auto"/>
              </w:rPr>
              <w:t>Amendment No. 2 to Credit Agreement, dated as of February 4, 2025, by and among the Company, the</w:t>
            </w:r>
          </w:p>
        </w:tc>
      </w:tr>
      <w:tr>
        <w:trPr>
          <w:trHeight w:val="207"/>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380" w:type="dxa"/>
            <w:vAlign w:val="bottom"/>
          </w:tcPr>
          <w:p>
            <w:pPr>
              <w:spacing w:after="0"/>
              <w:rPr>
                <w:sz w:val="20"/>
                <w:szCs w:val="20"/>
                <w:color w:val="auto"/>
              </w:rPr>
            </w:pPr>
            <w:r>
              <w:rPr>
                <w:rFonts w:ascii="Arial" w:cs="Arial" w:eastAsia="Arial" w:hAnsi="Arial"/>
                <w:sz w:val="18"/>
                <w:szCs w:val="18"/>
                <w:color w:val="auto"/>
                <w:w w:val="99"/>
              </w:rPr>
              <w:t>lenders identified therein and JPMorgan Chase Bank, N.A., as the administrative agent, issuing bank and</w:t>
            </w:r>
          </w:p>
        </w:tc>
      </w:tr>
      <w:tr>
        <w:trPr>
          <w:trHeight w:val="207"/>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380" w:type="dxa"/>
            <w:vAlign w:val="bottom"/>
          </w:tcPr>
          <w:p>
            <w:pPr>
              <w:spacing w:after="0"/>
              <w:rPr>
                <w:sz w:val="20"/>
                <w:szCs w:val="20"/>
                <w:color w:val="auto"/>
              </w:rPr>
            </w:pPr>
            <w:r>
              <w:rPr>
                <w:rFonts w:ascii="Arial" w:cs="Arial" w:eastAsia="Arial" w:hAnsi="Arial"/>
                <w:sz w:val="18"/>
                <w:szCs w:val="18"/>
                <w:color w:val="auto"/>
                <w:w w:val="99"/>
              </w:rPr>
              <w:t>swingline lender thereunder, filed as Exhibit 10.1 to the Company’s Current Report on Form 8-K filed with</w:t>
            </w:r>
          </w:p>
        </w:tc>
      </w:tr>
      <w:tr>
        <w:trPr>
          <w:trHeight w:val="245"/>
        </w:trPr>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the Commission on February 4, 2025 (File No. 001-12984) and incorporated herein by reference.</w:t>
            </w:r>
          </w:p>
        </w:tc>
      </w:tr>
      <w:tr>
        <w:trPr>
          <w:trHeight w:val="399"/>
        </w:trPr>
        <w:tc>
          <w:tcPr>
            <w:tcW w:w="840" w:type="dxa"/>
            <w:vAlign w:val="bottom"/>
          </w:tcPr>
          <w:p>
            <w:pPr>
              <w:spacing w:after="0"/>
              <w:rPr>
                <w:sz w:val="20"/>
                <w:szCs w:val="20"/>
                <w:color w:val="auto"/>
              </w:rPr>
            </w:pPr>
            <w:r>
              <w:rPr>
                <w:rFonts w:ascii="Arial" w:cs="Arial" w:eastAsia="Arial" w:hAnsi="Arial"/>
                <w:sz w:val="18"/>
                <w:szCs w:val="18"/>
                <w:color w:val="auto"/>
              </w:rPr>
              <w:t>4.4</w:t>
            </w:r>
          </w:p>
        </w:tc>
        <w:tc>
          <w:tcPr>
            <w:tcW w:w="8520" w:type="dxa"/>
            <w:vAlign w:val="bottom"/>
            <w:gridSpan w:val="2"/>
          </w:tcPr>
          <w:p>
            <w:pPr>
              <w:ind w:left="140"/>
              <w:spacing w:after="0"/>
              <w:rPr>
                <w:sz w:val="20"/>
                <w:szCs w:val="20"/>
                <w:color w:val="auto"/>
              </w:rPr>
            </w:pPr>
            <w:r>
              <w:rPr>
                <w:rFonts w:ascii="Arial" w:cs="Arial" w:eastAsia="Arial" w:hAnsi="Arial"/>
                <w:sz w:val="18"/>
                <w:szCs w:val="18"/>
                <w:color w:val="auto"/>
              </w:rPr>
              <w:t>Indenture, dated as of May 8, 2009, between the Company and The Bank of New York Mellon Trust</w:t>
            </w:r>
          </w:p>
        </w:tc>
      </w:tr>
      <w:tr>
        <w:trPr>
          <w:trHeight w:val="207"/>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Company, N.A., filed as Exhibit 4.1 to the Company’s Registration Statement on Form S-3 filed with the</w:t>
            </w:r>
          </w:p>
        </w:tc>
      </w:tr>
      <w:tr>
        <w:trPr>
          <w:trHeight w:val="245"/>
        </w:trPr>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Commission on May 11, 2009 (File No. 001-12984) and incorporated herein by reference.</w:t>
            </w:r>
          </w:p>
        </w:tc>
      </w:tr>
      <w:tr>
        <w:trPr>
          <w:trHeight w:val="413"/>
        </w:trPr>
        <w:tc>
          <w:tcPr>
            <w:tcW w:w="840" w:type="dxa"/>
            <w:vAlign w:val="bottom"/>
          </w:tcPr>
          <w:p>
            <w:pPr>
              <w:spacing w:after="0"/>
              <w:rPr>
                <w:sz w:val="20"/>
                <w:szCs w:val="20"/>
                <w:color w:val="auto"/>
              </w:rPr>
            </w:pPr>
            <w:r>
              <w:rPr>
                <w:rFonts w:ascii="Arial" w:cs="Arial" w:eastAsia="Arial" w:hAnsi="Arial"/>
                <w:sz w:val="18"/>
                <w:szCs w:val="18"/>
                <w:color w:val="auto"/>
              </w:rPr>
              <w:t>4.5</w:t>
            </w:r>
          </w:p>
        </w:tc>
        <w:tc>
          <w:tcPr>
            <w:tcW w:w="8520" w:type="dxa"/>
            <w:vAlign w:val="bottom"/>
            <w:gridSpan w:val="2"/>
          </w:tcPr>
          <w:p>
            <w:pPr>
              <w:ind w:left="140"/>
              <w:spacing w:after="0"/>
              <w:rPr>
                <w:sz w:val="20"/>
                <w:szCs w:val="20"/>
                <w:color w:val="auto"/>
              </w:rPr>
            </w:pPr>
            <w:r>
              <w:rPr>
                <w:rFonts w:ascii="Arial" w:cs="Arial" w:eastAsia="Arial" w:hAnsi="Arial"/>
                <w:sz w:val="18"/>
                <w:szCs w:val="18"/>
                <w:color w:val="auto"/>
              </w:rPr>
              <w:t>Second Supplemental Indenture, dated as of July 1, 2021, between the Company and The Bank of New</w:t>
            </w:r>
          </w:p>
        </w:tc>
      </w:tr>
      <w:tr>
        <w:trPr>
          <w:trHeight w:val="221"/>
        </w:trPr>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380" w:type="dxa"/>
            <w:vAlign w:val="bottom"/>
          </w:tcPr>
          <w:p>
            <w:pPr>
              <w:spacing w:after="0"/>
              <w:rPr>
                <w:sz w:val="20"/>
                <w:szCs w:val="20"/>
                <w:color w:val="auto"/>
              </w:rPr>
            </w:pPr>
            <w:r>
              <w:rPr>
                <w:rFonts w:ascii="Arial" w:cs="Arial" w:eastAsia="Arial" w:hAnsi="Arial"/>
                <w:sz w:val="18"/>
                <w:szCs w:val="18"/>
                <w:color w:val="auto"/>
                <w:w w:val="99"/>
              </w:rPr>
              <w:t>York Mellon Trust Company, N.A., filed as Exhibit 4.2 to the Company’s Current Report on Form 8-K filed</w:t>
            </w:r>
          </w:p>
        </w:tc>
      </w:tr>
      <w:tr>
        <w:trPr>
          <w:trHeight w:val="245"/>
        </w:trPr>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with the Commission on July 1, 2021 (File No. 001-12984) and incorporated herein by reference.</w:t>
            </w:r>
          </w:p>
        </w:tc>
      </w:tr>
      <w:tr>
        <w:trPr>
          <w:trHeight w:val="428"/>
        </w:trPr>
        <w:tc>
          <w:tcPr>
            <w:tcW w:w="840" w:type="dxa"/>
            <w:vAlign w:val="bottom"/>
          </w:tcPr>
          <w:p>
            <w:pPr>
              <w:spacing w:after="0"/>
              <w:rPr>
                <w:sz w:val="20"/>
                <w:szCs w:val="20"/>
                <w:color w:val="auto"/>
              </w:rPr>
            </w:pPr>
            <w:r>
              <w:rPr>
                <w:rFonts w:ascii="Arial" w:cs="Arial" w:eastAsia="Arial" w:hAnsi="Arial"/>
                <w:sz w:val="18"/>
                <w:szCs w:val="18"/>
                <w:color w:val="auto"/>
              </w:rPr>
              <w:t>4.6</w:t>
            </w:r>
          </w:p>
        </w:tc>
        <w:tc>
          <w:tcPr>
            <w:tcW w:w="8520" w:type="dxa"/>
            <w:vAlign w:val="bottom"/>
            <w:gridSpan w:val="2"/>
          </w:tcPr>
          <w:p>
            <w:pPr>
              <w:ind w:left="140"/>
              <w:spacing w:after="0"/>
              <w:rPr>
                <w:sz w:val="20"/>
                <w:szCs w:val="20"/>
                <w:color w:val="auto"/>
              </w:rPr>
            </w:pPr>
            <w:r>
              <w:rPr>
                <w:rFonts w:ascii="Arial" w:cs="Arial" w:eastAsia="Arial" w:hAnsi="Arial"/>
                <w:sz w:val="18"/>
                <w:szCs w:val="18"/>
                <w:color w:val="auto"/>
              </w:rPr>
              <w:t>Form of 2.500% Senior Note due 2031, filed as Exhibit 4.3 to the Company’s Current Report on Form 8-</w:t>
            </w:r>
          </w:p>
        </w:tc>
      </w:tr>
      <w:tr>
        <w:trPr>
          <w:trHeight w:val="245"/>
        </w:trPr>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K filed with the Commission on July 1, 2021 (File No. 001-12984) and incorporated herein by reference.</w:t>
            </w:r>
          </w:p>
        </w:tc>
      </w:tr>
      <w:tr>
        <w:trPr>
          <w:trHeight w:val="428"/>
        </w:trPr>
        <w:tc>
          <w:tcPr>
            <w:tcW w:w="840" w:type="dxa"/>
            <w:vAlign w:val="bottom"/>
          </w:tcPr>
          <w:p>
            <w:pPr>
              <w:spacing w:after="0"/>
              <w:rPr>
                <w:sz w:val="20"/>
                <w:szCs w:val="20"/>
                <w:color w:val="auto"/>
              </w:rPr>
            </w:pPr>
            <w:r>
              <w:rPr>
                <w:rFonts w:ascii="Arial" w:cs="Arial" w:eastAsia="Arial" w:hAnsi="Arial"/>
                <w:sz w:val="18"/>
                <w:szCs w:val="18"/>
                <w:color w:val="auto"/>
              </w:rPr>
              <w:t>4.7</w:t>
            </w:r>
          </w:p>
        </w:tc>
        <w:tc>
          <w:tcPr>
            <w:tcW w:w="8520" w:type="dxa"/>
            <w:vAlign w:val="bottom"/>
            <w:gridSpan w:val="2"/>
          </w:tcPr>
          <w:p>
            <w:pPr>
              <w:ind w:left="140"/>
              <w:spacing w:after="0"/>
              <w:rPr>
                <w:sz w:val="20"/>
                <w:szCs w:val="20"/>
                <w:color w:val="auto"/>
              </w:rPr>
            </w:pPr>
            <w:r>
              <w:rPr>
                <w:rFonts w:ascii="Arial" w:cs="Arial" w:eastAsia="Arial" w:hAnsi="Arial"/>
                <w:sz w:val="18"/>
                <w:szCs w:val="18"/>
                <w:color w:val="auto"/>
              </w:rPr>
              <w:t>Underwriting Agreement, dated as of November 6, 2025, by and among Eagle Materials Inc. and J.P.</w:t>
            </w:r>
          </w:p>
        </w:tc>
      </w:tr>
      <w:tr>
        <w:trPr>
          <w:trHeight w:val="221"/>
        </w:trPr>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Morgan Securities LLC, BofA Securities, Inc. and Wells Fargo Securities, LLC, as representatives of the</w:t>
            </w:r>
          </w:p>
        </w:tc>
      </w:tr>
    </w:tbl>
    <w:p>
      <w:pPr>
        <w:ind w:left="980" w:right="520"/>
        <w:spacing w:after="0" w:line="278" w:lineRule="auto"/>
        <w:rPr>
          <w:sz w:val="20"/>
          <w:szCs w:val="20"/>
          <w:color w:val="auto"/>
        </w:rPr>
      </w:pPr>
      <w:r>
        <w:rPr>
          <w:rFonts w:ascii="Arial" w:cs="Arial" w:eastAsia="Arial" w:hAnsi="Arial"/>
          <w:sz w:val="18"/>
          <w:szCs w:val="18"/>
          <w:color w:val="auto"/>
        </w:rPr>
        <w:t>several underwriters identified on Schedule 1 thereto, filed as Exhibit 1.1 to the Company’s Current Report on Form 8-K filed with the Commission on November 13, 2025 (File No. 001-12984) and incorporated herein by reference.</w:t>
      </w:r>
    </w:p>
    <w:p>
      <w:pPr>
        <w:sectPr>
          <w:pgSz w:w="11880" w:h="15480" w:orient="portrait"/>
          <w:cols w:equalWidth="0" w:num="1">
            <w:col w:w="9360"/>
          </w:cols>
          <w:pgMar w:left="1260" w:top="1234" w:right="1260" w:bottom="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122</w:t>
      </w:r>
    </w:p>
    <w:p>
      <w:pPr>
        <w:sectPr>
          <w:pgSz w:w="11880" w:h="15480" w:orient="portrait"/>
          <w:cols w:equalWidth="0" w:num="1">
            <w:col w:w="9360"/>
          </w:cols>
          <w:pgMar w:left="1260" w:top="1234" w:right="1260" w:bottom="7" w:gutter="0" w:footer="0" w:header="0"/>
          <w:type w:val="continuous"/>
        </w:sectPr>
      </w:pPr>
    </w:p>
    <w:bookmarkStart w:id="130" w:name="page131"/>
    <w:bookmarkEnd w:id="130"/>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Arial" w:cs="Arial" w:eastAsia="Arial" w:hAnsi="Arial"/>
                <w:sz w:val="18"/>
                <w:szCs w:val="18"/>
                <w:color w:val="auto"/>
              </w:rPr>
              <w:t>4.8</w:t>
            </w:r>
          </w:p>
        </w:tc>
        <w:tc>
          <w:tcPr>
            <w:tcW w:w="8580" w:type="dxa"/>
            <w:vAlign w:val="bottom"/>
          </w:tcPr>
          <w:p>
            <w:pPr>
              <w:ind w:left="200"/>
              <w:spacing w:after="0"/>
              <w:rPr>
                <w:sz w:val="20"/>
                <w:szCs w:val="20"/>
                <w:color w:val="auto"/>
              </w:rPr>
            </w:pPr>
            <w:r>
              <w:rPr>
                <w:rFonts w:ascii="Arial" w:cs="Arial" w:eastAsia="Arial" w:hAnsi="Arial"/>
                <w:sz w:val="18"/>
                <w:szCs w:val="18"/>
                <w:color w:val="auto"/>
              </w:rPr>
              <w:t>Third Supplemental Indenture, dated as of November 13, 2025, between Eagle Materials Inc. and The</w:t>
            </w:r>
          </w:p>
        </w:tc>
      </w:tr>
      <w:tr>
        <w:trPr>
          <w:trHeight w:val="207"/>
        </w:trPr>
        <w:tc>
          <w:tcPr>
            <w:tcW w:w="780" w:type="dxa"/>
            <w:vAlign w:val="bottom"/>
          </w:tcPr>
          <w:p>
            <w:pPr>
              <w:spacing w:after="0"/>
              <w:rPr>
                <w:sz w:val="17"/>
                <w:szCs w:val="17"/>
                <w:color w:val="auto"/>
              </w:rPr>
            </w:pPr>
          </w:p>
        </w:tc>
        <w:tc>
          <w:tcPr>
            <w:tcW w:w="8580" w:type="dxa"/>
            <w:vAlign w:val="bottom"/>
          </w:tcPr>
          <w:p>
            <w:pPr>
              <w:ind w:left="200"/>
              <w:spacing w:after="0"/>
              <w:rPr>
                <w:sz w:val="20"/>
                <w:szCs w:val="20"/>
                <w:color w:val="auto"/>
              </w:rPr>
            </w:pPr>
            <w:r>
              <w:rPr>
                <w:rFonts w:ascii="Arial" w:cs="Arial" w:eastAsia="Arial" w:hAnsi="Arial"/>
                <w:sz w:val="18"/>
                <w:szCs w:val="18"/>
                <w:color w:val="auto"/>
              </w:rPr>
              <w:t>Bank of New York Mellon Trust Company, N.A., filed as Exhibit 4.2 to the Company’s Current Report on</w:t>
            </w:r>
          </w:p>
        </w:tc>
      </w:tr>
      <w:tr>
        <w:trPr>
          <w:trHeight w:val="207"/>
        </w:trPr>
        <w:tc>
          <w:tcPr>
            <w:tcW w:w="780" w:type="dxa"/>
            <w:vAlign w:val="bottom"/>
          </w:tcPr>
          <w:p>
            <w:pPr>
              <w:spacing w:after="0"/>
              <w:rPr>
                <w:sz w:val="17"/>
                <w:szCs w:val="17"/>
                <w:color w:val="auto"/>
              </w:rPr>
            </w:pPr>
          </w:p>
        </w:tc>
        <w:tc>
          <w:tcPr>
            <w:tcW w:w="8580" w:type="dxa"/>
            <w:vAlign w:val="bottom"/>
          </w:tcPr>
          <w:p>
            <w:pPr>
              <w:ind w:left="200"/>
              <w:spacing w:after="0"/>
              <w:rPr>
                <w:sz w:val="20"/>
                <w:szCs w:val="20"/>
                <w:color w:val="auto"/>
              </w:rPr>
            </w:pPr>
            <w:r>
              <w:rPr>
                <w:rFonts w:ascii="Arial" w:cs="Arial" w:eastAsia="Arial" w:hAnsi="Arial"/>
                <w:sz w:val="18"/>
                <w:szCs w:val="18"/>
                <w:color w:val="auto"/>
                <w:w w:val="99"/>
              </w:rPr>
              <w:t>Form 8-K filed with the Commission on November 13, 2025 (File No. 001-12984) and incorporated herein</w:t>
            </w:r>
          </w:p>
        </w:tc>
      </w:tr>
      <w:tr>
        <w:trPr>
          <w:trHeight w:val="245"/>
        </w:trPr>
        <w:tc>
          <w:tcPr>
            <w:tcW w:w="780" w:type="dxa"/>
            <w:vAlign w:val="bottom"/>
          </w:tcPr>
          <w:p>
            <w:pPr>
              <w:spacing w:after="0"/>
              <w:rPr>
                <w:sz w:val="21"/>
                <w:szCs w:val="21"/>
                <w:color w:val="auto"/>
              </w:rPr>
            </w:pPr>
          </w:p>
        </w:tc>
        <w:tc>
          <w:tcPr>
            <w:tcW w:w="8580" w:type="dxa"/>
            <w:vAlign w:val="bottom"/>
          </w:tcPr>
          <w:p>
            <w:pPr>
              <w:ind w:left="200"/>
              <w:spacing w:after="0"/>
              <w:rPr>
                <w:sz w:val="20"/>
                <w:szCs w:val="20"/>
                <w:color w:val="auto"/>
              </w:rPr>
            </w:pPr>
            <w:r>
              <w:rPr>
                <w:rFonts w:ascii="Arial" w:cs="Arial" w:eastAsia="Arial" w:hAnsi="Arial"/>
                <w:sz w:val="18"/>
                <w:szCs w:val="18"/>
                <w:color w:val="auto"/>
              </w:rPr>
              <w:t>by reference.</w:t>
            </w:r>
          </w:p>
        </w:tc>
      </w:tr>
      <w:tr>
        <w:trPr>
          <w:trHeight w:val="399"/>
        </w:trPr>
        <w:tc>
          <w:tcPr>
            <w:tcW w:w="780" w:type="dxa"/>
            <w:vAlign w:val="bottom"/>
          </w:tcPr>
          <w:p>
            <w:pPr>
              <w:spacing w:after="0"/>
              <w:rPr>
                <w:sz w:val="20"/>
                <w:szCs w:val="20"/>
                <w:color w:val="auto"/>
              </w:rPr>
            </w:pPr>
            <w:r>
              <w:rPr>
                <w:rFonts w:ascii="Arial" w:cs="Arial" w:eastAsia="Arial" w:hAnsi="Arial"/>
                <w:sz w:val="18"/>
                <w:szCs w:val="18"/>
                <w:color w:val="auto"/>
              </w:rPr>
              <w:t>4.9</w:t>
            </w:r>
          </w:p>
        </w:tc>
        <w:tc>
          <w:tcPr>
            <w:tcW w:w="8580" w:type="dxa"/>
            <w:vAlign w:val="bottom"/>
          </w:tcPr>
          <w:p>
            <w:pPr>
              <w:ind w:left="200"/>
              <w:spacing w:after="0"/>
              <w:rPr>
                <w:sz w:val="20"/>
                <w:szCs w:val="20"/>
                <w:color w:val="auto"/>
              </w:rPr>
            </w:pPr>
            <w:r>
              <w:rPr>
                <w:rFonts w:ascii="Arial" w:cs="Arial" w:eastAsia="Arial" w:hAnsi="Arial"/>
                <w:sz w:val="18"/>
                <w:szCs w:val="18"/>
                <w:color w:val="auto"/>
              </w:rPr>
              <w:t>Form of 5.000% Senior Note due 2036, filed as Exhibit 4.2 to the Company’s Current Report on Form 8-</w:t>
            </w:r>
          </w:p>
        </w:tc>
      </w:tr>
      <w:tr>
        <w:trPr>
          <w:trHeight w:val="207"/>
        </w:trPr>
        <w:tc>
          <w:tcPr>
            <w:tcW w:w="780" w:type="dxa"/>
            <w:vAlign w:val="bottom"/>
          </w:tcPr>
          <w:p>
            <w:pPr>
              <w:spacing w:after="0"/>
              <w:rPr>
                <w:sz w:val="17"/>
                <w:szCs w:val="17"/>
                <w:color w:val="auto"/>
              </w:rPr>
            </w:pPr>
          </w:p>
        </w:tc>
        <w:tc>
          <w:tcPr>
            <w:tcW w:w="8580" w:type="dxa"/>
            <w:vAlign w:val="bottom"/>
          </w:tcPr>
          <w:p>
            <w:pPr>
              <w:ind w:left="200"/>
              <w:spacing w:after="0"/>
              <w:rPr>
                <w:sz w:val="20"/>
                <w:szCs w:val="20"/>
                <w:color w:val="auto"/>
              </w:rPr>
            </w:pPr>
            <w:r>
              <w:rPr>
                <w:rFonts w:ascii="Arial" w:cs="Arial" w:eastAsia="Arial" w:hAnsi="Arial"/>
                <w:sz w:val="18"/>
                <w:szCs w:val="18"/>
                <w:color w:val="auto"/>
              </w:rPr>
              <w:t>K filed with the Commission on November 13, 2025 (File No. 001-12984) and incorporated herein by</w:t>
            </w:r>
          </w:p>
        </w:tc>
      </w:tr>
      <w:tr>
        <w:trPr>
          <w:trHeight w:val="245"/>
        </w:trPr>
        <w:tc>
          <w:tcPr>
            <w:tcW w:w="780" w:type="dxa"/>
            <w:vAlign w:val="bottom"/>
          </w:tcPr>
          <w:p>
            <w:pPr>
              <w:spacing w:after="0"/>
              <w:rPr>
                <w:sz w:val="21"/>
                <w:szCs w:val="21"/>
                <w:color w:val="auto"/>
              </w:rPr>
            </w:pPr>
          </w:p>
        </w:tc>
        <w:tc>
          <w:tcPr>
            <w:tcW w:w="8580" w:type="dxa"/>
            <w:vAlign w:val="bottom"/>
          </w:tcPr>
          <w:p>
            <w:pPr>
              <w:ind w:left="200"/>
              <w:spacing w:after="0"/>
              <w:rPr>
                <w:sz w:val="20"/>
                <w:szCs w:val="20"/>
                <w:color w:val="auto"/>
              </w:rPr>
            </w:pPr>
            <w:r>
              <w:rPr>
                <w:rFonts w:ascii="Arial" w:cs="Arial" w:eastAsia="Arial" w:hAnsi="Arial"/>
                <w:sz w:val="18"/>
                <w:szCs w:val="18"/>
                <w:color w:val="auto"/>
              </w:rPr>
              <w:t>reference.</w:t>
            </w:r>
          </w:p>
        </w:tc>
      </w:tr>
      <w:tr>
        <w:trPr>
          <w:trHeight w:val="399"/>
        </w:trPr>
        <w:tc>
          <w:tcPr>
            <w:tcW w:w="780" w:type="dxa"/>
            <w:vAlign w:val="bottom"/>
          </w:tcPr>
          <w:p>
            <w:pPr>
              <w:spacing w:after="0"/>
              <w:rPr>
                <w:sz w:val="20"/>
                <w:szCs w:val="20"/>
                <w:color w:val="auto"/>
              </w:rPr>
            </w:pPr>
            <w:r>
              <w:rPr>
                <w:rFonts w:ascii="Arial" w:cs="Arial" w:eastAsia="Arial" w:hAnsi="Arial"/>
                <w:sz w:val="18"/>
                <w:szCs w:val="18"/>
                <w:color w:val="auto"/>
              </w:rPr>
              <w:t>10.1</w:t>
            </w:r>
          </w:p>
        </w:tc>
        <w:tc>
          <w:tcPr>
            <w:tcW w:w="8580" w:type="dxa"/>
            <w:vAlign w:val="bottom"/>
          </w:tcPr>
          <w:p>
            <w:pPr>
              <w:ind w:left="200"/>
              <w:spacing w:after="0"/>
              <w:rPr>
                <w:sz w:val="20"/>
                <w:szCs w:val="20"/>
                <w:color w:val="auto"/>
              </w:rPr>
            </w:pPr>
            <w:r>
              <w:rPr>
                <w:rFonts w:ascii="Arial" w:cs="Arial" w:eastAsia="Arial" w:hAnsi="Arial"/>
                <w:sz w:val="18"/>
                <w:szCs w:val="18"/>
                <w:color w:val="auto"/>
              </w:rPr>
              <w:t>Limited Partnership Agreement of Texas Lehigh Cement Company LP by and between Texas Cement</w:t>
            </w:r>
          </w:p>
        </w:tc>
      </w:tr>
      <w:tr>
        <w:trPr>
          <w:trHeight w:val="207"/>
        </w:trPr>
        <w:tc>
          <w:tcPr>
            <w:tcW w:w="780" w:type="dxa"/>
            <w:vAlign w:val="bottom"/>
          </w:tcPr>
          <w:p>
            <w:pPr>
              <w:spacing w:after="0"/>
              <w:rPr>
                <w:sz w:val="17"/>
                <w:szCs w:val="17"/>
                <w:color w:val="auto"/>
              </w:rPr>
            </w:pPr>
          </w:p>
        </w:tc>
        <w:tc>
          <w:tcPr>
            <w:tcW w:w="8580" w:type="dxa"/>
            <w:vAlign w:val="bottom"/>
          </w:tcPr>
          <w:p>
            <w:pPr>
              <w:ind w:left="200"/>
              <w:spacing w:after="0"/>
              <w:rPr>
                <w:sz w:val="20"/>
                <w:szCs w:val="20"/>
                <w:color w:val="auto"/>
              </w:rPr>
            </w:pPr>
            <w:r>
              <w:rPr>
                <w:rFonts w:ascii="Arial" w:cs="Arial" w:eastAsia="Arial" w:hAnsi="Arial"/>
                <w:sz w:val="18"/>
                <w:szCs w:val="18"/>
                <w:color w:val="auto"/>
              </w:rPr>
              <w:t>Company and Lehigh Portland Cement Company effective as of October 1, 2000, filed as Exhibit 10.2 to</w:t>
            </w:r>
          </w:p>
        </w:tc>
      </w:tr>
      <w:tr>
        <w:trPr>
          <w:trHeight w:val="207"/>
        </w:trPr>
        <w:tc>
          <w:tcPr>
            <w:tcW w:w="780" w:type="dxa"/>
            <w:vAlign w:val="bottom"/>
          </w:tcPr>
          <w:p>
            <w:pPr>
              <w:spacing w:after="0"/>
              <w:rPr>
                <w:sz w:val="17"/>
                <w:szCs w:val="17"/>
                <w:color w:val="auto"/>
              </w:rPr>
            </w:pPr>
          </w:p>
        </w:tc>
        <w:tc>
          <w:tcPr>
            <w:tcW w:w="8580" w:type="dxa"/>
            <w:vAlign w:val="bottom"/>
          </w:tcPr>
          <w:p>
            <w:pPr>
              <w:ind w:left="200"/>
              <w:spacing w:after="0"/>
              <w:rPr>
                <w:sz w:val="20"/>
                <w:szCs w:val="20"/>
                <w:color w:val="auto"/>
              </w:rPr>
            </w:pPr>
            <w:r>
              <w:rPr>
                <w:rFonts w:ascii="Arial" w:cs="Arial" w:eastAsia="Arial" w:hAnsi="Arial"/>
                <w:sz w:val="18"/>
                <w:szCs w:val="18"/>
                <w:color w:val="auto"/>
              </w:rPr>
              <w:t>the Company’s Annual Report on Form 10-K for the fiscal year ended March 31, 2001, filed with the</w:t>
            </w:r>
          </w:p>
        </w:tc>
      </w:tr>
      <w:tr>
        <w:trPr>
          <w:trHeight w:val="245"/>
        </w:trPr>
        <w:tc>
          <w:tcPr>
            <w:tcW w:w="780" w:type="dxa"/>
            <w:vAlign w:val="bottom"/>
          </w:tcPr>
          <w:p>
            <w:pPr>
              <w:spacing w:after="0"/>
              <w:rPr>
                <w:sz w:val="21"/>
                <w:szCs w:val="21"/>
                <w:color w:val="auto"/>
              </w:rPr>
            </w:pPr>
          </w:p>
        </w:tc>
        <w:tc>
          <w:tcPr>
            <w:tcW w:w="8580" w:type="dxa"/>
            <w:vAlign w:val="bottom"/>
          </w:tcPr>
          <w:p>
            <w:pPr>
              <w:ind w:left="200"/>
              <w:spacing w:after="0"/>
              <w:rPr>
                <w:sz w:val="20"/>
                <w:szCs w:val="20"/>
                <w:color w:val="auto"/>
              </w:rPr>
            </w:pPr>
            <w:r>
              <w:rPr>
                <w:rFonts w:ascii="Arial" w:cs="Arial" w:eastAsia="Arial" w:hAnsi="Arial"/>
                <w:sz w:val="18"/>
                <w:szCs w:val="18"/>
                <w:color w:val="auto"/>
              </w:rPr>
              <w:t>Commission on June 27, 2001 (File No. 001-12984) and incorporated herein by reference.</w:t>
            </w:r>
          </w:p>
        </w:tc>
      </w:tr>
      <w:tr>
        <w:trPr>
          <w:trHeight w:val="399"/>
        </w:trPr>
        <w:tc>
          <w:tcPr>
            <w:tcW w:w="780" w:type="dxa"/>
            <w:vAlign w:val="bottom"/>
          </w:tcPr>
          <w:p>
            <w:pPr>
              <w:spacing w:after="0"/>
              <w:rPr>
                <w:sz w:val="20"/>
                <w:szCs w:val="20"/>
                <w:color w:val="auto"/>
              </w:rPr>
            </w:pPr>
            <w:r>
              <w:rPr>
                <w:rFonts w:ascii="Arial" w:cs="Arial" w:eastAsia="Arial" w:hAnsi="Arial"/>
                <w:sz w:val="18"/>
                <w:szCs w:val="18"/>
                <w:color w:val="auto"/>
              </w:rPr>
              <w:t>10.1(a)</w:t>
            </w:r>
          </w:p>
        </w:tc>
        <w:tc>
          <w:tcPr>
            <w:tcW w:w="8580" w:type="dxa"/>
            <w:vAlign w:val="bottom"/>
          </w:tcPr>
          <w:p>
            <w:pPr>
              <w:ind w:left="200"/>
              <w:spacing w:after="0"/>
              <w:rPr>
                <w:sz w:val="20"/>
                <w:szCs w:val="20"/>
                <w:color w:val="auto"/>
              </w:rPr>
            </w:pPr>
            <w:r>
              <w:rPr>
                <w:rFonts w:ascii="Arial" w:cs="Arial" w:eastAsia="Arial" w:hAnsi="Arial"/>
                <w:sz w:val="18"/>
                <w:szCs w:val="18"/>
                <w:color w:val="auto"/>
              </w:rPr>
              <w:t>Amendment No. 1 to Agreement of Limited Partnership by and among Texas Cement Company; TLCC</w:t>
            </w:r>
          </w:p>
        </w:tc>
      </w:tr>
      <w:tr>
        <w:trPr>
          <w:trHeight w:val="207"/>
        </w:trPr>
        <w:tc>
          <w:tcPr>
            <w:tcW w:w="780" w:type="dxa"/>
            <w:vAlign w:val="bottom"/>
          </w:tcPr>
          <w:p>
            <w:pPr>
              <w:spacing w:after="0"/>
              <w:rPr>
                <w:sz w:val="17"/>
                <w:szCs w:val="17"/>
                <w:color w:val="auto"/>
              </w:rPr>
            </w:pPr>
          </w:p>
        </w:tc>
        <w:tc>
          <w:tcPr>
            <w:tcW w:w="8580" w:type="dxa"/>
            <w:vAlign w:val="bottom"/>
          </w:tcPr>
          <w:p>
            <w:pPr>
              <w:ind w:left="200"/>
              <w:spacing w:after="0"/>
              <w:rPr>
                <w:sz w:val="20"/>
                <w:szCs w:val="20"/>
                <w:color w:val="auto"/>
              </w:rPr>
            </w:pPr>
            <w:r>
              <w:rPr>
                <w:rFonts w:ascii="Arial" w:cs="Arial" w:eastAsia="Arial" w:hAnsi="Arial"/>
                <w:sz w:val="18"/>
                <w:szCs w:val="18"/>
                <w:color w:val="auto"/>
              </w:rPr>
              <w:t>LP LLC; TLCC GP LLC; Lehigh Portland Cement Company; Lehigh Portland Investments, LLC; and</w:t>
            </w:r>
          </w:p>
        </w:tc>
      </w:tr>
      <w:tr>
        <w:trPr>
          <w:trHeight w:val="207"/>
        </w:trPr>
        <w:tc>
          <w:tcPr>
            <w:tcW w:w="780" w:type="dxa"/>
            <w:vAlign w:val="bottom"/>
          </w:tcPr>
          <w:p>
            <w:pPr>
              <w:spacing w:after="0"/>
              <w:rPr>
                <w:sz w:val="17"/>
                <w:szCs w:val="17"/>
                <w:color w:val="auto"/>
              </w:rPr>
            </w:pPr>
          </w:p>
        </w:tc>
        <w:tc>
          <w:tcPr>
            <w:tcW w:w="8580" w:type="dxa"/>
            <w:vAlign w:val="bottom"/>
          </w:tcPr>
          <w:p>
            <w:pPr>
              <w:ind w:left="200"/>
              <w:spacing w:after="0"/>
              <w:rPr>
                <w:sz w:val="20"/>
                <w:szCs w:val="20"/>
                <w:color w:val="auto"/>
              </w:rPr>
            </w:pPr>
            <w:r>
              <w:rPr>
                <w:rFonts w:ascii="Arial" w:cs="Arial" w:eastAsia="Arial" w:hAnsi="Arial"/>
                <w:sz w:val="18"/>
                <w:szCs w:val="18"/>
                <w:color w:val="auto"/>
              </w:rPr>
              <w:t>Lehigh Portland Holdings, LLC effective as of October 2, 2000, filed as Exhibit 10.2(a) to the 2001 Form</w:t>
            </w:r>
          </w:p>
        </w:tc>
      </w:tr>
      <w:tr>
        <w:trPr>
          <w:trHeight w:val="245"/>
        </w:trPr>
        <w:tc>
          <w:tcPr>
            <w:tcW w:w="780" w:type="dxa"/>
            <w:vAlign w:val="bottom"/>
          </w:tcPr>
          <w:p>
            <w:pPr>
              <w:spacing w:after="0"/>
              <w:rPr>
                <w:sz w:val="21"/>
                <w:szCs w:val="21"/>
                <w:color w:val="auto"/>
              </w:rPr>
            </w:pPr>
          </w:p>
        </w:tc>
        <w:tc>
          <w:tcPr>
            <w:tcW w:w="8580" w:type="dxa"/>
            <w:vAlign w:val="bottom"/>
          </w:tcPr>
          <w:p>
            <w:pPr>
              <w:ind w:left="200"/>
              <w:spacing w:after="0"/>
              <w:rPr>
                <w:sz w:val="20"/>
                <w:szCs w:val="20"/>
                <w:color w:val="auto"/>
              </w:rPr>
            </w:pPr>
            <w:r>
              <w:rPr>
                <w:rFonts w:ascii="Arial" w:cs="Arial" w:eastAsia="Arial" w:hAnsi="Arial"/>
                <w:sz w:val="18"/>
                <w:szCs w:val="18"/>
                <w:color w:val="auto"/>
              </w:rPr>
              <w:t>10-K (File No. 001-12984) and incorporated herein by reference.</w:t>
            </w:r>
          </w:p>
        </w:tc>
      </w:tr>
      <w:tr>
        <w:trPr>
          <w:trHeight w:val="399"/>
        </w:trPr>
        <w:tc>
          <w:tcPr>
            <w:tcW w:w="780" w:type="dxa"/>
            <w:vAlign w:val="bottom"/>
          </w:tcPr>
          <w:p>
            <w:pPr>
              <w:spacing w:after="0"/>
              <w:rPr>
                <w:sz w:val="20"/>
                <w:szCs w:val="20"/>
                <w:color w:val="auto"/>
              </w:rPr>
            </w:pPr>
            <w:r>
              <w:rPr>
                <w:rFonts w:ascii="Arial" w:cs="Arial" w:eastAsia="Arial" w:hAnsi="Arial"/>
                <w:sz w:val="18"/>
                <w:szCs w:val="18"/>
                <w:color w:val="auto"/>
              </w:rPr>
              <w:t>10.3</w:t>
            </w:r>
          </w:p>
        </w:tc>
        <w:tc>
          <w:tcPr>
            <w:tcW w:w="8580" w:type="dxa"/>
            <w:vAlign w:val="bottom"/>
          </w:tcPr>
          <w:p>
            <w:pPr>
              <w:ind w:left="200"/>
              <w:spacing w:after="0"/>
              <w:rPr>
                <w:sz w:val="20"/>
                <w:szCs w:val="20"/>
                <w:color w:val="auto"/>
              </w:rPr>
            </w:pPr>
            <w:r>
              <w:rPr>
                <w:rFonts w:ascii="Arial" w:cs="Arial" w:eastAsia="Arial" w:hAnsi="Arial"/>
                <w:sz w:val="18"/>
                <w:szCs w:val="18"/>
                <w:color w:val="auto"/>
              </w:rPr>
              <w:t>The Eagle Materials Inc. Amended and Restated Incentive Plan, filed as Exhibit A to the Company’s</w:t>
            </w:r>
          </w:p>
        </w:tc>
      </w:tr>
      <w:tr>
        <w:trPr>
          <w:trHeight w:val="206"/>
        </w:trPr>
        <w:tc>
          <w:tcPr>
            <w:tcW w:w="780" w:type="dxa"/>
            <w:vAlign w:val="bottom"/>
          </w:tcPr>
          <w:p>
            <w:pPr>
              <w:spacing w:after="0"/>
              <w:rPr>
                <w:sz w:val="17"/>
                <w:szCs w:val="17"/>
                <w:color w:val="auto"/>
              </w:rPr>
            </w:pPr>
          </w:p>
        </w:tc>
        <w:tc>
          <w:tcPr>
            <w:tcW w:w="8580" w:type="dxa"/>
            <w:vAlign w:val="bottom"/>
          </w:tcPr>
          <w:p>
            <w:pPr>
              <w:ind w:left="200"/>
              <w:spacing w:after="0"/>
              <w:rPr>
                <w:sz w:val="20"/>
                <w:szCs w:val="20"/>
                <w:color w:val="auto"/>
              </w:rPr>
            </w:pPr>
            <w:r>
              <w:rPr>
                <w:rFonts w:ascii="Arial" w:cs="Arial" w:eastAsia="Arial" w:hAnsi="Arial"/>
                <w:sz w:val="18"/>
                <w:szCs w:val="18"/>
                <w:color w:val="auto"/>
              </w:rPr>
              <w:t>Schedule 14A filed with the Commission on June 21, 2013 (File No. 001-12984) and incorporated herein</w:t>
            </w:r>
          </w:p>
        </w:tc>
      </w:tr>
      <w:tr>
        <w:trPr>
          <w:trHeight w:val="350"/>
        </w:trPr>
        <w:tc>
          <w:tcPr>
            <w:tcW w:w="780" w:type="dxa"/>
            <w:vAlign w:val="bottom"/>
          </w:tcPr>
          <w:p>
            <w:pPr>
              <w:spacing w:after="0"/>
              <w:rPr>
                <w:sz w:val="24"/>
                <w:szCs w:val="24"/>
                <w:color w:val="auto"/>
              </w:rPr>
            </w:pPr>
          </w:p>
        </w:tc>
        <w:tc>
          <w:tcPr>
            <w:tcW w:w="8580" w:type="dxa"/>
            <w:vAlign w:val="bottom"/>
          </w:tcPr>
          <w:p>
            <w:pPr>
              <w:ind w:left="200"/>
              <w:spacing w:after="0"/>
              <w:rPr>
                <w:sz w:val="20"/>
                <w:szCs w:val="20"/>
                <w:color w:val="auto"/>
              </w:rPr>
            </w:pPr>
            <w:r>
              <w:rPr>
                <w:rFonts w:ascii="Arial" w:cs="Arial" w:eastAsia="Arial" w:hAnsi="Arial"/>
                <w:sz w:val="18"/>
                <w:szCs w:val="18"/>
                <w:color w:val="auto"/>
              </w:rPr>
              <w:t xml:space="preserve">by reference. </w:t>
            </w:r>
            <w:r>
              <w:rPr>
                <w:rFonts w:ascii="Arial" w:cs="Arial" w:eastAsia="Arial" w:hAnsi="Arial"/>
                <w:sz w:val="24"/>
                <w:szCs w:val="24"/>
                <w:color w:val="auto"/>
                <w:vertAlign w:val="superscript"/>
              </w:rPr>
              <w:t>(1)</w:t>
            </w:r>
          </w:p>
        </w:tc>
      </w:tr>
      <w:tr>
        <w:trPr>
          <w:trHeight w:val="294"/>
        </w:trPr>
        <w:tc>
          <w:tcPr>
            <w:tcW w:w="780" w:type="dxa"/>
            <w:vAlign w:val="bottom"/>
          </w:tcPr>
          <w:p>
            <w:pPr>
              <w:spacing w:after="0"/>
              <w:rPr>
                <w:sz w:val="20"/>
                <w:szCs w:val="20"/>
                <w:color w:val="auto"/>
              </w:rPr>
            </w:pPr>
            <w:r>
              <w:rPr>
                <w:rFonts w:ascii="Arial" w:cs="Arial" w:eastAsia="Arial" w:hAnsi="Arial"/>
                <w:sz w:val="18"/>
                <w:szCs w:val="18"/>
                <w:color w:val="auto"/>
              </w:rPr>
              <w:t>10.3(a)</w:t>
            </w:r>
          </w:p>
        </w:tc>
        <w:tc>
          <w:tcPr>
            <w:tcW w:w="8580" w:type="dxa"/>
            <w:vAlign w:val="bottom"/>
          </w:tcPr>
          <w:p>
            <w:pPr>
              <w:ind w:left="200"/>
              <w:spacing w:after="0"/>
              <w:rPr>
                <w:sz w:val="20"/>
                <w:szCs w:val="20"/>
                <w:color w:val="auto"/>
              </w:rPr>
            </w:pPr>
            <w:r>
              <w:rPr>
                <w:rFonts w:ascii="Arial" w:cs="Arial" w:eastAsia="Arial" w:hAnsi="Arial"/>
                <w:sz w:val="18"/>
                <w:szCs w:val="18"/>
                <w:color w:val="auto"/>
              </w:rPr>
              <w:t>Amendment to Amended and Restated Incentive Plan, filed as Exhibit 10.4 to the Company’s Quarterly</w:t>
            </w:r>
          </w:p>
        </w:tc>
      </w:tr>
      <w:tr>
        <w:trPr>
          <w:trHeight w:val="206"/>
        </w:trPr>
        <w:tc>
          <w:tcPr>
            <w:tcW w:w="780" w:type="dxa"/>
            <w:vAlign w:val="bottom"/>
          </w:tcPr>
          <w:p>
            <w:pPr>
              <w:spacing w:after="0"/>
              <w:rPr>
                <w:sz w:val="17"/>
                <w:szCs w:val="17"/>
                <w:color w:val="auto"/>
              </w:rPr>
            </w:pPr>
          </w:p>
        </w:tc>
        <w:tc>
          <w:tcPr>
            <w:tcW w:w="8580" w:type="dxa"/>
            <w:vAlign w:val="bottom"/>
          </w:tcPr>
          <w:p>
            <w:pPr>
              <w:ind w:left="200"/>
              <w:spacing w:after="0"/>
              <w:rPr>
                <w:sz w:val="20"/>
                <w:szCs w:val="20"/>
                <w:color w:val="auto"/>
              </w:rPr>
            </w:pPr>
            <w:r>
              <w:rPr>
                <w:rFonts w:ascii="Arial" w:cs="Arial" w:eastAsia="Arial" w:hAnsi="Arial"/>
                <w:sz w:val="18"/>
                <w:szCs w:val="18"/>
                <w:color w:val="auto"/>
              </w:rPr>
              <w:t>Report on Form 10-Q for the quarter ended June 30, 2017, filed with the Commission on July 28, 2017</w:t>
            </w:r>
          </w:p>
        </w:tc>
      </w:tr>
      <w:tr>
        <w:trPr>
          <w:trHeight w:val="350"/>
        </w:trPr>
        <w:tc>
          <w:tcPr>
            <w:tcW w:w="780" w:type="dxa"/>
            <w:vAlign w:val="bottom"/>
          </w:tcPr>
          <w:p>
            <w:pPr>
              <w:spacing w:after="0"/>
              <w:rPr>
                <w:sz w:val="24"/>
                <w:szCs w:val="24"/>
                <w:color w:val="auto"/>
              </w:rPr>
            </w:pPr>
          </w:p>
        </w:tc>
        <w:tc>
          <w:tcPr>
            <w:tcW w:w="8580" w:type="dxa"/>
            <w:vAlign w:val="bottom"/>
          </w:tcPr>
          <w:p>
            <w:pPr>
              <w:ind w:left="200"/>
              <w:spacing w:after="0"/>
              <w:rPr>
                <w:sz w:val="20"/>
                <w:szCs w:val="20"/>
                <w:color w:val="auto"/>
              </w:rPr>
            </w:pPr>
            <w:r>
              <w:rPr>
                <w:rFonts w:ascii="Arial" w:cs="Arial" w:eastAsia="Arial" w:hAnsi="Arial"/>
                <w:sz w:val="18"/>
                <w:szCs w:val="18"/>
                <w:color w:val="auto"/>
              </w:rPr>
              <w:t xml:space="preserve">(File No. 001-12984) and incorporated herein by reference. </w:t>
            </w:r>
            <w:r>
              <w:rPr>
                <w:rFonts w:ascii="Arial" w:cs="Arial" w:eastAsia="Arial" w:hAnsi="Arial"/>
                <w:sz w:val="24"/>
                <w:szCs w:val="24"/>
                <w:color w:val="auto"/>
                <w:vertAlign w:val="superscript"/>
              </w:rPr>
              <w:t>(1)</w:t>
            </w:r>
          </w:p>
        </w:tc>
      </w:tr>
      <w:tr>
        <w:trPr>
          <w:trHeight w:val="294"/>
        </w:trPr>
        <w:tc>
          <w:tcPr>
            <w:tcW w:w="780" w:type="dxa"/>
            <w:vAlign w:val="bottom"/>
          </w:tcPr>
          <w:p>
            <w:pPr>
              <w:spacing w:after="0"/>
              <w:rPr>
                <w:sz w:val="20"/>
                <w:szCs w:val="20"/>
                <w:color w:val="auto"/>
              </w:rPr>
            </w:pPr>
            <w:r>
              <w:rPr>
                <w:rFonts w:ascii="Arial" w:cs="Arial" w:eastAsia="Arial" w:hAnsi="Arial"/>
                <w:sz w:val="18"/>
                <w:szCs w:val="18"/>
                <w:color w:val="auto"/>
              </w:rPr>
              <w:t>10.4</w:t>
            </w:r>
          </w:p>
        </w:tc>
        <w:tc>
          <w:tcPr>
            <w:tcW w:w="8580" w:type="dxa"/>
            <w:vAlign w:val="bottom"/>
          </w:tcPr>
          <w:p>
            <w:pPr>
              <w:ind w:left="200"/>
              <w:spacing w:after="0"/>
              <w:rPr>
                <w:sz w:val="20"/>
                <w:szCs w:val="20"/>
                <w:color w:val="auto"/>
              </w:rPr>
            </w:pPr>
            <w:r>
              <w:rPr>
                <w:rFonts w:ascii="Arial" w:cs="Arial" w:eastAsia="Arial" w:hAnsi="Arial"/>
                <w:sz w:val="18"/>
                <w:szCs w:val="18"/>
                <w:color w:val="auto"/>
              </w:rPr>
              <w:t>Eagle Materials Inc. 2023 Equity Incentive Plan, filed as Exhibit 4.3 to the Company’s Registration</w:t>
            </w:r>
          </w:p>
        </w:tc>
      </w:tr>
      <w:tr>
        <w:trPr>
          <w:trHeight w:val="206"/>
        </w:trPr>
        <w:tc>
          <w:tcPr>
            <w:tcW w:w="780" w:type="dxa"/>
            <w:vAlign w:val="bottom"/>
          </w:tcPr>
          <w:p>
            <w:pPr>
              <w:spacing w:after="0"/>
              <w:rPr>
                <w:sz w:val="17"/>
                <w:szCs w:val="17"/>
                <w:color w:val="auto"/>
              </w:rPr>
            </w:pPr>
          </w:p>
        </w:tc>
        <w:tc>
          <w:tcPr>
            <w:tcW w:w="8580" w:type="dxa"/>
            <w:vAlign w:val="bottom"/>
          </w:tcPr>
          <w:p>
            <w:pPr>
              <w:ind w:left="200"/>
              <w:spacing w:after="0"/>
              <w:rPr>
                <w:sz w:val="20"/>
                <w:szCs w:val="20"/>
                <w:color w:val="auto"/>
              </w:rPr>
            </w:pPr>
            <w:r>
              <w:rPr>
                <w:rFonts w:ascii="Arial" w:cs="Arial" w:eastAsia="Arial" w:hAnsi="Arial"/>
                <w:sz w:val="18"/>
                <w:szCs w:val="18"/>
                <w:color w:val="auto"/>
              </w:rPr>
              <w:t>Statement on Form S-8 filed with the Commission on August 4, 2023 (File No. 001-12984) and</w:t>
            </w:r>
          </w:p>
        </w:tc>
      </w:tr>
      <w:tr>
        <w:trPr>
          <w:trHeight w:val="350"/>
        </w:trPr>
        <w:tc>
          <w:tcPr>
            <w:tcW w:w="780" w:type="dxa"/>
            <w:vAlign w:val="bottom"/>
          </w:tcPr>
          <w:p>
            <w:pPr>
              <w:spacing w:after="0"/>
              <w:rPr>
                <w:sz w:val="24"/>
                <w:szCs w:val="24"/>
                <w:color w:val="auto"/>
              </w:rPr>
            </w:pPr>
          </w:p>
        </w:tc>
        <w:tc>
          <w:tcPr>
            <w:tcW w:w="8580" w:type="dxa"/>
            <w:vAlign w:val="bottom"/>
          </w:tcPr>
          <w:p>
            <w:pPr>
              <w:ind w:left="200"/>
              <w:spacing w:after="0"/>
              <w:rPr>
                <w:sz w:val="20"/>
                <w:szCs w:val="20"/>
                <w:color w:val="auto"/>
              </w:rPr>
            </w:pPr>
            <w:r>
              <w:rPr>
                <w:rFonts w:ascii="Arial" w:cs="Arial" w:eastAsia="Arial" w:hAnsi="Arial"/>
                <w:sz w:val="18"/>
                <w:szCs w:val="18"/>
                <w:color w:val="auto"/>
              </w:rPr>
              <w:t>incorporated herein by reference.</w:t>
            </w:r>
            <w:r>
              <w:rPr>
                <w:rFonts w:ascii="Arial" w:cs="Arial" w:eastAsia="Arial" w:hAnsi="Arial"/>
                <w:sz w:val="24"/>
                <w:szCs w:val="24"/>
                <w:color w:val="auto"/>
                <w:vertAlign w:val="superscript"/>
              </w:rPr>
              <w:t>(1)</w:t>
            </w:r>
          </w:p>
        </w:tc>
      </w:tr>
      <w:tr>
        <w:trPr>
          <w:trHeight w:val="294"/>
        </w:trPr>
        <w:tc>
          <w:tcPr>
            <w:tcW w:w="780" w:type="dxa"/>
            <w:vAlign w:val="bottom"/>
          </w:tcPr>
          <w:p>
            <w:pPr>
              <w:spacing w:after="0"/>
              <w:rPr>
                <w:sz w:val="20"/>
                <w:szCs w:val="20"/>
                <w:color w:val="auto"/>
              </w:rPr>
            </w:pPr>
            <w:r>
              <w:rPr>
                <w:rFonts w:ascii="Arial" w:cs="Arial" w:eastAsia="Arial" w:hAnsi="Arial"/>
                <w:sz w:val="18"/>
                <w:szCs w:val="18"/>
                <w:color w:val="auto"/>
              </w:rPr>
              <w:t>10.5</w:t>
            </w:r>
          </w:p>
        </w:tc>
        <w:tc>
          <w:tcPr>
            <w:tcW w:w="8580" w:type="dxa"/>
            <w:vAlign w:val="bottom"/>
          </w:tcPr>
          <w:p>
            <w:pPr>
              <w:ind w:left="200"/>
              <w:spacing w:after="0"/>
              <w:rPr>
                <w:sz w:val="20"/>
                <w:szCs w:val="20"/>
                <w:color w:val="auto"/>
              </w:rPr>
            </w:pPr>
            <w:r>
              <w:rPr>
                <w:rFonts w:ascii="Arial" w:cs="Arial" w:eastAsia="Arial" w:hAnsi="Arial"/>
                <w:sz w:val="18"/>
                <w:szCs w:val="18"/>
                <w:color w:val="auto"/>
              </w:rPr>
              <w:t>Form of Restricted Stock Unit Agreement for Non-Employee Directors filed as Exhibit 10.1 to the</w:t>
            </w:r>
          </w:p>
        </w:tc>
      </w:tr>
      <w:tr>
        <w:trPr>
          <w:trHeight w:val="206"/>
        </w:trPr>
        <w:tc>
          <w:tcPr>
            <w:tcW w:w="780" w:type="dxa"/>
            <w:vAlign w:val="bottom"/>
          </w:tcPr>
          <w:p>
            <w:pPr>
              <w:spacing w:after="0"/>
              <w:rPr>
                <w:sz w:val="17"/>
                <w:szCs w:val="17"/>
                <w:color w:val="auto"/>
              </w:rPr>
            </w:pPr>
          </w:p>
        </w:tc>
        <w:tc>
          <w:tcPr>
            <w:tcW w:w="8580" w:type="dxa"/>
            <w:vAlign w:val="bottom"/>
          </w:tcPr>
          <w:p>
            <w:pPr>
              <w:ind w:left="200"/>
              <w:spacing w:after="0"/>
              <w:rPr>
                <w:sz w:val="20"/>
                <w:szCs w:val="20"/>
                <w:color w:val="auto"/>
              </w:rPr>
            </w:pPr>
            <w:r>
              <w:rPr>
                <w:rFonts w:ascii="Arial" w:cs="Arial" w:eastAsia="Arial" w:hAnsi="Arial"/>
                <w:sz w:val="18"/>
                <w:szCs w:val="18"/>
                <w:color w:val="auto"/>
              </w:rPr>
              <w:t>Company’s Current Report on Form 8-K filed with the Commission on August 1, 2006 (File No. 001-</w:t>
            </w:r>
          </w:p>
        </w:tc>
      </w:tr>
      <w:tr>
        <w:trPr>
          <w:trHeight w:val="350"/>
        </w:trPr>
        <w:tc>
          <w:tcPr>
            <w:tcW w:w="780" w:type="dxa"/>
            <w:vAlign w:val="bottom"/>
          </w:tcPr>
          <w:p>
            <w:pPr>
              <w:spacing w:after="0"/>
              <w:rPr>
                <w:sz w:val="24"/>
                <w:szCs w:val="24"/>
                <w:color w:val="auto"/>
              </w:rPr>
            </w:pPr>
          </w:p>
        </w:tc>
        <w:tc>
          <w:tcPr>
            <w:tcW w:w="8580" w:type="dxa"/>
            <w:vAlign w:val="bottom"/>
          </w:tcPr>
          <w:p>
            <w:pPr>
              <w:ind w:left="200"/>
              <w:spacing w:after="0"/>
              <w:rPr>
                <w:sz w:val="20"/>
                <w:szCs w:val="20"/>
                <w:color w:val="auto"/>
              </w:rPr>
            </w:pPr>
            <w:r>
              <w:rPr>
                <w:rFonts w:ascii="Arial" w:cs="Arial" w:eastAsia="Arial" w:hAnsi="Arial"/>
                <w:sz w:val="18"/>
                <w:szCs w:val="18"/>
                <w:color w:val="auto"/>
              </w:rPr>
              <w:t xml:space="preserve">12984) and incorporated herein by reference. </w:t>
            </w:r>
            <w:r>
              <w:rPr>
                <w:rFonts w:ascii="Arial" w:cs="Arial" w:eastAsia="Arial" w:hAnsi="Arial"/>
                <w:sz w:val="24"/>
                <w:szCs w:val="24"/>
                <w:color w:val="auto"/>
                <w:vertAlign w:val="superscript"/>
              </w:rPr>
              <w:t>(1)</w:t>
            </w:r>
          </w:p>
        </w:tc>
      </w:tr>
      <w:tr>
        <w:trPr>
          <w:trHeight w:val="294"/>
        </w:trPr>
        <w:tc>
          <w:tcPr>
            <w:tcW w:w="780" w:type="dxa"/>
            <w:vAlign w:val="bottom"/>
          </w:tcPr>
          <w:p>
            <w:pPr>
              <w:spacing w:after="0"/>
              <w:rPr>
                <w:sz w:val="20"/>
                <w:szCs w:val="20"/>
                <w:color w:val="auto"/>
              </w:rPr>
            </w:pPr>
            <w:r>
              <w:rPr>
                <w:rFonts w:ascii="Arial" w:cs="Arial" w:eastAsia="Arial" w:hAnsi="Arial"/>
                <w:sz w:val="18"/>
                <w:szCs w:val="18"/>
                <w:color w:val="auto"/>
              </w:rPr>
              <w:t>10.6</w:t>
            </w:r>
          </w:p>
        </w:tc>
        <w:tc>
          <w:tcPr>
            <w:tcW w:w="8580" w:type="dxa"/>
            <w:vAlign w:val="bottom"/>
          </w:tcPr>
          <w:p>
            <w:pPr>
              <w:ind w:left="200"/>
              <w:spacing w:after="0"/>
              <w:rPr>
                <w:sz w:val="20"/>
                <w:szCs w:val="20"/>
                <w:color w:val="auto"/>
              </w:rPr>
            </w:pPr>
            <w:r>
              <w:rPr>
                <w:rFonts w:ascii="Arial" w:cs="Arial" w:eastAsia="Arial" w:hAnsi="Arial"/>
                <w:sz w:val="18"/>
                <w:szCs w:val="18"/>
                <w:color w:val="auto"/>
              </w:rPr>
              <w:t>Form of Restricted Stock Agreement for Non-Employee Directors filed as Exhibit 10.5 to the Company’s</w:t>
            </w:r>
          </w:p>
        </w:tc>
      </w:tr>
      <w:tr>
        <w:trPr>
          <w:trHeight w:val="206"/>
        </w:trPr>
        <w:tc>
          <w:tcPr>
            <w:tcW w:w="780" w:type="dxa"/>
            <w:vAlign w:val="bottom"/>
          </w:tcPr>
          <w:p>
            <w:pPr>
              <w:spacing w:after="0"/>
              <w:rPr>
                <w:sz w:val="17"/>
                <w:szCs w:val="17"/>
                <w:color w:val="auto"/>
              </w:rPr>
            </w:pPr>
          </w:p>
        </w:tc>
        <w:tc>
          <w:tcPr>
            <w:tcW w:w="8580" w:type="dxa"/>
            <w:vAlign w:val="bottom"/>
          </w:tcPr>
          <w:p>
            <w:pPr>
              <w:ind w:left="200"/>
              <w:spacing w:after="0"/>
              <w:rPr>
                <w:sz w:val="20"/>
                <w:szCs w:val="20"/>
                <w:color w:val="auto"/>
              </w:rPr>
            </w:pPr>
            <w:r>
              <w:rPr>
                <w:rFonts w:ascii="Arial" w:cs="Arial" w:eastAsia="Arial" w:hAnsi="Arial"/>
                <w:sz w:val="18"/>
                <w:szCs w:val="18"/>
                <w:color w:val="auto"/>
              </w:rPr>
              <w:t>Quarterly Report on Form 10-Q for the quarter ended September 30, 2013, filed with the Commission on</w:t>
            </w:r>
          </w:p>
        </w:tc>
      </w:tr>
      <w:tr>
        <w:trPr>
          <w:trHeight w:val="350"/>
        </w:trPr>
        <w:tc>
          <w:tcPr>
            <w:tcW w:w="780" w:type="dxa"/>
            <w:vAlign w:val="bottom"/>
          </w:tcPr>
          <w:p>
            <w:pPr>
              <w:spacing w:after="0"/>
              <w:rPr>
                <w:sz w:val="24"/>
                <w:szCs w:val="24"/>
                <w:color w:val="auto"/>
              </w:rPr>
            </w:pPr>
          </w:p>
        </w:tc>
        <w:tc>
          <w:tcPr>
            <w:tcW w:w="8580" w:type="dxa"/>
            <w:vAlign w:val="bottom"/>
          </w:tcPr>
          <w:p>
            <w:pPr>
              <w:ind w:left="200"/>
              <w:spacing w:after="0"/>
              <w:rPr>
                <w:sz w:val="20"/>
                <w:szCs w:val="20"/>
                <w:color w:val="auto"/>
              </w:rPr>
            </w:pPr>
            <w:r>
              <w:rPr>
                <w:rFonts w:ascii="Arial" w:cs="Arial" w:eastAsia="Arial" w:hAnsi="Arial"/>
                <w:sz w:val="18"/>
                <w:szCs w:val="18"/>
                <w:color w:val="auto"/>
              </w:rPr>
              <w:t xml:space="preserve">November 7, 2013 (File No. 001-12984) and incorporated herein by reference. </w:t>
            </w:r>
            <w:r>
              <w:rPr>
                <w:rFonts w:ascii="Arial" w:cs="Arial" w:eastAsia="Arial" w:hAnsi="Arial"/>
                <w:sz w:val="24"/>
                <w:szCs w:val="24"/>
                <w:color w:val="auto"/>
                <w:vertAlign w:val="superscript"/>
              </w:rPr>
              <w:t>(1)</w:t>
            </w:r>
          </w:p>
        </w:tc>
      </w:tr>
      <w:tr>
        <w:trPr>
          <w:trHeight w:val="294"/>
        </w:trPr>
        <w:tc>
          <w:tcPr>
            <w:tcW w:w="780" w:type="dxa"/>
            <w:vAlign w:val="bottom"/>
          </w:tcPr>
          <w:p>
            <w:pPr>
              <w:spacing w:after="0"/>
              <w:rPr>
                <w:sz w:val="20"/>
                <w:szCs w:val="20"/>
                <w:color w:val="auto"/>
              </w:rPr>
            </w:pPr>
            <w:r>
              <w:rPr>
                <w:rFonts w:ascii="Arial" w:cs="Arial" w:eastAsia="Arial" w:hAnsi="Arial"/>
                <w:sz w:val="18"/>
                <w:szCs w:val="18"/>
                <w:color w:val="auto"/>
              </w:rPr>
              <w:t>10.7</w:t>
            </w:r>
          </w:p>
        </w:tc>
        <w:tc>
          <w:tcPr>
            <w:tcW w:w="8580" w:type="dxa"/>
            <w:vAlign w:val="bottom"/>
          </w:tcPr>
          <w:p>
            <w:pPr>
              <w:ind w:left="200"/>
              <w:spacing w:after="0"/>
              <w:rPr>
                <w:sz w:val="20"/>
                <w:szCs w:val="20"/>
                <w:color w:val="auto"/>
              </w:rPr>
            </w:pPr>
            <w:r>
              <w:rPr>
                <w:rFonts w:ascii="Arial" w:cs="Arial" w:eastAsia="Arial" w:hAnsi="Arial"/>
                <w:sz w:val="18"/>
                <w:szCs w:val="18"/>
                <w:color w:val="auto"/>
              </w:rPr>
              <w:t>Form of Restricted Stock Agreement for Non-Employee Directors filed as Exhibit 10.5 to the Company’s</w:t>
            </w:r>
          </w:p>
        </w:tc>
      </w:tr>
      <w:tr>
        <w:trPr>
          <w:trHeight w:val="206"/>
        </w:trPr>
        <w:tc>
          <w:tcPr>
            <w:tcW w:w="780" w:type="dxa"/>
            <w:vAlign w:val="bottom"/>
          </w:tcPr>
          <w:p>
            <w:pPr>
              <w:spacing w:after="0"/>
              <w:rPr>
                <w:sz w:val="17"/>
                <w:szCs w:val="17"/>
                <w:color w:val="auto"/>
              </w:rPr>
            </w:pPr>
          </w:p>
        </w:tc>
        <w:tc>
          <w:tcPr>
            <w:tcW w:w="8580" w:type="dxa"/>
            <w:vAlign w:val="bottom"/>
          </w:tcPr>
          <w:p>
            <w:pPr>
              <w:ind w:left="200"/>
              <w:spacing w:after="0"/>
              <w:rPr>
                <w:sz w:val="20"/>
                <w:szCs w:val="20"/>
                <w:color w:val="auto"/>
              </w:rPr>
            </w:pPr>
            <w:r>
              <w:rPr>
                <w:rFonts w:ascii="Arial" w:cs="Arial" w:eastAsia="Arial" w:hAnsi="Arial"/>
                <w:sz w:val="18"/>
                <w:szCs w:val="18"/>
                <w:color w:val="auto"/>
              </w:rPr>
              <w:t>Quarterly Report on Form 10-Q for the quarter ended September 30, 2014, filed with the Commission on</w:t>
            </w:r>
          </w:p>
        </w:tc>
      </w:tr>
      <w:tr>
        <w:trPr>
          <w:trHeight w:val="350"/>
        </w:trPr>
        <w:tc>
          <w:tcPr>
            <w:tcW w:w="780" w:type="dxa"/>
            <w:vAlign w:val="bottom"/>
          </w:tcPr>
          <w:p>
            <w:pPr>
              <w:spacing w:after="0"/>
              <w:rPr>
                <w:sz w:val="24"/>
                <w:szCs w:val="24"/>
                <w:color w:val="auto"/>
              </w:rPr>
            </w:pPr>
          </w:p>
        </w:tc>
        <w:tc>
          <w:tcPr>
            <w:tcW w:w="8580" w:type="dxa"/>
            <w:vAlign w:val="bottom"/>
          </w:tcPr>
          <w:p>
            <w:pPr>
              <w:ind w:left="200"/>
              <w:spacing w:after="0"/>
              <w:rPr>
                <w:sz w:val="20"/>
                <w:szCs w:val="20"/>
                <w:color w:val="auto"/>
              </w:rPr>
            </w:pPr>
            <w:r>
              <w:rPr>
                <w:rFonts w:ascii="Arial" w:cs="Arial" w:eastAsia="Arial" w:hAnsi="Arial"/>
                <w:sz w:val="18"/>
                <w:szCs w:val="18"/>
                <w:color w:val="auto"/>
              </w:rPr>
              <w:t xml:space="preserve">November 5, 2014 (File No. 001-12984) and incorporated herein by reference. </w:t>
            </w:r>
            <w:r>
              <w:rPr>
                <w:rFonts w:ascii="Arial" w:cs="Arial" w:eastAsia="Arial" w:hAnsi="Arial"/>
                <w:sz w:val="24"/>
                <w:szCs w:val="24"/>
                <w:color w:val="auto"/>
                <w:vertAlign w:val="superscript"/>
              </w:rPr>
              <w:t>(1)</w:t>
            </w:r>
          </w:p>
        </w:tc>
      </w:tr>
      <w:tr>
        <w:trPr>
          <w:trHeight w:val="294"/>
        </w:trPr>
        <w:tc>
          <w:tcPr>
            <w:tcW w:w="780" w:type="dxa"/>
            <w:vAlign w:val="bottom"/>
          </w:tcPr>
          <w:p>
            <w:pPr>
              <w:spacing w:after="0"/>
              <w:rPr>
                <w:sz w:val="20"/>
                <w:szCs w:val="20"/>
                <w:color w:val="auto"/>
              </w:rPr>
            </w:pPr>
            <w:r>
              <w:rPr>
                <w:rFonts w:ascii="Arial" w:cs="Arial" w:eastAsia="Arial" w:hAnsi="Arial"/>
                <w:sz w:val="18"/>
                <w:szCs w:val="18"/>
                <w:color w:val="auto"/>
              </w:rPr>
              <w:t>10.8(b)</w:t>
            </w:r>
          </w:p>
        </w:tc>
        <w:tc>
          <w:tcPr>
            <w:tcW w:w="8580" w:type="dxa"/>
            <w:vAlign w:val="bottom"/>
          </w:tcPr>
          <w:p>
            <w:pPr>
              <w:ind w:left="200"/>
              <w:spacing w:after="0"/>
              <w:rPr>
                <w:sz w:val="20"/>
                <w:szCs w:val="20"/>
                <w:color w:val="auto"/>
              </w:rPr>
            </w:pPr>
            <w:r>
              <w:rPr>
                <w:rFonts w:ascii="Arial" w:cs="Arial" w:eastAsia="Arial" w:hAnsi="Arial"/>
                <w:sz w:val="18"/>
                <w:szCs w:val="18"/>
                <w:color w:val="auto"/>
              </w:rPr>
              <w:t>Form of Restricted Stock Agreement for Non-Employee Directors filed as Exhibit 10.3 to the Company’s</w:t>
            </w:r>
          </w:p>
        </w:tc>
      </w:tr>
      <w:tr>
        <w:trPr>
          <w:trHeight w:val="206"/>
        </w:trPr>
        <w:tc>
          <w:tcPr>
            <w:tcW w:w="780" w:type="dxa"/>
            <w:vAlign w:val="bottom"/>
          </w:tcPr>
          <w:p>
            <w:pPr>
              <w:spacing w:after="0"/>
              <w:rPr>
                <w:sz w:val="17"/>
                <w:szCs w:val="17"/>
                <w:color w:val="auto"/>
              </w:rPr>
            </w:pPr>
          </w:p>
        </w:tc>
        <w:tc>
          <w:tcPr>
            <w:tcW w:w="8580" w:type="dxa"/>
            <w:vAlign w:val="bottom"/>
          </w:tcPr>
          <w:p>
            <w:pPr>
              <w:ind w:left="200"/>
              <w:spacing w:after="0"/>
              <w:rPr>
                <w:sz w:val="20"/>
                <w:szCs w:val="20"/>
                <w:color w:val="auto"/>
              </w:rPr>
            </w:pPr>
            <w:r>
              <w:rPr>
                <w:rFonts w:ascii="Arial" w:cs="Arial" w:eastAsia="Arial" w:hAnsi="Arial"/>
                <w:sz w:val="18"/>
                <w:szCs w:val="18"/>
                <w:color w:val="auto"/>
              </w:rPr>
              <w:t>Quarterly Report on Form 10-Q for the quarter ended September 30, 2015, filed with the Commission on</w:t>
            </w:r>
          </w:p>
        </w:tc>
      </w:tr>
      <w:tr>
        <w:trPr>
          <w:trHeight w:val="350"/>
        </w:trPr>
        <w:tc>
          <w:tcPr>
            <w:tcW w:w="780" w:type="dxa"/>
            <w:vAlign w:val="bottom"/>
          </w:tcPr>
          <w:p>
            <w:pPr>
              <w:spacing w:after="0"/>
              <w:rPr>
                <w:sz w:val="24"/>
                <w:szCs w:val="24"/>
                <w:color w:val="auto"/>
              </w:rPr>
            </w:pPr>
          </w:p>
        </w:tc>
        <w:tc>
          <w:tcPr>
            <w:tcW w:w="8580" w:type="dxa"/>
            <w:vAlign w:val="bottom"/>
          </w:tcPr>
          <w:p>
            <w:pPr>
              <w:ind w:left="200"/>
              <w:spacing w:after="0"/>
              <w:rPr>
                <w:sz w:val="20"/>
                <w:szCs w:val="20"/>
                <w:color w:val="auto"/>
              </w:rPr>
            </w:pPr>
            <w:r>
              <w:rPr>
                <w:rFonts w:ascii="Arial" w:cs="Arial" w:eastAsia="Arial" w:hAnsi="Arial"/>
                <w:sz w:val="18"/>
                <w:szCs w:val="18"/>
                <w:color w:val="auto"/>
              </w:rPr>
              <w:t xml:space="preserve">October 27, 2015 (File No. 001-12984) and incorporated herein by reference. </w:t>
            </w:r>
            <w:r>
              <w:rPr>
                <w:rFonts w:ascii="Arial" w:cs="Arial" w:eastAsia="Arial" w:hAnsi="Arial"/>
                <w:sz w:val="24"/>
                <w:szCs w:val="24"/>
                <w:color w:val="auto"/>
                <w:vertAlign w:val="superscript"/>
              </w:rPr>
              <w:t>(1)</w:t>
            </w:r>
          </w:p>
        </w:tc>
      </w:tr>
      <w:tr>
        <w:trPr>
          <w:trHeight w:val="294"/>
        </w:trPr>
        <w:tc>
          <w:tcPr>
            <w:tcW w:w="780" w:type="dxa"/>
            <w:vAlign w:val="bottom"/>
          </w:tcPr>
          <w:p>
            <w:pPr>
              <w:spacing w:after="0"/>
              <w:rPr>
                <w:sz w:val="20"/>
                <w:szCs w:val="20"/>
                <w:color w:val="auto"/>
              </w:rPr>
            </w:pPr>
            <w:r>
              <w:rPr>
                <w:rFonts w:ascii="Arial" w:cs="Arial" w:eastAsia="Arial" w:hAnsi="Arial"/>
                <w:sz w:val="18"/>
                <w:szCs w:val="18"/>
                <w:color w:val="auto"/>
              </w:rPr>
              <w:t>10.9</w:t>
            </w:r>
          </w:p>
        </w:tc>
        <w:tc>
          <w:tcPr>
            <w:tcW w:w="8580" w:type="dxa"/>
            <w:vAlign w:val="bottom"/>
          </w:tcPr>
          <w:p>
            <w:pPr>
              <w:ind w:left="200"/>
              <w:spacing w:after="0"/>
              <w:rPr>
                <w:sz w:val="20"/>
                <w:szCs w:val="20"/>
                <w:color w:val="auto"/>
              </w:rPr>
            </w:pPr>
            <w:r>
              <w:rPr>
                <w:rFonts w:ascii="Arial" w:cs="Arial" w:eastAsia="Arial" w:hAnsi="Arial"/>
                <w:sz w:val="18"/>
                <w:szCs w:val="18"/>
                <w:color w:val="auto"/>
              </w:rPr>
              <w:t>Form of Non-Qualified Stock Option Agreement for Non-Employee Directors filed as Exhibit 10.2 to the</w:t>
            </w:r>
          </w:p>
        </w:tc>
      </w:tr>
      <w:tr>
        <w:trPr>
          <w:trHeight w:val="206"/>
        </w:trPr>
        <w:tc>
          <w:tcPr>
            <w:tcW w:w="780" w:type="dxa"/>
            <w:vAlign w:val="bottom"/>
          </w:tcPr>
          <w:p>
            <w:pPr>
              <w:spacing w:after="0"/>
              <w:rPr>
                <w:sz w:val="17"/>
                <w:szCs w:val="17"/>
                <w:color w:val="auto"/>
              </w:rPr>
            </w:pPr>
          </w:p>
        </w:tc>
        <w:tc>
          <w:tcPr>
            <w:tcW w:w="8580" w:type="dxa"/>
            <w:vAlign w:val="bottom"/>
          </w:tcPr>
          <w:p>
            <w:pPr>
              <w:ind w:left="200"/>
              <w:spacing w:after="0"/>
              <w:rPr>
                <w:sz w:val="20"/>
                <w:szCs w:val="20"/>
                <w:color w:val="auto"/>
              </w:rPr>
            </w:pPr>
            <w:r>
              <w:rPr>
                <w:rFonts w:ascii="Arial" w:cs="Arial" w:eastAsia="Arial" w:hAnsi="Arial"/>
                <w:sz w:val="18"/>
                <w:szCs w:val="18"/>
                <w:color w:val="auto"/>
              </w:rPr>
              <w:t>Company’s Quarterly Report on Form 10-Q for the quarter ended September 30, 2016, filed with the</w:t>
            </w:r>
          </w:p>
        </w:tc>
      </w:tr>
      <w:tr>
        <w:trPr>
          <w:trHeight w:val="350"/>
        </w:trPr>
        <w:tc>
          <w:tcPr>
            <w:tcW w:w="780" w:type="dxa"/>
            <w:vAlign w:val="bottom"/>
          </w:tcPr>
          <w:p>
            <w:pPr>
              <w:spacing w:after="0"/>
              <w:rPr>
                <w:sz w:val="24"/>
                <w:szCs w:val="24"/>
                <w:color w:val="auto"/>
              </w:rPr>
            </w:pPr>
          </w:p>
        </w:tc>
        <w:tc>
          <w:tcPr>
            <w:tcW w:w="8580" w:type="dxa"/>
            <w:vAlign w:val="bottom"/>
          </w:tcPr>
          <w:p>
            <w:pPr>
              <w:ind w:left="200"/>
              <w:spacing w:after="0"/>
              <w:rPr>
                <w:sz w:val="20"/>
                <w:szCs w:val="20"/>
                <w:color w:val="auto"/>
              </w:rPr>
            </w:pPr>
            <w:r>
              <w:rPr>
                <w:rFonts w:ascii="Arial" w:cs="Arial" w:eastAsia="Arial" w:hAnsi="Arial"/>
                <w:sz w:val="18"/>
                <w:szCs w:val="18"/>
                <w:color w:val="auto"/>
              </w:rPr>
              <w:t xml:space="preserve">Commission on October 24, 2016 (File No. 001-12984) and incorporated herein by reference. </w:t>
            </w:r>
            <w:r>
              <w:rPr>
                <w:rFonts w:ascii="Arial" w:cs="Arial" w:eastAsia="Arial" w:hAnsi="Arial"/>
                <w:sz w:val="24"/>
                <w:szCs w:val="24"/>
                <w:color w:val="auto"/>
                <w:vertAlign w:val="superscript"/>
              </w:rPr>
              <w:t>(1)</w:t>
            </w:r>
          </w:p>
        </w:tc>
      </w:tr>
      <w:tr>
        <w:trPr>
          <w:trHeight w:val="294"/>
        </w:trPr>
        <w:tc>
          <w:tcPr>
            <w:tcW w:w="780" w:type="dxa"/>
            <w:vAlign w:val="bottom"/>
          </w:tcPr>
          <w:p>
            <w:pPr>
              <w:spacing w:after="0"/>
              <w:rPr>
                <w:sz w:val="20"/>
                <w:szCs w:val="20"/>
                <w:color w:val="auto"/>
              </w:rPr>
            </w:pPr>
            <w:r>
              <w:rPr>
                <w:rFonts w:ascii="Arial" w:cs="Arial" w:eastAsia="Arial" w:hAnsi="Arial"/>
                <w:sz w:val="18"/>
                <w:szCs w:val="18"/>
                <w:color w:val="auto"/>
              </w:rPr>
              <w:t>10.9(a)</w:t>
            </w:r>
          </w:p>
        </w:tc>
        <w:tc>
          <w:tcPr>
            <w:tcW w:w="8580" w:type="dxa"/>
            <w:vAlign w:val="bottom"/>
          </w:tcPr>
          <w:p>
            <w:pPr>
              <w:ind w:left="200"/>
              <w:spacing w:after="0"/>
              <w:rPr>
                <w:sz w:val="20"/>
                <w:szCs w:val="20"/>
                <w:color w:val="auto"/>
              </w:rPr>
            </w:pPr>
            <w:r>
              <w:rPr>
                <w:rFonts w:ascii="Arial" w:cs="Arial" w:eastAsia="Arial" w:hAnsi="Arial"/>
                <w:sz w:val="18"/>
                <w:szCs w:val="18"/>
                <w:color w:val="auto"/>
              </w:rPr>
              <w:t>Form of Restricted Stock Agreement for Non-Employee Directors filed as Exhibit 10.3 to the Company’s</w:t>
            </w:r>
          </w:p>
        </w:tc>
      </w:tr>
      <w:tr>
        <w:trPr>
          <w:trHeight w:val="206"/>
        </w:trPr>
        <w:tc>
          <w:tcPr>
            <w:tcW w:w="780" w:type="dxa"/>
            <w:vAlign w:val="bottom"/>
          </w:tcPr>
          <w:p>
            <w:pPr>
              <w:spacing w:after="0"/>
              <w:rPr>
                <w:sz w:val="17"/>
                <w:szCs w:val="17"/>
                <w:color w:val="auto"/>
              </w:rPr>
            </w:pPr>
          </w:p>
        </w:tc>
        <w:tc>
          <w:tcPr>
            <w:tcW w:w="8580" w:type="dxa"/>
            <w:vAlign w:val="bottom"/>
          </w:tcPr>
          <w:p>
            <w:pPr>
              <w:ind w:left="200"/>
              <w:spacing w:after="0"/>
              <w:rPr>
                <w:sz w:val="20"/>
                <w:szCs w:val="20"/>
                <w:color w:val="auto"/>
              </w:rPr>
            </w:pPr>
            <w:r>
              <w:rPr>
                <w:rFonts w:ascii="Arial" w:cs="Arial" w:eastAsia="Arial" w:hAnsi="Arial"/>
                <w:sz w:val="18"/>
                <w:szCs w:val="18"/>
                <w:color w:val="auto"/>
              </w:rPr>
              <w:t>Quarterly Report on Form 10-Q for the quarter ended September 30, 2016, filed with the Commission on</w:t>
            </w:r>
          </w:p>
        </w:tc>
      </w:tr>
      <w:tr>
        <w:trPr>
          <w:trHeight w:val="350"/>
        </w:trPr>
        <w:tc>
          <w:tcPr>
            <w:tcW w:w="780" w:type="dxa"/>
            <w:vAlign w:val="bottom"/>
          </w:tcPr>
          <w:p>
            <w:pPr>
              <w:spacing w:after="0"/>
              <w:rPr>
                <w:sz w:val="24"/>
                <w:szCs w:val="24"/>
                <w:color w:val="auto"/>
              </w:rPr>
            </w:pPr>
          </w:p>
        </w:tc>
        <w:tc>
          <w:tcPr>
            <w:tcW w:w="8580" w:type="dxa"/>
            <w:vAlign w:val="bottom"/>
          </w:tcPr>
          <w:p>
            <w:pPr>
              <w:ind w:left="200"/>
              <w:spacing w:after="0"/>
              <w:rPr>
                <w:sz w:val="20"/>
                <w:szCs w:val="20"/>
                <w:color w:val="auto"/>
              </w:rPr>
            </w:pPr>
            <w:r>
              <w:rPr>
                <w:rFonts w:ascii="Arial" w:cs="Arial" w:eastAsia="Arial" w:hAnsi="Arial"/>
                <w:sz w:val="18"/>
                <w:szCs w:val="18"/>
                <w:color w:val="auto"/>
              </w:rPr>
              <w:t xml:space="preserve">October 24, 2016 (File No. 001-12984) and incorporated herein by reference. </w:t>
            </w:r>
            <w:r>
              <w:rPr>
                <w:rFonts w:ascii="Arial" w:cs="Arial" w:eastAsia="Arial" w:hAnsi="Arial"/>
                <w:sz w:val="24"/>
                <w:szCs w:val="24"/>
                <w:color w:val="auto"/>
                <w:vertAlign w:val="superscript"/>
              </w:rPr>
              <w:t>(1)</w:t>
            </w:r>
          </w:p>
        </w:tc>
      </w:tr>
      <w:tr>
        <w:trPr>
          <w:trHeight w:val="294"/>
        </w:trPr>
        <w:tc>
          <w:tcPr>
            <w:tcW w:w="780" w:type="dxa"/>
            <w:vAlign w:val="bottom"/>
          </w:tcPr>
          <w:p>
            <w:pPr>
              <w:spacing w:after="0"/>
              <w:rPr>
                <w:sz w:val="20"/>
                <w:szCs w:val="20"/>
                <w:color w:val="auto"/>
              </w:rPr>
            </w:pPr>
            <w:r>
              <w:rPr>
                <w:rFonts w:ascii="Arial" w:cs="Arial" w:eastAsia="Arial" w:hAnsi="Arial"/>
                <w:sz w:val="18"/>
                <w:szCs w:val="18"/>
                <w:color w:val="auto"/>
              </w:rPr>
              <w:t>10.9(b)</w:t>
            </w:r>
          </w:p>
        </w:tc>
        <w:tc>
          <w:tcPr>
            <w:tcW w:w="8580" w:type="dxa"/>
            <w:vAlign w:val="bottom"/>
          </w:tcPr>
          <w:p>
            <w:pPr>
              <w:ind w:left="200"/>
              <w:spacing w:after="0"/>
              <w:rPr>
                <w:sz w:val="20"/>
                <w:szCs w:val="20"/>
                <w:color w:val="auto"/>
              </w:rPr>
            </w:pPr>
            <w:r>
              <w:rPr>
                <w:rFonts w:ascii="Arial" w:cs="Arial" w:eastAsia="Arial" w:hAnsi="Arial"/>
                <w:sz w:val="18"/>
                <w:szCs w:val="18"/>
                <w:color w:val="auto"/>
              </w:rPr>
              <w:t>Form of Performance Vesting Non-Qualified Stock Option Agreement for Senior Executives filed as</w:t>
            </w:r>
          </w:p>
        </w:tc>
      </w:tr>
      <w:tr>
        <w:trPr>
          <w:trHeight w:val="207"/>
        </w:trPr>
        <w:tc>
          <w:tcPr>
            <w:tcW w:w="780" w:type="dxa"/>
            <w:vAlign w:val="bottom"/>
          </w:tcPr>
          <w:p>
            <w:pPr>
              <w:spacing w:after="0"/>
              <w:rPr>
                <w:sz w:val="17"/>
                <w:szCs w:val="17"/>
                <w:color w:val="auto"/>
              </w:rPr>
            </w:pPr>
          </w:p>
        </w:tc>
        <w:tc>
          <w:tcPr>
            <w:tcW w:w="8580" w:type="dxa"/>
            <w:vAlign w:val="bottom"/>
          </w:tcPr>
          <w:p>
            <w:pPr>
              <w:ind w:left="200"/>
              <w:spacing w:after="0"/>
              <w:rPr>
                <w:sz w:val="20"/>
                <w:szCs w:val="20"/>
                <w:color w:val="auto"/>
              </w:rPr>
            </w:pPr>
            <w:r>
              <w:rPr>
                <w:rFonts w:ascii="Arial" w:cs="Arial" w:eastAsia="Arial" w:hAnsi="Arial"/>
                <w:sz w:val="18"/>
                <w:szCs w:val="18"/>
                <w:color w:val="auto"/>
              </w:rPr>
              <w:t>Exhibit 10.4 to the Company’s Quarterly Report on Form 10-Q for the quarter ended September 30,</w:t>
            </w:r>
          </w:p>
        </w:tc>
      </w:tr>
    </w:tbl>
    <w:p>
      <w:pPr>
        <w:ind w:left="980" w:right="260"/>
        <w:spacing w:after="0" w:line="303" w:lineRule="auto"/>
        <w:rPr>
          <w:sz w:val="20"/>
          <w:szCs w:val="20"/>
          <w:color w:val="auto"/>
        </w:rPr>
      </w:pPr>
      <w:r>
        <w:rPr>
          <w:rFonts w:ascii="Arial" w:cs="Arial" w:eastAsia="Arial" w:hAnsi="Arial"/>
          <w:sz w:val="18"/>
          <w:szCs w:val="18"/>
          <w:color w:val="auto"/>
        </w:rPr>
        <w:t xml:space="preserve">2016, filed with the Commission on October 24, 2016 (File No. 001-12984) and incorporated herein by reference. </w:t>
      </w:r>
      <w:r>
        <w:rPr>
          <w:rFonts w:ascii="Arial" w:cs="Arial" w:eastAsia="Arial" w:hAnsi="Arial"/>
          <w:sz w:val="24"/>
          <w:szCs w:val="24"/>
          <w:color w:val="auto"/>
          <w:vertAlign w:val="superscript"/>
        </w:rPr>
        <w:t>(1)</w:t>
      </w:r>
    </w:p>
    <w:p>
      <w:pPr>
        <w:sectPr>
          <w:pgSz w:w="11880" w:h="15480" w:orient="portrait"/>
          <w:cols w:equalWidth="0" w:num="1">
            <w:col w:w="9360"/>
          </w:cols>
          <w:pgMar w:left="1260" w:top="1241" w:right="1260" w:bottom="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123</w:t>
      </w:r>
    </w:p>
    <w:p>
      <w:pPr>
        <w:sectPr>
          <w:pgSz w:w="11880" w:h="15480" w:orient="portrait"/>
          <w:cols w:equalWidth="0" w:num="1">
            <w:col w:w="9360"/>
          </w:cols>
          <w:pgMar w:left="1260" w:top="1241" w:right="1260" w:bottom="7" w:gutter="0" w:footer="0" w:header="0"/>
          <w:type w:val="continuous"/>
        </w:sectPr>
      </w:pPr>
    </w:p>
    <w:bookmarkStart w:id="131" w:name="page132"/>
    <w:bookmarkEnd w:id="131"/>
    <w:p>
      <w:pPr>
        <w:jc w:val="both"/>
        <w:ind w:left="980" w:right="120" w:hanging="984"/>
        <w:spacing w:after="0" w:line="296" w:lineRule="auto"/>
        <w:tabs>
          <w:tab w:leader="none" w:pos="960" w:val="left"/>
        </w:tabs>
        <w:rPr>
          <w:sz w:val="20"/>
          <w:szCs w:val="20"/>
          <w:color w:val="auto"/>
        </w:rPr>
      </w:pPr>
      <w:r>
        <w:rPr>
          <w:rFonts w:ascii="Arial" w:cs="Arial" w:eastAsia="Arial" w:hAnsi="Arial"/>
          <w:sz w:val="18"/>
          <w:szCs w:val="18"/>
          <w:color w:val="auto"/>
        </w:rPr>
        <w:t>10.9(c)</w:t>
      </w:r>
      <w:r>
        <w:rPr>
          <w:sz w:val="20"/>
          <w:szCs w:val="20"/>
          <w:color w:val="auto"/>
        </w:rPr>
        <w:tab/>
      </w:r>
      <w:r>
        <w:rPr>
          <w:rFonts w:ascii="Arial" w:cs="Arial" w:eastAsia="Arial" w:hAnsi="Arial"/>
          <w:sz w:val="17"/>
          <w:szCs w:val="17"/>
          <w:color w:val="auto"/>
        </w:rPr>
        <w:t xml:space="preserve">Form of Time Vesting Non-Qualified Stock Option Agreement for Senior Executives filed as Exhibit 10.5 to the Company’s Quarterly Report on Form 10-Q for the quarter ended September 30, 2016, filed with the Commission on October 24, 2016 (File No. 001-12984) and incorporated herein by reference. </w:t>
      </w:r>
      <w:r>
        <w:rPr>
          <w:rFonts w:ascii="Arial" w:cs="Arial" w:eastAsia="Arial" w:hAnsi="Arial"/>
          <w:sz w:val="23"/>
          <w:szCs w:val="23"/>
          <w:color w:val="auto"/>
          <w:vertAlign w:val="superscript"/>
        </w:rPr>
        <w:t>(1)</w:t>
      </w:r>
    </w:p>
    <w:p>
      <w:pPr>
        <w:spacing w:after="0" w:line="42" w:lineRule="exact"/>
        <w:rPr>
          <w:sz w:val="20"/>
          <w:szCs w:val="20"/>
          <w:color w:val="auto"/>
        </w:rPr>
      </w:pPr>
    </w:p>
    <w:p>
      <w:pPr>
        <w:ind w:left="980" w:right="200" w:hanging="984"/>
        <w:spacing w:after="0" w:line="276" w:lineRule="auto"/>
        <w:tabs>
          <w:tab w:leader="none" w:pos="96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 xml:space="preserve">Form of Non-Qualified Stock Option Agreement for Non-Employee Directors filed as Exhibit 10.2 to the Company’s Quarterly Report on Form 10-Q for the quarter ended September 30, 2017, filed with the Commission on October 25, 2017 (File No. 001-12984) and incorporated herein by reference. </w:t>
      </w:r>
      <w:r>
        <w:rPr>
          <w:rFonts w:ascii="Arial" w:cs="Arial" w:eastAsia="Arial" w:hAnsi="Arial"/>
          <w:sz w:val="24"/>
          <w:szCs w:val="24"/>
          <w:color w:val="auto"/>
          <w:vertAlign w:val="superscript"/>
        </w:rPr>
        <w:t>(1)</w:t>
      </w:r>
    </w:p>
    <w:p>
      <w:pPr>
        <w:spacing w:after="0" w:line="57" w:lineRule="exact"/>
        <w:rPr>
          <w:sz w:val="20"/>
          <w:szCs w:val="20"/>
          <w:color w:val="auto"/>
        </w:rPr>
      </w:pPr>
    </w:p>
    <w:p>
      <w:pPr>
        <w:ind w:left="980" w:right="60" w:hanging="984"/>
        <w:spacing w:after="0" w:line="276" w:lineRule="auto"/>
        <w:tabs>
          <w:tab w:leader="none" w:pos="960" w:val="left"/>
        </w:tabs>
        <w:rPr>
          <w:sz w:val="20"/>
          <w:szCs w:val="20"/>
          <w:color w:val="auto"/>
        </w:rPr>
      </w:pPr>
      <w:r>
        <w:rPr>
          <w:rFonts w:ascii="Arial" w:cs="Arial" w:eastAsia="Arial" w:hAnsi="Arial"/>
          <w:sz w:val="18"/>
          <w:szCs w:val="18"/>
          <w:color w:val="auto"/>
        </w:rPr>
        <w:t>10.10(a)</w:t>
      </w:r>
      <w:r>
        <w:rPr>
          <w:sz w:val="20"/>
          <w:szCs w:val="20"/>
          <w:color w:val="auto"/>
        </w:rPr>
        <w:tab/>
      </w:r>
      <w:r>
        <w:rPr>
          <w:rFonts w:ascii="Arial" w:cs="Arial" w:eastAsia="Arial" w:hAnsi="Arial"/>
          <w:sz w:val="18"/>
          <w:szCs w:val="18"/>
          <w:color w:val="auto"/>
        </w:rPr>
        <w:t xml:space="preserve">Form of Performance Vesting Non-Qualified Stock Option Agreement for Senior Executives filed as Exhibit 10.5 to the Company’s Quarterly Report on Form 10-Q for the quarter ended June 30, 2017, filed with the Commission on July 28, 2017 (File No. 001-12984) and incorporated herein by reference. </w:t>
      </w:r>
      <w:r>
        <w:rPr>
          <w:rFonts w:ascii="Arial" w:cs="Arial" w:eastAsia="Arial" w:hAnsi="Arial"/>
          <w:sz w:val="24"/>
          <w:szCs w:val="24"/>
          <w:color w:val="auto"/>
          <w:vertAlign w:val="superscript"/>
        </w:rPr>
        <w:t>(1)</w:t>
      </w:r>
    </w:p>
    <w:p>
      <w:pPr>
        <w:spacing w:after="0" w:line="57" w:lineRule="exact"/>
        <w:rPr>
          <w:sz w:val="20"/>
          <w:szCs w:val="20"/>
          <w:color w:val="auto"/>
        </w:rPr>
      </w:pPr>
    </w:p>
    <w:p>
      <w:pPr>
        <w:ind w:left="980" w:right="120" w:hanging="984"/>
        <w:spacing w:after="0" w:line="276" w:lineRule="auto"/>
        <w:tabs>
          <w:tab w:leader="none" w:pos="960" w:val="left"/>
        </w:tabs>
        <w:rPr>
          <w:sz w:val="20"/>
          <w:szCs w:val="20"/>
          <w:color w:val="auto"/>
        </w:rPr>
      </w:pPr>
      <w:r>
        <w:rPr>
          <w:rFonts w:ascii="Arial" w:cs="Arial" w:eastAsia="Arial" w:hAnsi="Arial"/>
          <w:sz w:val="18"/>
          <w:szCs w:val="18"/>
          <w:color w:val="auto"/>
        </w:rPr>
        <w:t>10.10(b)</w:t>
      </w:r>
      <w:r>
        <w:rPr>
          <w:sz w:val="20"/>
          <w:szCs w:val="20"/>
          <w:color w:val="auto"/>
        </w:rPr>
        <w:tab/>
      </w:r>
      <w:r>
        <w:rPr>
          <w:rFonts w:ascii="Arial" w:cs="Arial" w:eastAsia="Arial" w:hAnsi="Arial"/>
          <w:sz w:val="18"/>
          <w:szCs w:val="18"/>
          <w:color w:val="auto"/>
        </w:rPr>
        <w:t xml:space="preserve">Form of Time Vesting Non-Qualified Stock Option Agreement for Senior Executives filed as Exhibit 10.6 to the Company’s Quarterly Report on Form 10-Q for the quarter ended June 30, 2017, filed with the Commission on July 28, 2017 (File No. 001-12984) and incorporated herein by reference. </w:t>
      </w:r>
      <w:r>
        <w:rPr>
          <w:rFonts w:ascii="Arial" w:cs="Arial" w:eastAsia="Arial" w:hAnsi="Arial"/>
          <w:sz w:val="24"/>
          <w:szCs w:val="24"/>
          <w:color w:val="auto"/>
          <w:vertAlign w:val="superscript"/>
        </w:rPr>
        <w:t>(1)</w:t>
      </w:r>
    </w:p>
    <w:p>
      <w:pPr>
        <w:spacing w:after="0" w:line="57" w:lineRule="exact"/>
        <w:rPr>
          <w:sz w:val="20"/>
          <w:szCs w:val="20"/>
          <w:color w:val="auto"/>
        </w:rPr>
      </w:pPr>
    </w:p>
    <w:p>
      <w:pPr>
        <w:ind w:left="980" w:right="60" w:hanging="984"/>
        <w:spacing w:after="0" w:line="276" w:lineRule="auto"/>
        <w:tabs>
          <w:tab w:leader="none" w:pos="96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 xml:space="preserve">Form of Performance Vesting Non-Qualified Stock Option Agreement for Senior Executives filed as Exhibit 10.3 to the Company’s Quarterly Report on Form 10-Q for the quarter ended June 30, 2018, filed with the Commission on July 30, 2018 (File No. 001-12984) and incorporated herein by reference. </w:t>
      </w:r>
      <w:r>
        <w:rPr>
          <w:rFonts w:ascii="Arial" w:cs="Arial" w:eastAsia="Arial" w:hAnsi="Arial"/>
          <w:sz w:val="24"/>
          <w:szCs w:val="24"/>
          <w:color w:val="auto"/>
          <w:vertAlign w:val="superscript"/>
        </w:rPr>
        <w:t>(1)</w:t>
      </w:r>
    </w:p>
    <w:p>
      <w:pPr>
        <w:spacing w:after="0" w:line="57" w:lineRule="exact"/>
        <w:rPr>
          <w:sz w:val="20"/>
          <w:szCs w:val="20"/>
          <w:color w:val="auto"/>
        </w:rPr>
      </w:pPr>
    </w:p>
    <w:p>
      <w:pPr>
        <w:ind w:left="980" w:right="120" w:hanging="984"/>
        <w:spacing w:after="0" w:line="276" w:lineRule="auto"/>
        <w:tabs>
          <w:tab w:leader="none" w:pos="960" w:val="left"/>
        </w:tabs>
        <w:rPr>
          <w:sz w:val="20"/>
          <w:szCs w:val="20"/>
          <w:color w:val="auto"/>
        </w:rPr>
      </w:pPr>
      <w:r>
        <w:rPr>
          <w:rFonts w:ascii="Arial" w:cs="Arial" w:eastAsia="Arial" w:hAnsi="Arial"/>
          <w:sz w:val="18"/>
          <w:szCs w:val="18"/>
          <w:color w:val="auto"/>
        </w:rPr>
        <w:t>10.11(a)</w:t>
      </w:r>
      <w:r>
        <w:rPr>
          <w:sz w:val="20"/>
          <w:szCs w:val="20"/>
          <w:color w:val="auto"/>
        </w:rPr>
        <w:tab/>
      </w:r>
      <w:r>
        <w:rPr>
          <w:rFonts w:ascii="Arial" w:cs="Arial" w:eastAsia="Arial" w:hAnsi="Arial"/>
          <w:sz w:val="18"/>
          <w:szCs w:val="18"/>
          <w:color w:val="auto"/>
        </w:rPr>
        <w:t xml:space="preserve">Form of Time Vesting Non-Qualified Stock Option Agreement for Senior Executives filed as Exhibit 10.4 to the Company’s Quarterly Report on Form 10-Q for the quarter ended June 30, 2018, filed with the Commission on July 30, 2018 (File No. 001-12984) and incorporated herein by reference. </w:t>
      </w:r>
      <w:r>
        <w:rPr>
          <w:rFonts w:ascii="Arial" w:cs="Arial" w:eastAsia="Arial" w:hAnsi="Arial"/>
          <w:sz w:val="24"/>
          <w:szCs w:val="24"/>
          <w:color w:val="auto"/>
          <w:vertAlign w:val="superscript"/>
        </w:rPr>
        <w:t>(1)</w:t>
      </w:r>
    </w:p>
    <w:p>
      <w:pPr>
        <w:spacing w:after="0" w:line="57" w:lineRule="exact"/>
        <w:rPr>
          <w:sz w:val="20"/>
          <w:szCs w:val="20"/>
          <w:color w:val="auto"/>
        </w:rPr>
      </w:pPr>
    </w:p>
    <w:p>
      <w:pPr>
        <w:ind w:left="980" w:right="200" w:hanging="984"/>
        <w:spacing w:after="0" w:line="276" w:lineRule="auto"/>
        <w:tabs>
          <w:tab w:leader="none" w:pos="960" w:val="left"/>
        </w:tabs>
        <w:rPr>
          <w:sz w:val="20"/>
          <w:szCs w:val="20"/>
          <w:color w:val="auto"/>
        </w:rPr>
      </w:pPr>
      <w:r>
        <w:rPr>
          <w:rFonts w:ascii="Arial" w:cs="Arial" w:eastAsia="Arial" w:hAnsi="Arial"/>
          <w:sz w:val="18"/>
          <w:szCs w:val="18"/>
          <w:color w:val="auto"/>
        </w:rPr>
        <w:t>10.11(b)</w:t>
      </w:r>
      <w:r>
        <w:rPr>
          <w:sz w:val="20"/>
          <w:szCs w:val="20"/>
          <w:color w:val="auto"/>
        </w:rPr>
        <w:tab/>
      </w:r>
      <w:r>
        <w:rPr>
          <w:rFonts w:ascii="Arial" w:cs="Arial" w:eastAsia="Arial" w:hAnsi="Arial"/>
          <w:sz w:val="18"/>
          <w:szCs w:val="18"/>
          <w:color w:val="auto"/>
        </w:rPr>
        <w:t xml:space="preserve">Form of Non-Qualified Stock Option Agreement for Non-Employee Directors filed as Exhibit 10.2 to the Company’s Quarterly Report on Form 10-Q for the quarter ended September 30, 2018, filed with the Commission on October 30, 2018 (File No. 001-12984) and incorporated herein by reference. </w:t>
      </w:r>
      <w:r>
        <w:rPr>
          <w:rFonts w:ascii="Arial" w:cs="Arial" w:eastAsia="Arial" w:hAnsi="Arial"/>
          <w:sz w:val="24"/>
          <w:szCs w:val="24"/>
          <w:color w:val="auto"/>
          <w:vertAlign w:val="superscript"/>
        </w:rPr>
        <w:t>(1)</w:t>
      </w:r>
    </w:p>
    <w:p>
      <w:pPr>
        <w:spacing w:after="0" w:line="57" w:lineRule="exact"/>
        <w:rPr>
          <w:sz w:val="20"/>
          <w:szCs w:val="20"/>
          <w:color w:val="auto"/>
        </w:rPr>
      </w:pPr>
    </w:p>
    <w:p>
      <w:pPr>
        <w:ind w:left="980" w:right="80" w:hanging="984"/>
        <w:spacing w:after="0" w:line="276" w:lineRule="auto"/>
        <w:tabs>
          <w:tab w:leader="none" w:pos="96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 xml:space="preserve">The Eagle Materials Inc. Amended and Restated Retirement Plan filed as Exhibit 10.1 to the Company’s Form 10- Q for the quarter ended December 31, 2025, filed with the Commission on January 29, 2026 (File No. 001-12984) and incorporated herein by reference. </w:t>
      </w:r>
      <w:r>
        <w:rPr>
          <w:rFonts w:ascii="Arial" w:cs="Arial" w:eastAsia="Arial" w:hAnsi="Arial"/>
          <w:sz w:val="24"/>
          <w:szCs w:val="24"/>
          <w:color w:val="auto"/>
          <w:vertAlign w:val="superscript"/>
        </w:rPr>
        <w:t>(1)</w:t>
      </w:r>
    </w:p>
    <w:p>
      <w:pPr>
        <w:spacing w:after="0" w:line="5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10.12(a)</w:t>
      </w:r>
      <w:r>
        <w:rPr>
          <w:sz w:val="20"/>
          <w:szCs w:val="20"/>
          <w:color w:val="auto"/>
        </w:rPr>
        <w:tab/>
      </w:r>
      <w:r>
        <w:rPr>
          <w:rFonts w:ascii="Arial" w:cs="Arial" w:eastAsia="Arial" w:hAnsi="Arial"/>
          <w:sz w:val="17"/>
          <w:szCs w:val="17"/>
          <w:color w:val="auto"/>
        </w:rPr>
        <w:t>First Amendment to the Eagle Materials Inc. Amended and Restated Retirement Plan, dated February 6,</w:t>
      </w:r>
    </w:p>
    <w:p>
      <w:pPr>
        <w:ind w:left="980"/>
        <w:spacing w:after="0"/>
        <w:rPr>
          <w:sz w:val="20"/>
          <w:szCs w:val="20"/>
          <w:color w:val="auto"/>
        </w:rPr>
      </w:pPr>
      <w:r>
        <w:rPr>
          <w:rFonts w:ascii="Arial" w:cs="Arial" w:eastAsia="Arial" w:hAnsi="Arial"/>
          <w:sz w:val="18"/>
          <w:szCs w:val="18"/>
          <w:color w:val="auto"/>
        </w:rPr>
        <w:t>2026.</w:t>
      </w:r>
      <w:r>
        <w:rPr>
          <w:rFonts w:ascii="Arial" w:cs="Arial" w:eastAsia="Arial" w:hAnsi="Arial"/>
          <w:sz w:val="24"/>
          <w:szCs w:val="24"/>
          <w:color w:val="auto"/>
          <w:vertAlign w:val="superscript"/>
        </w:rPr>
        <w:t>(1)*</w:t>
      </w:r>
    </w:p>
    <w:p>
      <w:pPr>
        <w:spacing w:after="0" w:line="162" w:lineRule="exact"/>
        <w:rPr>
          <w:sz w:val="20"/>
          <w:szCs w:val="20"/>
          <w:color w:val="auto"/>
        </w:rPr>
      </w:pPr>
    </w:p>
    <w:p>
      <w:pPr>
        <w:ind w:left="980" w:right="120" w:hanging="984"/>
        <w:spacing w:after="0" w:line="239" w:lineRule="auto"/>
        <w:tabs>
          <w:tab w:leader="none" w:pos="96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The Eagle Materials Inc. Amended and Restated Supplemental Executive Retirement Plan filed as Exhibit 10.4 to the Company’s Annual Report on Form 10-K for the fiscal year ended March 31, 2000, filed with the Commission on June 21, 2000 (File No. 001-12984) and incorporated herein by reference.</w:t>
      </w:r>
    </w:p>
    <w:p>
      <w:pPr>
        <w:spacing w:after="0" w:line="2" w:lineRule="exact"/>
        <w:rPr>
          <w:sz w:val="20"/>
          <w:szCs w:val="20"/>
          <w:color w:val="auto"/>
        </w:rPr>
      </w:pPr>
    </w:p>
    <w:p>
      <w:pPr>
        <w:ind w:left="980"/>
        <w:spacing w:after="0"/>
        <w:rPr>
          <w:sz w:val="20"/>
          <w:szCs w:val="20"/>
          <w:color w:val="auto"/>
        </w:rPr>
      </w:pPr>
      <w:r>
        <w:rPr>
          <w:rFonts w:ascii="Arial" w:cs="Arial" w:eastAsia="Arial" w:hAnsi="Arial"/>
          <w:sz w:val="12"/>
          <w:szCs w:val="12"/>
          <w:color w:val="auto"/>
        </w:rPr>
        <w:t>(1)</w:t>
      </w:r>
    </w:p>
    <w:p>
      <w:pPr>
        <w:spacing w:after="0" w:line="300" w:lineRule="exact"/>
        <w:rPr>
          <w:sz w:val="20"/>
          <w:szCs w:val="20"/>
          <w:color w:val="auto"/>
        </w:rPr>
      </w:pPr>
    </w:p>
    <w:p>
      <w:pPr>
        <w:ind w:left="980" w:hanging="984"/>
        <w:spacing w:after="0" w:line="265" w:lineRule="auto"/>
        <w:tabs>
          <w:tab w:leader="none" w:pos="960" w:val="left"/>
        </w:tabs>
        <w:rPr>
          <w:sz w:val="20"/>
          <w:szCs w:val="20"/>
          <w:color w:val="auto"/>
        </w:rPr>
      </w:pPr>
      <w:r>
        <w:rPr>
          <w:rFonts w:ascii="Arial" w:cs="Arial" w:eastAsia="Arial" w:hAnsi="Arial"/>
          <w:sz w:val="18"/>
          <w:szCs w:val="18"/>
          <w:color w:val="auto"/>
        </w:rPr>
        <w:t>10.13(a)</w:t>
      </w:r>
      <w:r>
        <w:rPr>
          <w:sz w:val="20"/>
          <w:szCs w:val="20"/>
          <w:color w:val="auto"/>
        </w:rPr>
        <w:tab/>
      </w:r>
      <w:r>
        <w:rPr>
          <w:rFonts w:ascii="Arial" w:cs="Arial" w:eastAsia="Arial" w:hAnsi="Arial"/>
          <w:sz w:val="18"/>
          <w:szCs w:val="18"/>
          <w:color w:val="auto"/>
        </w:rPr>
        <w:t xml:space="preserve">First Amendment to the Eagle Materials Inc. Amended and Restated Supplemental Executive Retirement Plan, dated as of May 11, 2004, filed as Exhibit 10.4(a) to the Company’s Annual Report on Form 10-K for the fiscal year ended March 31, 2006, filed with the Commission on June 2, 2006 (File No. 001-12984) and incorporated herein by reference. </w:t>
      </w:r>
      <w:r>
        <w:rPr>
          <w:rFonts w:ascii="Arial" w:cs="Arial" w:eastAsia="Arial" w:hAnsi="Arial"/>
          <w:sz w:val="24"/>
          <w:szCs w:val="24"/>
          <w:color w:val="auto"/>
          <w:vertAlign w:val="superscript"/>
        </w:rPr>
        <w:t>(1)</w:t>
      </w:r>
    </w:p>
    <w:p>
      <w:pPr>
        <w:spacing w:after="0" w:line="67" w:lineRule="exact"/>
        <w:rPr>
          <w:sz w:val="20"/>
          <w:szCs w:val="20"/>
          <w:color w:val="auto"/>
        </w:rPr>
      </w:pPr>
    </w:p>
    <w:p>
      <w:pPr>
        <w:ind w:left="980" w:right="140" w:hanging="984"/>
        <w:spacing w:after="0" w:line="254" w:lineRule="auto"/>
        <w:tabs>
          <w:tab w:leader="none" w:pos="96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Trademark License and Domain Name Agreement dated January 30, 2004, between the Company and Centex Corporation, filed as Exhibit 10.5 to the Company’s Annual Report on Form 10-K for the fiscal year ended March 31, 2004, filed with the Commission on June 14, 2004 (File No. 001-12984) and incorporated herein by reference.</w:t>
      </w:r>
    </w:p>
    <w:p>
      <w:pPr>
        <w:spacing w:after="0" w:line="181" w:lineRule="exact"/>
        <w:rPr>
          <w:sz w:val="20"/>
          <w:szCs w:val="20"/>
          <w:color w:val="auto"/>
        </w:rPr>
      </w:pPr>
    </w:p>
    <w:p>
      <w:pPr>
        <w:ind w:left="980" w:right="120" w:hanging="984"/>
        <w:spacing w:after="0" w:line="262" w:lineRule="auto"/>
        <w:tabs>
          <w:tab w:leader="none" w:pos="96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Form of Indemnification Agreement between the Company and each of its directors filed as Exhibit 10.9 to the Company’s Annual Report on Form 10-K for the fiscal year ended March 31, 2004, filed with the Commission on June 14, 2004 (File No. 001-12984) and incorporated herein by reference.</w:t>
      </w:r>
    </w:p>
    <w:p>
      <w:pPr>
        <w:spacing w:after="0" w:line="173" w:lineRule="exact"/>
        <w:rPr>
          <w:sz w:val="20"/>
          <w:szCs w:val="20"/>
          <w:color w:val="auto"/>
        </w:rPr>
      </w:pPr>
    </w:p>
    <w:p>
      <w:pPr>
        <w:jc w:val="both"/>
        <w:ind w:left="980" w:right="80" w:hanging="984"/>
        <w:spacing w:after="0" w:line="276" w:lineRule="auto"/>
        <w:tabs>
          <w:tab w:leader="none" w:pos="96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 xml:space="preserve">Eagle Materials Inc. Salaried Incentive Compensation Program for Fiscal Year 2026 filed as Exhibit 10.1 to the Current Report on Form 8-K filed with the Commission on May 22, 2025 (File No. 001-12984) and incorporated herein by reference. </w:t>
      </w:r>
      <w:r>
        <w:rPr>
          <w:rFonts w:ascii="Arial" w:cs="Arial" w:eastAsia="Arial" w:hAnsi="Arial"/>
          <w:sz w:val="24"/>
          <w:szCs w:val="24"/>
          <w:color w:val="auto"/>
          <w:vertAlign w:val="superscript"/>
        </w:rPr>
        <w:t>(1)</w:t>
      </w:r>
    </w:p>
    <w:p>
      <w:pPr>
        <w:spacing w:after="0" w:line="57" w:lineRule="exact"/>
        <w:rPr>
          <w:sz w:val="20"/>
          <w:szCs w:val="20"/>
          <w:color w:val="auto"/>
        </w:rPr>
      </w:pPr>
    </w:p>
    <w:p>
      <w:pPr>
        <w:ind w:left="980" w:right="200" w:hanging="984"/>
        <w:spacing w:after="0" w:line="276" w:lineRule="auto"/>
        <w:tabs>
          <w:tab w:leader="none" w:pos="960" w:val="left"/>
        </w:tabs>
        <w:rPr>
          <w:sz w:val="20"/>
          <w:szCs w:val="20"/>
          <w:color w:val="auto"/>
        </w:rPr>
      </w:pPr>
      <w:r>
        <w:rPr>
          <w:rFonts w:ascii="Arial" w:cs="Arial" w:eastAsia="Arial" w:hAnsi="Arial"/>
          <w:sz w:val="18"/>
          <w:szCs w:val="18"/>
          <w:color w:val="auto"/>
        </w:rPr>
        <w:t>10.16(a)</w:t>
      </w:r>
      <w:r>
        <w:rPr>
          <w:sz w:val="20"/>
          <w:szCs w:val="20"/>
          <w:color w:val="auto"/>
        </w:rPr>
        <w:tab/>
      </w:r>
      <w:r>
        <w:rPr>
          <w:rFonts w:ascii="Arial" w:cs="Arial" w:eastAsia="Arial" w:hAnsi="Arial"/>
          <w:sz w:val="18"/>
          <w:szCs w:val="18"/>
          <w:color w:val="auto"/>
        </w:rPr>
        <w:t>American Gypsum Company Salaried Incentive Compensation Program for Fiscal Year 2026, filed as Exhibit 10.2 to the Company’s Current Report on Form 8-K filed with the Commission on May 22, 2025 (File No. 001-12984) and incorporated herein by reference.</w:t>
      </w:r>
      <w:r>
        <w:rPr>
          <w:rFonts w:ascii="Arial" w:cs="Arial" w:eastAsia="Arial" w:hAnsi="Arial"/>
          <w:sz w:val="24"/>
          <w:szCs w:val="24"/>
          <w:color w:val="auto"/>
          <w:vertAlign w:val="superscript"/>
        </w:rPr>
        <w:t>(1)</w:t>
      </w:r>
    </w:p>
    <w:p>
      <w:pPr>
        <w:sectPr>
          <w:pgSz w:w="11880" w:h="15480" w:orient="portrait"/>
          <w:cols w:equalWidth="0" w:num="1">
            <w:col w:w="9340"/>
          </w:cols>
          <w:pgMar w:left="1260" w:top="1241" w:right="1280" w:bottom="7" w:gutter="0" w:footer="0" w:header="0"/>
        </w:sect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124</w:t>
      </w:r>
    </w:p>
    <w:p>
      <w:pPr>
        <w:sectPr>
          <w:pgSz w:w="11880" w:h="15480" w:orient="portrait"/>
          <w:cols w:equalWidth="0" w:num="1">
            <w:col w:w="9340"/>
          </w:cols>
          <w:pgMar w:left="1260" w:top="1241" w:right="1280" w:bottom="7" w:gutter="0" w:footer="0" w:header="0"/>
          <w:type w:val="continuous"/>
        </w:sectPr>
      </w:pPr>
    </w:p>
    <w:bookmarkStart w:id="132" w:name="page133"/>
    <w:bookmarkEnd w:id="132"/>
    <w:p>
      <w:pPr>
        <w:spacing w:after="0" w:line="32" w:lineRule="exact"/>
        <w:rPr>
          <w:sz w:val="20"/>
          <w:szCs w:val="20"/>
          <w:color w:val="auto"/>
        </w:rPr>
      </w:pPr>
    </w:p>
    <w:p>
      <w:pPr>
        <w:jc w:val="both"/>
        <w:ind w:left="800" w:right="40" w:hanging="984"/>
        <w:spacing w:after="0" w:line="276" w:lineRule="auto"/>
        <w:tabs>
          <w:tab w:leader="none" w:pos="780" w:val="left"/>
        </w:tabs>
        <w:rPr>
          <w:sz w:val="20"/>
          <w:szCs w:val="20"/>
          <w:color w:val="auto"/>
        </w:rPr>
      </w:pPr>
      <w:r>
        <w:rPr>
          <w:rFonts w:ascii="Arial" w:cs="Arial" w:eastAsia="Arial" w:hAnsi="Arial"/>
          <w:sz w:val="18"/>
          <w:szCs w:val="18"/>
          <w:color w:val="auto"/>
        </w:rPr>
        <w:t>10.16(b)</w:t>
      </w:r>
      <w:r>
        <w:rPr>
          <w:sz w:val="20"/>
          <w:szCs w:val="20"/>
          <w:color w:val="auto"/>
        </w:rPr>
        <w:tab/>
      </w:r>
      <w:r>
        <w:rPr>
          <w:rFonts w:ascii="Arial" w:cs="Arial" w:eastAsia="Arial" w:hAnsi="Arial"/>
          <w:sz w:val="18"/>
          <w:szCs w:val="18"/>
          <w:color w:val="auto"/>
        </w:rPr>
        <w:t>Cement Companies Salaried Incentive Compensation Program for Fiscal Year 2026, filed as Exhibit 10.3 to the Company’s Current Report on Form 8-K filed with the Commission on May 22, 2025 (File No. 001-12984) and incorporated herein by reference.</w:t>
      </w:r>
      <w:r>
        <w:rPr>
          <w:rFonts w:ascii="Arial" w:cs="Arial" w:eastAsia="Arial" w:hAnsi="Arial"/>
          <w:sz w:val="24"/>
          <w:szCs w:val="24"/>
          <w:color w:val="auto"/>
          <w:vertAlign w:val="superscript"/>
        </w:rPr>
        <w:t>(1)</w:t>
      </w:r>
    </w:p>
    <w:p>
      <w:pPr>
        <w:spacing w:after="0" w:line="49" w:lineRule="exact"/>
        <w:rPr>
          <w:sz w:val="20"/>
          <w:szCs w:val="20"/>
          <w:color w:val="auto"/>
        </w:rPr>
      </w:pPr>
    </w:p>
    <w:p>
      <w:pPr>
        <w:jc w:val="both"/>
        <w:ind w:left="800" w:hanging="984"/>
        <w:spacing w:after="0" w:line="290" w:lineRule="auto"/>
        <w:tabs>
          <w:tab w:leader="none" w:pos="780" w:val="left"/>
        </w:tabs>
        <w:rPr>
          <w:sz w:val="20"/>
          <w:szCs w:val="20"/>
          <w:color w:val="auto"/>
        </w:rPr>
      </w:pPr>
      <w:r>
        <w:rPr>
          <w:rFonts w:ascii="Arial" w:cs="Arial" w:eastAsia="Arial" w:hAnsi="Arial"/>
          <w:sz w:val="18"/>
          <w:szCs w:val="18"/>
          <w:color w:val="auto"/>
        </w:rPr>
        <w:t>10.16(c)</w:t>
      </w:r>
      <w:r>
        <w:rPr>
          <w:sz w:val="20"/>
          <w:szCs w:val="20"/>
          <w:color w:val="auto"/>
        </w:rPr>
        <w:tab/>
      </w:r>
      <w:r>
        <w:rPr>
          <w:rFonts w:ascii="Arial" w:cs="Arial" w:eastAsia="Arial" w:hAnsi="Arial"/>
          <w:sz w:val="18"/>
          <w:szCs w:val="18"/>
          <w:color w:val="auto"/>
        </w:rPr>
        <w:t>Eagle Materials Inc. Special Situation Program for Fiscal 2026 filed as Exhibit 10.4 to the Current Report on Form 8-K filed with the Commission on May 22, 2025 (File No. 001-12984) and incorporated herein by reference.</w:t>
      </w:r>
      <w:r>
        <w:rPr>
          <w:rFonts w:ascii="Arial" w:cs="Arial" w:eastAsia="Arial" w:hAnsi="Arial"/>
          <w:sz w:val="24"/>
          <w:szCs w:val="24"/>
          <w:color w:val="auto"/>
          <w:vertAlign w:val="superscript"/>
        </w:rPr>
        <w:t>(1)</w:t>
      </w:r>
    </w:p>
    <w:p>
      <w:pPr>
        <w:spacing w:after="0" w:line="61" w:lineRule="exact"/>
        <w:rPr>
          <w:sz w:val="20"/>
          <w:szCs w:val="20"/>
          <w:color w:val="auto"/>
        </w:rPr>
      </w:pPr>
    </w:p>
    <w:p>
      <w:pPr>
        <w:ind w:left="800" w:right="300" w:hanging="984"/>
        <w:spacing w:after="0" w:line="276" w:lineRule="auto"/>
        <w:tabs>
          <w:tab w:leader="none" w:pos="78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8"/>
          <w:szCs w:val="18"/>
          <w:color w:val="auto"/>
        </w:rPr>
        <w:t>Change in Control Continuity Agreement, dated as of June 20, 2019, by and between Eagle Materials Inc. and Michael R. Haack, filed as Exhibit 10.1 to the Current Report on Form 8-K filed with the Commission on June 25, 2019 (File No. 001-12984) and incorporated herein by reference.</w:t>
      </w:r>
      <w:r>
        <w:rPr>
          <w:rFonts w:ascii="Arial" w:cs="Arial" w:eastAsia="Arial" w:hAnsi="Arial"/>
          <w:sz w:val="24"/>
          <w:szCs w:val="24"/>
          <w:color w:val="auto"/>
          <w:vertAlign w:val="superscript"/>
        </w:rPr>
        <w:t>(1)</w:t>
      </w:r>
    </w:p>
    <w:p>
      <w:pPr>
        <w:spacing w:after="0" w:line="57" w:lineRule="exact"/>
        <w:rPr>
          <w:sz w:val="20"/>
          <w:szCs w:val="20"/>
          <w:color w:val="auto"/>
        </w:rPr>
      </w:pPr>
    </w:p>
    <w:p>
      <w:pPr>
        <w:ind w:left="800" w:right="300" w:hanging="984"/>
        <w:spacing w:after="0" w:line="276" w:lineRule="auto"/>
        <w:tabs>
          <w:tab w:leader="none" w:pos="780" w:val="left"/>
        </w:tabs>
        <w:rPr>
          <w:sz w:val="20"/>
          <w:szCs w:val="20"/>
          <w:color w:val="auto"/>
        </w:rPr>
      </w:pPr>
      <w:r>
        <w:rPr>
          <w:rFonts w:ascii="Arial" w:cs="Arial" w:eastAsia="Arial" w:hAnsi="Arial"/>
          <w:sz w:val="18"/>
          <w:szCs w:val="18"/>
          <w:color w:val="auto"/>
        </w:rPr>
        <w:t>10.19(a)</w:t>
      </w:r>
      <w:r>
        <w:rPr>
          <w:sz w:val="20"/>
          <w:szCs w:val="20"/>
          <w:color w:val="auto"/>
        </w:rPr>
        <w:tab/>
      </w:r>
      <w:r>
        <w:rPr>
          <w:rFonts w:ascii="Arial" w:cs="Arial" w:eastAsia="Arial" w:hAnsi="Arial"/>
          <w:sz w:val="18"/>
          <w:szCs w:val="18"/>
          <w:color w:val="auto"/>
        </w:rPr>
        <w:t>Change in Control Continuity Agreement, dated as of June 20, 2019, by and between Eagle Materials Inc. and D. Craig Kesler, filed as Exhibit 10.2 to the Current Report on Form 8-K filed with the Commission on June 25, 2019 (File No. 001-12984) and incorporated herein by reference.</w:t>
      </w:r>
      <w:r>
        <w:rPr>
          <w:rFonts w:ascii="Arial" w:cs="Arial" w:eastAsia="Arial" w:hAnsi="Arial"/>
          <w:sz w:val="24"/>
          <w:szCs w:val="24"/>
          <w:color w:val="auto"/>
          <w:vertAlign w:val="superscript"/>
        </w:rPr>
        <w:t>(1)</w:t>
      </w:r>
    </w:p>
    <w:p>
      <w:pPr>
        <w:spacing w:after="0" w:line="57" w:lineRule="exact"/>
        <w:rPr>
          <w:sz w:val="20"/>
          <w:szCs w:val="20"/>
          <w:color w:val="auto"/>
        </w:rPr>
      </w:pPr>
    </w:p>
    <w:p>
      <w:pPr>
        <w:ind w:left="800" w:right="20" w:hanging="984"/>
        <w:spacing w:after="0" w:line="265" w:lineRule="auto"/>
        <w:tabs>
          <w:tab w:leader="none" w:pos="780" w:val="left"/>
        </w:tabs>
        <w:rPr>
          <w:sz w:val="20"/>
          <w:szCs w:val="20"/>
          <w:color w:val="auto"/>
        </w:rPr>
      </w:pPr>
      <w:r>
        <w:rPr>
          <w:rFonts w:ascii="Arial" w:cs="Arial" w:eastAsia="Arial" w:hAnsi="Arial"/>
          <w:sz w:val="18"/>
          <w:szCs w:val="18"/>
          <w:color w:val="auto"/>
        </w:rPr>
        <w:t>10.19(b)</w:t>
      </w:r>
      <w:r>
        <w:rPr>
          <w:sz w:val="20"/>
          <w:szCs w:val="20"/>
          <w:color w:val="auto"/>
        </w:rPr>
        <w:tab/>
      </w:r>
      <w:r>
        <w:rPr>
          <w:rFonts w:ascii="Arial" w:cs="Arial" w:eastAsia="Arial" w:hAnsi="Arial"/>
          <w:sz w:val="18"/>
          <w:szCs w:val="18"/>
          <w:color w:val="auto"/>
        </w:rPr>
        <w:t>Change in Control Continuity Agreement, dated as of May 31, 2022, by and between Eagle Materials Inc. and Matt Newby, filed as Exhibit 10.5 to the Company’s Quarterly Report on Form 10-Q for the quarter ended June 30, 2023, filed with the Commission on July 27, 2023 (File No. 001-12984) and incorporated herein by reference.</w:t>
      </w:r>
      <w:r>
        <w:rPr>
          <w:rFonts w:ascii="Arial" w:cs="Arial" w:eastAsia="Arial" w:hAnsi="Arial"/>
          <w:sz w:val="24"/>
          <w:szCs w:val="24"/>
          <w:color w:val="auto"/>
          <w:vertAlign w:val="superscript"/>
        </w:rPr>
        <w:t>(1)</w:t>
      </w:r>
    </w:p>
    <w:p>
      <w:pPr>
        <w:spacing w:after="0" w:line="67" w:lineRule="exact"/>
        <w:rPr>
          <w:sz w:val="20"/>
          <w:szCs w:val="20"/>
          <w:color w:val="auto"/>
        </w:rPr>
      </w:pPr>
    </w:p>
    <w:p>
      <w:pPr>
        <w:ind w:left="800" w:right="80" w:hanging="984"/>
        <w:spacing w:after="0" w:line="276" w:lineRule="auto"/>
        <w:tabs>
          <w:tab w:leader="none" w:pos="78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Form of Performance Vesting Non-Qualified Stock Option Agreement for Senior Executives, filed as Exhibit 10.8 to the Company’s Quarterly Report on Form 10-Q for the quarter ended June 30, 2019, filed with the Commission on July 31, 2019 (File No. 001-12984) and incorporated herein by reference.</w:t>
      </w:r>
      <w:r>
        <w:rPr>
          <w:rFonts w:ascii="Arial" w:cs="Arial" w:eastAsia="Arial" w:hAnsi="Arial"/>
          <w:sz w:val="24"/>
          <w:szCs w:val="24"/>
          <w:color w:val="auto"/>
          <w:vertAlign w:val="superscript"/>
        </w:rPr>
        <w:t>(1)</w:t>
      </w:r>
    </w:p>
    <w:p>
      <w:pPr>
        <w:spacing w:after="0" w:line="57" w:lineRule="exact"/>
        <w:rPr>
          <w:sz w:val="20"/>
          <w:szCs w:val="20"/>
          <w:color w:val="auto"/>
        </w:rPr>
      </w:pPr>
    </w:p>
    <w:p>
      <w:pPr>
        <w:ind w:left="800" w:right="80" w:hanging="984"/>
        <w:spacing w:after="0" w:line="276" w:lineRule="auto"/>
        <w:tabs>
          <w:tab w:leader="none" w:pos="780" w:val="left"/>
        </w:tabs>
        <w:rPr>
          <w:sz w:val="20"/>
          <w:szCs w:val="20"/>
          <w:color w:val="auto"/>
        </w:rPr>
      </w:pPr>
      <w:r>
        <w:rPr>
          <w:rFonts w:ascii="Arial" w:cs="Arial" w:eastAsia="Arial" w:hAnsi="Arial"/>
          <w:sz w:val="18"/>
          <w:szCs w:val="18"/>
          <w:color w:val="auto"/>
        </w:rPr>
        <w:t>10.20(a)</w:t>
      </w:r>
      <w:r>
        <w:rPr>
          <w:sz w:val="20"/>
          <w:szCs w:val="20"/>
          <w:color w:val="auto"/>
        </w:rPr>
        <w:tab/>
      </w:r>
      <w:r>
        <w:rPr>
          <w:rFonts w:ascii="Arial" w:cs="Arial" w:eastAsia="Arial" w:hAnsi="Arial"/>
          <w:sz w:val="18"/>
          <w:szCs w:val="18"/>
          <w:color w:val="auto"/>
        </w:rPr>
        <w:t>Form of Time Vesting Non-Qualified Stock Option Agreement for Senior Executives, filed as Exhibit 10.9 to the Company’s Quarterly Report on Form 10-Q for the quarter ended June 30, 2019, filed with the Commission on July 31, 2019 (File No. 001-12984) and incorporated herein by reference.</w:t>
      </w:r>
      <w:r>
        <w:rPr>
          <w:rFonts w:ascii="Arial" w:cs="Arial" w:eastAsia="Arial" w:hAnsi="Arial"/>
          <w:sz w:val="24"/>
          <w:szCs w:val="24"/>
          <w:color w:val="auto"/>
          <w:vertAlign w:val="superscript"/>
        </w:rPr>
        <w:t>(1)</w:t>
      </w:r>
    </w:p>
    <w:p>
      <w:pPr>
        <w:spacing w:after="0" w:line="57" w:lineRule="exact"/>
        <w:rPr>
          <w:sz w:val="20"/>
          <w:szCs w:val="20"/>
          <w:color w:val="auto"/>
        </w:rPr>
      </w:pPr>
    </w:p>
    <w:p>
      <w:pPr>
        <w:ind w:left="800" w:right="80" w:hanging="984"/>
        <w:spacing w:after="0" w:line="276" w:lineRule="auto"/>
        <w:tabs>
          <w:tab w:leader="none" w:pos="78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8"/>
          <w:szCs w:val="18"/>
          <w:color w:val="auto"/>
        </w:rPr>
        <w:t>Form of Performance Vesting Non-Qualified Stock Option Agreement for Senior Executives, filed as Exhibit 10.3 to the Company’s Quarterly Report on Form 10-Q for the quarter ended June 30, 2020, filed with the Commission on July 31, 2020 (File No. 001-12984) and incorporated herein by reference.</w:t>
      </w:r>
      <w:r>
        <w:rPr>
          <w:rFonts w:ascii="Arial" w:cs="Arial" w:eastAsia="Arial" w:hAnsi="Arial"/>
          <w:sz w:val="24"/>
          <w:szCs w:val="24"/>
          <w:color w:val="auto"/>
          <w:vertAlign w:val="superscript"/>
        </w:rPr>
        <w:t>(1)</w:t>
      </w:r>
    </w:p>
    <w:p>
      <w:pPr>
        <w:spacing w:after="0" w:line="57" w:lineRule="exact"/>
        <w:rPr>
          <w:sz w:val="20"/>
          <w:szCs w:val="20"/>
          <w:color w:val="auto"/>
        </w:rPr>
      </w:pPr>
    </w:p>
    <w:p>
      <w:pPr>
        <w:ind w:left="800" w:right="80" w:hanging="984"/>
        <w:spacing w:after="0" w:line="276" w:lineRule="auto"/>
        <w:tabs>
          <w:tab w:leader="none" w:pos="780" w:val="left"/>
        </w:tabs>
        <w:rPr>
          <w:sz w:val="20"/>
          <w:szCs w:val="20"/>
          <w:color w:val="auto"/>
        </w:rPr>
      </w:pPr>
      <w:r>
        <w:rPr>
          <w:rFonts w:ascii="Arial" w:cs="Arial" w:eastAsia="Arial" w:hAnsi="Arial"/>
          <w:sz w:val="18"/>
          <w:szCs w:val="18"/>
          <w:color w:val="auto"/>
        </w:rPr>
        <w:t>10.21(a)</w:t>
      </w:r>
      <w:r>
        <w:rPr>
          <w:sz w:val="20"/>
          <w:szCs w:val="20"/>
          <w:color w:val="auto"/>
        </w:rPr>
        <w:tab/>
      </w:r>
      <w:r>
        <w:rPr>
          <w:rFonts w:ascii="Arial" w:cs="Arial" w:eastAsia="Arial" w:hAnsi="Arial"/>
          <w:sz w:val="18"/>
          <w:szCs w:val="18"/>
          <w:color w:val="auto"/>
        </w:rPr>
        <w:t>Form of Time Vesting Non-Qualified Stock Option Agreement for Senior Executives, filed as Exhibit 10.4 to the Company’s Quarterly Report on Form 10-Q for the quarter ended June 30, 2020, filed with the Commission on July 31, 2020 (File No. 001-12984) and incorporated herein by reference.</w:t>
      </w:r>
      <w:r>
        <w:rPr>
          <w:rFonts w:ascii="Arial" w:cs="Arial" w:eastAsia="Arial" w:hAnsi="Arial"/>
          <w:sz w:val="24"/>
          <w:szCs w:val="24"/>
          <w:color w:val="auto"/>
          <w:vertAlign w:val="superscript"/>
        </w:rPr>
        <w:t>(1)</w:t>
      </w:r>
    </w:p>
    <w:p>
      <w:pPr>
        <w:spacing w:after="0" w:line="57" w:lineRule="exact"/>
        <w:rPr>
          <w:sz w:val="20"/>
          <w:szCs w:val="20"/>
          <w:color w:val="auto"/>
        </w:rPr>
      </w:pPr>
    </w:p>
    <w:p>
      <w:pPr>
        <w:ind w:left="800" w:right="100" w:hanging="984"/>
        <w:spacing w:after="0" w:line="265" w:lineRule="auto"/>
        <w:tabs>
          <w:tab w:leader="none" w:pos="78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8"/>
          <w:szCs w:val="18"/>
          <w:color w:val="auto"/>
        </w:rPr>
        <w:t>Amended and Restated Eagle Materials Inc. Employee Severance Plan and Summary Plan Description, filed as Exhibit 10.2 to the Company’s Quarterly Report on Form 10-Q for the quarter ended December 31, 2020, filed with the Commission on January 28, 2021 (File No. 001-12984) and incorporated herein by reference.</w:t>
      </w:r>
      <w:r>
        <w:rPr>
          <w:rFonts w:ascii="Arial" w:cs="Arial" w:eastAsia="Arial" w:hAnsi="Arial"/>
          <w:sz w:val="24"/>
          <w:szCs w:val="24"/>
          <w:color w:val="auto"/>
          <w:vertAlign w:val="superscript"/>
        </w:rPr>
        <w:t>(1)</w:t>
      </w:r>
    </w:p>
    <w:p>
      <w:pPr>
        <w:spacing w:after="0" w:line="67" w:lineRule="exact"/>
        <w:rPr>
          <w:sz w:val="20"/>
          <w:szCs w:val="20"/>
          <w:color w:val="auto"/>
        </w:rPr>
      </w:pPr>
    </w:p>
    <w:p>
      <w:pPr>
        <w:jc w:val="both"/>
        <w:ind w:left="800" w:right="180" w:hanging="984"/>
        <w:spacing w:after="0" w:line="290" w:lineRule="auto"/>
        <w:tabs>
          <w:tab w:leader="none" w:pos="78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8"/>
          <w:szCs w:val="18"/>
          <w:color w:val="auto"/>
        </w:rPr>
        <w:t>Eagle Materials Inc. Director Compensation Summary filed as Exhibit 10.1 to the Company’s Quarterly Report on Form 10-Q for the quarter ended September 30, 2024, filed with the Commission on October 29, 2024 (File No. 001-12984) and incorporated herein by reference.</w:t>
      </w:r>
      <w:r>
        <w:rPr>
          <w:rFonts w:ascii="Arial" w:cs="Arial" w:eastAsia="Arial" w:hAnsi="Arial"/>
          <w:sz w:val="24"/>
          <w:szCs w:val="24"/>
          <w:color w:val="auto"/>
          <w:vertAlign w:val="superscript"/>
        </w:rPr>
        <w:t>(1)</w:t>
      </w:r>
    </w:p>
    <w:p>
      <w:pPr>
        <w:spacing w:after="0" w:line="61" w:lineRule="exact"/>
        <w:rPr>
          <w:sz w:val="20"/>
          <w:szCs w:val="20"/>
          <w:color w:val="auto"/>
        </w:rPr>
      </w:pPr>
    </w:p>
    <w:p>
      <w:pPr>
        <w:ind w:left="800" w:right="160" w:hanging="984"/>
        <w:spacing w:after="0" w:line="290" w:lineRule="auto"/>
        <w:tabs>
          <w:tab w:leader="none" w:pos="78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8"/>
          <w:szCs w:val="18"/>
          <w:color w:val="auto"/>
        </w:rPr>
        <w:t>Form of Non-Qualified Stock Option Agreement for Non-Employee Directors, filed as Exhibit 10.3 to the Company’s Quarterly Report on Form 10-Q for the quarter ended September 30, 2025, filed with the Commission on October 30, 2025 (File No. 001-12984) and incorporated herein by reference.</w:t>
      </w:r>
      <w:r>
        <w:rPr>
          <w:rFonts w:ascii="Arial" w:cs="Arial" w:eastAsia="Arial" w:hAnsi="Arial"/>
          <w:sz w:val="24"/>
          <w:szCs w:val="24"/>
          <w:color w:val="auto"/>
          <w:vertAlign w:val="superscript"/>
        </w:rPr>
        <w:t>(1)</w:t>
      </w:r>
    </w:p>
    <w:p>
      <w:pPr>
        <w:spacing w:after="0" w:line="77" w:lineRule="exact"/>
        <w:rPr>
          <w:sz w:val="20"/>
          <w:szCs w:val="20"/>
          <w:color w:val="auto"/>
        </w:rPr>
      </w:pPr>
    </w:p>
    <w:p>
      <w:pPr>
        <w:ind w:left="800" w:right="80" w:hanging="984"/>
        <w:spacing w:after="0" w:line="290" w:lineRule="auto"/>
        <w:tabs>
          <w:tab w:leader="none" w:pos="78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8"/>
          <w:szCs w:val="18"/>
          <w:color w:val="auto"/>
        </w:rPr>
        <w:t>Form of Performance Vesting Non-Qualified Stock Option Agreement for Senior Executives, filed as Exhibit 10.7 to the Company’s Quarterly Report on Form 10-Q for the quarter ended June 30, 2022, filed with the Commission on July 28, 2022 (File No. 001-12984) and incorporated herein by reference.</w:t>
      </w:r>
      <w:r>
        <w:rPr>
          <w:rFonts w:ascii="Arial" w:cs="Arial" w:eastAsia="Arial" w:hAnsi="Arial"/>
          <w:sz w:val="24"/>
          <w:szCs w:val="24"/>
          <w:color w:val="auto"/>
          <w:vertAlign w:val="superscript"/>
        </w:rPr>
        <w:t>(1)</w:t>
      </w:r>
    </w:p>
    <w:p>
      <w:pPr>
        <w:spacing w:after="0" w:line="77" w:lineRule="exact"/>
        <w:rPr>
          <w:sz w:val="20"/>
          <w:szCs w:val="20"/>
          <w:color w:val="auto"/>
        </w:rPr>
      </w:pPr>
    </w:p>
    <w:p>
      <w:pPr>
        <w:ind w:left="800" w:right="80" w:hanging="984"/>
        <w:spacing w:after="0" w:line="290" w:lineRule="auto"/>
        <w:tabs>
          <w:tab w:leader="none" w:pos="78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8"/>
          <w:szCs w:val="18"/>
          <w:color w:val="auto"/>
        </w:rPr>
        <w:t>Form of Time Vesting Non-Qualified Stock Option Agreement for Senior Executives, filed as Exhibit 10.8 to the Company’s Quarterly Report on Form 10-Q for the quarter ended June 30, 2022, filed with the Commission on July 28, 2022 (File No. 001-12984) and incorporated herein by reference.</w:t>
      </w:r>
      <w:r>
        <w:rPr>
          <w:rFonts w:ascii="Arial" w:cs="Arial" w:eastAsia="Arial" w:hAnsi="Arial"/>
          <w:sz w:val="24"/>
          <w:szCs w:val="24"/>
          <w:color w:val="auto"/>
          <w:vertAlign w:val="superscript"/>
        </w:rPr>
        <w:t>(1)</w:t>
      </w:r>
    </w:p>
    <w:p>
      <w:pPr>
        <w:sectPr>
          <w:pgSz w:w="11880" w:h="15480" w:orient="portrait"/>
          <w:cols w:equalWidth="0" w:num="1">
            <w:col w:w="9180"/>
          </w:cols>
          <w:pgMar w:left="1440" w:top="1440" w:right="1260" w:bottom="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80"/>
        <w:spacing w:after="0"/>
        <w:rPr>
          <w:sz w:val="20"/>
          <w:szCs w:val="20"/>
          <w:color w:val="auto"/>
        </w:rPr>
      </w:pPr>
      <w:r>
        <w:rPr>
          <w:rFonts w:ascii="Arial" w:cs="Arial" w:eastAsia="Arial" w:hAnsi="Arial"/>
          <w:sz w:val="19"/>
          <w:szCs w:val="19"/>
          <w:color w:val="auto"/>
        </w:rPr>
        <w:t>125</w:t>
      </w:r>
    </w:p>
    <w:p>
      <w:pPr>
        <w:sectPr>
          <w:pgSz w:w="11880" w:h="15480" w:orient="portrait"/>
          <w:cols w:equalWidth="0" w:num="1">
            <w:col w:w="9180"/>
          </w:cols>
          <w:pgMar w:left="1440" w:top="1440" w:right="1260" w:bottom="7" w:gutter="0" w:footer="0" w:header="0"/>
          <w:type w:val="continuous"/>
        </w:sectPr>
      </w:pPr>
    </w:p>
    <w:bookmarkStart w:id="133" w:name="page134"/>
    <w:bookmarkEnd w:id="133"/>
    <w:p>
      <w:pPr>
        <w:ind w:left="980" w:right="160" w:hanging="984"/>
        <w:spacing w:after="0" w:line="290" w:lineRule="auto"/>
        <w:tabs>
          <w:tab w:leader="none" w:pos="96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8"/>
          <w:szCs w:val="18"/>
          <w:color w:val="auto"/>
        </w:rPr>
        <w:t>Form of Non-Qualified Stock Option Agreement for Non-Employee Directors, filed as Exhibit 10.3 to the Company’s Quarterly Report on Form 10-Q for the quarter ended September 30, 2022, filed with the Commission on October 26, 2022 (File No. 001-12984) and incorporated herein by reference.</w:t>
      </w:r>
      <w:r>
        <w:rPr>
          <w:rFonts w:ascii="Arial" w:cs="Arial" w:eastAsia="Arial" w:hAnsi="Arial"/>
          <w:sz w:val="24"/>
          <w:szCs w:val="24"/>
          <w:color w:val="auto"/>
          <w:vertAlign w:val="superscript"/>
        </w:rPr>
        <w:t>(1)</w:t>
      </w:r>
    </w:p>
    <w:p>
      <w:pPr>
        <w:spacing w:after="0" w:line="77" w:lineRule="exact"/>
        <w:rPr>
          <w:sz w:val="20"/>
          <w:szCs w:val="20"/>
          <w:color w:val="auto"/>
        </w:rPr>
      </w:pPr>
    </w:p>
    <w:p>
      <w:pPr>
        <w:jc w:val="both"/>
        <w:ind w:left="980" w:right="260" w:hanging="984"/>
        <w:spacing w:after="0" w:line="290" w:lineRule="auto"/>
        <w:tabs>
          <w:tab w:leader="none" w:pos="960" w:val="left"/>
        </w:tabs>
        <w:rPr>
          <w:sz w:val="20"/>
          <w:szCs w:val="20"/>
          <w:color w:val="auto"/>
        </w:rPr>
      </w:pPr>
      <w:r>
        <w:rPr>
          <w:rFonts w:ascii="Arial" w:cs="Arial" w:eastAsia="Arial" w:hAnsi="Arial"/>
          <w:sz w:val="18"/>
          <w:szCs w:val="18"/>
          <w:color w:val="auto"/>
        </w:rPr>
        <w:t>10.35</w:t>
      </w:r>
      <w:r>
        <w:rPr>
          <w:sz w:val="20"/>
          <w:szCs w:val="20"/>
          <w:color w:val="auto"/>
        </w:rPr>
        <w:tab/>
      </w:r>
      <w:r>
        <w:rPr>
          <w:rFonts w:ascii="Arial" w:cs="Arial" w:eastAsia="Arial" w:hAnsi="Arial"/>
          <w:sz w:val="18"/>
          <w:szCs w:val="18"/>
          <w:color w:val="auto"/>
        </w:rPr>
        <w:t>Form of Director Stock Option Agreement, filed as Exhibit 10.3 to the Company’s Quarterly Report on Form 10- Q for the quarter ended September 30, 2023, filed with the Commission on October 26, 2023 (File No. 001-12984) and incorporated herein by reference.</w:t>
      </w:r>
      <w:r>
        <w:rPr>
          <w:rFonts w:ascii="Arial" w:cs="Arial" w:eastAsia="Arial" w:hAnsi="Arial"/>
          <w:sz w:val="24"/>
          <w:szCs w:val="24"/>
          <w:color w:val="auto"/>
          <w:vertAlign w:val="superscript"/>
        </w:rPr>
        <w:t>(1)</w:t>
      </w:r>
    </w:p>
    <w:p>
      <w:pPr>
        <w:spacing w:after="0" w:line="77" w:lineRule="exact"/>
        <w:rPr>
          <w:sz w:val="20"/>
          <w:szCs w:val="20"/>
          <w:color w:val="auto"/>
        </w:rPr>
      </w:pPr>
    </w:p>
    <w:p>
      <w:pPr>
        <w:ind w:left="980" w:right="80" w:hanging="984"/>
        <w:spacing w:after="0" w:line="276" w:lineRule="auto"/>
        <w:tabs>
          <w:tab w:leader="none" w:pos="960" w:val="left"/>
        </w:tabs>
        <w:rPr>
          <w:sz w:val="20"/>
          <w:szCs w:val="20"/>
          <w:color w:val="auto"/>
        </w:rPr>
      </w:pPr>
      <w:r>
        <w:rPr>
          <w:rFonts w:ascii="Arial" w:cs="Arial" w:eastAsia="Arial" w:hAnsi="Arial"/>
          <w:sz w:val="18"/>
          <w:szCs w:val="18"/>
          <w:color w:val="auto"/>
        </w:rPr>
        <w:t>10.36</w:t>
      </w:r>
      <w:r>
        <w:rPr>
          <w:sz w:val="20"/>
          <w:szCs w:val="20"/>
          <w:color w:val="auto"/>
        </w:rPr>
        <w:tab/>
      </w:r>
      <w:r>
        <w:rPr>
          <w:rFonts w:ascii="Arial" w:cs="Arial" w:eastAsia="Arial" w:hAnsi="Arial"/>
          <w:sz w:val="18"/>
          <w:szCs w:val="18"/>
          <w:color w:val="auto"/>
        </w:rPr>
        <w:t>Form of Time Vesting Restricted Stock Unit Agreement for Senior Executives, filed as Exhibit 10.1 to the Company’s Quarterly Report on Form 10-Q for the quarter ended June 30, 2024, filed with the Commission on July 30, 2024 (File No. 001-12984) and incorporated herein by reference.</w:t>
      </w:r>
      <w:r>
        <w:rPr>
          <w:rFonts w:ascii="Arial" w:cs="Arial" w:eastAsia="Arial" w:hAnsi="Arial"/>
          <w:sz w:val="24"/>
          <w:szCs w:val="24"/>
          <w:color w:val="auto"/>
          <w:vertAlign w:val="superscript"/>
        </w:rPr>
        <w:t>(1)</w:t>
      </w:r>
    </w:p>
    <w:p>
      <w:pPr>
        <w:spacing w:after="0" w:line="7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10.37</w:t>
      </w:r>
      <w:r>
        <w:rPr>
          <w:sz w:val="20"/>
          <w:szCs w:val="20"/>
          <w:color w:val="auto"/>
        </w:rPr>
        <w:tab/>
      </w:r>
      <w:r>
        <w:rPr>
          <w:rFonts w:ascii="Arial" w:cs="Arial" w:eastAsia="Arial" w:hAnsi="Arial"/>
          <w:sz w:val="17"/>
          <w:szCs w:val="17"/>
          <w:color w:val="auto"/>
        </w:rPr>
        <w:t>Form of Performance Vesting Restricted Stock Unit Agreement for Senior Executives, filed as Exhibit</w:t>
      </w:r>
    </w:p>
    <w:p>
      <w:pPr>
        <w:ind w:left="980"/>
        <w:spacing w:after="0"/>
        <w:rPr>
          <w:sz w:val="20"/>
          <w:szCs w:val="20"/>
          <w:color w:val="auto"/>
        </w:rPr>
      </w:pPr>
      <w:r>
        <w:rPr>
          <w:rFonts w:ascii="Arial" w:cs="Arial" w:eastAsia="Arial" w:hAnsi="Arial"/>
          <w:sz w:val="18"/>
          <w:szCs w:val="18"/>
          <w:color w:val="auto"/>
        </w:rPr>
        <w:t>10.2 to the Company’s Quarterly Report on Form 10-Q for the quarter ended June 30, 2024, filed with the</w:t>
      </w:r>
    </w:p>
    <w:p>
      <w:pPr>
        <w:ind w:left="980"/>
        <w:spacing w:after="0"/>
        <w:rPr>
          <w:sz w:val="20"/>
          <w:szCs w:val="20"/>
          <w:color w:val="auto"/>
        </w:rPr>
      </w:pPr>
      <w:r>
        <w:rPr>
          <w:rFonts w:ascii="Arial" w:cs="Arial" w:eastAsia="Arial" w:hAnsi="Arial"/>
          <w:sz w:val="18"/>
          <w:szCs w:val="18"/>
          <w:color w:val="auto"/>
        </w:rPr>
        <w:t>Commission on July 30, 2024 (File No. 001-12984) and incorporated herein by reference.</w:t>
      </w:r>
      <w:r>
        <w:rPr>
          <w:rFonts w:ascii="Arial" w:cs="Arial" w:eastAsia="Arial" w:hAnsi="Arial"/>
          <w:sz w:val="24"/>
          <w:szCs w:val="24"/>
          <w:color w:val="auto"/>
          <w:vertAlign w:val="superscript"/>
        </w:rPr>
        <w:t>(1)</w:t>
      </w:r>
    </w:p>
    <w:p>
      <w:pPr>
        <w:spacing w:after="0" w:line="177" w:lineRule="exact"/>
        <w:rPr>
          <w:sz w:val="20"/>
          <w:szCs w:val="20"/>
          <w:color w:val="auto"/>
        </w:rPr>
      </w:pPr>
    </w:p>
    <w:p>
      <w:pPr>
        <w:jc w:val="both"/>
        <w:ind w:left="980" w:right="80" w:hanging="984"/>
        <w:spacing w:after="0" w:line="276" w:lineRule="auto"/>
        <w:tabs>
          <w:tab w:leader="none" w:pos="960" w:val="left"/>
        </w:tabs>
        <w:rPr>
          <w:sz w:val="20"/>
          <w:szCs w:val="20"/>
          <w:color w:val="auto"/>
        </w:rPr>
      </w:pPr>
      <w:r>
        <w:rPr>
          <w:rFonts w:ascii="Arial" w:cs="Arial" w:eastAsia="Arial" w:hAnsi="Arial"/>
          <w:sz w:val="18"/>
          <w:szCs w:val="18"/>
          <w:color w:val="auto"/>
        </w:rPr>
        <w:t>10.38</w:t>
      </w:r>
      <w:r>
        <w:rPr>
          <w:sz w:val="20"/>
          <w:szCs w:val="20"/>
          <w:color w:val="auto"/>
        </w:rPr>
        <w:tab/>
      </w:r>
      <w:r>
        <w:rPr>
          <w:rFonts w:ascii="Arial" w:cs="Arial" w:eastAsia="Arial" w:hAnsi="Arial"/>
          <w:sz w:val="18"/>
          <w:szCs w:val="18"/>
          <w:color w:val="auto"/>
        </w:rPr>
        <w:t>Form of Restricted Stock Agreement for Non-Employee Directors, filed as Exhibit 10.2 to the Company’s Quarterly Report on Form 10-Q for the quarter ended September 30, 2025, filed with the Commission on October 30, 2025 (File No. 001-12984) and incorporated herein by reference.</w:t>
      </w:r>
      <w:r>
        <w:rPr>
          <w:rFonts w:ascii="Arial" w:cs="Arial" w:eastAsia="Arial" w:hAnsi="Arial"/>
          <w:sz w:val="24"/>
          <w:szCs w:val="24"/>
          <w:color w:val="auto"/>
          <w:vertAlign w:val="superscript"/>
        </w:rPr>
        <w:t>(1)</w:t>
      </w:r>
    </w:p>
    <w:p>
      <w:pPr>
        <w:spacing w:after="0" w:line="73" w:lineRule="exact"/>
        <w:rPr>
          <w:sz w:val="20"/>
          <w:szCs w:val="20"/>
          <w:color w:val="auto"/>
        </w:rPr>
      </w:pPr>
    </w:p>
    <w:p>
      <w:pPr>
        <w:ind w:left="980" w:right="160" w:hanging="984"/>
        <w:spacing w:after="0" w:line="276" w:lineRule="auto"/>
        <w:tabs>
          <w:tab w:leader="none" w:pos="960" w:val="left"/>
        </w:tabs>
        <w:rPr>
          <w:sz w:val="20"/>
          <w:szCs w:val="20"/>
          <w:color w:val="auto"/>
        </w:rPr>
      </w:pPr>
      <w:r>
        <w:rPr>
          <w:rFonts w:ascii="Arial" w:cs="Arial" w:eastAsia="Arial" w:hAnsi="Arial"/>
          <w:sz w:val="18"/>
          <w:szCs w:val="18"/>
          <w:color w:val="auto"/>
        </w:rPr>
        <w:t>10.39</w:t>
      </w:r>
      <w:r>
        <w:rPr>
          <w:sz w:val="20"/>
          <w:szCs w:val="20"/>
          <w:color w:val="auto"/>
        </w:rPr>
        <w:tab/>
      </w:r>
      <w:r>
        <w:rPr>
          <w:rFonts w:ascii="Arial" w:cs="Arial" w:eastAsia="Arial" w:hAnsi="Arial"/>
          <w:sz w:val="18"/>
          <w:szCs w:val="18"/>
          <w:color w:val="auto"/>
        </w:rPr>
        <w:t>Form of Non-Qualified Stock Option Agreement for Non-Employee Directors, filed as Exhibit 10.3 to the Company’s Quarterly Report on Form 10-Q for the quarter ended September 30, 2024, filed with the Commission on October 29, 2024 (File No. 001-12984) and incorporated herein by reference.</w:t>
      </w:r>
      <w:r>
        <w:rPr>
          <w:rFonts w:ascii="Arial" w:cs="Arial" w:eastAsia="Arial" w:hAnsi="Arial"/>
          <w:sz w:val="24"/>
          <w:szCs w:val="24"/>
          <w:color w:val="auto"/>
          <w:vertAlign w:val="superscript"/>
        </w:rPr>
        <w:t>(1)</w:t>
      </w:r>
    </w:p>
    <w:p>
      <w:pPr>
        <w:spacing w:after="0" w:line="73" w:lineRule="exact"/>
        <w:rPr>
          <w:sz w:val="20"/>
          <w:szCs w:val="20"/>
          <w:color w:val="auto"/>
        </w:rPr>
      </w:pPr>
    </w:p>
    <w:p>
      <w:pPr>
        <w:ind w:left="980" w:right="80" w:hanging="984"/>
        <w:spacing w:after="0" w:line="276" w:lineRule="auto"/>
        <w:tabs>
          <w:tab w:leader="none" w:pos="960" w:val="left"/>
        </w:tabs>
        <w:rPr>
          <w:sz w:val="20"/>
          <w:szCs w:val="20"/>
          <w:color w:val="auto"/>
        </w:rPr>
      </w:pPr>
      <w:r>
        <w:rPr>
          <w:rFonts w:ascii="Arial" w:cs="Arial" w:eastAsia="Arial" w:hAnsi="Arial"/>
          <w:sz w:val="18"/>
          <w:szCs w:val="18"/>
          <w:color w:val="auto"/>
        </w:rPr>
        <w:t>10.40</w:t>
      </w:r>
      <w:r>
        <w:rPr>
          <w:sz w:val="20"/>
          <w:szCs w:val="20"/>
          <w:color w:val="auto"/>
        </w:rPr>
        <w:tab/>
      </w:r>
      <w:r>
        <w:rPr>
          <w:rFonts w:ascii="Arial" w:cs="Arial" w:eastAsia="Arial" w:hAnsi="Arial"/>
          <w:sz w:val="18"/>
          <w:szCs w:val="18"/>
          <w:color w:val="auto"/>
        </w:rPr>
        <w:t>Form of Time Vesting Restricted Stock Unit Agreement for Senior Executives, filed as Exhibit 10.1 to the Company’s Quarterly Report on Form 10-Q for the quarter ended June 30, 2025, filed with the Commission on July 30, 2025 (File No. 001-12984) and incorporated herein by reference.</w:t>
      </w:r>
      <w:r>
        <w:rPr>
          <w:rFonts w:ascii="Arial" w:cs="Arial" w:eastAsia="Arial" w:hAnsi="Arial"/>
          <w:sz w:val="24"/>
          <w:szCs w:val="24"/>
          <w:color w:val="auto"/>
          <w:vertAlign w:val="superscript"/>
        </w:rPr>
        <w:t>(1)</w:t>
      </w:r>
    </w:p>
    <w:p>
      <w:pPr>
        <w:spacing w:after="0" w:line="4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10.41</w:t>
      </w:r>
      <w:r>
        <w:rPr>
          <w:sz w:val="20"/>
          <w:szCs w:val="20"/>
          <w:color w:val="auto"/>
        </w:rPr>
        <w:tab/>
      </w:r>
      <w:r>
        <w:rPr>
          <w:rFonts w:ascii="Arial" w:cs="Arial" w:eastAsia="Arial" w:hAnsi="Arial"/>
          <w:sz w:val="17"/>
          <w:szCs w:val="17"/>
          <w:color w:val="auto"/>
        </w:rPr>
        <w:t>Form of Performance Vesting Restricted Stock Unit Agreement for Senior Executives, filed as Exhibit</w:t>
      </w:r>
    </w:p>
    <w:p>
      <w:pPr>
        <w:ind w:left="980"/>
        <w:spacing w:after="0"/>
        <w:rPr>
          <w:sz w:val="20"/>
          <w:szCs w:val="20"/>
          <w:color w:val="auto"/>
        </w:rPr>
      </w:pPr>
      <w:r>
        <w:rPr>
          <w:rFonts w:ascii="Arial" w:cs="Arial" w:eastAsia="Arial" w:hAnsi="Arial"/>
          <w:sz w:val="18"/>
          <w:szCs w:val="18"/>
          <w:color w:val="auto"/>
        </w:rPr>
        <w:t>10.2 to the Company’s Quarterly Report on Form 10-Q for the quarter ended June 30, 2025, filed with the</w:t>
      </w:r>
    </w:p>
    <w:p>
      <w:pPr>
        <w:ind w:left="980"/>
        <w:spacing w:after="0"/>
        <w:rPr>
          <w:sz w:val="20"/>
          <w:szCs w:val="20"/>
          <w:color w:val="auto"/>
        </w:rPr>
      </w:pPr>
      <w:r>
        <w:rPr>
          <w:rFonts w:ascii="Arial" w:cs="Arial" w:eastAsia="Arial" w:hAnsi="Arial"/>
          <w:sz w:val="18"/>
          <w:szCs w:val="18"/>
          <w:color w:val="auto"/>
        </w:rPr>
        <w:t>Commission on July 30, 2025 (File No. 001-12984) and incorporated herein by reference.</w:t>
      </w:r>
      <w:r>
        <w:rPr>
          <w:rFonts w:ascii="Arial" w:cs="Arial" w:eastAsia="Arial" w:hAnsi="Arial"/>
          <w:sz w:val="24"/>
          <w:szCs w:val="24"/>
          <w:color w:val="auto"/>
          <w:vertAlign w:val="superscript"/>
        </w:rPr>
        <w:t>(1)</w:t>
      </w:r>
    </w:p>
    <w:p>
      <w:pPr>
        <w:spacing w:after="0" w:line="152" w:lineRule="exact"/>
        <w:rPr>
          <w:sz w:val="20"/>
          <w:szCs w:val="20"/>
          <w:color w:val="auto"/>
        </w:rPr>
      </w:pPr>
    </w:p>
    <w:p>
      <w:pPr>
        <w:ind w:left="980" w:right="80" w:hanging="984"/>
        <w:spacing w:after="0" w:line="276" w:lineRule="auto"/>
        <w:tabs>
          <w:tab w:leader="none" w:pos="960" w:val="left"/>
        </w:tabs>
        <w:rPr>
          <w:sz w:val="20"/>
          <w:szCs w:val="20"/>
          <w:color w:val="auto"/>
        </w:rPr>
      </w:pPr>
      <w:r>
        <w:rPr>
          <w:rFonts w:ascii="Arial" w:cs="Arial" w:eastAsia="Arial" w:hAnsi="Arial"/>
          <w:sz w:val="18"/>
          <w:szCs w:val="18"/>
          <w:color w:val="auto"/>
        </w:rPr>
        <w:t>10.42</w:t>
      </w:r>
      <w:r>
        <w:rPr>
          <w:sz w:val="20"/>
          <w:szCs w:val="20"/>
          <w:color w:val="auto"/>
        </w:rPr>
        <w:tab/>
      </w:r>
      <w:r>
        <w:rPr>
          <w:rFonts w:ascii="Arial" w:cs="Arial" w:eastAsia="Arial" w:hAnsi="Arial"/>
          <w:sz w:val="18"/>
          <w:szCs w:val="18"/>
          <w:color w:val="auto"/>
        </w:rPr>
        <w:t>Form of Time Vesting Non-Qualified Stock Option Agreement for Senior Executives, filed as Exhibit 10.3 to the Company’s Quarterly Report on Form 10-Q for the quarter ended June 30, 2025, filed with the Commission on July 30, 2025 (File No. 001-12984) and incorporated herein by reference.</w:t>
      </w:r>
      <w:r>
        <w:rPr>
          <w:rFonts w:ascii="Arial" w:cs="Arial" w:eastAsia="Arial" w:hAnsi="Arial"/>
          <w:sz w:val="24"/>
          <w:szCs w:val="24"/>
          <w:color w:val="auto"/>
          <w:vertAlign w:val="superscript"/>
        </w:rPr>
        <w:t>(1)</w:t>
      </w:r>
    </w:p>
    <w:p>
      <w:pPr>
        <w:spacing w:after="0" w:line="49" w:lineRule="exact"/>
        <w:rPr>
          <w:sz w:val="20"/>
          <w:szCs w:val="20"/>
          <w:color w:val="auto"/>
        </w:rPr>
      </w:pPr>
    </w:p>
    <w:p>
      <w:pPr>
        <w:ind w:left="980" w:right="80" w:hanging="984"/>
        <w:spacing w:after="0" w:line="276" w:lineRule="auto"/>
        <w:tabs>
          <w:tab w:leader="none" w:pos="960" w:val="left"/>
        </w:tabs>
        <w:rPr>
          <w:sz w:val="20"/>
          <w:szCs w:val="20"/>
          <w:color w:val="auto"/>
        </w:rPr>
      </w:pPr>
      <w:r>
        <w:rPr>
          <w:rFonts w:ascii="Arial" w:cs="Arial" w:eastAsia="Arial" w:hAnsi="Arial"/>
          <w:sz w:val="18"/>
          <w:szCs w:val="18"/>
          <w:color w:val="auto"/>
        </w:rPr>
        <w:t>10.43</w:t>
      </w:r>
      <w:r>
        <w:rPr>
          <w:sz w:val="20"/>
          <w:szCs w:val="20"/>
          <w:color w:val="auto"/>
        </w:rPr>
        <w:tab/>
      </w:r>
      <w:r>
        <w:rPr>
          <w:rFonts w:ascii="Arial" w:cs="Arial" w:eastAsia="Arial" w:hAnsi="Arial"/>
          <w:sz w:val="18"/>
          <w:szCs w:val="18"/>
          <w:color w:val="auto"/>
        </w:rPr>
        <w:t>Form of Performance Vesting Non-Qualified Stock Option Agreement for Senior Executives, filed as Exhibit 10.4 to the Company’s Quarterly Report on Form 10-Q for the quarter ended June 30, 2025, filed with the Commission on July 30, 2025 (File No. 001-12984) and incorporated herein by reference.</w:t>
      </w:r>
      <w:r>
        <w:rPr>
          <w:rFonts w:ascii="Arial" w:cs="Arial" w:eastAsia="Arial" w:hAnsi="Arial"/>
          <w:sz w:val="24"/>
          <w:szCs w:val="24"/>
          <w:color w:val="auto"/>
          <w:vertAlign w:val="superscript"/>
        </w:rPr>
        <w:t>(1)</w:t>
      </w:r>
    </w:p>
    <w:p>
      <w:pPr>
        <w:spacing w:after="0" w:line="7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19.1</w:t>
      </w:r>
      <w:r>
        <w:rPr>
          <w:sz w:val="20"/>
          <w:szCs w:val="20"/>
          <w:color w:val="auto"/>
        </w:rPr>
        <w:tab/>
      </w:r>
      <w:r>
        <w:rPr>
          <w:rFonts w:ascii="Arial" w:cs="Arial" w:eastAsia="Arial" w:hAnsi="Arial"/>
          <w:sz w:val="18"/>
          <w:szCs w:val="18"/>
          <w:color w:val="auto"/>
        </w:rPr>
        <w:t>Insider Trading Policy, filed as Exhibit 19.1 to the Company’s Annual Report on Form 10-K for the fiscal</w:t>
      </w:r>
    </w:p>
    <w:p>
      <w:pPr>
        <w:sectPr>
          <w:pgSz w:w="11880" w:h="15480" w:orient="portrait"/>
          <w:cols w:equalWidth="0" w:num="1">
            <w:col w:w="9360"/>
          </w:cols>
          <w:pgMar w:left="1260" w:top="1241" w:right="1260" w:bottom="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21*</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404040"/>
        </w:rPr>
        <w:t>23.1*</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31.1*</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31.2*</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7"/>
          <w:szCs w:val="17"/>
          <w:color w:val="auto"/>
        </w:rPr>
        <w:t>32.1*</w:t>
      </w: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color w:val="auto"/>
        </w:rPr>
        <w:t>32.2*</w:t>
      </w:r>
    </w:p>
    <w:p>
      <w:pPr>
        <w:spacing w:after="0" w:line="20" w:lineRule="exact"/>
        <w:rPr>
          <w:sz w:val="20"/>
          <w:szCs w:val="20"/>
          <w:color w:val="auto"/>
        </w:rPr>
      </w:pPr>
      <w:r>
        <w:rPr>
          <w:sz w:val="20"/>
          <w:szCs w:val="20"/>
          <w:color w:val="auto"/>
        </w:rPr>
        <w:br w:type="column"/>
      </w:r>
    </w:p>
    <w:p>
      <w:pPr>
        <w:ind w:right="600"/>
        <w:spacing w:after="0" w:line="301" w:lineRule="auto"/>
        <w:rPr>
          <w:sz w:val="20"/>
          <w:szCs w:val="20"/>
          <w:color w:val="auto"/>
        </w:rPr>
      </w:pPr>
      <w:r>
        <w:rPr>
          <w:rFonts w:ascii="Arial" w:cs="Arial" w:eastAsia="Arial" w:hAnsi="Arial"/>
          <w:sz w:val="18"/>
          <w:szCs w:val="18"/>
          <w:color w:val="auto"/>
        </w:rPr>
        <w:t>year ended March 31, 2024, filed with the Commission on May 22, 2024 (File No. 001-12984) and incorporated herein by reference.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Subsidiaries of the Company.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Consent of Registered Independent Public Accounting Firm – Ernst &amp; Young LLP.</w:t>
      </w:r>
    </w:p>
    <w:p>
      <w:pPr>
        <w:spacing w:after="0" w:line="230" w:lineRule="exact"/>
        <w:rPr>
          <w:sz w:val="20"/>
          <w:szCs w:val="20"/>
          <w:color w:val="auto"/>
        </w:rPr>
      </w:pPr>
    </w:p>
    <w:p>
      <w:pPr>
        <w:ind w:right="180"/>
        <w:spacing w:after="0" w:line="284" w:lineRule="auto"/>
        <w:rPr>
          <w:sz w:val="20"/>
          <w:szCs w:val="20"/>
          <w:color w:val="auto"/>
        </w:rPr>
      </w:pPr>
      <w:r>
        <w:rPr>
          <w:rFonts w:ascii="Arial" w:cs="Arial" w:eastAsia="Arial" w:hAnsi="Arial"/>
          <w:sz w:val="18"/>
          <w:szCs w:val="18"/>
          <w:color w:val="auto"/>
        </w:rPr>
        <w:t>Certification of the Chief Executive Officer of Eagle Materials Inc. pursuant to Rules 13a-14 and 15d-14 promulgated under the Securities Exchange Act of 1934, as amended.</w:t>
      </w:r>
    </w:p>
    <w:p>
      <w:pPr>
        <w:spacing w:after="0" w:line="154" w:lineRule="exact"/>
        <w:rPr>
          <w:sz w:val="20"/>
          <w:szCs w:val="20"/>
          <w:color w:val="auto"/>
        </w:rPr>
      </w:pPr>
    </w:p>
    <w:p>
      <w:pPr>
        <w:ind w:right="240"/>
        <w:spacing w:after="0" w:line="284" w:lineRule="auto"/>
        <w:rPr>
          <w:sz w:val="20"/>
          <w:szCs w:val="20"/>
          <w:color w:val="auto"/>
        </w:rPr>
      </w:pPr>
      <w:r>
        <w:rPr>
          <w:rFonts w:ascii="Arial" w:cs="Arial" w:eastAsia="Arial" w:hAnsi="Arial"/>
          <w:sz w:val="18"/>
          <w:szCs w:val="18"/>
          <w:color w:val="auto"/>
        </w:rPr>
        <w:t>Certification of the Chief Financial Officer of Eagle Materials Inc. pursuant to Rules 13a-14 and 15d-14 promulgated under the Securities Exchange Act of 1934, as amended.</w:t>
      </w:r>
    </w:p>
    <w:p>
      <w:pPr>
        <w:spacing w:after="0" w:line="154" w:lineRule="exact"/>
        <w:rPr>
          <w:sz w:val="20"/>
          <w:szCs w:val="20"/>
          <w:color w:val="auto"/>
        </w:rPr>
      </w:pPr>
    </w:p>
    <w:p>
      <w:pPr>
        <w:ind w:right="40"/>
        <w:spacing w:after="0" w:line="284" w:lineRule="auto"/>
        <w:rPr>
          <w:sz w:val="20"/>
          <w:szCs w:val="20"/>
          <w:color w:val="auto"/>
        </w:rPr>
      </w:pPr>
      <w:r>
        <w:rPr>
          <w:rFonts w:ascii="Arial" w:cs="Arial" w:eastAsia="Arial" w:hAnsi="Arial"/>
          <w:sz w:val="18"/>
          <w:szCs w:val="18"/>
          <w:color w:val="auto"/>
        </w:rPr>
        <w:t>Certification of the Chief Executive Officer of Eagle Materials Inc. pursuant to 18 U.S.C. Section 1350, as adopted pursuant to Section 906 of the Sarbanes-Oxley Act of 2002.</w:t>
      </w:r>
    </w:p>
    <w:p>
      <w:pPr>
        <w:spacing w:after="0" w:line="154" w:lineRule="exact"/>
        <w:rPr>
          <w:sz w:val="20"/>
          <w:szCs w:val="20"/>
          <w:color w:val="auto"/>
        </w:rPr>
      </w:pPr>
    </w:p>
    <w:p>
      <w:pPr>
        <w:ind w:right="100"/>
        <w:spacing w:after="0" w:line="284" w:lineRule="auto"/>
        <w:rPr>
          <w:sz w:val="20"/>
          <w:szCs w:val="20"/>
          <w:color w:val="auto"/>
        </w:rPr>
      </w:pPr>
      <w:r>
        <w:rPr>
          <w:rFonts w:ascii="Arial" w:cs="Arial" w:eastAsia="Arial" w:hAnsi="Arial"/>
          <w:sz w:val="18"/>
          <w:szCs w:val="18"/>
          <w:color w:val="auto"/>
        </w:rPr>
        <w:t>Certification of the Chief Financial Officer of Eagle Materials Inc. pursuant to 18 U.S.C. Section 1350, as adopted pursuant to Section 906 of the Sarbanes-Oxley Act of 2002.</w:t>
      </w:r>
    </w:p>
    <w:p>
      <w:pPr>
        <w:spacing w:after="0" w:line="200" w:lineRule="exact"/>
        <w:rPr>
          <w:sz w:val="20"/>
          <w:szCs w:val="20"/>
          <w:color w:val="auto"/>
        </w:rPr>
      </w:pPr>
    </w:p>
    <w:p>
      <w:pPr>
        <w:sectPr>
          <w:pgSz w:w="11880" w:h="15480" w:orient="portrait"/>
          <w:cols w:equalWidth="0" w:num="2">
            <w:col w:w="420" w:space="560"/>
            <w:col w:w="8380"/>
          </w:cols>
          <w:pgMar w:left="1260" w:top="1241" w:right="1260" w:bottom="7" w:gutter="0" w:footer="0" w:header="0"/>
          <w:type w:val="continuous"/>
        </w:sect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126</w:t>
      </w:r>
    </w:p>
    <w:p>
      <w:pPr>
        <w:sectPr>
          <w:pgSz w:w="11880" w:h="15480" w:orient="portrait"/>
          <w:cols w:equalWidth="0" w:num="1">
            <w:col w:w="9360"/>
          </w:cols>
          <w:pgMar w:left="1260" w:top="1241" w:right="1260" w:bottom="7" w:gutter="0" w:footer="0" w:header="0"/>
          <w:type w:val="continuous"/>
        </w:sectPr>
      </w:pPr>
    </w:p>
    <w:bookmarkStart w:id="134" w:name="page135"/>
    <w:bookmarkEnd w:id="134"/>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00" w:type="dxa"/>
            <w:vAlign w:val="bottom"/>
          </w:tcPr>
          <w:p>
            <w:pPr>
              <w:spacing w:after="0"/>
              <w:rPr>
                <w:sz w:val="20"/>
                <w:szCs w:val="20"/>
                <w:color w:val="auto"/>
              </w:rPr>
            </w:pPr>
            <w:r>
              <w:rPr>
                <w:rFonts w:ascii="Arial" w:cs="Arial" w:eastAsia="Arial" w:hAnsi="Arial"/>
                <w:sz w:val="18"/>
                <w:szCs w:val="18"/>
                <w:color w:val="auto"/>
              </w:rPr>
              <w:t>95*</w:t>
            </w:r>
          </w:p>
        </w:tc>
        <w:tc>
          <w:tcPr>
            <w:tcW w:w="8460" w:type="dxa"/>
            <w:vAlign w:val="bottom"/>
          </w:tcPr>
          <w:p>
            <w:pPr>
              <w:ind w:left="80"/>
              <w:spacing w:after="0"/>
              <w:rPr>
                <w:sz w:val="20"/>
                <w:szCs w:val="20"/>
                <w:color w:val="auto"/>
              </w:rPr>
            </w:pPr>
            <w:r>
              <w:rPr>
                <w:rFonts w:ascii="Arial" w:cs="Arial" w:eastAsia="Arial" w:hAnsi="Arial"/>
                <w:sz w:val="18"/>
                <w:szCs w:val="18"/>
                <w:color w:val="auto"/>
              </w:rPr>
              <w:t>Mine Safety Disclosure.</w:t>
            </w:r>
          </w:p>
        </w:tc>
      </w:tr>
      <w:tr>
        <w:trPr>
          <w:trHeight w:val="399"/>
        </w:trPr>
        <w:tc>
          <w:tcPr>
            <w:tcW w:w="900" w:type="dxa"/>
            <w:vAlign w:val="bottom"/>
          </w:tcPr>
          <w:p>
            <w:pPr>
              <w:spacing w:after="0"/>
              <w:rPr>
                <w:sz w:val="20"/>
                <w:szCs w:val="20"/>
                <w:color w:val="auto"/>
              </w:rPr>
            </w:pPr>
            <w:r>
              <w:rPr>
                <w:rFonts w:ascii="Arial" w:cs="Arial" w:eastAsia="Arial" w:hAnsi="Arial"/>
                <w:sz w:val="18"/>
                <w:szCs w:val="18"/>
                <w:color w:val="auto"/>
              </w:rPr>
              <w:t>97.1</w:t>
            </w:r>
          </w:p>
        </w:tc>
        <w:tc>
          <w:tcPr>
            <w:tcW w:w="8460" w:type="dxa"/>
            <w:vAlign w:val="bottom"/>
          </w:tcPr>
          <w:p>
            <w:pPr>
              <w:ind w:left="80"/>
              <w:spacing w:after="0"/>
              <w:rPr>
                <w:sz w:val="20"/>
                <w:szCs w:val="20"/>
                <w:color w:val="auto"/>
              </w:rPr>
            </w:pPr>
            <w:r>
              <w:rPr>
                <w:rFonts w:ascii="Arial" w:cs="Arial" w:eastAsia="Arial" w:hAnsi="Arial"/>
                <w:sz w:val="18"/>
                <w:szCs w:val="18"/>
                <w:color w:val="auto"/>
              </w:rPr>
              <w:t>Recoupment Policy, filed as Exhibit 97.1 to the Company's Annual Report on Form 10-K for the fiscal</w:t>
            </w:r>
          </w:p>
        </w:tc>
      </w:tr>
      <w:tr>
        <w:trPr>
          <w:trHeight w:val="207"/>
        </w:trPr>
        <w:tc>
          <w:tcPr>
            <w:tcW w:w="900" w:type="dxa"/>
            <w:vAlign w:val="bottom"/>
          </w:tcPr>
          <w:p>
            <w:pPr>
              <w:spacing w:after="0"/>
              <w:rPr>
                <w:sz w:val="17"/>
                <w:szCs w:val="17"/>
                <w:color w:val="auto"/>
              </w:rPr>
            </w:pPr>
          </w:p>
        </w:tc>
        <w:tc>
          <w:tcPr>
            <w:tcW w:w="8460" w:type="dxa"/>
            <w:vAlign w:val="bottom"/>
          </w:tcPr>
          <w:p>
            <w:pPr>
              <w:ind w:left="80"/>
              <w:spacing w:after="0"/>
              <w:rPr>
                <w:sz w:val="20"/>
                <w:szCs w:val="20"/>
                <w:color w:val="auto"/>
              </w:rPr>
            </w:pPr>
            <w:r>
              <w:rPr>
                <w:rFonts w:ascii="Arial" w:cs="Arial" w:eastAsia="Arial" w:hAnsi="Arial"/>
                <w:sz w:val="18"/>
                <w:szCs w:val="18"/>
                <w:color w:val="auto"/>
              </w:rPr>
              <w:t>year ended March 31, 2024, filed with the Commission on May 22, 2024 (File No. 001-12984) and</w:t>
            </w:r>
          </w:p>
        </w:tc>
      </w:tr>
      <w:tr>
        <w:trPr>
          <w:trHeight w:val="245"/>
        </w:trPr>
        <w:tc>
          <w:tcPr>
            <w:tcW w:w="900" w:type="dxa"/>
            <w:vAlign w:val="bottom"/>
          </w:tcPr>
          <w:p>
            <w:pPr>
              <w:spacing w:after="0"/>
              <w:rPr>
                <w:sz w:val="21"/>
                <w:szCs w:val="21"/>
                <w:color w:val="auto"/>
              </w:rPr>
            </w:pPr>
          </w:p>
        </w:tc>
        <w:tc>
          <w:tcPr>
            <w:tcW w:w="8460" w:type="dxa"/>
            <w:vAlign w:val="bottom"/>
          </w:tcPr>
          <w:p>
            <w:pPr>
              <w:ind w:left="80"/>
              <w:spacing w:after="0"/>
              <w:rPr>
                <w:sz w:val="20"/>
                <w:szCs w:val="20"/>
                <w:color w:val="auto"/>
              </w:rPr>
            </w:pPr>
            <w:r>
              <w:rPr>
                <w:rFonts w:ascii="Arial" w:cs="Arial" w:eastAsia="Arial" w:hAnsi="Arial"/>
                <w:sz w:val="18"/>
                <w:szCs w:val="18"/>
                <w:color w:val="auto"/>
              </w:rPr>
              <w:t>incorporated herein by reference.</w:t>
            </w:r>
          </w:p>
        </w:tc>
      </w:tr>
      <w:tr>
        <w:trPr>
          <w:trHeight w:val="399"/>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8460" w:type="dxa"/>
            <w:vAlign w:val="bottom"/>
          </w:tcPr>
          <w:p>
            <w:pPr>
              <w:ind w:left="80"/>
              <w:spacing w:after="0"/>
              <w:rPr>
                <w:sz w:val="20"/>
                <w:szCs w:val="20"/>
                <w:color w:val="auto"/>
              </w:rPr>
            </w:pPr>
            <w:r>
              <w:rPr>
                <w:rFonts w:ascii="Arial" w:cs="Arial" w:eastAsia="Arial" w:hAnsi="Arial"/>
                <w:sz w:val="18"/>
                <w:szCs w:val="18"/>
                <w:color w:val="auto"/>
              </w:rPr>
              <w:t>Inline XBRL Instance Document – The instance document does not appear in the Interactive Data File</w:t>
            </w:r>
          </w:p>
        </w:tc>
      </w:tr>
      <w:tr>
        <w:trPr>
          <w:trHeight w:val="245"/>
        </w:trPr>
        <w:tc>
          <w:tcPr>
            <w:tcW w:w="900" w:type="dxa"/>
            <w:vAlign w:val="bottom"/>
          </w:tcPr>
          <w:p>
            <w:pPr>
              <w:spacing w:after="0"/>
              <w:rPr>
                <w:sz w:val="21"/>
                <w:szCs w:val="21"/>
                <w:color w:val="auto"/>
              </w:rPr>
            </w:pPr>
          </w:p>
        </w:tc>
        <w:tc>
          <w:tcPr>
            <w:tcW w:w="8460" w:type="dxa"/>
            <w:vAlign w:val="bottom"/>
          </w:tcPr>
          <w:p>
            <w:pPr>
              <w:ind w:left="80"/>
              <w:spacing w:after="0"/>
              <w:rPr>
                <w:sz w:val="20"/>
                <w:szCs w:val="20"/>
                <w:color w:val="auto"/>
              </w:rPr>
            </w:pPr>
            <w:r>
              <w:rPr>
                <w:rFonts w:ascii="Arial" w:cs="Arial" w:eastAsia="Arial" w:hAnsi="Arial"/>
                <w:sz w:val="18"/>
                <w:szCs w:val="18"/>
                <w:color w:val="auto"/>
              </w:rPr>
              <w:t>because its XBRL tags are embedded within the Inline XBRL document.</w:t>
            </w:r>
          </w:p>
        </w:tc>
      </w:tr>
      <w:tr>
        <w:trPr>
          <w:trHeight w:val="437"/>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8460" w:type="dxa"/>
            <w:vAlign w:val="bottom"/>
          </w:tcPr>
          <w:p>
            <w:pPr>
              <w:ind w:left="80"/>
              <w:spacing w:after="0"/>
              <w:rPr>
                <w:sz w:val="20"/>
                <w:szCs w:val="20"/>
                <w:color w:val="auto"/>
              </w:rPr>
            </w:pPr>
            <w:r>
              <w:rPr>
                <w:rFonts w:ascii="Arial" w:cs="Arial" w:eastAsia="Arial" w:hAnsi="Arial"/>
                <w:sz w:val="18"/>
                <w:szCs w:val="18"/>
                <w:color w:val="auto"/>
              </w:rPr>
              <w:t>Inline XBRL Taxonomy Extension Schema Document with Embedded Linkbase Documents.</w:t>
            </w:r>
          </w:p>
        </w:tc>
      </w:tr>
      <w:tr>
        <w:trPr>
          <w:trHeight w:val="437"/>
        </w:trPr>
        <w:tc>
          <w:tcPr>
            <w:tcW w:w="900" w:type="dxa"/>
            <w:vAlign w:val="bottom"/>
          </w:tcPr>
          <w:p>
            <w:pPr>
              <w:spacing w:after="0"/>
              <w:rPr>
                <w:sz w:val="20"/>
                <w:szCs w:val="20"/>
                <w:color w:val="auto"/>
              </w:rPr>
            </w:pPr>
            <w:r>
              <w:rPr>
                <w:rFonts w:ascii="Arial" w:cs="Arial" w:eastAsia="Arial" w:hAnsi="Arial"/>
                <w:sz w:val="18"/>
                <w:szCs w:val="18"/>
                <w:color w:val="auto"/>
              </w:rPr>
              <w:t>104</w:t>
            </w:r>
          </w:p>
        </w:tc>
        <w:tc>
          <w:tcPr>
            <w:tcW w:w="8460" w:type="dxa"/>
            <w:vAlign w:val="bottom"/>
          </w:tcPr>
          <w:p>
            <w:pPr>
              <w:ind w:left="80"/>
              <w:spacing w:after="0"/>
              <w:rPr>
                <w:sz w:val="20"/>
                <w:szCs w:val="20"/>
                <w:color w:val="auto"/>
              </w:rPr>
            </w:pPr>
            <w:r>
              <w:rPr>
                <w:rFonts w:ascii="Arial" w:cs="Arial" w:eastAsia="Arial" w:hAnsi="Arial"/>
                <w:sz w:val="18"/>
                <w:szCs w:val="18"/>
                <w:color w:val="auto"/>
              </w:rPr>
              <w:t>Cover Page Interactive Data File –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104140</wp:posOffset>
            </wp:positionV>
            <wp:extent cx="1188720"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3">
                      <a:extLst>
                        <a:ext uri="{28A0092B-C50C-407E-A947-70E740481C1C}"/>
                      </a:extLst>
                    </a:blip>
                    <a:srcRect/>
                    <a:stretch>
                      <a:fillRect/>
                    </a:stretch>
                  </pic:blipFill>
                  <pic:spPr bwMode="auto">
                    <a:xfrm>
                      <a:off x="0" y="0"/>
                      <a:ext cx="1188720" cy="6350"/>
                    </a:xfrm>
                    <a:prstGeom prst="rect">
                      <a:avLst/>
                    </a:prstGeom>
                    <a:noFill/>
                  </pic:spPr>
                </pic:pic>
              </a:graphicData>
            </a:graphic>
          </wp:anchor>
        </w:drawing>
      </w:r>
    </w:p>
    <w:p>
      <w:pPr>
        <w:spacing w:after="0" w:line="178" w:lineRule="exact"/>
        <w:rPr>
          <w:sz w:val="20"/>
          <w:szCs w:val="20"/>
          <w:color w:val="auto"/>
        </w:rPr>
      </w:pPr>
    </w:p>
    <w:p>
      <w:pPr>
        <w:ind w:left="140" w:hanging="140"/>
        <w:spacing w:after="0"/>
        <w:tabs>
          <w:tab w:leader="none" w:pos="140" w:val="left"/>
        </w:tabs>
        <w:numPr>
          <w:ilvl w:val="0"/>
          <w:numId w:val="43"/>
        </w:numPr>
        <w:rPr>
          <w:rFonts w:ascii="Arial" w:cs="Arial" w:eastAsia="Arial" w:hAnsi="Arial"/>
          <w:sz w:val="20"/>
          <w:szCs w:val="20"/>
          <w:color w:val="auto"/>
        </w:rPr>
      </w:pPr>
      <w:r>
        <w:rPr>
          <w:rFonts w:ascii="Arial" w:cs="Arial" w:eastAsia="Arial" w:hAnsi="Arial"/>
          <w:sz w:val="16"/>
          <w:szCs w:val="16"/>
          <w:color w:val="auto"/>
        </w:rPr>
        <w:t>Filed herewith.</w:t>
      </w:r>
    </w:p>
    <w:p>
      <w:pPr>
        <w:ind w:left="220" w:hanging="220"/>
        <w:spacing w:after="0" w:line="282" w:lineRule="auto"/>
        <w:tabs>
          <w:tab w:leader="none" w:pos="220" w:val="left"/>
        </w:tabs>
        <w:numPr>
          <w:ilvl w:val="0"/>
          <w:numId w:val="44"/>
        </w:numPr>
        <w:rPr>
          <w:rFonts w:ascii="Arial" w:cs="Arial" w:eastAsia="Arial" w:hAnsi="Arial"/>
          <w:sz w:val="10"/>
          <w:szCs w:val="10"/>
          <w:color w:val="auto"/>
        </w:rPr>
      </w:pPr>
      <w:r>
        <w:rPr>
          <w:rFonts w:ascii="Arial" w:cs="Arial" w:eastAsia="Arial" w:hAnsi="Arial"/>
          <w:sz w:val="16"/>
          <w:szCs w:val="16"/>
          <w:color w:val="auto"/>
        </w:rPr>
        <w:t>Required to be identified as a management contract or a compensatory plan or arrangement pursuant to Item 15(a) (3) of Form 10-K.</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ITEM 16. Form 10-K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5943600" cy="127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4">
                      <a:extLst>
                        <a:ext uri="{28A0092B-C50C-407E-A947-70E740481C1C}"/>
                      </a:extLst>
                    </a:blip>
                    <a:srcRect/>
                    <a:stretch>
                      <a:fillRect/>
                    </a:stretch>
                  </pic:blipFill>
                  <pic:spPr bwMode="auto">
                    <a:xfrm>
                      <a:off x="0" y="0"/>
                      <a:ext cx="5943600" cy="1270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ectPr>
          <w:pgSz w:w="11880" w:h="15480" w:orient="portrait"/>
          <w:cols w:equalWidth="0" w:num="1">
            <w:col w:w="9360"/>
          </w:cols>
          <w:pgMar w:left="1260" w:top="1440" w:right="1260" w:bottom="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127</w:t>
      </w:r>
    </w:p>
    <w:p>
      <w:pPr>
        <w:sectPr>
          <w:pgSz w:w="11880" w:h="15480" w:orient="portrait"/>
          <w:cols w:equalWidth="0" w:num="1">
            <w:col w:w="9360"/>
          </w:cols>
          <w:pgMar w:left="1260" w:top="1440" w:right="1260" w:bottom="7" w:gutter="0" w:footer="0" w:header="0"/>
          <w:type w:val="continuous"/>
        </w:sectPr>
      </w:pPr>
    </w:p>
    <w:bookmarkStart w:id="135" w:name="page136"/>
    <w:bookmarkEnd w:id="135"/>
    <w:p>
      <w:pPr>
        <w:spacing w:after="0"/>
        <w:rPr>
          <w:sz w:val="20"/>
          <w:szCs w:val="20"/>
          <w:color w:val="auto"/>
        </w:rPr>
      </w:pPr>
      <w:r>
        <w:rPr>
          <w:rFonts w:ascii="Arial" w:cs="Arial" w:eastAsia="Arial" w:hAnsi="Arial"/>
          <w:sz w:val="22"/>
          <w:szCs w:val="22"/>
          <w:b w:val="1"/>
          <w:bCs w:val="1"/>
          <w:color w:val="auto"/>
        </w:rPr>
        <w:t>SIGNATURES</w:t>
      </w:r>
    </w:p>
    <w:p>
      <w:pPr>
        <w:spacing w:after="0" w:line="154" w:lineRule="exact"/>
        <w:rPr>
          <w:sz w:val="20"/>
          <w:szCs w:val="20"/>
          <w:color w:val="auto"/>
        </w:rPr>
      </w:pPr>
    </w:p>
    <w:p>
      <w:pPr>
        <w:jc w:val="both"/>
        <w:ind w:right="20"/>
        <w:spacing w:after="0" w:line="325" w:lineRule="auto"/>
        <w:rPr>
          <w:sz w:val="20"/>
          <w:szCs w:val="20"/>
          <w:color w:val="auto"/>
        </w:rPr>
      </w:pPr>
      <w:r>
        <w:rPr>
          <w:rFonts w:ascii="Arial" w:cs="Arial" w:eastAsia="Arial" w:hAnsi="Arial"/>
          <w:sz w:val="20"/>
          <w:szCs w:val="20"/>
          <w:color w:val="auto"/>
        </w:rPr>
        <w:t>Pursuant to the requirements of Section 13 or 15(d) of the Securities Exchange Act of 1934, the registrant has duly caused this Form 10-K to be signed on its behalf by the undersigned, thereunto duly authorized.</w:t>
      </w:r>
    </w:p>
    <w:p>
      <w:pPr>
        <w:spacing w:after="0" w:line="133" w:lineRule="exact"/>
        <w:rPr>
          <w:sz w:val="20"/>
          <w:szCs w:val="20"/>
          <w:color w:val="auto"/>
        </w:rPr>
      </w:pPr>
    </w:p>
    <w:p>
      <w:pPr>
        <w:jc w:val="center"/>
        <w:ind w:left="5600"/>
        <w:spacing w:after="0"/>
        <w:rPr>
          <w:sz w:val="20"/>
          <w:szCs w:val="20"/>
          <w:color w:val="auto"/>
        </w:rPr>
      </w:pPr>
      <w:r>
        <w:rPr>
          <w:rFonts w:ascii="Arial" w:cs="Arial" w:eastAsia="Arial" w:hAnsi="Arial"/>
          <w:sz w:val="20"/>
          <w:szCs w:val="20"/>
          <w:color w:val="auto"/>
        </w:rPr>
        <w:t>EAGLE MATERIALS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3566160</wp:posOffset>
            </wp:positionH>
            <wp:positionV relativeFrom="paragraph">
              <wp:posOffset>12700</wp:posOffset>
            </wp:positionV>
            <wp:extent cx="2377440"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5">
                      <a:extLst>
                        <a:ext uri="{28A0092B-C50C-407E-A947-70E740481C1C}"/>
                      </a:extLst>
                    </a:blip>
                    <a:srcRect/>
                    <a:stretch>
                      <a:fillRect/>
                    </a:stretch>
                  </pic:blipFill>
                  <pic:spPr bwMode="auto">
                    <a:xfrm>
                      <a:off x="0" y="0"/>
                      <a:ext cx="2377440" cy="6350"/>
                    </a:xfrm>
                    <a:prstGeom prst="rect">
                      <a:avLst/>
                    </a:prstGeom>
                    <a:noFill/>
                  </pic:spPr>
                </pic:pic>
              </a:graphicData>
            </a:graphic>
          </wp:anchor>
        </w:drawing>
      </w:r>
    </w:p>
    <w:p>
      <w:pPr>
        <w:spacing w:after="0" w:line="4" w:lineRule="exact"/>
        <w:rPr>
          <w:sz w:val="20"/>
          <w:szCs w:val="20"/>
          <w:color w:val="auto"/>
        </w:rPr>
      </w:pPr>
    </w:p>
    <w:p>
      <w:pPr>
        <w:jc w:val="center"/>
        <w:ind w:left="5600"/>
        <w:spacing w:after="0"/>
        <w:rPr>
          <w:sz w:val="20"/>
          <w:szCs w:val="20"/>
          <w:color w:val="auto"/>
        </w:rPr>
      </w:pPr>
      <w:r>
        <w:rPr>
          <w:rFonts w:ascii="Arial" w:cs="Arial" w:eastAsia="Arial" w:hAnsi="Arial"/>
          <w:sz w:val="20"/>
          <w:szCs w:val="20"/>
          <w:color w:val="auto"/>
        </w:rPr>
        <w:t>Registrant</w:t>
      </w:r>
    </w:p>
    <w:p>
      <w:pPr>
        <w:spacing w:after="0" w:line="200" w:lineRule="exact"/>
        <w:rPr>
          <w:sz w:val="20"/>
          <w:szCs w:val="20"/>
          <w:color w:val="auto"/>
        </w:rPr>
      </w:pPr>
    </w:p>
    <w:p>
      <w:pPr>
        <w:spacing w:after="0" w:line="252" w:lineRule="exact"/>
        <w:rPr>
          <w:sz w:val="20"/>
          <w:szCs w:val="20"/>
          <w:color w:val="auto"/>
        </w:rPr>
      </w:pPr>
    </w:p>
    <w:p>
      <w:pPr>
        <w:spacing w:after="0"/>
        <w:tabs>
          <w:tab w:leader="none" w:pos="6540" w:val="left"/>
        </w:tabs>
        <w:rPr>
          <w:sz w:val="20"/>
          <w:szCs w:val="20"/>
          <w:color w:val="auto"/>
        </w:rPr>
      </w:pPr>
      <w:r>
        <w:rPr>
          <w:rFonts w:ascii="Arial" w:cs="Arial" w:eastAsia="Arial" w:hAnsi="Arial"/>
          <w:sz w:val="20"/>
          <w:szCs w:val="20"/>
          <w:color w:val="auto"/>
        </w:rPr>
        <w:t>May 19, 2026</w:t>
      </w:r>
      <w:r>
        <w:rPr>
          <w:sz w:val="20"/>
          <w:szCs w:val="20"/>
          <w:color w:val="auto"/>
        </w:rPr>
        <w:tab/>
      </w:r>
      <w:r>
        <w:rPr>
          <w:rFonts w:ascii="Arial" w:cs="Arial" w:eastAsia="Arial" w:hAnsi="Arial"/>
          <w:sz w:val="20"/>
          <w:szCs w:val="20"/>
          <w:color w:val="auto"/>
        </w:rPr>
        <w:t>/s/ Michael R. Haack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3566160</wp:posOffset>
            </wp:positionH>
            <wp:positionV relativeFrom="paragraph">
              <wp:posOffset>20320</wp:posOffset>
            </wp:positionV>
            <wp:extent cx="2377440"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6">
                      <a:extLst>
                        <a:ext uri="{28A0092B-C50C-407E-A947-70E740481C1C}"/>
                      </a:extLst>
                    </a:blip>
                    <a:srcRect/>
                    <a:stretch>
                      <a:fillRect/>
                    </a:stretch>
                  </pic:blipFill>
                  <pic:spPr bwMode="auto">
                    <a:xfrm>
                      <a:off x="0" y="0"/>
                      <a:ext cx="2377440" cy="6350"/>
                    </a:xfrm>
                    <a:prstGeom prst="rect">
                      <a:avLst/>
                    </a:prstGeom>
                    <a:noFill/>
                  </pic:spPr>
                </pic:pic>
              </a:graphicData>
            </a:graphic>
          </wp:anchor>
        </w:drawing>
      </w:r>
    </w:p>
    <w:p>
      <w:pPr>
        <w:spacing w:after="0" w:line="44" w:lineRule="exact"/>
        <w:rPr>
          <w:sz w:val="20"/>
          <w:szCs w:val="20"/>
          <w:color w:val="auto"/>
        </w:rPr>
      </w:pPr>
    </w:p>
    <w:p>
      <w:pPr>
        <w:jc w:val="center"/>
        <w:ind w:left="5600"/>
        <w:spacing w:after="0"/>
        <w:rPr>
          <w:sz w:val="20"/>
          <w:szCs w:val="20"/>
          <w:color w:val="auto"/>
        </w:rPr>
      </w:pPr>
      <w:r>
        <w:rPr>
          <w:rFonts w:ascii="Arial" w:cs="Arial" w:eastAsia="Arial" w:hAnsi="Arial"/>
          <w:sz w:val="20"/>
          <w:szCs w:val="20"/>
          <w:color w:val="auto"/>
        </w:rPr>
        <w:t>Michael R. Haack,</w:t>
      </w:r>
    </w:p>
    <w:p>
      <w:pPr>
        <w:spacing w:after="0" w:line="40" w:lineRule="exact"/>
        <w:rPr>
          <w:sz w:val="20"/>
          <w:szCs w:val="20"/>
          <w:color w:val="auto"/>
        </w:rPr>
      </w:pPr>
    </w:p>
    <w:p>
      <w:pPr>
        <w:jc w:val="center"/>
        <w:ind w:left="5600"/>
        <w:spacing w:after="0"/>
        <w:rPr>
          <w:sz w:val="20"/>
          <w:szCs w:val="20"/>
          <w:color w:val="auto"/>
        </w:rPr>
      </w:pPr>
      <w:r>
        <w:rPr>
          <w:rFonts w:ascii="Arial" w:cs="Arial" w:eastAsia="Arial" w:hAnsi="Arial"/>
          <w:sz w:val="20"/>
          <w:szCs w:val="20"/>
          <w:color w:val="auto"/>
        </w:rPr>
        <w:t>President and Chief Executive Officer</w:t>
      </w:r>
    </w:p>
    <w:p>
      <w:pPr>
        <w:spacing w:after="0" w:line="240" w:lineRule="exact"/>
        <w:rPr>
          <w:sz w:val="20"/>
          <w:szCs w:val="20"/>
          <w:color w:val="auto"/>
        </w:rPr>
      </w:pPr>
    </w:p>
    <w:p>
      <w:pPr>
        <w:ind w:right="180"/>
        <w:spacing w:after="0" w:line="325" w:lineRule="auto"/>
        <w:rPr>
          <w:sz w:val="20"/>
          <w:szCs w:val="20"/>
          <w:color w:val="auto"/>
        </w:rPr>
      </w:pPr>
      <w:r>
        <w:rPr>
          <w:rFonts w:ascii="Arial" w:cs="Arial" w:eastAsia="Arial" w:hAnsi="Arial"/>
          <w:sz w:val="20"/>
          <w:szCs w:val="20"/>
          <w:color w:val="auto"/>
        </w:rPr>
        <w:t>Pursuant to the requirements of the Securities Exchange Act of 1934, this report has been signed below by the following persons on behalf of the registrant in the capacities and on the dates indicated.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620" w:type="dxa"/>
            <w:vAlign w:val="bottom"/>
          </w:tcPr>
          <w:p>
            <w:pPr>
              <w:spacing w:after="0"/>
              <w:rPr>
                <w:sz w:val="20"/>
                <w:szCs w:val="20"/>
                <w:color w:val="auto"/>
              </w:rPr>
            </w:pPr>
            <w:r>
              <w:rPr>
                <w:rFonts w:ascii="Arial" w:cs="Arial" w:eastAsia="Arial" w:hAnsi="Arial"/>
                <w:sz w:val="20"/>
                <w:szCs w:val="20"/>
                <w:color w:val="auto"/>
              </w:rPr>
              <w:t>May 19, 2026</w:t>
            </w:r>
          </w:p>
        </w:tc>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rPr>
              <w:t>/s/ Michael R. Haack</w:t>
            </w:r>
          </w:p>
        </w:tc>
      </w:tr>
      <w:tr>
        <w:trPr>
          <w:trHeight w:val="219"/>
        </w:trPr>
        <w:tc>
          <w:tcPr>
            <w:tcW w:w="5620" w:type="dxa"/>
            <w:vAlign w:val="bottom"/>
          </w:tcPr>
          <w:p>
            <w:pPr>
              <w:spacing w:after="0"/>
              <w:rPr>
                <w:sz w:val="19"/>
                <w:szCs w:val="19"/>
                <w:color w:val="auto"/>
              </w:rPr>
            </w:pPr>
          </w:p>
        </w:tc>
        <w:tc>
          <w:tcPr>
            <w:tcW w:w="3740" w:type="dxa"/>
            <w:vAlign w:val="bottom"/>
          </w:tcPr>
          <w:p>
            <w:pPr>
              <w:jc w:val="center"/>
              <w:spacing w:after="0" w:line="219" w:lineRule="exact"/>
              <w:rPr>
                <w:sz w:val="20"/>
                <w:szCs w:val="20"/>
                <w:color w:val="auto"/>
              </w:rPr>
            </w:pPr>
            <w:r>
              <w:rPr>
                <w:rFonts w:ascii="Arial" w:cs="Arial" w:eastAsia="Arial" w:hAnsi="Arial"/>
                <w:sz w:val="20"/>
                <w:szCs w:val="20"/>
                <w:color w:val="auto"/>
                <w:w w:val="99"/>
              </w:rPr>
              <w:t>Michael R. Haack</w:t>
            </w:r>
          </w:p>
        </w:tc>
      </w:tr>
      <w:tr>
        <w:trPr>
          <w:trHeight w:val="230"/>
        </w:trPr>
        <w:tc>
          <w:tcPr>
            <w:tcW w:w="5620" w:type="dxa"/>
            <w:vAlign w:val="bottom"/>
          </w:tcPr>
          <w:p>
            <w:pPr>
              <w:spacing w:after="0"/>
              <w:rPr>
                <w:sz w:val="20"/>
                <w:szCs w:val="20"/>
                <w:color w:val="auto"/>
              </w:rPr>
            </w:pPr>
          </w:p>
        </w:tc>
        <w:tc>
          <w:tcPr>
            <w:tcW w:w="3740" w:type="dxa"/>
            <w:vAlign w:val="bottom"/>
          </w:tcPr>
          <w:p>
            <w:pPr>
              <w:jc w:val="center"/>
              <w:spacing w:after="0"/>
              <w:rPr>
                <w:sz w:val="20"/>
                <w:szCs w:val="20"/>
                <w:color w:val="auto"/>
              </w:rPr>
            </w:pPr>
            <w:r>
              <w:rPr>
                <w:rFonts w:ascii="Arial" w:cs="Arial" w:eastAsia="Arial" w:hAnsi="Arial"/>
                <w:sz w:val="20"/>
                <w:szCs w:val="20"/>
                <w:color w:val="auto"/>
                <w:w w:val="99"/>
              </w:rPr>
              <w:t>President and Chief Executive Officer</w:t>
            </w:r>
          </w:p>
        </w:tc>
      </w:tr>
      <w:tr>
        <w:trPr>
          <w:trHeight w:val="272"/>
        </w:trPr>
        <w:tc>
          <w:tcPr>
            <w:tcW w:w="5620" w:type="dxa"/>
            <w:vAlign w:val="bottom"/>
          </w:tcPr>
          <w:p>
            <w:pPr>
              <w:spacing w:after="0"/>
              <w:rPr>
                <w:sz w:val="23"/>
                <w:szCs w:val="23"/>
                <w:color w:val="auto"/>
              </w:rPr>
            </w:pPr>
          </w:p>
        </w:tc>
        <w:tc>
          <w:tcPr>
            <w:tcW w:w="3740" w:type="dxa"/>
            <w:vAlign w:val="bottom"/>
          </w:tcPr>
          <w:p>
            <w:pPr>
              <w:jc w:val="center"/>
              <w:spacing w:after="0"/>
              <w:rPr>
                <w:sz w:val="20"/>
                <w:szCs w:val="20"/>
                <w:color w:val="auto"/>
              </w:rPr>
            </w:pPr>
            <w:r>
              <w:rPr>
                <w:rFonts w:ascii="Arial" w:cs="Arial" w:eastAsia="Arial" w:hAnsi="Arial"/>
                <w:sz w:val="20"/>
                <w:szCs w:val="20"/>
                <w:color w:val="auto"/>
              </w:rPr>
              <w:t>(principal executive officer)</w:t>
            </w:r>
          </w:p>
        </w:tc>
      </w:tr>
      <w:tr>
        <w:trPr>
          <w:trHeight w:val="512"/>
        </w:trPr>
        <w:tc>
          <w:tcPr>
            <w:tcW w:w="5620" w:type="dxa"/>
            <w:vAlign w:val="bottom"/>
          </w:tcPr>
          <w:p>
            <w:pPr>
              <w:spacing w:after="0"/>
              <w:rPr>
                <w:sz w:val="20"/>
                <w:szCs w:val="20"/>
                <w:color w:val="auto"/>
              </w:rPr>
            </w:pPr>
            <w:r>
              <w:rPr>
                <w:rFonts w:ascii="Arial" w:cs="Arial" w:eastAsia="Arial" w:hAnsi="Arial"/>
                <w:sz w:val="20"/>
                <w:szCs w:val="20"/>
                <w:color w:val="auto"/>
              </w:rPr>
              <w:t>May 19, 2026</w:t>
            </w:r>
          </w:p>
        </w:tc>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rPr>
              <w:t>/s/ D. Craig Kesler</w:t>
            </w:r>
          </w:p>
        </w:tc>
      </w:tr>
      <w:tr>
        <w:trPr>
          <w:trHeight w:val="219"/>
        </w:trPr>
        <w:tc>
          <w:tcPr>
            <w:tcW w:w="5620" w:type="dxa"/>
            <w:vAlign w:val="bottom"/>
          </w:tcPr>
          <w:p>
            <w:pPr>
              <w:spacing w:after="0"/>
              <w:rPr>
                <w:sz w:val="19"/>
                <w:szCs w:val="19"/>
                <w:color w:val="auto"/>
              </w:rPr>
            </w:pPr>
          </w:p>
        </w:tc>
        <w:tc>
          <w:tcPr>
            <w:tcW w:w="3740" w:type="dxa"/>
            <w:vAlign w:val="bottom"/>
          </w:tcPr>
          <w:p>
            <w:pPr>
              <w:jc w:val="center"/>
              <w:spacing w:after="0" w:line="219" w:lineRule="exact"/>
              <w:rPr>
                <w:sz w:val="20"/>
                <w:szCs w:val="20"/>
                <w:color w:val="auto"/>
              </w:rPr>
            </w:pPr>
            <w:r>
              <w:rPr>
                <w:rFonts w:ascii="Arial" w:cs="Arial" w:eastAsia="Arial" w:hAnsi="Arial"/>
                <w:sz w:val="20"/>
                <w:szCs w:val="20"/>
                <w:color w:val="auto"/>
              </w:rPr>
              <w:t>D. Craig Kesler</w:t>
            </w:r>
          </w:p>
        </w:tc>
      </w:tr>
      <w:tr>
        <w:trPr>
          <w:trHeight w:val="230"/>
        </w:trPr>
        <w:tc>
          <w:tcPr>
            <w:tcW w:w="5620" w:type="dxa"/>
            <w:vAlign w:val="bottom"/>
          </w:tcPr>
          <w:p>
            <w:pPr>
              <w:spacing w:after="0"/>
              <w:rPr>
                <w:sz w:val="20"/>
                <w:szCs w:val="20"/>
                <w:color w:val="auto"/>
              </w:rPr>
            </w:pPr>
          </w:p>
        </w:tc>
        <w:tc>
          <w:tcPr>
            <w:tcW w:w="3740" w:type="dxa"/>
            <w:vAlign w:val="bottom"/>
          </w:tcPr>
          <w:p>
            <w:pPr>
              <w:jc w:val="center"/>
              <w:spacing w:after="0"/>
              <w:rPr>
                <w:sz w:val="20"/>
                <w:szCs w:val="20"/>
                <w:color w:val="auto"/>
              </w:rPr>
            </w:pPr>
            <w:r>
              <w:rPr>
                <w:rFonts w:ascii="Arial" w:cs="Arial" w:eastAsia="Arial" w:hAnsi="Arial"/>
                <w:sz w:val="20"/>
                <w:szCs w:val="20"/>
                <w:color w:val="auto"/>
                <w:w w:val="99"/>
              </w:rPr>
              <w:t>Executive Vice President – Finance and</w:t>
            </w:r>
          </w:p>
        </w:tc>
      </w:tr>
      <w:tr>
        <w:trPr>
          <w:trHeight w:val="230"/>
        </w:trPr>
        <w:tc>
          <w:tcPr>
            <w:tcW w:w="5620" w:type="dxa"/>
            <w:vAlign w:val="bottom"/>
          </w:tcPr>
          <w:p>
            <w:pPr>
              <w:spacing w:after="0"/>
              <w:rPr>
                <w:sz w:val="20"/>
                <w:szCs w:val="20"/>
                <w:color w:val="auto"/>
              </w:rPr>
            </w:pPr>
          </w:p>
        </w:tc>
        <w:tc>
          <w:tcPr>
            <w:tcW w:w="3740" w:type="dxa"/>
            <w:vAlign w:val="bottom"/>
          </w:tcPr>
          <w:p>
            <w:pPr>
              <w:jc w:val="center"/>
              <w:spacing w:after="0"/>
              <w:rPr>
                <w:sz w:val="20"/>
                <w:szCs w:val="20"/>
                <w:color w:val="auto"/>
              </w:rPr>
            </w:pPr>
            <w:r>
              <w:rPr>
                <w:rFonts w:ascii="Arial" w:cs="Arial" w:eastAsia="Arial" w:hAnsi="Arial"/>
                <w:sz w:val="20"/>
                <w:szCs w:val="20"/>
                <w:color w:val="auto"/>
              </w:rPr>
              <w:t>Administration and Chief Financial Officer</w:t>
            </w:r>
          </w:p>
        </w:tc>
      </w:tr>
      <w:tr>
        <w:trPr>
          <w:trHeight w:val="272"/>
        </w:trPr>
        <w:tc>
          <w:tcPr>
            <w:tcW w:w="5620" w:type="dxa"/>
            <w:vAlign w:val="bottom"/>
          </w:tcPr>
          <w:p>
            <w:pPr>
              <w:spacing w:after="0"/>
              <w:rPr>
                <w:sz w:val="23"/>
                <w:szCs w:val="23"/>
                <w:color w:val="auto"/>
              </w:rPr>
            </w:pPr>
          </w:p>
        </w:tc>
        <w:tc>
          <w:tcPr>
            <w:tcW w:w="3740" w:type="dxa"/>
            <w:vAlign w:val="bottom"/>
          </w:tcPr>
          <w:p>
            <w:pPr>
              <w:jc w:val="center"/>
              <w:spacing w:after="0"/>
              <w:rPr>
                <w:sz w:val="20"/>
                <w:szCs w:val="20"/>
                <w:color w:val="auto"/>
              </w:rPr>
            </w:pPr>
            <w:r>
              <w:rPr>
                <w:rFonts w:ascii="Arial" w:cs="Arial" w:eastAsia="Arial" w:hAnsi="Arial"/>
                <w:sz w:val="20"/>
                <w:szCs w:val="20"/>
                <w:color w:val="auto"/>
              </w:rPr>
              <w:t>(principal financial officer)</w:t>
            </w:r>
          </w:p>
        </w:tc>
      </w:tr>
      <w:tr>
        <w:trPr>
          <w:trHeight w:val="512"/>
        </w:trPr>
        <w:tc>
          <w:tcPr>
            <w:tcW w:w="5620" w:type="dxa"/>
            <w:vAlign w:val="bottom"/>
          </w:tcPr>
          <w:p>
            <w:pPr>
              <w:spacing w:after="0"/>
              <w:rPr>
                <w:sz w:val="20"/>
                <w:szCs w:val="20"/>
                <w:color w:val="auto"/>
              </w:rPr>
            </w:pPr>
            <w:r>
              <w:rPr>
                <w:rFonts w:ascii="Arial" w:cs="Arial" w:eastAsia="Arial" w:hAnsi="Arial"/>
                <w:sz w:val="20"/>
                <w:szCs w:val="20"/>
                <w:color w:val="auto"/>
              </w:rPr>
              <w:t>May 19, 2026</w:t>
            </w:r>
          </w:p>
        </w:tc>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8"/>
              </w:rPr>
              <w:t>/s/ William R. Devlin</w:t>
            </w:r>
          </w:p>
        </w:tc>
      </w:tr>
      <w:tr>
        <w:trPr>
          <w:trHeight w:val="219"/>
        </w:trPr>
        <w:tc>
          <w:tcPr>
            <w:tcW w:w="5620" w:type="dxa"/>
            <w:vAlign w:val="bottom"/>
          </w:tcPr>
          <w:p>
            <w:pPr>
              <w:spacing w:after="0"/>
              <w:rPr>
                <w:sz w:val="19"/>
                <w:szCs w:val="19"/>
                <w:color w:val="auto"/>
              </w:rPr>
            </w:pPr>
          </w:p>
        </w:tc>
        <w:tc>
          <w:tcPr>
            <w:tcW w:w="3740" w:type="dxa"/>
            <w:vAlign w:val="bottom"/>
          </w:tcPr>
          <w:p>
            <w:pPr>
              <w:jc w:val="center"/>
              <w:spacing w:after="0" w:line="219" w:lineRule="exact"/>
              <w:rPr>
                <w:sz w:val="20"/>
                <w:szCs w:val="20"/>
                <w:color w:val="auto"/>
              </w:rPr>
            </w:pPr>
            <w:r>
              <w:rPr>
                <w:rFonts w:ascii="Arial" w:cs="Arial" w:eastAsia="Arial" w:hAnsi="Arial"/>
                <w:sz w:val="20"/>
                <w:szCs w:val="20"/>
                <w:color w:val="auto"/>
              </w:rPr>
              <w:t>William R. Devlin</w:t>
            </w:r>
          </w:p>
        </w:tc>
      </w:tr>
      <w:tr>
        <w:trPr>
          <w:trHeight w:val="230"/>
        </w:trPr>
        <w:tc>
          <w:tcPr>
            <w:tcW w:w="5620" w:type="dxa"/>
            <w:vAlign w:val="bottom"/>
          </w:tcPr>
          <w:p>
            <w:pPr>
              <w:spacing w:after="0"/>
              <w:rPr>
                <w:sz w:val="20"/>
                <w:szCs w:val="20"/>
                <w:color w:val="auto"/>
              </w:rPr>
            </w:pPr>
          </w:p>
        </w:tc>
        <w:tc>
          <w:tcPr>
            <w:tcW w:w="3740" w:type="dxa"/>
            <w:vAlign w:val="bottom"/>
          </w:tcPr>
          <w:p>
            <w:pPr>
              <w:jc w:val="center"/>
              <w:spacing w:after="0"/>
              <w:rPr>
                <w:sz w:val="20"/>
                <w:szCs w:val="20"/>
                <w:color w:val="auto"/>
              </w:rPr>
            </w:pPr>
            <w:r>
              <w:rPr>
                <w:rFonts w:ascii="Arial" w:cs="Arial" w:eastAsia="Arial" w:hAnsi="Arial"/>
                <w:sz w:val="20"/>
                <w:szCs w:val="20"/>
                <w:color w:val="auto"/>
                <w:w w:val="99"/>
              </w:rPr>
              <w:t>Senior Vice President – Controller and</w:t>
            </w:r>
          </w:p>
        </w:tc>
      </w:tr>
      <w:tr>
        <w:trPr>
          <w:trHeight w:val="230"/>
        </w:trPr>
        <w:tc>
          <w:tcPr>
            <w:tcW w:w="5620" w:type="dxa"/>
            <w:vAlign w:val="bottom"/>
          </w:tcPr>
          <w:p>
            <w:pPr>
              <w:spacing w:after="0"/>
              <w:rPr>
                <w:sz w:val="20"/>
                <w:szCs w:val="20"/>
                <w:color w:val="auto"/>
              </w:rPr>
            </w:pPr>
          </w:p>
        </w:tc>
        <w:tc>
          <w:tcPr>
            <w:tcW w:w="3740" w:type="dxa"/>
            <w:vAlign w:val="bottom"/>
          </w:tcPr>
          <w:p>
            <w:pPr>
              <w:jc w:val="center"/>
              <w:spacing w:after="0"/>
              <w:rPr>
                <w:sz w:val="20"/>
                <w:szCs w:val="20"/>
                <w:color w:val="auto"/>
              </w:rPr>
            </w:pPr>
            <w:r>
              <w:rPr>
                <w:rFonts w:ascii="Arial" w:cs="Arial" w:eastAsia="Arial" w:hAnsi="Arial"/>
                <w:sz w:val="20"/>
                <w:szCs w:val="20"/>
                <w:color w:val="auto"/>
              </w:rPr>
              <w:t>Chief Accounting Officer</w:t>
            </w:r>
          </w:p>
        </w:tc>
      </w:tr>
      <w:tr>
        <w:trPr>
          <w:trHeight w:val="272"/>
        </w:trPr>
        <w:tc>
          <w:tcPr>
            <w:tcW w:w="5620" w:type="dxa"/>
            <w:vAlign w:val="bottom"/>
          </w:tcPr>
          <w:p>
            <w:pPr>
              <w:spacing w:after="0"/>
              <w:rPr>
                <w:sz w:val="23"/>
                <w:szCs w:val="23"/>
                <w:color w:val="auto"/>
              </w:rPr>
            </w:pPr>
          </w:p>
        </w:tc>
        <w:tc>
          <w:tcPr>
            <w:tcW w:w="3740" w:type="dxa"/>
            <w:vAlign w:val="bottom"/>
          </w:tcPr>
          <w:p>
            <w:pPr>
              <w:jc w:val="center"/>
              <w:spacing w:after="0"/>
              <w:rPr>
                <w:sz w:val="20"/>
                <w:szCs w:val="20"/>
                <w:color w:val="auto"/>
              </w:rPr>
            </w:pPr>
            <w:r>
              <w:rPr>
                <w:rFonts w:ascii="Arial" w:cs="Arial" w:eastAsia="Arial" w:hAnsi="Arial"/>
                <w:sz w:val="20"/>
                <w:szCs w:val="20"/>
                <w:color w:val="auto"/>
                <w:w w:val="99"/>
              </w:rPr>
              <w:t>(principal accounting officer)</w:t>
            </w:r>
          </w:p>
        </w:tc>
      </w:tr>
      <w:tr>
        <w:trPr>
          <w:trHeight w:val="802"/>
        </w:trPr>
        <w:tc>
          <w:tcPr>
            <w:tcW w:w="5620" w:type="dxa"/>
            <w:vAlign w:val="bottom"/>
          </w:tcPr>
          <w:p>
            <w:pPr>
              <w:spacing w:after="0"/>
              <w:rPr>
                <w:sz w:val="20"/>
                <w:szCs w:val="20"/>
                <w:color w:val="auto"/>
              </w:rPr>
            </w:pPr>
            <w:r>
              <w:rPr>
                <w:rFonts w:ascii="Arial" w:cs="Arial" w:eastAsia="Arial" w:hAnsi="Arial"/>
                <w:sz w:val="20"/>
                <w:szCs w:val="20"/>
                <w:color w:val="auto"/>
              </w:rPr>
              <w:t>May 19, 2026</w:t>
            </w:r>
          </w:p>
        </w:tc>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rPr>
              <w:t>/s/ Richard Beckwitt</w:t>
            </w:r>
          </w:p>
        </w:tc>
      </w:tr>
      <w:tr>
        <w:trPr>
          <w:trHeight w:val="267"/>
        </w:trPr>
        <w:tc>
          <w:tcPr>
            <w:tcW w:w="5620" w:type="dxa"/>
            <w:vAlign w:val="bottom"/>
          </w:tcPr>
          <w:p>
            <w:pPr>
              <w:spacing w:after="0"/>
              <w:rPr>
                <w:sz w:val="23"/>
                <w:szCs w:val="23"/>
                <w:color w:val="auto"/>
              </w:rPr>
            </w:pPr>
          </w:p>
        </w:tc>
        <w:tc>
          <w:tcPr>
            <w:tcW w:w="3740" w:type="dxa"/>
            <w:vAlign w:val="bottom"/>
          </w:tcPr>
          <w:p>
            <w:pPr>
              <w:jc w:val="center"/>
              <w:spacing w:after="0"/>
              <w:rPr>
                <w:sz w:val="20"/>
                <w:szCs w:val="20"/>
                <w:color w:val="auto"/>
              </w:rPr>
            </w:pPr>
            <w:r>
              <w:rPr>
                <w:rFonts w:ascii="Arial" w:cs="Arial" w:eastAsia="Arial" w:hAnsi="Arial"/>
                <w:sz w:val="20"/>
                <w:szCs w:val="20"/>
                <w:color w:val="auto"/>
                <w:w w:val="99"/>
              </w:rPr>
              <w:t>Richard Beckwitt, Director</w:t>
            </w:r>
          </w:p>
        </w:tc>
      </w:tr>
      <w:tr>
        <w:trPr>
          <w:trHeight w:val="446"/>
        </w:trPr>
        <w:tc>
          <w:tcPr>
            <w:tcW w:w="5620" w:type="dxa"/>
            <w:vAlign w:val="bottom"/>
          </w:tcPr>
          <w:p>
            <w:pPr>
              <w:spacing w:after="0"/>
              <w:rPr>
                <w:sz w:val="20"/>
                <w:szCs w:val="20"/>
                <w:color w:val="auto"/>
              </w:rPr>
            </w:pPr>
            <w:r>
              <w:rPr>
                <w:rFonts w:ascii="Arial" w:cs="Arial" w:eastAsia="Arial" w:hAnsi="Arial"/>
                <w:sz w:val="20"/>
                <w:szCs w:val="20"/>
                <w:color w:val="auto"/>
              </w:rPr>
              <w:t>May 19, 2026</w:t>
            </w:r>
          </w:p>
        </w:tc>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9"/>
              </w:rPr>
              <w:t>/s/ Margot L. Carter</w:t>
            </w:r>
          </w:p>
        </w:tc>
      </w:tr>
      <w:tr>
        <w:trPr>
          <w:trHeight w:val="267"/>
        </w:trPr>
        <w:tc>
          <w:tcPr>
            <w:tcW w:w="5620" w:type="dxa"/>
            <w:vAlign w:val="bottom"/>
          </w:tcPr>
          <w:p>
            <w:pPr>
              <w:spacing w:after="0"/>
              <w:rPr>
                <w:sz w:val="23"/>
                <w:szCs w:val="23"/>
                <w:color w:val="auto"/>
              </w:rPr>
            </w:pPr>
          </w:p>
        </w:tc>
        <w:tc>
          <w:tcPr>
            <w:tcW w:w="3740" w:type="dxa"/>
            <w:vAlign w:val="bottom"/>
          </w:tcPr>
          <w:p>
            <w:pPr>
              <w:jc w:val="center"/>
              <w:spacing w:after="0"/>
              <w:rPr>
                <w:sz w:val="20"/>
                <w:szCs w:val="20"/>
                <w:color w:val="auto"/>
              </w:rPr>
            </w:pPr>
            <w:r>
              <w:rPr>
                <w:rFonts w:ascii="Arial" w:cs="Arial" w:eastAsia="Arial" w:hAnsi="Arial"/>
                <w:sz w:val="20"/>
                <w:szCs w:val="20"/>
                <w:color w:val="auto"/>
              </w:rPr>
              <w:t>Margot L. Carter, Director</w:t>
            </w:r>
          </w:p>
        </w:tc>
      </w:tr>
      <w:tr>
        <w:trPr>
          <w:trHeight w:val="446"/>
        </w:trPr>
        <w:tc>
          <w:tcPr>
            <w:tcW w:w="5620" w:type="dxa"/>
            <w:vAlign w:val="bottom"/>
          </w:tcPr>
          <w:p>
            <w:pPr>
              <w:spacing w:after="0"/>
              <w:rPr>
                <w:sz w:val="20"/>
                <w:szCs w:val="20"/>
                <w:color w:val="auto"/>
              </w:rPr>
            </w:pPr>
            <w:r>
              <w:rPr>
                <w:rFonts w:ascii="Arial" w:cs="Arial" w:eastAsia="Arial" w:hAnsi="Arial"/>
                <w:sz w:val="20"/>
                <w:szCs w:val="20"/>
                <w:color w:val="auto"/>
              </w:rPr>
              <w:t>May 19, 2026</w:t>
            </w:r>
          </w:p>
        </w:tc>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rPr>
              <w:t>/s/ George J. Damiris</w:t>
            </w:r>
          </w:p>
        </w:tc>
      </w:tr>
      <w:tr>
        <w:trPr>
          <w:trHeight w:val="267"/>
        </w:trPr>
        <w:tc>
          <w:tcPr>
            <w:tcW w:w="5620" w:type="dxa"/>
            <w:vAlign w:val="bottom"/>
          </w:tcPr>
          <w:p>
            <w:pPr>
              <w:spacing w:after="0"/>
              <w:rPr>
                <w:sz w:val="23"/>
                <w:szCs w:val="23"/>
                <w:color w:val="auto"/>
              </w:rPr>
            </w:pPr>
          </w:p>
        </w:tc>
        <w:tc>
          <w:tcPr>
            <w:tcW w:w="3740" w:type="dxa"/>
            <w:vAlign w:val="bottom"/>
          </w:tcPr>
          <w:p>
            <w:pPr>
              <w:jc w:val="center"/>
              <w:spacing w:after="0"/>
              <w:rPr>
                <w:sz w:val="20"/>
                <w:szCs w:val="20"/>
                <w:color w:val="auto"/>
              </w:rPr>
            </w:pPr>
            <w:r>
              <w:rPr>
                <w:rFonts w:ascii="Arial" w:cs="Arial" w:eastAsia="Arial" w:hAnsi="Arial"/>
                <w:sz w:val="20"/>
                <w:szCs w:val="20"/>
                <w:color w:val="auto"/>
              </w:rPr>
              <w:t>George J. Damiris, Director</w:t>
            </w:r>
          </w:p>
        </w:tc>
      </w:tr>
      <w:tr>
        <w:trPr>
          <w:trHeight w:val="506"/>
        </w:trPr>
        <w:tc>
          <w:tcPr>
            <w:tcW w:w="5620" w:type="dxa"/>
            <w:vAlign w:val="bottom"/>
          </w:tcPr>
          <w:p>
            <w:pPr>
              <w:spacing w:after="0"/>
              <w:rPr>
                <w:sz w:val="20"/>
                <w:szCs w:val="20"/>
                <w:color w:val="auto"/>
              </w:rPr>
            </w:pPr>
            <w:r>
              <w:rPr>
                <w:rFonts w:ascii="Arial" w:cs="Arial" w:eastAsia="Arial" w:hAnsi="Arial"/>
                <w:sz w:val="20"/>
                <w:szCs w:val="20"/>
                <w:color w:val="auto"/>
              </w:rPr>
              <w:t>May 19, 2026</w:t>
            </w:r>
          </w:p>
        </w:tc>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9"/>
              </w:rPr>
              <w:t>/s/ Martin M. Ellen</w:t>
            </w:r>
          </w:p>
        </w:tc>
      </w:tr>
      <w:tr>
        <w:trPr>
          <w:trHeight w:val="267"/>
        </w:trPr>
        <w:tc>
          <w:tcPr>
            <w:tcW w:w="5620" w:type="dxa"/>
            <w:vAlign w:val="bottom"/>
          </w:tcPr>
          <w:p>
            <w:pPr>
              <w:spacing w:after="0"/>
              <w:rPr>
                <w:sz w:val="23"/>
                <w:szCs w:val="23"/>
                <w:color w:val="auto"/>
              </w:rPr>
            </w:pPr>
          </w:p>
        </w:tc>
        <w:tc>
          <w:tcPr>
            <w:tcW w:w="3740" w:type="dxa"/>
            <w:vAlign w:val="bottom"/>
          </w:tcPr>
          <w:p>
            <w:pPr>
              <w:jc w:val="center"/>
              <w:spacing w:after="0"/>
              <w:rPr>
                <w:sz w:val="20"/>
                <w:szCs w:val="20"/>
                <w:color w:val="auto"/>
              </w:rPr>
            </w:pPr>
            <w:r>
              <w:rPr>
                <w:rFonts w:ascii="Arial" w:cs="Arial" w:eastAsia="Arial" w:hAnsi="Arial"/>
                <w:sz w:val="20"/>
                <w:szCs w:val="20"/>
                <w:color w:val="auto"/>
              </w:rPr>
              <w:t>Martin M. Ellen, Director</w:t>
            </w:r>
          </w:p>
        </w:tc>
      </w:tr>
      <w:tr>
        <w:trPr>
          <w:trHeight w:val="506"/>
        </w:trPr>
        <w:tc>
          <w:tcPr>
            <w:tcW w:w="5620" w:type="dxa"/>
            <w:vAlign w:val="bottom"/>
          </w:tcPr>
          <w:p>
            <w:pPr>
              <w:spacing w:after="0"/>
              <w:rPr>
                <w:sz w:val="20"/>
                <w:szCs w:val="20"/>
                <w:color w:val="auto"/>
              </w:rPr>
            </w:pPr>
            <w:r>
              <w:rPr>
                <w:rFonts w:ascii="Arial" w:cs="Arial" w:eastAsia="Arial" w:hAnsi="Arial"/>
                <w:sz w:val="20"/>
                <w:szCs w:val="20"/>
                <w:color w:val="auto"/>
              </w:rPr>
              <w:t>May 19, 2026</w:t>
            </w:r>
          </w:p>
        </w:tc>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rPr>
              <w:t>/s/ Mauro Gregorio</w:t>
            </w:r>
          </w:p>
        </w:tc>
      </w:tr>
      <w:tr>
        <w:trPr>
          <w:trHeight w:val="267"/>
        </w:trPr>
        <w:tc>
          <w:tcPr>
            <w:tcW w:w="5620" w:type="dxa"/>
            <w:vAlign w:val="bottom"/>
          </w:tcPr>
          <w:p>
            <w:pPr>
              <w:spacing w:after="0"/>
              <w:rPr>
                <w:sz w:val="23"/>
                <w:szCs w:val="23"/>
                <w:color w:val="auto"/>
              </w:rPr>
            </w:pPr>
          </w:p>
        </w:tc>
        <w:tc>
          <w:tcPr>
            <w:tcW w:w="3740" w:type="dxa"/>
            <w:vAlign w:val="bottom"/>
          </w:tcPr>
          <w:p>
            <w:pPr>
              <w:jc w:val="center"/>
              <w:spacing w:after="0"/>
              <w:rPr>
                <w:sz w:val="20"/>
                <w:szCs w:val="20"/>
                <w:color w:val="auto"/>
              </w:rPr>
            </w:pPr>
            <w:r>
              <w:rPr>
                <w:rFonts w:ascii="Arial" w:cs="Arial" w:eastAsia="Arial" w:hAnsi="Arial"/>
                <w:sz w:val="20"/>
                <w:szCs w:val="20"/>
                <w:color w:val="auto"/>
                <w:w w:val="99"/>
              </w:rPr>
              <w:t>Mauro Gregorio, Director</w:t>
            </w:r>
          </w:p>
        </w:tc>
      </w:tr>
      <w:tr>
        <w:trPr>
          <w:trHeight w:val="506"/>
        </w:trPr>
        <w:tc>
          <w:tcPr>
            <w:tcW w:w="5620" w:type="dxa"/>
            <w:vAlign w:val="bottom"/>
          </w:tcPr>
          <w:p>
            <w:pPr>
              <w:spacing w:after="0"/>
              <w:rPr>
                <w:sz w:val="20"/>
                <w:szCs w:val="20"/>
                <w:color w:val="auto"/>
              </w:rPr>
            </w:pPr>
            <w:r>
              <w:rPr>
                <w:rFonts w:ascii="Arial" w:cs="Arial" w:eastAsia="Arial" w:hAnsi="Arial"/>
                <w:sz w:val="20"/>
                <w:szCs w:val="20"/>
                <w:color w:val="auto"/>
              </w:rPr>
              <w:t>May 19, 2026</w:t>
            </w:r>
          </w:p>
        </w:tc>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9"/>
              </w:rPr>
              <w:t>/s/ Michael R. Nicolais</w:t>
            </w:r>
          </w:p>
        </w:tc>
      </w:tr>
      <w:tr>
        <w:trPr>
          <w:trHeight w:val="267"/>
        </w:trPr>
        <w:tc>
          <w:tcPr>
            <w:tcW w:w="5620" w:type="dxa"/>
            <w:vAlign w:val="bottom"/>
          </w:tcPr>
          <w:p>
            <w:pPr>
              <w:spacing w:after="0"/>
              <w:rPr>
                <w:sz w:val="23"/>
                <w:szCs w:val="23"/>
                <w:color w:val="auto"/>
              </w:rPr>
            </w:pPr>
          </w:p>
        </w:tc>
        <w:tc>
          <w:tcPr>
            <w:tcW w:w="3740" w:type="dxa"/>
            <w:vAlign w:val="bottom"/>
          </w:tcPr>
          <w:p>
            <w:pPr>
              <w:jc w:val="center"/>
              <w:spacing w:after="0"/>
              <w:rPr>
                <w:sz w:val="20"/>
                <w:szCs w:val="20"/>
                <w:color w:val="auto"/>
              </w:rPr>
            </w:pPr>
            <w:r>
              <w:rPr>
                <w:rFonts w:ascii="Arial" w:cs="Arial" w:eastAsia="Arial" w:hAnsi="Arial"/>
                <w:sz w:val="20"/>
                <w:szCs w:val="20"/>
                <w:color w:val="auto"/>
              </w:rPr>
              <w:t>Michael R. Nicolais, Director</w:t>
            </w:r>
          </w:p>
        </w:tc>
      </w:tr>
    </w:tbl>
    <w:p>
      <w:pPr>
        <w:spacing w:after="0" w:line="200" w:lineRule="exact"/>
        <w:rPr>
          <w:sz w:val="20"/>
          <w:szCs w:val="20"/>
          <w:color w:val="auto"/>
        </w:rPr>
      </w:pPr>
    </w:p>
    <w:p>
      <w:pPr>
        <w:sectPr>
          <w:pgSz w:w="11880" w:h="15480" w:orient="portrait"/>
          <w:cols w:equalWidth="0" w:num="1">
            <w:col w:w="9360"/>
          </w:cols>
          <w:pgMar w:left="1260" w:top="1234" w:right="1260" w:bottom="7" w:gutter="0" w:footer="0" w:header="0"/>
        </w:sect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128</w:t>
      </w:r>
    </w:p>
    <w:p>
      <w:pPr>
        <w:sectPr>
          <w:pgSz w:w="11880" w:h="15480" w:orient="portrait"/>
          <w:cols w:equalWidth="0" w:num="1">
            <w:col w:w="9360"/>
          </w:cols>
          <w:pgMar w:left="1260" w:top="1234" w:right="1260" w:bottom="7" w:gutter="0" w:footer="0" w:header="0"/>
          <w:type w:val="continuous"/>
        </w:sectPr>
      </w:pPr>
    </w:p>
    <w:bookmarkStart w:id="136" w:name="page137"/>
    <w:bookmarkEnd w:id="136"/>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620" w:type="dxa"/>
            <w:vAlign w:val="bottom"/>
          </w:tcPr>
          <w:p>
            <w:pPr>
              <w:spacing w:after="0"/>
              <w:rPr>
                <w:sz w:val="20"/>
                <w:szCs w:val="20"/>
                <w:color w:val="auto"/>
              </w:rPr>
            </w:pPr>
            <w:r>
              <w:rPr>
                <w:rFonts w:ascii="Arial" w:cs="Arial" w:eastAsia="Arial" w:hAnsi="Arial"/>
                <w:sz w:val="20"/>
                <w:szCs w:val="20"/>
                <w:color w:val="auto"/>
              </w:rPr>
              <w:t>May 19, 2026</w:t>
            </w:r>
          </w:p>
        </w:tc>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9"/>
              </w:rPr>
              <w:t>/s/ Mary P. Ricciardello</w:t>
            </w:r>
          </w:p>
        </w:tc>
      </w:tr>
      <w:tr>
        <w:trPr>
          <w:trHeight w:val="267"/>
        </w:trPr>
        <w:tc>
          <w:tcPr>
            <w:tcW w:w="5620" w:type="dxa"/>
            <w:vAlign w:val="bottom"/>
          </w:tcPr>
          <w:p>
            <w:pPr>
              <w:spacing w:after="0"/>
              <w:rPr>
                <w:sz w:val="23"/>
                <w:szCs w:val="23"/>
                <w:color w:val="auto"/>
              </w:rPr>
            </w:pPr>
          </w:p>
        </w:tc>
        <w:tc>
          <w:tcPr>
            <w:tcW w:w="3740" w:type="dxa"/>
            <w:vAlign w:val="bottom"/>
          </w:tcPr>
          <w:p>
            <w:pPr>
              <w:jc w:val="center"/>
              <w:spacing w:after="0"/>
              <w:rPr>
                <w:sz w:val="20"/>
                <w:szCs w:val="20"/>
                <w:color w:val="auto"/>
              </w:rPr>
            </w:pPr>
            <w:r>
              <w:rPr>
                <w:rFonts w:ascii="Arial" w:cs="Arial" w:eastAsia="Arial" w:hAnsi="Arial"/>
                <w:sz w:val="20"/>
                <w:szCs w:val="20"/>
                <w:color w:val="auto"/>
              </w:rPr>
              <w:t>Mary P. Ricciardello, Director</w:t>
            </w:r>
          </w:p>
        </w:tc>
      </w:tr>
      <w:tr>
        <w:trPr>
          <w:trHeight w:val="552"/>
        </w:trPr>
        <w:tc>
          <w:tcPr>
            <w:tcW w:w="5620" w:type="dxa"/>
            <w:vAlign w:val="bottom"/>
          </w:tcPr>
          <w:p>
            <w:pPr>
              <w:spacing w:after="0"/>
              <w:rPr>
                <w:sz w:val="20"/>
                <w:szCs w:val="20"/>
                <w:color w:val="auto"/>
              </w:rPr>
            </w:pPr>
            <w:r>
              <w:rPr>
                <w:rFonts w:ascii="Arial" w:cs="Arial" w:eastAsia="Arial" w:hAnsi="Arial"/>
                <w:sz w:val="20"/>
                <w:szCs w:val="20"/>
                <w:color w:val="auto"/>
              </w:rPr>
              <w:t>May 19, 2026</w:t>
            </w:r>
          </w:p>
        </w:tc>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9"/>
              </w:rPr>
              <w:t>/s/ David Rush</w:t>
            </w:r>
          </w:p>
        </w:tc>
      </w:tr>
      <w:tr>
        <w:trPr>
          <w:trHeight w:val="302"/>
        </w:trPr>
        <w:tc>
          <w:tcPr>
            <w:tcW w:w="5620" w:type="dxa"/>
            <w:vAlign w:val="bottom"/>
          </w:tcPr>
          <w:p>
            <w:pPr>
              <w:spacing w:after="0"/>
              <w:rPr>
                <w:sz w:val="24"/>
                <w:szCs w:val="24"/>
                <w:color w:val="auto"/>
              </w:rPr>
            </w:pPr>
          </w:p>
        </w:tc>
        <w:tc>
          <w:tcPr>
            <w:tcW w:w="3740" w:type="dxa"/>
            <w:vAlign w:val="bottom"/>
          </w:tcPr>
          <w:p>
            <w:pPr>
              <w:jc w:val="center"/>
              <w:spacing w:after="0"/>
              <w:rPr>
                <w:sz w:val="20"/>
                <w:szCs w:val="20"/>
                <w:color w:val="auto"/>
              </w:rPr>
            </w:pPr>
            <w:r>
              <w:rPr>
                <w:rFonts w:ascii="Arial" w:cs="Arial" w:eastAsia="Arial" w:hAnsi="Arial"/>
                <w:sz w:val="20"/>
                <w:szCs w:val="20"/>
                <w:color w:val="auto"/>
                <w:w w:val="99"/>
              </w:rPr>
              <w:t>David Rush, Director</w:t>
            </w:r>
          </w:p>
        </w:tc>
      </w:tr>
    </w:tbl>
    <w:p>
      <w:pPr>
        <w:spacing w:after="0" w:line="200" w:lineRule="exact"/>
        <w:rPr>
          <w:sz w:val="20"/>
          <w:szCs w:val="20"/>
          <w:color w:val="auto"/>
        </w:rPr>
      </w:pPr>
    </w:p>
    <w:p>
      <w:pPr>
        <w:sectPr>
          <w:pgSz w:w="11880" w:h="15480" w:orient="portrait"/>
          <w:cols w:equalWidth="0" w:num="1">
            <w:col w:w="9360"/>
          </w:cols>
          <w:pgMar w:left="1260" w:top="1440" w:right="1260" w:bottom="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129</w:t>
      </w:r>
    </w:p>
    <w:p>
      <w:pPr>
        <w:sectPr>
          <w:pgSz w:w="11880" w:h="15480" w:orient="portrait"/>
          <w:cols w:equalWidth="0" w:num="1">
            <w:col w:w="9360"/>
          </w:cols>
          <w:pgMar w:left="1260" w:top="1440" w:right="1260" w:bottom="7" w:gutter="0" w:footer="0" w:header="0"/>
          <w:type w:val="continuous"/>
        </w:sectPr>
      </w:pPr>
    </w:p>
    <w:bookmarkStart w:id="137" w:name="page138"/>
    <w:bookmarkEnd w:id="137"/>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138" w:name="page139"/>
    <w:bookmarkEnd w:id="13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BOARD OF DIRECTORS</w:t>
      </w:r>
    </w:p>
    <w:p>
      <w:pPr>
        <w:spacing w:after="0" w:line="220"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 xml:space="preserve">Richard Beckwitt </w:t>
      </w:r>
      <w:r>
        <w:rPr>
          <w:rFonts w:ascii="Arial" w:cs="Arial" w:eastAsia="Arial" w:hAnsi="Arial"/>
          <w:sz w:val="9"/>
          <w:szCs w:val="9"/>
          <w:b w:val="1"/>
          <w:bCs w:val="1"/>
          <w:color w:val="auto"/>
        </w:rPr>
        <w:t>(4)</w:t>
      </w:r>
    </w:p>
    <w:p>
      <w:pPr>
        <w:ind w:left="180" w:right="740"/>
        <w:spacing w:after="0" w:line="284" w:lineRule="auto"/>
        <w:rPr>
          <w:sz w:val="20"/>
          <w:szCs w:val="20"/>
          <w:color w:val="auto"/>
        </w:rPr>
      </w:pPr>
      <w:r>
        <w:rPr>
          <w:rFonts w:ascii="Arial" w:cs="Arial" w:eastAsia="Arial" w:hAnsi="Arial"/>
          <w:sz w:val="16"/>
          <w:szCs w:val="16"/>
          <w:color w:val="auto"/>
        </w:rPr>
        <w:t>Retired Co-Chief Executive Officer and Co-President, Lennar Corporation</w:t>
      </w:r>
    </w:p>
    <w:p>
      <w:pPr>
        <w:spacing w:after="0" w:line="21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 xml:space="preserve">Margot L. Carter </w:t>
      </w:r>
      <w:r>
        <w:rPr>
          <w:rFonts w:ascii="Arial" w:cs="Arial" w:eastAsia="Arial" w:hAnsi="Arial"/>
          <w:sz w:val="9"/>
          <w:szCs w:val="9"/>
          <w:b w:val="1"/>
          <w:bCs w:val="1"/>
          <w:color w:val="auto"/>
        </w:rPr>
        <w:t>(2, 4)</w:t>
      </w:r>
    </w:p>
    <w:p>
      <w:pPr>
        <w:spacing w:after="0" w:line="1" w:lineRule="exact"/>
        <w:rPr>
          <w:sz w:val="20"/>
          <w:szCs w:val="20"/>
          <w:color w:val="auto"/>
        </w:rPr>
      </w:pPr>
    </w:p>
    <w:p>
      <w:pPr>
        <w:ind w:left="180" w:right="540"/>
        <w:spacing w:after="0" w:line="298" w:lineRule="auto"/>
        <w:rPr>
          <w:sz w:val="20"/>
          <w:szCs w:val="20"/>
          <w:color w:val="auto"/>
        </w:rPr>
      </w:pPr>
      <w:r>
        <w:rPr>
          <w:rFonts w:ascii="Arial" w:cs="Arial" w:eastAsia="Arial" w:hAnsi="Arial"/>
          <w:sz w:val="16"/>
          <w:szCs w:val="16"/>
          <w:color w:val="auto"/>
        </w:rPr>
        <w:t>President and Founder, Living Mountain Capital L.L.C.</w:t>
      </w:r>
    </w:p>
    <w:p>
      <w:pPr>
        <w:spacing w:after="0" w:line="227"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 xml:space="preserve">George J. Damiris </w:t>
      </w:r>
      <w:r>
        <w:rPr>
          <w:rFonts w:ascii="Arial" w:cs="Arial" w:eastAsia="Arial" w:hAnsi="Arial"/>
          <w:sz w:val="9"/>
          <w:szCs w:val="9"/>
          <w:b w:val="1"/>
          <w:bCs w:val="1"/>
          <w:color w:val="auto"/>
        </w:rPr>
        <w:t>(2)</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Retired Chief Executive Officer</w:t>
      </w:r>
    </w:p>
    <w:p>
      <w:pPr>
        <w:spacing w:after="0" w:line="13" w:lineRule="exact"/>
        <w:rPr>
          <w:sz w:val="20"/>
          <w:szCs w:val="20"/>
          <w:color w:val="auto"/>
        </w:rPr>
      </w:pPr>
    </w:p>
    <w:p>
      <w:pPr>
        <w:ind w:left="180" w:right="880"/>
        <w:spacing w:after="0" w:line="305" w:lineRule="auto"/>
        <w:rPr>
          <w:sz w:val="20"/>
          <w:szCs w:val="20"/>
          <w:color w:val="auto"/>
        </w:rPr>
      </w:pPr>
      <w:r>
        <w:rPr>
          <w:rFonts w:ascii="Arial" w:cs="Arial" w:eastAsia="Arial" w:hAnsi="Arial"/>
          <w:sz w:val="16"/>
          <w:szCs w:val="16"/>
          <w:color w:val="auto"/>
        </w:rPr>
        <w:t>and President, HollyFrontier Corporation</w:t>
      </w:r>
    </w:p>
    <w:p>
      <w:pPr>
        <w:spacing w:after="0" w:line="216"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 xml:space="preserve">Martin M. Ellen </w:t>
      </w:r>
      <w:r>
        <w:rPr>
          <w:rFonts w:ascii="Arial" w:cs="Arial" w:eastAsia="Arial" w:hAnsi="Arial"/>
          <w:sz w:val="9"/>
          <w:szCs w:val="9"/>
          <w:b w:val="1"/>
          <w:bCs w:val="1"/>
          <w:color w:val="auto"/>
        </w:rPr>
        <w:t>(3)</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Retired Chief Financial Officer</w:t>
      </w:r>
    </w:p>
    <w:p>
      <w:pPr>
        <w:spacing w:after="0" w:line="13" w:lineRule="exact"/>
        <w:rPr>
          <w:sz w:val="20"/>
          <w:szCs w:val="20"/>
          <w:color w:val="auto"/>
        </w:rPr>
      </w:pPr>
    </w:p>
    <w:p>
      <w:pPr>
        <w:ind w:left="180" w:right="460"/>
        <w:spacing w:after="0" w:line="305" w:lineRule="auto"/>
        <w:rPr>
          <w:sz w:val="20"/>
          <w:szCs w:val="20"/>
          <w:color w:val="auto"/>
        </w:rPr>
      </w:pPr>
      <w:r>
        <w:rPr>
          <w:rFonts w:ascii="Arial" w:cs="Arial" w:eastAsia="Arial" w:hAnsi="Arial"/>
          <w:sz w:val="16"/>
          <w:szCs w:val="16"/>
          <w:color w:val="auto"/>
        </w:rPr>
        <w:t>and Executive Vice President, Dr Pepper Snapple Group, Inc.</w:t>
      </w:r>
    </w:p>
    <w:p>
      <w:pPr>
        <w:spacing w:after="0" w:line="227"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 xml:space="preserve">Mauro Gregorio </w:t>
      </w:r>
      <w:r>
        <w:rPr>
          <w:rFonts w:ascii="Arial" w:cs="Arial" w:eastAsia="Arial" w:hAnsi="Arial"/>
          <w:sz w:val="9"/>
          <w:szCs w:val="9"/>
          <w:b w:val="1"/>
          <w:bCs w:val="1"/>
          <w:color w:val="auto"/>
        </w:rPr>
        <w:t>(3, 4)</w:t>
      </w:r>
    </w:p>
    <w:p>
      <w:pPr>
        <w:ind w:left="180" w:right="300"/>
        <w:spacing w:after="0" w:line="284" w:lineRule="auto"/>
        <w:rPr>
          <w:sz w:val="20"/>
          <w:szCs w:val="20"/>
          <w:color w:val="auto"/>
        </w:rPr>
      </w:pPr>
      <w:r>
        <w:rPr>
          <w:rFonts w:ascii="Arial" w:cs="Arial" w:eastAsia="Arial" w:hAnsi="Arial"/>
          <w:sz w:val="16"/>
          <w:szCs w:val="16"/>
          <w:color w:val="auto"/>
        </w:rPr>
        <w:t>Retired President of Performance Materials and Coatings Division Dow, Inc.</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 xml:space="preserve">Michael R. Haack </w:t>
      </w:r>
      <w:r>
        <w:rPr>
          <w:rFonts w:ascii="Arial" w:cs="Arial" w:eastAsia="Arial" w:hAnsi="Arial"/>
          <w:sz w:val="9"/>
          <w:szCs w:val="9"/>
          <w:b w:val="1"/>
          <w:bCs w:val="1"/>
          <w:color w:val="auto"/>
        </w:rPr>
        <w:t>(1)</w:t>
      </w:r>
    </w:p>
    <w:p>
      <w:pPr>
        <w:ind w:left="180"/>
        <w:spacing w:after="0" w:line="305" w:lineRule="auto"/>
        <w:rPr>
          <w:sz w:val="20"/>
          <w:szCs w:val="20"/>
          <w:color w:val="auto"/>
        </w:rPr>
      </w:pPr>
      <w:r>
        <w:rPr>
          <w:rFonts w:ascii="Arial" w:cs="Arial" w:eastAsia="Arial" w:hAnsi="Arial"/>
          <w:sz w:val="16"/>
          <w:szCs w:val="16"/>
          <w:color w:val="auto"/>
        </w:rPr>
        <w:t>President and Chief Executive Officer Eagle Materials Inc.</w:t>
      </w:r>
    </w:p>
    <w:p>
      <w:pPr>
        <w:spacing w:after="0" w:line="264" w:lineRule="exact"/>
        <w:rPr>
          <w:sz w:val="20"/>
          <w:szCs w:val="20"/>
          <w:color w:val="auto"/>
        </w:rPr>
      </w:pPr>
    </w:p>
    <w:p>
      <w:pPr>
        <w:ind w:left="180" w:right="440"/>
        <w:spacing w:after="0" w:line="248" w:lineRule="auto"/>
        <w:rPr>
          <w:sz w:val="20"/>
          <w:szCs w:val="20"/>
          <w:color w:val="auto"/>
        </w:rPr>
      </w:pPr>
      <w:r>
        <w:rPr>
          <w:rFonts w:ascii="Arial" w:cs="Arial" w:eastAsia="Arial" w:hAnsi="Arial"/>
          <w:sz w:val="16"/>
          <w:szCs w:val="16"/>
          <w:b w:val="1"/>
          <w:bCs w:val="1"/>
          <w:color w:val="auto"/>
        </w:rPr>
        <w:t xml:space="preserve">Michael R. Nicolais </w:t>
      </w:r>
      <w:r>
        <w:rPr>
          <w:rFonts w:ascii="Arial" w:cs="Arial" w:eastAsia="Arial" w:hAnsi="Arial"/>
          <w:sz w:val="9"/>
          <w:szCs w:val="9"/>
          <w:b w:val="1"/>
          <w:bCs w:val="1"/>
          <w:color w:val="auto"/>
        </w:rPr>
        <w:t>(1, 2)</w:t>
      </w:r>
      <w:r>
        <w:rPr>
          <w:rFonts w:ascii="Arial" w:cs="Arial" w:eastAsia="Arial" w:hAnsi="Arial"/>
          <w:sz w:val="16"/>
          <w:szCs w:val="16"/>
          <w:b w:val="1"/>
          <w:bCs w:val="1"/>
          <w:color w:val="auto"/>
        </w:rPr>
        <w:t xml:space="preserve"> </w:t>
      </w:r>
      <w:r>
        <w:rPr>
          <w:rFonts w:ascii="Arial" w:cs="Arial" w:eastAsia="Arial" w:hAnsi="Arial"/>
          <w:sz w:val="16"/>
          <w:szCs w:val="16"/>
          <w:color w:val="auto"/>
        </w:rPr>
        <w:t>Founder and Managing Partner</w:t>
      </w:r>
    </w:p>
    <w:p>
      <w:pPr>
        <w:spacing w:after="0" w:line="2" w:lineRule="exact"/>
        <w:rPr>
          <w:sz w:val="20"/>
          <w:szCs w:val="20"/>
          <w:color w:val="auto"/>
        </w:rPr>
      </w:pPr>
    </w:p>
    <w:p>
      <w:pPr>
        <w:ind w:left="180" w:right="480"/>
        <w:spacing w:after="0" w:line="305" w:lineRule="auto"/>
        <w:rPr>
          <w:sz w:val="20"/>
          <w:szCs w:val="20"/>
          <w:color w:val="auto"/>
        </w:rPr>
      </w:pPr>
      <w:r>
        <w:rPr>
          <w:rFonts w:ascii="Arial" w:cs="Arial" w:eastAsia="Arial" w:hAnsi="Arial"/>
          <w:sz w:val="16"/>
          <w:szCs w:val="16"/>
          <w:color w:val="auto"/>
        </w:rPr>
        <w:t>Roble Drive Investment Co.; Chairman, Eagle Materials Inc.</w:t>
      </w:r>
    </w:p>
    <w:p>
      <w:pPr>
        <w:spacing w:after="0" w:line="236"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 xml:space="preserve">Mary P. Ricciardello </w:t>
      </w:r>
      <w:r>
        <w:rPr>
          <w:rFonts w:ascii="Arial" w:cs="Arial" w:eastAsia="Arial" w:hAnsi="Arial"/>
          <w:sz w:val="9"/>
          <w:szCs w:val="9"/>
          <w:b w:val="1"/>
          <w:bCs w:val="1"/>
          <w:color w:val="auto"/>
        </w:rPr>
        <w:t>(3, 4)</w:t>
      </w:r>
    </w:p>
    <w:p>
      <w:pPr>
        <w:ind w:left="180"/>
        <w:spacing w:after="0"/>
        <w:rPr>
          <w:sz w:val="20"/>
          <w:szCs w:val="20"/>
          <w:color w:val="auto"/>
        </w:rPr>
      </w:pPr>
      <w:r>
        <w:rPr>
          <w:rFonts w:ascii="Arial" w:cs="Arial" w:eastAsia="Arial" w:hAnsi="Arial"/>
          <w:sz w:val="16"/>
          <w:szCs w:val="16"/>
          <w:color w:val="auto"/>
        </w:rPr>
        <w:t>Retired Chief Accounting</w:t>
      </w:r>
    </w:p>
    <w:p>
      <w:pPr>
        <w:spacing w:after="0" w:line="1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Officer, Reliant Energy</w:t>
      </w:r>
    </w:p>
    <w:p>
      <w:pPr>
        <w:spacing w:after="0" w:line="33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 xml:space="preserve">David Rush </w:t>
      </w:r>
      <w:r>
        <w:rPr>
          <w:rFonts w:ascii="Arial" w:cs="Arial" w:eastAsia="Arial" w:hAnsi="Arial"/>
          <w:sz w:val="9"/>
          <w:szCs w:val="9"/>
          <w:b w:val="1"/>
          <w:bCs w:val="1"/>
          <w:color w:val="auto"/>
        </w:rPr>
        <w:t>(2,</w:t>
      </w:r>
      <w:r>
        <w:rPr>
          <w:rFonts w:ascii="Arial" w:cs="Arial" w:eastAsia="Arial" w:hAnsi="Arial"/>
          <w:sz w:val="16"/>
          <w:szCs w:val="16"/>
          <w:b w:val="1"/>
          <w:bCs w:val="1"/>
          <w:color w:val="auto"/>
        </w:rPr>
        <w:t xml:space="preserve"> </w:t>
      </w:r>
      <w:r>
        <w:rPr>
          <w:rFonts w:ascii="Arial" w:cs="Arial" w:eastAsia="Arial" w:hAnsi="Arial"/>
          <w:sz w:val="9"/>
          <w:szCs w:val="9"/>
          <w:b w:val="1"/>
          <w:bCs w:val="1"/>
          <w:color w:val="auto"/>
        </w:rPr>
        <w:t>3)</w:t>
      </w:r>
    </w:p>
    <w:p>
      <w:pPr>
        <w:ind w:left="180"/>
        <w:spacing w:after="0"/>
        <w:rPr>
          <w:sz w:val="20"/>
          <w:szCs w:val="20"/>
          <w:color w:val="auto"/>
        </w:rPr>
      </w:pPr>
      <w:r>
        <w:rPr>
          <w:rFonts w:ascii="Arial" w:cs="Arial" w:eastAsia="Arial" w:hAnsi="Arial"/>
          <w:sz w:val="16"/>
          <w:szCs w:val="16"/>
          <w:color w:val="auto"/>
        </w:rPr>
        <w:t>Retired President and CEO,</w:t>
      </w:r>
    </w:p>
    <w:p>
      <w:pPr>
        <w:spacing w:after="0" w:line="1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Builders FirstSource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EAGLE MATERIALS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-2108835</wp:posOffset>
            </wp:positionH>
            <wp:positionV relativeFrom="paragraph">
              <wp:posOffset>-481965</wp:posOffset>
            </wp:positionV>
            <wp:extent cx="5701665" cy="317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7">
                      <a:extLst>
                        <a:ext uri="{28A0092B-C50C-407E-A947-70E740481C1C}"/>
                      </a:extLst>
                    </a:blip>
                    <a:srcRect/>
                    <a:stretch>
                      <a:fillRect/>
                    </a:stretch>
                  </pic:blipFill>
                  <pic:spPr bwMode="auto">
                    <a:xfrm>
                      <a:off x="0" y="0"/>
                      <a:ext cx="5701665" cy="3175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Michael R. Haack</w:t>
      </w:r>
    </w:p>
    <w:p>
      <w:pPr>
        <w:spacing w:after="0"/>
        <w:rPr>
          <w:sz w:val="20"/>
          <w:szCs w:val="20"/>
          <w:color w:val="auto"/>
        </w:rPr>
      </w:pPr>
      <w:r>
        <w:rPr>
          <w:rFonts w:ascii="Arial" w:cs="Arial" w:eastAsia="Arial" w:hAnsi="Arial"/>
          <w:sz w:val="16"/>
          <w:szCs w:val="16"/>
          <w:color w:val="auto"/>
        </w:rPr>
        <w:t>President</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and Chief Executive Officer</w:t>
      </w:r>
    </w:p>
    <w:p>
      <w:pPr>
        <w:spacing w:after="0" w:line="317" w:lineRule="exact"/>
        <w:rPr>
          <w:sz w:val="20"/>
          <w:szCs w:val="20"/>
          <w:color w:val="auto"/>
        </w:rPr>
      </w:pPr>
    </w:p>
    <w:p>
      <w:pPr>
        <w:ind w:right="620"/>
        <w:spacing w:after="0" w:line="248" w:lineRule="auto"/>
        <w:rPr>
          <w:sz w:val="20"/>
          <w:szCs w:val="20"/>
          <w:color w:val="auto"/>
        </w:rPr>
      </w:pPr>
      <w:r>
        <w:rPr>
          <w:rFonts w:ascii="Arial" w:cs="Arial" w:eastAsia="Arial" w:hAnsi="Arial"/>
          <w:sz w:val="16"/>
          <w:szCs w:val="16"/>
          <w:b w:val="1"/>
          <w:bCs w:val="1"/>
          <w:color w:val="auto"/>
        </w:rPr>
        <w:t xml:space="preserve">D. Craig Kesler </w:t>
      </w:r>
      <w:r>
        <w:rPr>
          <w:rFonts w:ascii="Arial" w:cs="Arial" w:eastAsia="Arial" w:hAnsi="Arial"/>
          <w:sz w:val="16"/>
          <w:szCs w:val="16"/>
          <w:color w:val="auto"/>
        </w:rPr>
        <w:t>Executive Vice President</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and Chief Financial Officer</w:t>
      </w: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Matt Newby</w:t>
      </w:r>
    </w:p>
    <w:p>
      <w:pPr>
        <w:ind w:right="140"/>
        <w:spacing w:after="0" w:line="305" w:lineRule="auto"/>
        <w:rPr>
          <w:sz w:val="20"/>
          <w:szCs w:val="20"/>
          <w:color w:val="auto"/>
        </w:rPr>
      </w:pPr>
      <w:r>
        <w:rPr>
          <w:rFonts w:ascii="Arial" w:cs="Arial" w:eastAsia="Arial" w:hAnsi="Arial"/>
          <w:sz w:val="16"/>
          <w:szCs w:val="16"/>
          <w:color w:val="auto"/>
        </w:rPr>
        <w:t>Executive Vice President, General Counsel and Secretary</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Alex Haddock</w:t>
      </w:r>
    </w:p>
    <w:p>
      <w:pPr>
        <w:spacing w:after="0"/>
        <w:rPr>
          <w:sz w:val="20"/>
          <w:szCs w:val="20"/>
          <w:color w:val="auto"/>
        </w:rPr>
      </w:pPr>
      <w:r>
        <w:rPr>
          <w:rFonts w:ascii="Arial" w:cs="Arial" w:eastAsia="Arial" w:hAnsi="Arial"/>
          <w:sz w:val="16"/>
          <w:szCs w:val="16"/>
          <w:color w:val="auto"/>
        </w:rPr>
        <w:t>Senior Vice President,</w:t>
      </w:r>
    </w:p>
    <w:p>
      <w:pPr>
        <w:spacing w:after="0" w:line="18" w:lineRule="exact"/>
        <w:rPr>
          <w:sz w:val="20"/>
          <w:szCs w:val="20"/>
          <w:color w:val="auto"/>
        </w:rPr>
      </w:pPr>
    </w:p>
    <w:p>
      <w:pPr>
        <w:ind w:right="60"/>
        <w:spacing w:after="0" w:line="305" w:lineRule="auto"/>
        <w:rPr>
          <w:sz w:val="20"/>
          <w:szCs w:val="20"/>
          <w:color w:val="auto"/>
        </w:rPr>
      </w:pPr>
      <w:r>
        <w:rPr>
          <w:rFonts w:ascii="Arial" w:cs="Arial" w:eastAsia="Arial" w:hAnsi="Arial"/>
          <w:sz w:val="16"/>
          <w:szCs w:val="16"/>
          <w:color w:val="auto"/>
        </w:rPr>
        <w:t>Investor Relations, Strategy, and Corporate Development</w:t>
      </w: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ORGANIZATION</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Tom Hamp</w:t>
      </w:r>
    </w:p>
    <w:p>
      <w:pPr>
        <w:spacing w:after="0"/>
        <w:rPr>
          <w:sz w:val="20"/>
          <w:szCs w:val="20"/>
          <w:color w:val="auto"/>
        </w:rPr>
      </w:pPr>
      <w:r>
        <w:rPr>
          <w:rFonts w:ascii="Arial" w:cs="Arial" w:eastAsia="Arial" w:hAnsi="Arial"/>
          <w:sz w:val="16"/>
          <w:szCs w:val="16"/>
          <w:color w:val="auto"/>
        </w:rPr>
        <w:t>Senior Vice President,</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Cement West</w:t>
      </w: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Tony Sneska</w:t>
      </w:r>
    </w:p>
    <w:p>
      <w:pPr>
        <w:spacing w:after="0" w:line="1" w:lineRule="exact"/>
        <w:rPr>
          <w:sz w:val="20"/>
          <w:szCs w:val="20"/>
          <w:color w:val="auto"/>
        </w:rPr>
      </w:pPr>
    </w:p>
    <w:p>
      <w:pPr>
        <w:ind w:right="320"/>
        <w:spacing w:after="0" w:line="298" w:lineRule="auto"/>
        <w:rPr>
          <w:sz w:val="20"/>
          <w:szCs w:val="20"/>
          <w:color w:val="auto"/>
        </w:rPr>
      </w:pPr>
      <w:r>
        <w:rPr>
          <w:rFonts w:ascii="Arial" w:cs="Arial" w:eastAsia="Arial" w:hAnsi="Arial"/>
          <w:sz w:val="16"/>
          <w:szCs w:val="16"/>
          <w:color w:val="auto"/>
        </w:rPr>
        <w:t>Senior Vice President, Cement Sales and Marketing</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Tony Thompson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Senior Vice President,</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Cement East</w:t>
      </w: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Eric Cribbs</w:t>
      </w:r>
    </w:p>
    <w:p>
      <w:pPr>
        <w:spacing w:after="0"/>
        <w:rPr>
          <w:sz w:val="20"/>
          <w:szCs w:val="20"/>
          <w:color w:val="auto"/>
        </w:rPr>
      </w:pPr>
      <w:r>
        <w:rPr>
          <w:rFonts w:ascii="Arial" w:cs="Arial" w:eastAsia="Arial" w:hAnsi="Arial"/>
          <w:sz w:val="16"/>
          <w:szCs w:val="16"/>
          <w:color w:val="auto"/>
        </w:rPr>
        <w:t>President,</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American Gypsum Company</w:t>
      </w:r>
    </w:p>
    <w:p>
      <w:pPr>
        <w:spacing w:after="0" w:line="327" w:lineRule="exact"/>
        <w:rPr>
          <w:sz w:val="20"/>
          <w:szCs w:val="20"/>
          <w:color w:val="auto"/>
        </w:rPr>
      </w:pPr>
    </w:p>
    <w:p>
      <w:pPr>
        <w:ind w:right="480"/>
        <w:spacing w:after="0" w:line="248" w:lineRule="auto"/>
        <w:rPr>
          <w:sz w:val="20"/>
          <w:szCs w:val="20"/>
          <w:color w:val="auto"/>
        </w:rPr>
      </w:pPr>
      <w:r>
        <w:rPr>
          <w:rFonts w:ascii="Arial" w:cs="Arial" w:eastAsia="Arial" w:hAnsi="Arial"/>
          <w:sz w:val="16"/>
          <w:szCs w:val="16"/>
          <w:b w:val="1"/>
          <w:bCs w:val="1"/>
          <w:color w:val="auto"/>
        </w:rPr>
        <w:t xml:space="preserve">Sverre Gunnarschja </w:t>
      </w:r>
      <w:r>
        <w:rPr>
          <w:rFonts w:ascii="Arial" w:cs="Arial" w:eastAsia="Arial" w:hAnsi="Arial"/>
          <w:sz w:val="16"/>
          <w:szCs w:val="16"/>
          <w:color w:val="auto"/>
        </w:rPr>
        <w:t>Vice President, Operations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Republic Paperboard Company</w:t>
      </w: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Jarrod Huntley</w:t>
      </w:r>
    </w:p>
    <w:p>
      <w:pPr>
        <w:spacing w:after="0"/>
        <w:rPr>
          <w:sz w:val="20"/>
          <w:szCs w:val="20"/>
          <w:color w:val="auto"/>
        </w:rPr>
      </w:pPr>
      <w:r>
        <w:rPr>
          <w:rFonts w:ascii="Arial" w:cs="Arial" w:eastAsia="Arial" w:hAnsi="Arial"/>
          <w:sz w:val="16"/>
          <w:szCs w:val="16"/>
          <w:color w:val="auto"/>
        </w:rPr>
        <w:t>Vice President,</w:t>
      </w:r>
    </w:p>
    <w:p>
      <w:pPr>
        <w:spacing w:after="0" w:line="18" w:lineRule="exact"/>
        <w:rPr>
          <w:sz w:val="20"/>
          <w:szCs w:val="20"/>
          <w:color w:val="auto"/>
        </w:rPr>
      </w:pPr>
    </w:p>
    <w:p>
      <w:pPr>
        <w:spacing w:after="0" w:line="305" w:lineRule="auto"/>
        <w:rPr>
          <w:sz w:val="20"/>
          <w:szCs w:val="20"/>
          <w:color w:val="auto"/>
        </w:rPr>
      </w:pPr>
      <w:r>
        <w:rPr>
          <w:rFonts w:ascii="Arial" w:cs="Arial" w:eastAsia="Arial" w:hAnsi="Arial"/>
          <w:sz w:val="16"/>
          <w:szCs w:val="16"/>
          <w:color w:val="auto"/>
        </w:rPr>
        <w:t>Concrete, Aggregates and Advanced Cementitious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-2108835</wp:posOffset>
            </wp:positionH>
            <wp:positionV relativeFrom="paragraph">
              <wp:posOffset>943610</wp:posOffset>
            </wp:positionV>
            <wp:extent cx="5701665" cy="317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98">
                      <a:extLst>
                        <a:ext uri="{28A0092B-C50C-407E-A947-70E740481C1C}"/>
                      </a:extLst>
                    </a:blip>
                    <a:srcRect/>
                    <a:stretch>
                      <a:fillRect/>
                    </a:stretch>
                  </pic:blipFill>
                  <pic:spPr bwMode="auto">
                    <a:xfrm>
                      <a:off x="0" y="0"/>
                      <a:ext cx="5701665" cy="31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5960 Berkshire 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wp:posOffset>
            </wp:positionH>
            <wp:positionV relativeFrom="paragraph">
              <wp:posOffset>-433705</wp:posOffset>
            </wp:positionV>
            <wp:extent cx="1708785" cy="70084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99">
                      <a:extLst>
                        <a:ext uri="{28A0092B-C50C-407E-A947-70E740481C1C}"/>
                      </a:extLst>
                    </a:blip>
                    <a:srcRect/>
                    <a:stretch>
                      <a:fillRect/>
                    </a:stretch>
                  </pic:blipFill>
                  <pic:spPr bwMode="auto">
                    <a:xfrm>
                      <a:off x="0" y="0"/>
                      <a:ext cx="1708785" cy="700849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6"/>
          <w:szCs w:val="16"/>
          <w:color w:val="auto"/>
        </w:rPr>
        <w:t>Suite 900</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Dallas, TX 75225</w:t>
      </w:r>
    </w:p>
    <w:p>
      <w:pPr>
        <w:spacing w:after="0" w:line="11" w:lineRule="exact"/>
        <w:rPr>
          <w:sz w:val="20"/>
          <w:szCs w:val="20"/>
          <w:color w:val="auto"/>
        </w:rPr>
      </w:pPr>
    </w:p>
    <w:p>
      <w:pPr>
        <w:ind w:left="540" w:hanging="421"/>
        <w:spacing w:after="0"/>
        <w:tabs>
          <w:tab w:leader="none" w:pos="5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432-2000 (Telephone)</w:t>
      </w:r>
    </w:p>
    <w:p>
      <w:pPr>
        <w:ind w:left="120" w:right="860" w:hanging="1"/>
        <w:spacing w:after="0" w:line="305" w:lineRule="auto"/>
        <w:tabs>
          <w:tab w:leader="none" w:pos="5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432-2100 (Fax) www.eaglematerials.com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20" w:right="760"/>
        <w:spacing w:after="0" w:line="290" w:lineRule="auto"/>
        <w:rPr>
          <w:sz w:val="20"/>
          <w:szCs w:val="20"/>
          <w:color w:val="auto"/>
        </w:rPr>
      </w:pPr>
      <w:r>
        <w:rPr>
          <w:rFonts w:ascii="Arial" w:cs="Arial" w:eastAsia="Arial" w:hAnsi="Arial"/>
          <w:sz w:val="16"/>
          <w:szCs w:val="16"/>
          <w:b w:val="1"/>
          <w:bCs w:val="1"/>
          <w:color w:val="auto"/>
        </w:rPr>
        <w:t>TRANSFER AGENT AND REGISTRAR</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Computershare, Inc.</w:t>
      </w:r>
    </w:p>
    <w:p>
      <w:pPr>
        <w:ind w:left="120"/>
        <w:spacing w:after="0"/>
        <w:rPr>
          <w:sz w:val="20"/>
          <w:szCs w:val="20"/>
          <w:color w:val="auto"/>
        </w:rPr>
      </w:pPr>
      <w:r>
        <w:rPr>
          <w:rFonts w:ascii="Arial" w:cs="Arial" w:eastAsia="Arial" w:hAnsi="Arial"/>
          <w:sz w:val="16"/>
          <w:szCs w:val="16"/>
          <w:color w:val="auto"/>
        </w:rPr>
        <w:t>P.O. Box 505000</w:t>
      </w:r>
    </w:p>
    <w:p>
      <w:pPr>
        <w:spacing w:after="0" w:line="18" w:lineRule="exact"/>
        <w:rPr>
          <w:sz w:val="20"/>
          <w:szCs w:val="20"/>
          <w:color w:val="auto"/>
        </w:rPr>
      </w:pPr>
    </w:p>
    <w:p>
      <w:pPr>
        <w:ind w:left="120" w:right="700"/>
        <w:spacing w:after="0" w:line="298" w:lineRule="auto"/>
        <w:rPr>
          <w:sz w:val="20"/>
          <w:szCs w:val="20"/>
          <w:color w:val="auto"/>
        </w:rPr>
      </w:pPr>
      <w:r>
        <w:rPr>
          <w:rFonts w:ascii="Arial" w:cs="Arial" w:eastAsia="Arial" w:hAnsi="Arial"/>
          <w:sz w:val="16"/>
          <w:szCs w:val="16"/>
          <w:color w:val="auto"/>
        </w:rPr>
        <w:t>Louisville, KY 40233 1-800-736-3001 (Toll Free)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ANNUAL MEETING</w:t>
      </w:r>
    </w:p>
    <w:p>
      <w:pPr>
        <w:spacing w:after="0" w:line="340"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Annual Meeting of</w:t>
      </w:r>
    </w:p>
    <w:p>
      <w:pPr>
        <w:ind w:left="60" w:right="580"/>
        <w:spacing w:after="0" w:line="252" w:lineRule="auto"/>
        <w:rPr>
          <w:sz w:val="20"/>
          <w:szCs w:val="20"/>
          <w:color w:val="auto"/>
        </w:rPr>
      </w:pPr>
      <w:r>
        <w:rPr>
          <w:rFonts w:ascii="Arial" w:cs="Arial" w:eastAsia="Arial" w:hAnsi="Arial"/>
          <w:sz w:val="16"/>
          <w:szCs w:val="16"/>
          <w:color w:val="auto"/>
        </w:rPr>
        <w:t>Stockholders of Eagle Materials Inc. will be held on July 30, 2026, at 8:00 a.m. at:</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6"/>
          <w:szCs w:val="16"/>
          <w:color w:val="auto"/>
        </w:rPr>
        <w:t>Douglas Conference Center</w:t>
      </w:r>
    </w:p>
    <w:p>
      <w:pPr>
        <w:spacing w:after="0" w:line="11" w:lineRule="exact"/>
        <w:rPr>
          <w:sz w:val="20"/>
          <w:szCs w:val="20"/>
          <w:color w:val="auto"/>
        </w:rPr>
      </w:pPr>
    </w:p>
    <w:p>
      <w:pPr>
        <w:ind w:left="60"/>
        <w:spacing w:after="0"/>
        <w:rPr>
          <w:sz w:val="20"/>
          <w:szCs w:val="20"/>
          <w:color w:val="auto"/>
        </w:rPr>
      </w:pPr>
      <w:r>
        <w:rPr>
          <w:rFonts w:ascii="Arial" w:cs="Arial" w:eastAsia="Arial" w:hAnsi="Arial"/>
          <w:sz w:val="16"/>
          <w:szCs w:val="16"/>
          <w:color w:val="auto"/>
        </w:rPr>
        <w:t>8343 Douglas Ave</w:t>
      </w:r>
    </w:p>
    <w:p>
      <w:pPr>
        <w:ind w:left="60"/>
        <w:spacing w:after="0"/>
        <w:rPr>
          <w:sz w:val="20"/>
          <w:szCs w:val="20"/>
          <w:color w:val="auto"/>
        </w:rPr>
      </w:pPr>
      <w:r>
        <w:rPr>
          <w:rFonts w:ascii="Arial" w:cs="Arial" w:eastAsia="Arial" w:hAnsi="Arial"/>
          <w:sz w:val="16"/>
          <w:szCs w:val="16"/>
          <w:color w:val="auto"/>
        </w:rPr>
        <w:t>Suite 125</w:t>
      </w:r>
    </w:p>
    <w:p>
      <w:pPr>
        <w:spacing w:after="0" w:line="18" w:lineRule="exact"/>
        <w:rPr>
          <w:sz w:val="20"/>
          <w:szCs w:val="20"/>
          <w:color w:val="auto"/>
        </w:rPr>
      </w:pPr>
    </w:p>
    <w:p>
      <w:pPr>
        <w:ind w:left="60"/>
        <w:spacing w:after="0"/>
        <w:rPr>
          <w:sz w:val="20"/>
          <w:szCs w:val="20"/>
          <w:color w:val="auto"/>
        </w:rPr>
      </w:pPr>
      <w:r>
        <w:rPr>
          <w:rFonts w:ascii="Arial" w:cs="Arial" w:eastAsia="Arial" w:hAnsi="Arial"/>
          <w:sz w:val="16"/>
          <w:szCs w:val="16"/>
          <w:color w:val="auto"/>
        </w:rPr>
        <w:t>Dallas, TX 75225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820"/>
        <w:spacing w:after="0" w:line="247" w:lineRule="auto"/>
        <w:rPr>
          <w:sz w:val="20"/>
          <w:szCs w:val="20"/>
          <w:color w:val="auto"/>
        </w:rPr>
      </w:pPr>
      <w:r>
        <w:rPr>
          <w:rFonts w:ascii="Arial" w:cs="Arial" w:eastAsia="Arial" w:hAnsi="Arial"/>
          <w:sz w:val="16"/>
          <w:szCs w:val="16"/>
          <w:color w:val="auto"/>
        </w:rPr>
        <w:t>Numbers in parentheses indicate Board Committees</w:t>
      </w:r>
    </w:p>
    <w:p>
      <w:pPr>
        <w:ind w:left="160" w:hanging="157"/>
        <w:spacing w:after="0"/>
        <w:tabs>
          <w:tab w:leader="none" w:pos="160" w:val="left"/>
        </w:tabs>
        <w:numPr>
          <w:ilvl w:val="0"/>
          <w:numId w:val="47"/>
        </w:numPr>
        <w:rPr>
          <w:rFonts w:ascii="Arial" w:cs="Arial" w:eastAsia="Arial" w:hAnsi="Arial"/>
          <w:sz w:val="10"/>
          <w:szCs w:val="10"/>
          <w:color w:val="auto"/>
        </w:rPr>
      </w:pPr>
      <w:r>
        <w:rPr>
          <w:rFonts w:ascii="Arial" w:cs="Arial" w:eastAsia="Arial" w:hAnsi="Arial"/>
          <w:sz w:val="16"/>
          <w:szCs w:val="16"/>
          <w:color w:val="auto"/>
        </w:rPr>
        <w:t>Executive Committee</w:t>
      </w:r>
    </w:p>
    <w:p>
      <w:pPr>
        <w:spacing w:after="0" w:line="17" w:lineRule="exact"/>
        <w:rPr>
          <w:rFonts w:ascii="Arial" w:cs="Arial" w:eastAsia="Arial" w:hAnsi="Arial"/>
          <w:sz w:val="10"/>
          <w:szCs w:val="10"/>
          <w:color w:val="auto"/>
        </w:rPr>
      </w:pPr>
    </w:p>
    <w:p>
      <w:pPr>
        <w:ind w:left="160" w:hanging="157"/>
        <w:spacing w:after="0" w:line="231" w:lineRule="auto"/>
        <w:tabs>
          <w:tab w:leader="none" w:pos="160" w:val="left"/>
        </w:tabs>
        <w:numPr>
          <w:ilvl w:val="0"/>
          <w:numId w:val="47"/>
        </w:numPr>
        <w:rPr>
          <w:rFonts w:ascii="Arial" w:cs="Arial" w:eastAsia="Arial" w:hAnsi="Arial"/>
          <w:sz w:val="10"/>
          <w:szCs w:val="10"/>
          <w:color w:val="auto"/>
        </w:rPr>
      </w:pPr>
      <w:r>
        <w:rPr>
          <w:rFonts w:ascii="Arial" w:cs="Arial" w:eastAsia="Arial" w:hAnsi="Arial"/>
          <w:sz w:val="16"/>
          <w:szCs w:val="16"/>
          <w:color w:val="auto"/>
        </w:rPr>
        <w:t>Compensation Committee</w:t>
      </w:r>
    </w:p>
    <w:p>
      <w:pPr>
        <w:ind w:left="160" w:hanging="157"/>
        <w:spacing w:after="0"/>
        <w:tabs>
          <w:tab w:leader="none" w:pos="160" w:val="left"/>
        </w:tabs>
        <w:numPr>
          <w:ilvl w:val="0"/>
          <w:numId w:val="47"/>
        </w:numPr>
        <w:rPr>
          <w:rFonts w:ascii="Arial" w:cs="Arial" w:eastAsia="Arial" w:hAnsi="Arial"/>
          <w:sz w:val="10"/>
          <w:szCs w:val="10"/>
          <w:color w:val="auto"/>
        </w:rPr>
      </w:pPr>
      <w:r>
        <w:rPr>
          <w:rFonts w:ascii="Arial" w:cs="Arial" w:eastAsia="Arial" w:hAnsi="Arial"/>
          <w:sz w:val="16"/>
          <w:szCs w:val="16"/>
          <w:color w:val="auto"/>
        </w:rPr>
        <w:t>Audit Committee</w:t>
      </w:r>
    </w:p>
    <w:p>
      <w:pPr>
        <w:spacing w:after="0" w:line="17" w:lineRule="exact"/>
        <w:rPr>
          <w:rFonts w:ascii="Arial" w:cs="Arial" w:eastAsia="Arial" w:hAnsi="Arial"/>
          <w:sz w:val="10"/>
          <w:szCs w:val="10"/>
          <w:color w:val="auto"/>
        </w:rPr>
      </w:pPr>
    </w:p>
    <w:p>
      <w:pPr>
        <w:ind w:right="640" w:firstLine="3"/>
        <w:spacing w:after="0" w:line="268" w:lineRule="auto"/>
        <w:tabs>
          <w:tab w:leader="none" w:pos="158" w:val="left"/>
        </w:tabs>
        <w:numPr>
          <w:ilvl w:val="0"/>
          <w:numId w:val="47"/>
        </w:numPr>
        <w:rPr>
          <w:rFonts w:ascii="Arial" w:cs="Arial" w:eastAsia="Arial" w:hAnsi="Arial"/>
          <w:sz w:val="10"/>
          <w:szCs w:val="10"/>
          <w:color w:val="auto"/>
        </w:rPr>
      </w:pPr>
      <w:r>
        <w:rPr>
          <w:rFonts w:ascii="Arial" w:cs="Arial" w:eastAsia="Arial" w:hAnsi="Arial"/>
          <w:sz w:val="16"/>
          <w:szCs w:val="16"/>
          <w:color w:val="auto"/>
        </w:rPr>
        <w:t>Corporate Governance, Nominating and Sustainability Committee</w:t>
      </w:r>
    </w:p>
    <w:p>
      <w:pPr>
        <w:sectPr>
          <w:pgSz w:w="11880" w:h="15480" w:orient="portrait"/>
          <w:cols w:equalWidth="0" w:num="3">
            <w:col w:w="2860" w:space="460"/>
            <w:col w:w="2400" w:space="520"/>
            <w:col w:w="2760"/>
          </w:cols>
          <w:pgMar w:left="1440" w:top="1440" w:right="1440" w:bottom="1440" w:gutter="0" w:footer="0" w:header="0"/>
        </w:sectPr>
      </w:pPr>
    </w:p>
    <w:bookmarkStart w:id="139" w:name="page140"/>
    <w:bookmarkEnd w:id="1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2734310</wp:posOffset>
            </wp:positionH>
            <wp:positionV relativeFrom="page">
              <wp:posOffset>7191375</wp:posOffset>
            </wp:positionV>
            <wp:extent cx="1861820" cy="4368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0">
                      <a:clrChange>
                        <a:clrFrom>
                          <a:srgbClr val="FFFFFF"/>
                        </a:clrFrom>
                        <a:clrTo>
                          <a:srgbClr val="FFFFFF">
                            <a:alpha val="0"/>
                          </a:srgbClr>
                        </a:clrTo>
                      </a:clrChange>
                      <a:extLst>
                        <a:ext uri="{28A0092B-C50C-407E-A947-70E740481C1C}"/>
                      </a:extLst>
                    </a:blip>
                    <a:srcRect/>
                    <a:stretch>
                      <a:fillRect/>
                    </a:stretch>
                  </pic:blipFill>
                  <pic:spPr bwMode="auto">
                    <a:xfrm>
                      <a:off x="0" y="0"/>
                      <a:ext cx="1861820" cy="43688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page">
                  <wp:posOffset>937895</wp:posOffset>
                </wp:positionH>
                <wp:positionV relativeFrom="page">
                  <wp:posOffset>1089660</wp:posOffset>
                </wp:positionV>
                <wp:extent cx="5664835" cy="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64835" cy="4763"/>
                        </a:xfrm>
                        <a:prstGeom prst="line">
                          <a:avLst/>
                        </a:prstGeom>
                        <a:solidFill>
                          <a:srgbClr val="FFFFFF"/>
                        </a:solidFill>
                        <a:ln w="32943">
                          <a:solidFill>
                            <a:srgbClr val="C9000F"/>
                          </a:solidFill>
                          <a:miter lim="800000"/>
                          <a:headEnd/>
                          <a:tailEnd/>
                        </a:ln>
                      </wps:spPr>
                      <wps:bodyPr/>
                    </wps:wsp>
                  </a:graphicData>
                </a:graphic>
              </wp:anchor>
            </w:drawing>
          </mc:Choice>
          <mc:Fallback>
            <w:pict>
              <v:line id="Shape 96" o:spid="_x0000_s112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3.85pt,85.8pt" to="519.9pt,85.8pt" o:allowincell="f" strokecolor="#C9000F" strokeweight="2.5939pt">
                <w10:wrap anchorx="page" anchory="page"/>
              </v:line>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440"/>
        <w:spacing w:after="0"/>
        <w:rPr>
          <w:sz w:val="20"/>
          <w:szCs w:val="20"/>
          <w:color w:val="auto"/>
        </w:rPr>
      </w:pPr>
      <w:r>
        <w:rPr>
          <w:rFonts w:ascii="Arial" w:cs="Arial" w:eastAsia="Arial" w:hAnsi="Arial"/>
          <w:sz w:val="20"/>
          <w:szCs w:val="20"/>
          <w:color w:val="auto"/>
        </w:rPr>
        <w:t>5960 Berkshire Lane</w:t>
      </w:r>
    </w:p>
    <w:p>
      <w:pPr>
        <w:spacing w:after="0" w:line="18" w:lineRule="exact"/>
        <w:rPr>
          <w:sz w:val="20"/>
          <w:szCs w:val="20"/>
          <w:color w:val="auto"/>
        </w:rPr>
      </w:pPr>
    </w:p>
    <w:p>
      <w:pPr>
        <w:ind w:left="3940"/>
        <w:spacing w:after="0"/>
        <w:rPr>
          <w:sz w:val="20"/>
          <w:szCs w:val="20"/>
          <w:color w:val="auto"/>
        </w:rPr>
      </w:pPr>
      <w:r>
        <w:rPr>
          <w:rFonts w:ascii="Arial" w:cs="Arial" w:eastAsia="Arial" w:hAnsi="Arial"/>
          <w:sz w:val="20"/>
          <w:szCs w:val="20"/>
          <w:color w:val="auto"/>
        </w:rPr>
        <w:t>Suite 900</w:t>
      </w:r>
    </w:p>
    <w:p>
      <w:pPr>
        <w:spacing w:after="0" w:line="9"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Dallas, TX 75225</w:t>
      </w:r>
    </w:p>
    <w:p>
      <w:pPr>
        <w:spacing w:after="0" w:line="15" w:lineRule="exact"/>
        <w:rPr>
          <w:sz w:val="20"/>
          <w:szCs w:val="20"/>
          <w:color w:val="auto"/>
        </w:rPr>
      </w:pPr>
    </w:p>
    <w:p>
      <w:pPr>
        <w:jc w:val="center"/>
        <w:ind w:right="260"/>
        <w:spacing w:after="0"/>
        <w:rPr>
          <w:sz w:val="20"/>
          <w:szCs w:val="20"/>
          <w:color w:val="auto"/>
        </w:rPr>
      </w:pPr>
      <w:r>
        <w:rPr>
          <w:rFonts w:ascii="Arial" w:cs="Arial" w:eastAsia="Arial" w:hAnsi="Arial"/>
          <w:sz w:val="19"/>
          <w:szCs w:val="19"/>
          <w:color w:val="auto"/>
        </w:rPr>
        <w:t>www.eaglematerials.com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24130</wp:posOffset>
                </wp:positionH>
                <wp:positionV relativeFrom="paragraph">
                  <wp:posOffset>353060</wp:posOffset>
                </wp:positionV>
                <wp:extent cx="5664200" cy="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64200" cy="4763"/>
                        </a:xfrm>
                        <a:prstGeom prst="line">
                          <a:avLst/>
                        </a:prstGeom>
                        <a:solidFill>
                          <a:srgbClr val="FFFFFF"/>
                        </a:solidFill>
                        <a:ln w="30829">
                          <a:solidFill>
                            <a:srgbClr val="C9000F"/>
                          </a:solidFill>
                          <a:miter lim="800000"/>
                          <a:headEnd/>
                          <a:tailEnd/>
                        </a:ln>
                      </wps:spPr>
                      <wps:bodyPr/>
                    </wps:wsp>
                  </a:graphicData>
                </a:graphic>
              </wp:anchor>
            </w:drawing>
          </mc:Choice>
          <mc:Fallback>
            <w:pict>
              <v:line id="Shape 97" o:spid="_x0000_s11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pt,27.8pt" to="447.9pt,27.8pt" o:allowincell="f" strokecolor="#C9000F" strokeweight="2.4275pt"/>
            </w:pict>
          </mc:Fallback>
        </mc:AlternateContent>
      </w:r>
    </w:p>
    <w:sectPr>
      <w:pgSz w:w="11880" w:h="15480" w:orient="portrait"/>
      <w:cols w:equalWidth="0" w:num="1">
        <w:col w:w="9000"/>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Segoe UI Symbol">
    <w:panose1 w:val="020B0502040204020203"/>
    <w:charset w:val="00"/>
    <w:family w:val="swiss"/>
    <w:pitch w:val="variable"/>
    <w:sig w:usb0="800001E3" w:usb1="1200FFEF" w:usb2="00040000" w:usb3="04000000" w:csb0="00000001" w:csb1="40000000"/>
  </w:font>
  <w:font w:name="Arial Narrow">
    <w:panose1 w:val="020B0606020202030204"/>
    <w:charset w:val="00"/>
    <w:family w:val="swiss"/>
    <w:pitch w:val="variable"/>
    <w:sig w:usb0="00000287" w:usb1="00000800" w:usb2="00000000" w:usb3="00000000" w:csb0="2000009F" w:csb1="DFD70000"/>
  </w:font>
  <w:font w:name="MS Gothic">
    <w:panose1 w:val="020B0609070205080204"/>
    <w:charset w:val="80"/>
    <w:family w:val="auto"/>
    <w:pitch w:val="fixed"/>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1"/>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1)"/>
      <w:numFmt w:val="decimal"/>
      <w:start w:val="214"/>
    </w:lvl>
  </w:abstractNum>
  <w:abstractNum w:abstractNumId="3">
    <w:nsid w:val="4353D0CD"/>
    <w:multiLevelType w:val="hybridMultilevel"/>
    <w:lvl w:ilvl="0">
      <w:lvlJc w:val="left"/>
      <w:lvlText w:val="%1."/>
      <w:numFmt w:val="decimal"/>
      <w:start w:val="1"/>
    </w:lvl>
  </w:abstractNum>
  <w:abstractNum w:abstractNumId="4">
    <w:nsid w:val="B03E0C6"/>
    <w:multiLevelType w:val="hybridMultilevel"/>
    <w:lvl w:ilvl="0">
      <w:lvlJc w:val="left"/>
      <w:lvlText w:val="%1."/>
      <w:numFmt w:val="decimal"/>
      <w:start w:val="1"/>
    </w:lvl>
  </w:abstractNum>
  <w:abstractNum w:abstractNumId="5">
    <w:nsid w:val="189A769B"/>
    <w:multiLevelType w:val="hybridMultilevel"/>
    <w:lvl w:ilvl="0">
      <w:lvlJc w:val="left"/>
      <w:lvlText w:val="(%1)"/>
      <w:numFmt w:val="decimal"/>
      <w:start w:val="1"/>
    </w:lvl>
  </w:abstractNum>
  <w:abstractNum w:abstractNumId="6">
    <w:nsid w:val="54E49EB4"/>
    <w:multiLevelType w:val="hybridMultilevel"/>
    <w:lvl w:ilvl="0">
      <w:lvlJc w:val="left"/>
      <w:lvlText w:val="(%1)"/>
      <w:numFmt w:val="decimal"/>
      <w:start w:val="1"/>
    </w:lvl>
  </w:abstractNum>
  <w:abstractNum w:abstractNumId="7">
    <w:nsid w:val="71F32454"/>
    <w:multiLevelType w:val="hybridMultilevel"/>
    <w:lvl w:ilvl="0">
      <w:lvlJc w:val="left"/>
      <w:lvlText w:val="(%1)"/>
      <w:numFmt w:val="decimal"/>
      <w:start w:val="1"/>
    </w:lvl>
  </w:abstractNum>
  <w:abstractNum w:abstractNumId="8">
    <w:nsid w:val="2CA88611"/>
    <w:multiLevelType w:val="hybridMultilevel"/>
    <w:lvl w:ilvl="0">
      <w:lvlJc w:val="left"/>
      <w:lvlText w:val="(%1)"/>
      <w:numFmt w:val="decimal"/>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1)"/>
      <w:numFmt w:val="lowerRoman"/>
      <w:start w:val="5"/>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1)"/>
      <w:numFmt w:val="decimal"/>
      <w:start w:val="1"/>
    </w:lvl>
  </w:abstractNum>
  <w:abstractNum w:abstractNumId="17">
    <w:nsid w:val="22221A70"/>
    <w:multiLevelType w:val="hybridMultilevel"/>
    <w:lvl w:ilvl="0">
      <w:lvlJc w:val="left"/>
      <w:lvlText w:val="(%1)"/>
      <w:numFmt w:val="decimal"/>
      <w:start w:val="1"/>
    </w:lvl>
  </w:abstractNum>
  <w:abstractNum w:abstractNumId="18">
    <w:nsid w:val="4516DDE9"/>
    <w:multiLevelType w:val="hybridMultilevel"/>
    <w:lvl w:ilvl="0">
      <w:lvlJc w:val="left"/>
      <w:lvlText w:val="(%1)"/>
      <w:numFmt w:val="decimal"/>
      <w:start w:val="2"/>
    </w:lvl>
  </w:abstractNum>
  <w:abstractNum w:abstractNumId="19">
    <w:nsid w:val="3006C83E"/>
    <w:multiLevelType w:val="hybridMultilevel"/>
    <w:lvl w:ilvl="0">
      <w:lvlJc w:val="left"/>
      <w:lvlText w:val="(%1)"/>
      <w:numFmt w:val="decimal"/>
      <w:start w:val="1"/>
    </w:lvl>
  </w:abstractNum>
  <w:abstractNum w:abstractNumId="20">
    <w:nsid w:val="614FD4A1"/>
    <w:multiLevelType w:val="hybridMultilevel"/>
    <w:lvl w:ilvl="0">
      <w:lvlJc w:val="left"/>
      <w:lvlText w:val="(%1)"/>
      <w:numFmt w:val="decimal"/>
      <w:start w:val="1"/>
    </w:lvl>
  </w:abstractNum>
  <w:abstractNum w:abstractNumId="21">
    <w:nsid w:val="419AC241"/>
    <w:multiLevelType w:val="hybridMultilevel"/>
    <w:lvl w:ilvl="0">
      <w:lvlJc w:val="left"/>
      <w:lvlText w:val="(%1)"/>
      <w:numFmt w:val="decimal"/>
      <w:start w:val="1"/>
    </w:lvl>
  </w:abstractNum>
  <w:abstractNum w:abstractNumId="22">
    <w:nsid w:val="5577F8E1"/>
    <w:multiLevelType w:val="hybridMultilevel"/>
    <w:lvl w:ilvl="0">
      <w:lvlJc w:val="left"/>
      <w:lvlText w:val="(%1)"/>
      <w:numFmt w:val="decimal"/>
      <w:start w:val="1"/>
    </w:lvl>
  </w:abstractNum>
  <w:abstractNum w:abstractNumId="23">
    <w:nsid w:val="440BADFC"/>
    <w:multiLevelType w:val="hybridMultilevel"/>
    <w:lvl w:ilvl="0">
      <w:lvlJc w:val="left"/>
      <w:lvlText w:val="(%1)"/>
      <w:numFmt w:val="decimal"/>
      <w:start w:val="1"/>
    </w:lvl>
  </w:abstractNum>
  <w:abstractNum w:abstractNumId="24">
    <w:nsid w:val="5072367"/>
    <w:multiLevelType w:val="hybridMultilevel"/>
    <w:lvl w:ilvl="0">
      <w:lvlJc w:val="left"/>
      <w:lvlText w:val="(%1)"/>
      <w:numFmt w:val="decimal"/>
      <w:start w:val="1"/>
    </w:lvl>
  </w:abstractNum>
  <w:abstractNum w:abstractNumId="25">
    <w:nsid w:val="3804823E"/>
    <w:multiLevelType w:val="hybridMultilevel"/>
    <w:lvl w:ilvl="0">
      <w:lvlJc w:val="left"/>
      <w:lvlText w:val="(%1)"/>
      <w:numFmt w:val="decimal"/>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1)"/>
      <w:numFmt w:val="decimal"/>
      <w:start w:val="1"/>
    </w:lvl>
  </w:abstractNum>
  <w:abstractNum w:abstractNumId="28">
    <w:nsid w:val="5C482A97"/>
    <w:multiLevelType w:val="hybridMultilevel"/>
    <w:lvl w:ilvl="0">
      <w:lvlJc w:val="left"/>
      <w:lvlText w:val="(%1)"/>
      <w:numFmt w:val="decimal"/>
      <w:start w:val="1"/>
    </w:lvl>
  </w:abstractNum>
  <w:abstractNum w:abstractNumId="29">
    <w:nsid w:val="2463B9EA"/>
    <w:multiLevelType w:val="hybridMultilevel"/>
    <w:lvl w:ilvl="0">
      <w:lvlJc w:val="left"/>
      <w:lvlText w:val="(%1)"/>
      <w:numFmt w:val="decimal"/>
      <w:start w:val="1"/>
    </w:lvl>
  </w:abstractNum>
  <w:abstractNum w:abstractNumId="30">
    <w:nsid w:val="5E884ADC"/>
    <w:multiLevelType w:val="hybridMultilevel"/>
    <w:lvl w:ilvl="0">
      <w:lvlJc w:val="left"/>
      <w:lvlText w:val="(%1)"/>
      <w:numFmt w:val="decimal"/>
      <w:start w:val="1"/>
    </w:lvl>
  </w:abstractNum>
  <w:abstractNum w:abstractNumId="31">
    <w:nsid w:val="51EAD36B"/>
    <w:multiLevelType w:val="hybridMultilevel"/>
    <w:lvl w:ilvl="0">
      <w:lvlJc w:val="left"/>
      <w:lvlText w:val="(%1)"/>
      <w:numFmt w:val="upperLetter"/>
      <w:start w:val="1"/>
    </w:lvl>
  </w:abstractNum>
  <w:abstractNum w:abstractNumId="32">
    <w:nsid w:val="2D517796"/>
    <w:multiLevelType w:val="hybridMultilevel"/>
    <w:lvl w:ilvl="0">
      <w:lvlJc w:val="left"/>
      <w:lvlText w:val="(%1)"/>
      <w:numFmt w:val="decimal"/>
      <w:start w:val="1"/>
    </w:lvl>
  </w:abstractNum>
  <w:abstractNum w:abstractNumId="33">
    <w:nsid w:val="580BD78F"/>
    <w:multiLevelType w:val="hybridMultilevel"/>
    <w:lvl w:ilvl="0">
      <w:lvlJc w:val="left"/>
      <w:lvlText w:val="(%1)"/>
      <w:numFmt w:val="decimal"/>
      <w:start w:val="1"/>
    </w:lvl>
  </w:abstractNum>
  <w:abstractNum w:abstractNumId="34">
    <w:nsid w:val="153EA438"/>
    <w:multiLevelType w:val="hybridMultilevel"/>
    <w:lvl w:ilvl="0">
      <w:lvlJc w:val="left"/>
      <w:lvlText w:val="%1"/>
      <w:numFmt w:val="decimal"/>
      <w:start w:val="10"/>
    </w:lvl>
  </w:abstractNum>
  <w:abstractNum w:abstractNumId="35">
    <w:nsid w:val="3855585C"/>
    <w:multiLevelType w:val="hybridMultilevel"/>
    <w:lvl w:ilvl="0">
      <w:lvlJc w:val="left"/>
      <w:lvlText w:val="%1"/>
      <w:numFmt w:val="decimal"/>
      <w:start w:val="10"/>
    </w:lvl>
  </w:abstractNum>
  <w:abstractNum w:abstractNumId="36">
    <w:nsid w:val="70A64E2A"/>
    <w:multiLevelType w:val="hybridMultilevel"/>
    <w:lvl w:ilvl="0">
      <w:lvlJc w:val="left"/>
      <w:lvlText w:val="%1"/>
      <w:numFmt w:val="decimal"/>
      <w:start w:val="10"/>
    </w:lvl>
  </w:abstractNum>
  <w:abstractNum w:abstractNumId="37">
    <w:nsid w:val="6A2342EC"/>
    <w:multiLevelType w:val="hybridMultilevel"/>
    <w:lvl w:ilvl="0">
      <w:lvlJc w:val="left"/>
      <w:lvlText w:val="%1"/>
      <w:numFmt w:val="decimal"/>
      <w:start w:val="10"/>
    </w:lvl>
  </w:abstractNum>
  <w:abstractNum w:abstractNumId="38">
    <w:nsid w:val="2A487CB0"/>
    <w:multiLevelType w:val="hybridMultilevel"/>
    <w:lvl w:ilvl="0">
      <w:lvlJc w:val="left"/>
      <w:lvlText w:val="%1"/>
      <w:numFmt w:val="decimal"/>
      <w:start w:val="11"/>
    </w:lvl>
  </w:abstractNum>
  <w:abstractNum w:abstractNumId="39">
    <w:nsid w:val="1D4ED43B"/>
    <w:multiLevelType w:val="hybridMultilevel"/>
    <w:lvl w:ilvl="0">
      <w:lvlJc w:val="left"/>
      <w:lvlText w:val="%1"/>
      <w:numFmt w:val="decimal"/>
      <w:start w:val="11"/>
    </w:lvl>
  </w:abstractNum>
  <w:abstractNum w:abstractNumId="40">
    <w:nsid w:val="725A06FB"/>
    <w:multiLevelType w:val="hybridMultilevel"/>
    <w:lvl w:ilvl="0">
      <w:lvlJc w:val="left"/>
      <w:lvlText w:val="%1"/>
      <w:numFmt w:val="decimal"/>
      <w:start w:val="13"/>
    </w:lvl>
  </w:abstractNum>
  <w:abstractNum w:abstractNumId="41">
    <w:nsid w:val="2CD89A32"/>
    <w:multiLevelType w:val="hybridMultilevel"/>
    <w:lvl w:ilvl="0">
      <w:lvlJc w:val="left"/>
      <w:lvlText w:val="%1."/>
      <w:numFmt w:val="decimal"/>
      <w:start w:val="1"/>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1)"/>
      <w:numFmt w:val="decimal"/>
      <w:start w:val="1"/>
    </w:lvl>
  </w:abstractNum>
  <w:abstractNum w:abstractNumId="44">
    <w:nsid w:val="4B588F54"/>
    <w:multiLevelType w:val="hybridMultilevel"/>
    <w:lvl w:ilvl="0">
      <w:lvlJc w:val="left"/>
      <w:lvlText w:val="(%1)"/>
      <w:numFmt w:val="decimal"/>
      <w:start w:val="214"/>
    </w:lvl>
  </w:abstractNum>
  <w:abstractNum w:abstractNumId="45">
    <w:nsid w:val="542289EC"/>
    <w:multiLevelType w:val="hybridMultilevel"/>
    <w:lvl w:ilvl="0">
      <w:lvlJc w:val="left"/>
      <w:lvlText w:val="(%1)"/>
      <w:numFmt w:val="decimal"/>
      <w:start w:val="214"/>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2026-06-15T19:13:47Z</dcterms:created>
  <dcterms:modified xsi:type="dcterms:W3CDTF">2026-06-15T19:13:47Z</dcterms:modified>
</cp:coreProperties>
</file>