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2023</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5" w:lineRule="exact"/>
        <w:rPr>
          <w:sz w:val="24"/>
          <w:szCs w:val="24"/>
          <w:color w:val="auto"/>
        </w:rPr>
      </w:pPr>
    </w:p>
    <w:p>
      <w:pPr>
        <w:jc w:val="both"/>
        <w:spacing w:after="0" w:line="24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1"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40"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left="5000" w:right="2240" w:hanging="4991"/>
        <w:spacing w:after="0" w:line="23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060" w:type="dxa"/>
            <w:vAlign w:val="bottom"/>
            <w:gridSpan w:val="3"/>
          </w:tcPr>
          <w:p>
            <w:pPr>
              <w:spacing w:after="0"/>
              <w:rPr>
                <w:sz w:val="20"/>
                <w:szCs w:val="20"/>
                <w:color w:val="auto"/>
              </w:rPr>
            </w:pPr>
            <w:r>
              <w:rPr>
                <w:rFonts w:ascii="Arial" w:cs="Arial" w:eastAsia="Arial" w:hAnsi="Arial"/>
                <w:sz w:val="18"/>
                <w:szCs w:val="18"/>
                <w:color w:val="auto"/>
              </w:rPr>
              <w:t>As of October 24, 2023, the number of outstanding shares of common stock was:</w:t>
            </w:r>
          </w:p>
        </w:tc>
        <w:tc>
          <w:tcPr>
            <w:tcW w:w="4180" w:type="dxa"/>
            <w:vAlign w:val="bottom"/>
          </w:tcPr>
          <w:p>
            <w:pPr>
              <w:spacing w:after="0"/>
              <w:rPr>
                <w:sz w:val="19"/>
                <w:szCs w:val="19"/>
                <w:color w:val="auto"/>
              </w:rPr>
            </w:pPr>
          </w:p>
        </w:tc>
      </w:tr>
      <w:tr>
        <w:trPr>
          <w:trHeight w:val="283"/>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b w:val="1"/>
                <w:bCs w:val="1"/>
                <w:color w:val="auto"/>
                <w:w w:val="99"/>
              </w:rPr>
              <w:t>Outstanding Shares</w:t>
            </w:r>
          </w:p>
        </w:tc>
      </w:tr>
      <w:tr>
        <w:trPr>
          <w:trHeight w:val="223"/>
        </w:trPr>
        <w:tc>
          <w:tcPr>
            <w:tcW w:w="7060" w:type="dxa"/>
            <w:vAlign w:val="bottom"/>
            <w:gridSpan w:val="3"/>
          </w:tcPr>
          <w:p>
            <w:pPr>
              <w:jc w:val="center"/>
              <w:ind w:right="1420"/>
              <w:spacing w:after="0"/>
              <w:rPr>
                <w:sz w:val="20"/>
                <w:szCs w:val="20"/>
                <w:color w:val="auto"/>
              </w:rPr>
            </w:pPr>
            <w:r>
              <w:rPr>
                <w:rFonts w:ascii="Arial" w:cs="Arial" w:eastAsia="Arial" w:hAnsi="Arial"/>
                <w:sz w:val="18"/>
                <w:szCs w:val="18"/>
                <w:color w:val="auto"/>
                <w:w w:val="99"/>
              </w:rPr>
              <w:t>Common Stock, $.01 Par Value</w:t>
            </w:r>
          </w:p>
        </w:tc>
        <w:tc>
          <w:tcPr>
            <w:tcW w:w="4180" w:type="dxa"/>
            <w:vAlign w:val="bottom"/>
          </w:tcPr>
          <w:p>
            <w:pPr>
              <w:jc w:val="right"/>
              <w:ind w:right="2210"/>
              <w:spacing w:after="0"/>
              <w:rPr>
                <w:sz w:val="20"/>
                <w:szCs w:val="20"/>
                <w:color w:val="auto"/>
              </w:rPr>
            </w:pPr>
            <w:r>
              <w:rPr>
                <w:rFonts w:ascii="Arial" w:cs="Arial" w:eastAsia="Arial" w:hAnsi="Arial"/>
                <w:sz w:val="18"/>
                <w:szCs w:val="18"/>
                <w:color w:val="auto"/>
              </w:rPr>
              <w:t>34,886,889</w:t>
            </w:r>
          </w:p>
        </w:tc>
      </w:tr>
      <w:tr>
        <w:trPr>
          <w:trHeight w:val="81"/>
        </w:trPr>
        <w:tc>
          <w:tcPr>
            <w:tcW w:w="5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r>
      <w:tr>
        <w:trPr>
          <w:trHeight w:val="554"/>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Statements of Earnings for the Three and Six Months Ended September 30,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Statements of Comprehensive Earnings for the Three and Six Months Ended September 30, 2023 and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Borders>
              <w:top w:val="single" w:sz="8" w:color="0000EE"/>
            </w:tcBorders>
            <w:gridSpan w:val="2"/>
          </w:tcPr>
          <w:p>
            <w:pPr>
              <w:ind w:left="220"/>
              <w:spacing w:after="0"/>
              <w:rPr>
                <w:sz w:val="20"/>
                <w:szCs w:val="20"/>
                <w:color w:val="auto"/>
              </w:rPr>
            </w:pPr>
            <w:r>
              <w:rPr>
                <w:rFonts w:ascii="Arial" w:cs="Arial" w:eastAsia="Arial" w:hAnsi="Arial"/>
                <w:sz w:val="18"/>
                <w:szCs w:val="18"/>
                <w:color w:val="auto"/>
                <w:w w:val="99"/>
              </w:rPr>
              <w:t>2022</w:t>
            </w:r>
          </w:p>
        </w:tc>
        <w:tc>
          <w:tcPr>
            <w:tcW w:w="3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3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2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Balance Sheets as of September 30, 2023, and March 31, 2023</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Statements of Cash Flows for the Three and Six Months Ended September 30,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auto"/>
              </w:rPr>
              <w:t>Consolidated Statements of Stockholders' Equity for the Three and Six Months Ended September 30,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4740" w:type="dxa"/>
            <w:vAlign w:val="bottom"/>
            <w:tcBorders>
              <w:top w:val="single" w:sz="8" w:color="0000EE"/>
            </w:tcBorders>
            <w:gridSpan w:val="8"/>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20" w:type="dxa"/>
            <w:vAlign w:val="bottom"/>
            <w:gridSpan w:val="1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3"/>
          </w:tcPr>
          <w:p>
            <w:pPr>
              <w:spacing w:after="0"/>
              <w:rPr>
                <w:sz w:val="24"/>
                <w:szCs w:val="24"/>
                <w:color w:val="auto"/>
              </w:rPr>
            </w:pPr>
          </w:p>
        </w:tc>
        <w:tc>
          <w:tcPr>
            <w:tcW w:w="24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9"/>
              </w:rPr>
              <w:t>Controls and Procedures</w:t>
            </w:r>
          </w:p>
        </w:tc>
        <w:tc>
          <w:tcPr>
            <w:tcW w:w="75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294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7"/>
              </w:rPr>
              <w:t>PART II. OTHER INFORMATION</w:t>
            </w:r>
          </w:p>
        </w:tc>
        <w:tc>
          <w:tcPr>
            <w:tcW w:w="76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Legal Proceedings</w:t>
            </w:r>
          </w:p>
        </w:tc>
        <w:tc>
          <w:tcPr>
            <w:tcW w:w="80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20" w:type="dxa"/>
            <w:vAlign w:val="bottom"/>
            <w:gridSpan w:val="18"/>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6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20" w:type="dxa"/>
            <w:vAlign w:val="bottom"/>
            <w:gridSpan w:val="18"/>
          </w:tcPr>
          <w:p>
            <w:pPr>
              <w:spacing w:after="0"/>
              <w:rPr>
                <w:sz w:val="20"/>
                <w:szCs w:val="20"/>
                <w:color w:val="auto"/>
              </w:rPr>
            </w:pPr>
            <w:r>
              <w:rPr>
                <w:rFonts w:ascii="Arial" w:cs="Arial" w:eastAsia="Arial" w:hAnsi="Arial"/>
                <w:sz w:val="18"/>
                <w:szCs w:val="18"/>
                <w:color w:val="auto"/>
              </w:rPr>
              <w:t>Mine Safety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Other Information</w:t>
            </w:r>
          </w:p>
        </w:tc>
        <w:tc>
          <w:tcPr>
            <w:tcW w:w="76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0000EE"/>
            </w:tcBorders>
            <w:gridSpan w:val="2"/>
          </w:tcPr>
          <w:p>
            <w:pPr>
              <w:spacing w:after="0"/>
              <w:rPr>
                <w:sz w:val="24"/>
                <w:szCs w:val="24"/>
                <w:color w:val="auto"/>
              </w:rPr>
            </w:pPr>
          </w:p>
        </w:tc>
        <w:tc>
          <w:tcPr>
            <w:tcW w:w="812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2880" w:type="dxa"/>
            <w:vAlign w:val="bottom"/>
            <w:gridSpan w:val="7"/>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40" w:type="dxa"/>
            <w:vAlign w:val="bottom"/>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272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89"/>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3240" w:type="dxa"/>
            <w:vAlign w:val="bottom"/>
            <w:tcBorders>
              <w:bottom w:val="single" w:sz="8" w:color="004483"/>
            </w:tcBorders>
            <w:gridSpan w:val="10"/>
          </w:tcPr>
          <w:p>
            <w:pPr>
              <w:ind w:left="80"/>
              <w:spacing w:after="0"/>
              <w:rPr>
                <w:sz w:val="20"/>
                <w:szCs w:val="20"/>
                <w:color w:val="auto"/>
              </w:rPr>
            </w:pPr>
            <w:r>
              <w:rPr>
                <w:rFonts w:ascii="Arial" w:cs="Arial" w:eastAsia="Arial" w:hAnsi="Arial"/>
                <w:sz w:val="13"/>
                <w:szCs w:val="13"/>
                <w:color w:val="auto"/>
                <w:w w:val="98"/>
              </w:rPr>
              <w:t>(dollars in thousands, except share and per share data)</w:t>
            </w:r>
          </w:p>
        </w:tc>
        <w:tc>
          <w:tcPr>
            <w:tcW w:w="28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280" w:type="dxa"/>
            <w:vAlign w:val="bottom"/>
            <w:tcBorders>
              <w:bottom w:val="single" w:sz="8" w:color="A6A6A6"/>
            </w:tcBorders>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622,236</w:t>
            </w:r>
          </w:p>
        </w:tc>
        <w:tc>
          <w:tcPr>
            <w:tcW w:w="140" w:type="dxa"/>
            <w:vAlign w:val="bottom"/>
          </w:tcPr>
          <w:p>
            <w:pPr>
              <w:spacing w:after="0"/>
              <w:rPr>
                <w:sz w:val="19"/>
                <w:szCs w:val="19"/>
                <w:color w:val="auto"/>
              </w:rPr>
            </w:pPr>
          </w:p>
        </w:tc>
        <w:tc>
          <w:tcPr>
            <w:tcW w:w="40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605,068</w:t>
            </w:r>
          </w:p>
        </w:tc>
        <w:tc>
          <w:tcPr>
            <w:tcW w:w="100" w:type="dxa"/>
            <w:vAlign w:val="bottom"/>
          </w:tcPr>
          <w:p>
            <w:pPr>
              <w:spacing w:after="0"/>
              <w:rPr>
                <w:sz w:val="19"/>
                <w:szCs w:val="19"/>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1,223,757</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1,166,455</w:t>
            </w:r>
          </w:p>
        </w:tc>
        <w:tc>
          <w:tcPr>
            <w:tcW w:w="100" w:type="dxa"/>
            <w:vAlign w:val="bottom"/>
          </w:tcPr>
          <w:p>
            <w:pPr>
              <w:spacing w:after="0"/>
              <w:rPr>
                <w:sz w:val="19"/>
                <w:szCs w:val="19"/>
                <w:color w:val="auto"/>
              </w:rPr>
            </w:pPr>
          </w:p>
        </w:tc>
      </w:tr>
      <w:tr>
        <w:trPr>
          <w:trHeight w:val="240"/>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2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413,218</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410,829</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838,744</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821,350</w:t>
            </w:r>
          </w:p>
        </w:tc>
        <w:tc>
          <w:tcPr>
            <w:tcW w:w="100" w:type="dxa"/>
            <w:vAlign w:val="bottom"/>
          </w:tcPr>
          <w:p>
            <w:pPr>
              <w:spacing w:after="0"/>
              <w:rPr>
                <w:sz w:val="20"/>
                <w:szCs w:val="20"/>
                <w:color w:val="auto"/>
              </w:rPr>
            </w:pPr>
          </w:p>
        </w:tc>
      </w:tr>
      <w:tr>
        <w:trPr>
          <w:trHeight w:val="220"/>
        </w:trPr>
        <w:tc>
          <w:tcPr>
            <w:tcW w:w="538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209,018</w:t>
            </w: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194,239</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385,013</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345,105</w:t>
            </w:r>
          </w:p>
        </w:tc>
        <w:tc>
          <w:tcPr>
            <w:tcW w:w="100" w:type="dxa"/>
            <w:vAlign w:val="bottom"/>
          </w:tcPr>
          <w:p>
            <w:pPr>
              <w:spacing w:after="0"/>
              <w:rPr>
                <w:sz w:val="19"/>
                <w:szCs w:val="19"/>
                <w:color w:val="auto"/>
              </w:rPr>
            </w:pPr>
          </w:p>
        </w:tc>
      </w:tr>
      <w:tr>
        <w:trPr>
          <w:trHeight w:val="223"/>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10,346</w:t>
            </w: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7,156</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13,505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12,254</w:t>
            </w:r>
          </w:p>
        </w:tc>
        <w:tc>
          <w:tcPr>
            <w:tcW w:w="100" w:type="dxa"/>
            <w:vAlign w:val="bottom"/>
          </w:tcPr>
          <w:p>
            <w:pPr>
              <w:spacing w:after="0"/>
              <w:rPr>
                <w:sz w:val="19"/>
                <w:szCs w:val="19"/>
                <w:color w:val="auto"/>
              </w:rPr>
            </w:pPr>
          </w:p>
        </w:tc>
      </w:tr>
      <w:tr>
        <w:trPr>
          <w:trHeight w:val="223"/>
        </w:trPr>
        <w:tc>
          <w:tcPr>
            <w:tcW w:w="538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(16,576 )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(13,627 )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(28,255 )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(25,447 )</w:t>
            </w:r>
          </w:p>
        </w:tc>
      </w:tr>
      <w:tr>
        <w:trPr>
          <w:trHeight w:val="20"/>
        </w:trPr>
        <w:tc>
          <w:tcPr>
            <w:tcW w:w="53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80" w:type="dxa"/>
            <w:vAlign w:val="bottom"/>
          </w:tcPr>
          <w:p>
            <w:pPr>
              <w:ind w:left="200"/>
              <w:spacing w:after="0"/>
              <w:rPr>
                <w:sz w:val="20"/>
                <w:szCs w:val="20"/>
                <w:color w:val="auto"/>
              </w:rPr>
            </w:pPr>
            <w:r>
              <w:rPr>
                <w:rFonts w:ascii="Arial" w:cs="Arial" w:eastAsia="Arial" w:hAnsi="Arial"/>
                <w:sz w:val="16"/>
                <w:szCs w:val="16"/>
                <w:color w:val="004483"/>
              </w:rPr>
              <w:t>Other Non-Operating Income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(664 )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(1,299 )</w:t>
            </w:r>
          </w:p>
        </w:tc>
      </w:tr>
      <w:tr>
        <w:trPr>
          <w:trHeight w:val="20"/>
        </w:trPr>
        <w:tc>
          <w:tcPr>
            <w:tcW w:w="53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38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(10,204 )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(8,580 )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(22,443 )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(15,910 )</w:t>
            </w:r>
          </w:p>
        </w:tc>
      </w:tr>
      <w:tr>
        <w:trPr>
          <w:trHeight w:val="220"/>
        </w:trPr>
        <w:tc>
          <w:tcPr>
            <w:tcW w:w="538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280" w:type="dxa"/>
            <w:vAlign w:val="bottom"/>
            <w:tcBorders>
              <w:top w:val="single" w:sz="8" w:color="004483"/>
              <w:bottom w:val="single" w:sz="8" w:color="A6A6A6"/>
            </w:tcBorders>
          </w:tcPr>
          <w:p>
            <w:pPr>
              <w:spacing w:after="0"/>
              <w:rPr>
                <w:sz w:val="19"/>
                <w:szCs w:val="19"/>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194,189</w:t>
            </w:r>
          </w:p>
        </w:tc>
        <w:tc>
          <w:tcPr>
            <w:tcW w:w="14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004483"/>
              <w:bottom w:val="single" w:sz="8" w:color="A6A6A6"/>
            </w:tcBorders>
          </w:tcPr>
          <w:p>
            <w:pPr>
              <w:spacing w:after="0"/>
              <w:rPr>
                <w:sz w:val="19"/>
                <w:szCs w:val="19"/>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178,524</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349,638</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004483"/>
              <w:bottom w:val="single" w:sz="8" w:color="A6A6A6"/>
            </w:tcBorders>
          </w:tcPr>
          <w:p>
            <w:pPr>
              <w:spacing w:after="0"/>
              <w:rPr>
                <w:sz w:val="19"/>
                <w:szCs w:val="19"/>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314,703</w:t>
            </w:r>
          </w:p>
        </w:tc>
        <w:tc>
          <w:tcPr>
            <w:tcW w:w="100" w:type="dxa"/>
            <w:vAlign w:val="bottom"/>
          </w:tcPr>
          <w:p>
            <w:pPr>
              <w:spacing w:after="0"/>
              <w:rPr>
                <w:sz w:val="19"/>
                <w:szCs w:val="19"/>
                <w:color w:val="auto"/>
              </w:rPr>
            </w:pPr>
          </w:p>
        </w:tc>
      </w:tr>
      <w:tr>
        <w:trPr>
          <w:trHeight w:val="239"/>
        </w:trPr>
        <w:tc>
          <w:tcPr>
            <w:tcW w:w="5380" w:type="dxa"/>
            <w:vAlign w:val="bottom"/>
          </w:tcPr>
          <w:p>
            <w:pPr>
              <w:ind w:left="200"/>
              <w:spacing w:after="0"/>
              <w:rPr>
                <w:sz w:val="20"/>
                <w:szCs w:val="20"/>
                <w:color w:val="auto"/>
              </w:rPr>
            </w:pPr>
            <w:r>
              <w:rPr>
                <w:rFonts w:ascii="Arial" w:cs="Arial" w:eastAsia="Arial" w:hAnsi="Arial"/>
                <w:sz w:val="16"/>
                <w:szCs w:val="16"/>
                <w:color w:val="004483"/>
              </w:rPr>
              <w:t>Income Taxes</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(43,636 )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(39,529 )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(78,236 )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(70,703 )</w:t>
            </w:r>
          </w:p>
        </w:tc>
      </w:tr>
      <w:tr>
        <w:trPr>
          <w:trHeight w:val="209"/>
        </w:trPr>
        <w:tc>
          <w:tcPr>
            <w:tcW w:w="538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w:t>
            </w:r>
          </w:p>
        </w:tc>
        <w:tc>
          <w:tcPr>
            <w:tcW w:w="280" w:type="dxa"/>
            <w:vAlign w:val="bottom"/>
            <w:tcBorders>
              <w:top w:val="single" w:sz="8" w:color="004483"/>
              <w:bottom w:val="single" w:sz="8" w:color="004483"/>
            </w:tcBorders>
          </w:tcPr>
          <w:p>
            <w:pPr>
              <w:spacing w:after="0"/>
              <w:rPr>
                <w:sz w:val="18"/>
                <w:szCs w:val="18"/>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150,553</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260" w:type="dxa"/>
            <w:vAlign w:val="bottom"/>
            <w:tcBorders>
              <w:top w:val="single" w:sz="8" w:color="004483"/>
              <w:bottom w:val="single" w:sz="8" w:color="004483"/>
            </w:tcBorders>
          </w:tcPr>
          <w:p>
            <w:pPr>
              <w:spacing w:after="0"/>
              <w:rPr>
                <w:sz w:val="18"/>
                <w:szCs w:val="18"/>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138,995</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spacing w:after="0"/>
              <w:rPr>
                <w:sz w:val="18"/>
                <w:szCs w:val="18"/>
                <w:color w:val="auto"/>
              </w:rPr>
            </w:pP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271,402</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80" w:type="dxa"/>
            <w:vAlign w:val="bottom"/>
            <w:tcBorders>
              <w:top w:val="single" w:sz="8" w:color="004483"/>
              <w:bottom w:val="single" w:sz="8" w:color="004483"/>
            </w:tcBorders>
          </w:tcPr>
          <w:p>
            <w:pPr>
              <w:spacing w:after="0"/>
              <w:rPr>
                <w:sz w:val="18"/>
                <w:szCs w:val="18"/>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244,000</w:t>
            </w:r>
          </w:p>
        </w:tc>
        <w:tc>
          <w:tcPr>
            <w:tcW w:w="100" w:type="dxa"/>
            <w:vAlign w:val="bottom"/>
          </w:tcPr>
          <w:p>
            <w:pPr>
              <w:spacing w:after="0"/>
              <w:rPr>
                <w:sz w:val="18"/>
                <w:szCs w:val="18"/>
                <w:color w:val="auto"/>
              </w:rPr>
            </w:pPr>
          </w:p>
        </w:tc>
      </w:tr>
      <w:tr>
        <w:trPr>
          <w:trHeight w:val="20"/>
        </w:trPr>
        <w:tc>
          <w:tcPr>
            <w:tcW w:w="53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280" w:type="dxa"/>
            <w:vAlign w:val="bottom"/>
            <w:tcBorders>
              <w:bottom w:val="single" w:sz="8" w:color="A6A6A6"/>
            </w:tcBorders>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9"/>
                <w:szCs w:val="19"/>
                <w:color w:val="auto"/>
              </w:rPr>
            </w:pPr>
          </w:p>
        </w:tc>
        <w:tc>
          <w:tcPr>
            <w:tcW w:w="40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9"/>
                <w:szCs w:val="19"/>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9"/>
                <w:szCs w:val="19"/>
                <w:color w:val="auto"/>
              </w:rPr>
            </w:pPr>
          </w:p>
        </w:tc>
      </w:tr>
      <w:tr>
        <w:trPr>
          <w:trHeight w:val="223"/>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9"/>
                <w:szCs w:val="19"/>
                <w:color w:val="auto"/>
              </w:rPr>
            </w:pPr>
          </w:p>
        </w:tc>
      </w:tr>
      <w:tr>
        <w:trPr>
          <w:trHeight w:val="225"/>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5380" w:type="dxa"/>
            <w:vAlign w:val="bottom"/>
          </w:tcPr>
          <w:p>
            <w:pPr>
              <w:ind w:left="200"/>
              <w:spacing w:after="0"/>
              <w:rPr>
                <w:sz w:val="20"/>
                <w:szCs w:val="20"/>
                <w:color w:val="auto"/>
              </w:rPr>
            </w:pPr>
            <w:r>
              <w:rPr>
                <w:rFonts w:ascii="Arial" w:cs="Arial" w:eastAsia="Arial" w:hAnsi="Arial"/>
                <w:sz w:val="16"/>
                <w:szCs w:val="16"/>
                <w:color w:val="004483"/>
              </w:rPr>
              <w:t>Basic</w:t>
            </w:r>
          </w:p>
        </w:tc>
        <w:tc>
          <w:tcPr>
            <w:tcW w:w="28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35,056,973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37,140,197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35,165,268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37,559,087</w:t>
            </w:r>
          </w:p>
        </w:tc>
        <w:tc>
          <w:tcPr>
            <w:tcW w:w="100" w:type="dxa"/>
            <w:vAlign w:val="bottom"/>
          </w:tcPr>
          <w:p>
            <w:pPr>
              <w:spacing w:after="0"/>
              <w:rPr>
                <w:sz w:val="18"/>
                <w:szCs w:val="18"/>
                <w:color w:val="auto"/>
              </w:rPr>
            </w:pPr>
          </w:p>
        </w:tc>
      </w:tr>
      <w:tr>
        <w:trPr>
          <w:trHeight w:val="20"/>
        </w:trPr>
        <w:tc>
          <w:tcPr>
            <w:tcW w:w="53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28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35,336,966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37,366,879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35,433,837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37,792,613</w:t>
            </w:r>
          </w:p>
        </w:tc>
        <w:tc>
          <w:tcPr>
            <w:tcW w:w="100" w:type="dxa"/>
            <w:vAlign w:val="bottom"/>
          </w:tcPr>
          <w:p>
            <w:pPr>
              <w:spacing w:after="0"/>
              <w:rPr>
                <w:sz w:val="17"/>
                <w:szCs w:val="17"/>
                <w:color w:val="auto"/>
              </w:rPr>
            </w:pPr>
          </w:p>
        </w:tc>
      </w:tr>
      <w:tr>
        <w:trPr>
          <w:trHeight w:val="20"/>
        </w:trPr>
        <w:tc>
          <w:tcPr>
            <w:tcW w:w="53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280" w:type="dxa"/>
            <w:vAlign w:val="bottom"/>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-6350</wp:posOffset>
            </wp:positionV>
            <wp:extent cx="3651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80" w:type="dxa"/>
            <w:vAlign w:val="bottom"/>
            <w:gridSpan w:val="7"/>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6"/>
          </w:tcPr>
          <w:p>
            <w:pPr>
              <w:jc w:val="right"/>
              <w:ind w:right="9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6A6A6"/>
            </w:tcBorders>
          </w:tcPr>
          <w:p>
            <w:pPr>
              <w:jc w:val="right"/>
              <w:ind w:right="20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271,402</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244,000</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r>
      <w:tr>
        <w:trPr>
          <w:trHeight w:val="210"/>
        </w:trPr>
        <w:tc>
          <w:tcPr>
            <w:tcW w:w="5380" w:type="dxa"/>
            <w:vAlign w:val="bottom"/>
          </w:tcPr>
          <w:p>
            <w:pPr>
              <w:ind w:left="200"/>
              <w:spacing w:after="0"/>
              <w:rPr>
                <w:sz w:val="20"/>
                <w:szCs w:val="20"/>
                <w:color w:val="auto"/>
              </w:rPr>
            </w:pPr>
            <w:r>
              <w:rPr>
                <w:rFonts w:ascii="Arial" w:cs="Arial" w:eastAsia="Arial" w:hAnsi="Arial"/>
                <w:sz w:val="16"/>
                <w:szCs w:val="16"/>
                <w:color w:val="004483"/>
              </w:rPr>
              <w:t>Tax Expense</w:t>
            </w: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r>
      <w:tr>
        <w:trPr>
          <w:trHeight w:val="223"/>
        </w:trPr>
        <w:tc>
          <w:tcPr>
            <w:tcW w:w="538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380" w:type="dxa"/>
            <w:vAlign w:val="bottom"/>
            <w:tcBorders>
              <w:top w:val="single" w:sz="8" w:color="004483"/>
            </w:tcBorders>
          </w:tcPr>
          <w:p>
            <w:pPr>
              <w:jc w:val="right"/>
              <w:ind w:right="205"/>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150,601</w:t>
            </w:r>
          </w:p>
        </w:tc>
        <w:tc>
          <w:tcPr>
            <w:tcW w:w="140" w:type="dxa"/>
            <w:vAlign w:val="bottom"/>
          </w:tcPr>
          <w:p>
            <w:pPr>
              <w:spacing w:after="0"/>
              <w:rPr>
                <w:sz w:val="19"/>
                <w:szCs w:val="19"/>
                <w:color w:val="auto"/>
              </w:rPr>
            </w:pPr>
          </w:p>
        </w:tc>
        <w:tc>
          <w:tcPr>
            <w:tcW w:w="140" w:type="dxa"/>
            <w:vAlign w:val="bottom"/>
            <w:tcBorders>
              <w:top w:val="single" w:sz="8" w:color="A6A6A6"/>
            </w:tcBorders>
          </w:tcPr>
          <w:p>
            <w:pPr>
              <w:spacing w:after="0"/>
              <w:rPr>
                <w:sz w:val="19"/>
                <w:szCs w:val="19"/>
                <w:color w:val="auto"/>
              </w:rPr>
            </w:pPr>
          </w:p>
        </w:tc>
        <w:tc>
          <w:tcPr>
            <w:tcW w:w="380" w:type="dxa"/>
            <w:vAlign w:val="bottom"/>
            <w:tcBorders>
              <w:top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139,019</w:t>
            </w:r>
          </w:p>
        </w:tc>
        <w:tc>
          <w:tcPr>
            <w:tcW w:w="100" w:type="dxa"/>
            <w:vAlign w:val="bottom"/>
          </w:tcPr>
          <w:p>
            <w:pPr>
              <w:spacing w:after="0"/>
              <w:rPr>
                <w:sz w:val="19"/>
                <w:szCs w:val="19"/>
                <w:color w:val="auto"/>
              </w:rPr>
            </w:pPr>
          </w:p>
        </w:tc>
        <w:tc>
          <w:tcPr>
            <w:tcW w:w="140" w:type="dxa"/>
            <w:vAlign w:val="bottom"/>
            <w:tcBorders>
              <w:top w:val="single" w:sz="8" w:color="A6A6A6"/>
            </w:tcBorders>
          </w:tcPr>
          <w:p>
            <w:pPr>
              <w:spacing w:after="0"/>
              <w:rPr>
                <w:sz w:val="19"/>
                <w:szCs w:val="19"/>
                <w:color w:val="auto"/>
              </w:rPr>
            </w:pPr>
          </w:p>
        </w:tc>
        <w:tc>
          <w:tcPr>
            <w:tcW w:w="12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271,498</w:t>
            </w:r>
          </w:p>
        </w:tc>
        <w:tc>
          <w:tcPr>
            <w:tcW w:w="120" w:type="dxa"/>
            <w:vAlign w:val="bottom"/>
          </w:tcPr>
          <w:p>
            <w:pPr>
              <w:spacing w:after="0"/>
              <w:rPr>
                <w:sz w:val="19"/>
                <w:szCs w:val="19"/>
                <w:color w:val="auto"/>
              </w:rPr>
            </w:pPr>
          </w:p>
        </w:tc>
        <w:tc>
          <w:tcPr>
            <w:tcW w:w="120" w:type="dxa"/>
            <w:vAlign w:val="bottom"/>
            <w:tcBorders>
              <w:top w:val="single" w:sz="8" w:color="A6A6A6"/>
            </w:tcBorders>
          </w:tcPr>
          <w:p>
            <w:pPr>
              <w:spacing w:after="0"/>
              <w:rPr>
                <w:sz w:val="19"/>
                <w:szCs w:val="19"/>
                <w:color w:val="auto"/>
              </w:rPr>
            </w:pPr>
          </w:p>
        </w:tc>
        <w:tc>
          <w:tcPr>
            <w:tcW w:w="380" w:type="dxa"/>
            <w:vAlign w:val="bottom"/>
            <w:tcBorders>
              <w:top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244,047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-6350</wp:posOffset>
            </wp:positionV>
            <wp:extent cx="3651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-127635</wp:posOffset>
            </wp:positionV>
            <wp:extent cx="3651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24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September 30,</w:t>
            </w:r>
          </w:p>
        </w:tc>
        <w:tc>
          <w:tcPr>
            <w:tcW w:w="84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8160" w:type="dxa"/>
            <w:vAlign w:val="bottom"/>
          </w:tcPr>
          <w:p>
            <w:pPr>
              <w:spacing w:after="0"/>
              <w:rPr>
                <w:sz w:val="14"/>
                <w:szCs w:val="14"/>
                <w:color w:val="auto"/>
              </w:rPr>
            </w:pPr>
          </w:p>
        </w:tc>
        <w:tc>
          <w:tcPr>
            <w:tcW w:w="2240" w:type="dxa"/>
            <w:vAlign w:val="bottom"/>
          </w:tcPr>
          <w:p>
            <w:pPr>
              <w:jc w:val="right"/>
              <w:ind w:right="837"/>
              <w:spacing w:after="0"/>
              <w:rPr>
                <w:sz w:val="20"/>
                <w:szCs w:val="20"/>
                <w:color w:val="auto"/>
              </w:rPr>
            </w:pPr>
            <w:r>
              <w:rPr>
                <w:rFonts w:ascii="Arial" w:cs="Arial" w:eastAsia="Arial" w:hAnsi="Arial"/>
                <w:sz w:val="13"/>
                <w:szCs w:val="13"/>
                <w:b w:val="1"/>
                <w:bCs w:val="1"/>
                <w:color w:val="auto"/>
              </w:rPr>
              <w:t>2023</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8160" w:type="dxa"/>
            <w:vAlign w:val="bottom"/>
            <w:tcBorders>
              <w:bottom w:val="single" w:sz="8" w:color="004483"/>
            </w:tcBorders>
          </w:tcPr>
          <w:p>
            <w:pPr>
              <w:spacing w:after="0"/>
              <w:rPr>
                <w:sz w:val="15"/>
                <w:szCs w:val="15"/>
                <w:color w:val="auto"/>
              </w:rPr>
            </w:pPr>
          </w:p>
        </w:tc>
        <w:tc>
          <w:tcPr>
            <w:tcW w:w="2240" w:type="dxa"/>
            <w:vAlign w:val="bottom"/>
            <w:tcBorders>
              <w:bottom w:val="single" w:sz="8" w:color="004483"/>
            </w:tcBorders>
          </w:tcPr>
          <w:p>
            <w:pPr>
              <w:jc w:val="right"/>
              <w:ind w:right="97"/>
              <w:spacing w:after="0"/>
              <w:rPr>
                <w:sz w:val="20"/>
                <w:szCs w:val="20"/>
                <w:color w:val="auto"/>
              </w:rPr>
            </w:pPr>
            <w:r>
              <w:rPr>
                <w:rFonts w:ascii="Arial" w:cs="Arial" w:eastAsia="Arial" w:hAnsi="Arial"/>
                <w:sz w:val="13"/>
                <w:szCs w:val="13"/>
                <w:color w:val="auto"/>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60"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35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8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47,321</w:t>
            </w:r>
          </w:p>
        </w:tc>
      </w:tr>
      <w:tr>
        <w:trPr>
          <w:trHeight w:val="209"/>
        </w:trPr>
        <w:tc>
          <w:tcPr>
            <w:tcW w:w="5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244,832</w:t>
            </w:r>
          </w:p>
        </w:tc>
      </w:tr>
      <w:tr>
        <w:trPr>
          <w:trHeight w:val="209"/>
        </w:trPr>
        <w:tc>
          <w:tcPr>
            <w:tcW w:w="5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301,374</w:t>
            </w:r>
          </w:p>
        </w:tc>
      </w:tr>
      <w:tr>
        <w:trPr>
          <w:trHeight w:val="207"/>
        </w:trPr>
        <w:tc>
          <w:tcPr>
            <w:tcW w:w="550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035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15,242</w:t>
            </w:r>
          </w:p>
        </w:tc>
      </w:tr>
      <w:tr>
        <w:trPr>
          <w:trHeight w:val="209"/>
        </w:trPr>
        <w:tc>
          <w:tcPr>
            <w:tcW w:w="6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195,052</w:t>
            </w:r>
          </w:p>
        </w:tc>
      </w:tr>
      <w:tr>
        <w:trPr>
          <w:trHeight w:val="209"/>
        </w:trPr>
        <w:tc>
          <w:tcPr>
            <w:tcW w:w="6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291,882</w:t>
            </w:r>
          </w:p>
        </w:tc>
      </w:tr>
      <w:tr>
        <w:trPr>
          <w:trHeight w:val="207"/>
        </w:trPr>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-724535</wp:posOffset>
            </wp:positionV>
            <wp:extent cx="960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960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9520" w:space="100"/>
            <w:col w:w="1620"/>
          </w:cols>
          <w:pgMar w:left="320" w:top="360"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177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177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77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035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035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035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035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035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177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177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035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10,135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572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611,806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572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1,676,738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100,115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22,068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490,180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572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45" w:lineRule="exact"/>
        <w:rPr>
          <w:sz w:val="20"/>
          <w:szCs w:val="20"/>
          <w:color w:val="auto"/>
        </w:rPr>
      </w:pPr>
    </w:p>
    <w:p>
      <w:pPr>
        <w:ind w:left="605" w:hanging="605"/>
        <w:spacing w:after="0"/>
        <w:tabs>
          <w:tab w:leader="none" w:pos="60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2,917,094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857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857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521,503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1,662,061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89,111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20,759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466,043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120" cy="25400"/>
                    </a:xfrm>
                    <a:prstGeom prst="rect">
                      <a:avLst/>
                    </a:prstGeom>
                    <a:noFill/>
                  </pic:spPr>
                </pic:pic>
              </a:graphicData>
            </a:graphic>
          </wp:anchor>
        </w:drawing>
      </w:r>
    </w:p>
    <w:p>
      <w:pPr>
        <w:spacing w:after="0" w:line="45"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2,781,002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23495</wp:posOffset>
            </wp:positionV>
            <wp:extent cx="9601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0120" cy="2603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186055</wp:posOffset>
            </wp:positionV>
            <wp:extent cx="9601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3">
            <w:col w:w="7455" w:space="720"/>
            <w:col w:w="1325" w:space="300"/>
            <w:col w:w="1440"/>
          </w:cols>
          <w:pgMar w:left="320" w:top="36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Accounts Payable</w:t>
            </w:r>
          </w:p>
        </w:tc>
        <w:tc>
          <w:tcPr>
            <w:tcW w:w="360" w:type="dxa"/>
            <w:vAlign w:val="bottom"/>
            <w:tcBorders>
              <w:top w:val="single" w:sz="8" w:color="A6A6A6"/>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113,737</w:t>
            </w:r>
          </w:p>
        </w:tc>
        <w:tc>
          <w:tcPr>
            <w:tcW w:w="60" w:type="dxa"/>
            <w:vAlign w:val="bottom"/>
          </w:tcPr>
          <w:p>
            <w:pPr>
              <w:spacing w:after="0"/>
              <w:rPr>
                <w:sz w:val="18"/>
                <w:szCs w:val="18"/>
                <w:color w:val="auto"/>
              </w:rPr>
            </w:pPr>
          </w:p>
        </w:tc>
      </w:tr>
      <w:tr>
        <w:trPr>
          <w:trHeight w:val="210"/>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Accrued Liabilities</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90,815</w:t>
            </w:r>
          </w:p>
        </w:tc>
        <w:tc>
          <w:tcPr>
            <w:tcW w:w="60" w:type="dxa"/>
            <w:vAlign w:val="bottom"/>
          </w:tcPr>
          <w:p>
            <w:pPr>
              <w:spacing w:after="0"/>
              <w:rPr>
                <w:sz w:val="18"/>
                <w:szCs w:val="18"/>
                <w:color w:val="auto"/>
              </w:rPr>
            </w:pPr>
          </w:p>
        </w:tc>
      </w:tr>
      <w:tr>
        <w:trPr>
          <w:trHeight w:val="210"/>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Operating Lease Liabilities</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8,205</w:t>
            </w:r>
          </w:p>
        </w:tc>
        <w:tc>
          <w:tcPr>
            <w:tcW w:w="60" w:type="dxa"/>
            <w:vAlign w:val="bottom"/>
          </w:tcPr>
          <w:p>
            <w:pPr>
              <w:spacing w:after="0"/>
              <w:rPr>
                <w:sz w:val="18"/>
                <w:szCs w:val="18"/>
                <w:color w:val="auto"/>
              </w:rPr>
            </w:pPr>
          </w:p>
        </w:tc>
      </w:tr>
      <w:tr>
        <w:trPr>
          <w:trHeight w:val="209"/>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Income Taxes Payable</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1,778</w:t>
            </w:r>
          </w:p>
        </w:tc>
        <w:tc>
          <w:tcPr>
            <w:tcW w:w="60" w:type="dxa"/>
            <w:vAlign w:val="bottom"/>
          </w:tcPr>
          <w:p>
            <w:pPr>
              <w:spacing w:after="0"/>
              <w:rPr>
                <w:sz w:val="18"/>
                <w:szCs w:val="18"/>
                <w:color w:val="auto"/>
              </w:rPr>
            </w:pPr>
          </w:p>
        </w:tc>
      </w:tr>
      <w:tr>
        <w:trPr>
          <w:trHeight w:val="239"/>
        </w:trPr>
        <w:tc>
          <w:tcPr>
            <w:tcW w:w="8160" w:type="dxa"/>
            <w:vAlign w:val="bottom"/>
            <w:tcBorders>
              <w:bottom w:val="single" w:sz="8" w:color="A3A3A3"/>
            </w:tcBorders>
            <w:gridSpan w:val="2"/>
          </w:tcPr>
          <w:p>
            <w:pPr>
              <w:ind w:left="200"/>
              <w:spacing w:after="0"/>
              <w:rPr>
                <w:sz w:val="20"/>
                <w:szCs w:val="20"/>
                <w:color w:val="auto"/>
              </w:rPr>
            </w:pPr>
            <w:r>
              <w:rPr>
                <w:rFonts w:ascii="Arial" w:cs="Arial" w:eastAsia="Arial" w:hAnsi="Arial"/>
                <w:sz w:val="16"/>
                <w:szCs w:val="16"/>
                <w:color w:val="004483"/>
              </w:rPr>
              <w:t>Current Portion of Long-term Debt</w:t>
            </w:r>
          </w:p>
        </w:tc>
        <w:tc>
          <w:tcPr>
            <w:tcW w:w="3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0"/>
                <w:szCs w:val="20"/>
                <w:color w:val="auto"/>
              </w:rPr>
            </w:pPr>
          </w:p>
        </w:tc>
      </w:tr>
      <w:tr>
        <w:trPr>
          <w:trHeight w:val="206"/>
        </w:trPr>
        <w:tc>
          <w:tcPr>
            <w:tcW w:w="816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Current Liabilities</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224,535</w:t>
            </w:r>
          </w:p>
        </w:tc>
        <w:tc>
          <w:tcPr>
            <w:tcW w:w="60" w:type="dxa"/>
            <w:vAlign w:val="bottom"/>
          </w:tcPr>
          <w:p>
            <w:pPr>
              <w:spacing w:after="0"/>
              <w:rPr>
                <w:sz w:val="17"/>
                <w:szCs w:val="17"/>
                <w:color w:val="auto"/>
              </w:rPr>
            </w:pPr>
          </w:p>
        </w:tc>
      </w:tr>
      <w:tr>
        <w:trPr>
          <w:trHeight w:val="210"/>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Long-term Debt</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1,079,665</w:t>
            </w:r>
          </w:p>
        </w:tc>
        <w:tc>
          <w:tcPr>
            <w:tcW w:w="60" w:type="dxa"/>
            <w:vAlign w:val="bottom"/>
          </w:tcPr>
          <w:p>
            <w:pPr>
              <w:spacing w:after="0"/>
              <w:rPr>
                <w:sz w:val="18"/>
                <w:szCs w:val="18"/>
                <w:color w:val="auto"/>
              </w:rPr>
            </w:pPr>
          </w:p>
        </w:tc>
      </w:tr>
      <w:tr>
        <w:trPr>
          <w:trHeight w:val="209"/>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22,699</w:t>
            </w:r>
          </w:p>
        </w:tc>
        <w:tc>
          <w:tcPr>
            <w:tcW w:w="60" w:type="dxa"/>
            <w:vAlign w:val="bottom"/>
          </w:tcPr>
          <w:p>
            <w:pPr>
              <w:spacing w:after="0"/>
              <w:rPr>
                <w:sz w:val="18"/>
                <w:szCs w:val="18"/>
                <w:color w:val="auto"/>
              </w:rPr>
            </w:pPr>
          </w:p>
        </w:tc>
      </w:tr>
      <w:tr>
        <w:trPr>
          <w:trHeight w:val="210"/>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Long-term Liabilities</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39,891</w:t>
            </w:r>
          </w:p>
        </w:tc>
        <w:tc>
          <w:tcPr>
            <w:tcW w:w="60" w:type="dxa"/>
            <w:vAlign w:val="bottom"/>
          </w:tcPr>
          <w:p>
            <w:pPr>
              <w:spacing w:after="0"/>
              <w:rPr>
                <w:sz w:val="18"/>
                <w:szCs w:val="18"/>
                <w:color w:val="auto"/>
              </w:rPr>
            </w:pPr>
          </w:p>
        </w:tc>
      </w:tr>
      <w:tr>
        <w:trPr>
          <w:trHeight w:val="239"/>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Deferred Income Taxes</w:t>
            </w:r>
          </w:p>
        </w:tc>
        <w:tc>
          <w:tcPr>
            <w:tcW w:w="3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243,670</w:t>
            </w:r>
          </w:p>
        </w:tc>
        <w:tc>
          <w:tcPr>
            <w:tcW w:w="60" w:type="dxa"/>
            <w:vAlign w:val="bottom"/>
          </w:tcPr>
          <w:p>
            <w:pPr>
              <w:spacing w:after="0"/>
              <w:rPr>
                <w:sz w:val="20"/>
                <w:szCs w:val="20"/>
                <w:color w:val="auto"/>
              </w:rPr>
            </w:pPr>
          </w:p>
        </w:tc>
      </w:tr>
      <w:tr>
        <w:trPr>
          <w:trHeight w:val="237"/>
        </w:trPr>
        <w:tc>
          <w:tcPr>
            <w:tcW w:w="816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Liabilities</w:t>
            </w:r>
          </w:p>
        </w:tc>
        <w:tc>
          <w:tcPr>
            <w:tcW w:w="3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1,610,460</w:t>
            </w:r>
          </w:p>
        </w:tc>
        <w:tc>
          <w:tcPr>
            <w:tcW w:w="60" w:type="dxa"/>
            <w:vAlign w:val="bottom"/>
          </w:tcPr>
          <w:p>
            <w:pPr>
              <w:spacing w:after="0"/>
              <w:rPr>
                <w:sz w:val="20"/>
                <w:szCs w:val="20"/>
                <w:color w:val="auto"/>
              </w:rPr>
            </w:pPr>
          </w:p>
        </w:tc>
      </w:tr>
      <w:tr>
        <w:trPr>
          <w:trHeight w:val="207"/>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Stockholders’ Equity</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160" w:type="dxa"/>
            <w:vAlign w:val="bottom"/>
            <w:gridSpan w:val="2"/>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16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color w:val="004483"/>
              </w:rPr>
              <w:t>Common Stock, Par Value $0.01; Authorized 100,000,000 Shares;</w:t>
            </w:r>
          </w:p>
        </w:tc>
        <w:tc>
          <w:tcPr>
            <w:tcW w:w="360" w:type="dxa"/>
            <w:vAlign w:val="bottom"/>
            <w:tcBorders>
              <w:top w:val="single" w:sz="8" w:color="A6A6A6"/>
            </w:tcBorders>
          </w:tcPr>
          <w:p>
            <w:pPr>
              <w:spacing w:after="0"/>
              <w:rPr>
                <w:sz w:val="16"/>
                <w:szCs w:val="16"/>
                <w:color w:val="auto"/>
              </w:rPr>
            </w:pPr>
          </w:p>
        </w:tc>
        <w:tc>
          <w:tcPr>
            <w:tcW w:w="1000" w:type="dxa"/>
            <w:vAlign w:val="bottom"/>
            <w:tcBorders>
              <w:top w:val="single" w:sz="8" w:color="A6A6A6"/>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8160" w:type="dxa"/>
            <w:vAlign w:val="bottom"/>
            <w:tcBorders>
              <w:bottom w:val="single" w:sz="8" w:color="A6A6A6"/>
            </w:tcBorders>
            <w:gridSpan w:val="2"/>
          </w:tcPr>
          <w:p>
            <w:pPr>
              <w:ind w:left="340"/>
              <w:spacing w:after="0"/>
              <w:rPr>
                <w:sz w:val="20"/>
                <w:szCs w:val="20"/>
                <w:color w:val="auto"/>
              </w:rPr>
            </w:pPr>
            <w:r>
              <w:rPr>
                <w:rFonts w:ascii="Arial" w:cs="Arial" w:eastAsia="Arial" w:hAnsi="Arial"/>
                <w:sz w:val="16"/>
                <w:szCs w:val="16"/>
                <w:color w:val="004483"/>
              </w:rPr>
              <w:t>Issued and Outstanding 35,031,889 and 35,768,376 Shares, respectively</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18"/>
                <w:szCs w:val="18"/>
                <w:color w:val="auto"/>
              </w:rPr>
            </w:pPr>
          </w:p>
        </w:tc>
      </w:tr>
      <w:tr>
        <w:trPr>
          <w:trHeight w:val="210"/>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Capital in Excess of Par Value</w:t>
            </w:r>
          </w:p>
        </w:tc>
        <w:tc>
          <w:tcPr>
            <w:tcW w:w="3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0"/>
        </w:trPr>
        <w:tc>
          <w:tcPr>
            <w:tcW w:w="8160" w:type="dxa"/>
            <w:vAlign w:val="bottom"/>
            <w:gridSpan w:val="2"/>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(3,451 )</w:t>
            </w:r>
          </w:p>
        </w:tc>
      </w:tr>
      <w:tr>
        <w:trPr>
          <w:trHeight w:val="240"/>
        </w:trPr>
        <w:tc>
          <w:tcPr>
            <w:tcW w:w="816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Retained Earnings</w:t>
            </w:r>
          </w:p>
        </w:tc>
        <w:tc>
          <w:tcPr>
            <w:tcW w:w="36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1,309,735</w:t>
            </w:r>
          </w:p>
        </w:tc>
        <w:tc>
          <w:tcPr>
            <w:tcW w:w="60" w:type="dxa"/>
            <w:vAlign w:val="bottom"/>
          </w:tcPr>
          <w:p>
            <w:pPr>
              <w:spacing w:after="0"/>
              <w:rPr>
                <w:sz w:val="20"/>
                <w:szCs w:val="20"/>
                <w:color w:val="auto"/>
              </w:rPr>
            </w:pPr>
          </w:p>
        </w:tc>
      </w:tr>
      <w:tr>
        <w:trPr>
          <w:trHeight w:val="236"/>
        </w:trPr>
        <w:tc>
          <w:tcPr>
            <w:tcW w:w="798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Stockholders’ Equity</w:t>
            </w:r>
          </w:p>
        </w:tc>
        <w:tc>
          <w:tcPr>
            <w:tcW w:w="180" w:type="dxa"/>
            <w:vAlign w:val="bottom"/>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1,306,634</w:t>
            </w:r>
          </w:p>
        </w:tc>
        <w:tc>
          <w:tcPr>
            <w:tcW w:w="60" w:type="dxa"/>
            <w:vAlign w:val="bottom"/>
          </w:tcPr>
          <w:p>
            <w:pPr>
              <w:spacing w:after="0"/>
              <w:rPr>
                <w:sz w:val="20"/>
                <w:szCs w:val="20"/>
                <w:color w:val="auto"/>
              </w:rPr>
            </w:pPr>
          </w:p>
        </w:tc>
      </w:tr>
      <w:tr>
        <w:trPr>
          <w:trHeight w:val="220"/>
        </w:trPr>
        <w:tc>
          <w:tcPr>
            <w:tcW w:w="8160" w:type="dxa"/>
            <w:vAlign w:val="bottom"/>
            <w:gridSpan w:val="2"/>
          </w:tcPr>
          <w:p>
            <w:pPr>
              <w:ind w:left="380"/>
              <w:spacing w:after="0"/>
              <w:rPr>
                <w:sz w:val="20"/>
                <w:szCs w:val="20"/>
                <w:color w:val="auto"/>
              </w:rPr>
            </w:pPr>
            <w:r>
              <w:rPr>
                <w:rFonts w:ascii="Arial" w:cs="Arial" w:eastAsia="Arial" w:hAnsi="Arial"/>
                <w:sz w:val="16"/>
                <w:szCs w:val="16"/>
                <w:color w:val="004483"/>
              </w:rPr>
              <w:t>Total Liabilities and Stockholders’ Equity</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2,917,094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-6350</wp:posOffset>
            </wp:positionV>
            <wp:extent cx="8572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-127635</wp:posOffset>
            </wp:positionV>
            <wp:extent cx="8572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40" w:hanging="731"/>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110,408</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86,472</w:t>
      </w:r>
    </w:p>
    <w:p>
      <w:pPr>
        <w:spacing w:after="0" w:line="4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6,009</w:t>
      </w:r>
    </w:p>
    <w:p>
      <w:pPr>
        <w:spacing w:after="0" w:line="45"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-709930</wp:posOffset>
            </wp:positionV>
            <wp:extent cx="9601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-563880</wp:posOffset>
            </wp:positionV>
            <wp:extent cx="960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-418465</wp:posOffset>
            </wp:positionV>
            <wp:extent cx="9601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-272415</wp:posOffset>
            </wp:positionV>
            <wp:extent cx="960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-127000</wp:posOffset>
            </wp:positionV>
            <wp:extent cx="848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212,889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1,079,032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24,940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41,603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236,844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1,595,308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0120" cy="2540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180975</wp:posOffset>
            </wp:positionV>
            <wp:extent cx="9601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(3,547 )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1,188,883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18415</wp:posOffset>
            </wp:positionV>
            <wp:extent cx="9601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0120" cy="25400"/>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1,185,694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84836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8360" cy="26035"/>
                    </a:xfrm>
                    <a:prstGeom prst="rect">
                      <a:avLst/>
                    </a:prstGeom>
                    <a:noFill/>
                  </pic:spPr>
                </pic:pic>
              </a:graphicData>
            </a:graphic>
          </wp:anchor>
        </w:drawing>
      </w:r>
    </w:p>
    <w:p>
      <w:pPr>
        <w:spacing w:after="0" w:line="45" w:lineRule="exact"/>
        <w:rPr>
          <w:sz w:val="20"/>
          <w:szCs w:val="20"/>
          <w:color w:val="auto"/>
        </w:rPr>
      </w:pPr>
    </w:p>
    <w:p>
      <w:pPr>
        <w:ind w:left="600" w:hanging="591"/>
        <w:spacing w:after="0"/>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2,781,002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848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848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9580" w:space="220"/>
            <w:col w:w="1440"/>
          </w:cols>
          <w:pgMar w:left="320" w:top="360" w:right="33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3380" w:type="dxa"/>
            <w:vAlign w:val="bottom"/>
            <w:gridSpan w:val="6"/>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62"/>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7520" w:type="dxa"/>
            <w:vAlign w:val="bottom"/>
            <w:tcBorders>
              <w:bottom w:val="single" w:sz="8" w:color="004483"/>
            </w:tcBorders>
          </w:tcPr>
          <w:p>
            <w:pPr>
              <w:spacing w:after="0"/>
              <w:rPr>
                <w:sz w:val="15"/>
                <w:szCs w:val="15"/>
                <w:color w:val="auto"/>
              </w:rPr>
            </w:pPr>
          </w:p>
        </w:tc>
        <w:tc>
          <w:tcPr>
            <w:tcW w:w="340" w:type="dxa"/>
            <w:vAlign w:val="bottom"/>
            <w:tcBorders>
              <w:bottom w:val="single" w:sz="8" w:color="004483"/>
            </w:tcBorders>
          </w:tcPr>
          <w:p>
            <w:pPr>
              <w:spacing w:after="0"/>
              <w:rPr>
                <w:sz w:val="15"/>
                <w:szCs w:val="15"/>
                <w:color w:val="auto"/>
              </w:rPr>
            </w:pPr>
          </w:p>
        </w:tc>
        <w:tc>
          <w:tcPr>
            <w:tcW w:w="234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4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271,402</w:t>
            </w:r>
          </w:p>
        </w:tc>
        <w:tc>
          <w:tcPr>
            <w:tcW w:w="100" w:type="dxa"/>
            <w:vAlign w:val="bottom"/>
          </w:tcPr>
          <w:p>
            <w:pPr>
              <w:spacing w:after="0"/>
              <w:rPr>
                <w:sz w:val="17"/>
                <w:szCs w:val="17"/>
                <w:color w:val="auto"/>
              </w:rPr>
            </w:pPr>
          </w:p>
        </w:tc>
        <w:tc>
          <w:tcPr>
            <w:tcW w:w="900" w:type="dxa"/>
            <w:vAlign w:val="bottom"/>
            <w:tcBorders>
              <w:bottom w:val="single" w:sz="8" w:color="A6A6A6"/>
            </w:tcBorders>
            <w:gridSpan w:val="2"/>
          </w:tcPr>
          <w:p>
            <w:pPr>
              <w:jc w:val="right"/>
              <w:ind w:right="5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244,000</w:t>
            </w:r>
          </w:p>
        </w:tc>
        <w:tc>
          <w:tcPr>
            <w:tcW w:w="100" w:type="dxa"/>
            <w:vAlign w:val="bottom"/>
          </w:tcPr>
          <w:p>
            <w:pPr>
              <w:spacing w:after="0"/>
              <w:rPr>
                <w:sz w:val="17"/>
                <w:szCs w:val="17"/>
                <w:color w:val="auto"/>
              </w:rPr>
            </w:pPr>
          </w:p>
        </w:tc>
      </w:tr>
      <w:tr>
        <w:trPr>
          <w:trHeight w:val="189"/>
        </w:trPr>
        <w:tc>
          <w:tcPr>
            <w:tcW w:w="7520" w:type="dxa"/>
            <w:vAlign w:val="bottom"/>
          </w:tcPr>
          <w:p>
            <w:pPr>
              <w:ind w:left="20"/>
              <w:spacing w:after="0"/>
              <w:rPr>
                <w:sz w:val="20"/>
                <w:szCs w:val="20"/>
                <w:color w:val="auto"/>
              </w:rPr>
            </w:pPr>
            <w:r>
              <w:rPr>
                <w:rFonts w:ascii="Arial" w:cs="Arial" w:eastAsia="Arial" w:hAnsi="Arial"/>
                <w:sz w:val="16"/>
                <w:szCs w:val="16"/>
                <w:color w:val="004483"/>
              </w:rPr>
              <w:t>Adjustments to Reconcile Net Earnings to Net Cash Provided</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73,879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68,874</w:t>
            </w:r>
          </w:p>
        </w:tc>
        <w:tc>
          <w:tcPr>
            <w:tcW w:w="100" w:type="dxa"/>
            <w:vAlign w:val="bottom"/>
          </w:tcPr>
          <w:p>
            <w:pPr>
              <w:spacing w:after="0"/>
              <w:rPr>
                <w:sz w:val="18"/>
                <w:szCs w:val="18"/>
                <w:color w:val="auto"/>
              </w:rPr>
            </w:pPr>
          </w:p>
        </w:tc>
      </w:tr>
      <w:tr>
        <w:trPr>
          <w:trHeight w:val="209"/>
        </w:trPr>
        <w:tc>
          <w:tcPr>
            <w:tcW w:w="75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6,826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6,198</w:t>
            </w:r>
          </w:p>
        </w:tc>
        <w:tc>
          <w:tcPr>
            <w:tcW w:w="100" w:type="dxa"/>
            <w:vAlign w:val="bottom"/>
          </w:tcPr>
          <w:p>
            <w:pPr>
              <w:spacing w:after="0"/>
              <w:rPr>
                <w:sz w:val="18"/>
                <w:szCs w:val="18"/>
                <w:color w:val="auto"/>
              </w:rPr>
            </w:pPr>
          </w:p>
        </w:tc>
      </w:tr>
      <w:tr>
        <w:trPr>
          <w:trHeight w:val="209"/>
        </w:trPr>
        <w:tc>
          <w:tcPr>
            <w:tcW w:w="75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(13,505 )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(12,254 )</w:t>
            </w:r>
          </w:p>
        </w:tc>
      </w:tr>
      <w:tr>
        <w:trPr>
          <w:trHeight w:val="210"/>
        </w:trPr>
        <w:tc>
          <w:tcPr>
            <w:tcW w:w="75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r>
      <w:tr>
        <w:trPr>
          <w:trHeight w:val="210"/>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Accounts and Notes Receivable</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(42,398 )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(50,697 )</w:t>
            </w:r>
          </w:p>
        </w:tc>
      </w:tr>
      <w:tr>
        <w:trPr>
          <w:trHeight w:val="209"/>
        </w:trPr>
        <w:tc>
          <w:tcPr>
            <w:tcW w:w="75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18,101</w:t>
            </w:r>
          </w:p>
        </w:tc>
        <w:tc>
          <w:tcPr>
            <w:tcW w:w="100" w:type="dxa"/>
            <w:vAlign w:val="bottom"/>
          </w:tcPr>
          <w:p>
            <w:pPr>
              <w:spacing w:after="0"/>
              <w:rPr>
                <w:sz w:val="18"/>
                <w:szCs w:val="18"/>
                <w:color w:val="auto"/>
              </w:rPr>
            </w:pPr>
          </w:p>
        </w:tc>
      </w:tr>
      <w:tr>
        <w:trPr>
          <w:trHeight w:val="209"/>
        </w:trPr>
        <w:tc>
          <w:tcPr>
            <w:tcW w:w="75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3,996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Other Assets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(14,487 )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4,589</w:t>
            </w:r>
          </w:p>
        </w:tc>
        <w:tc>
          <w:tcPr>
            <w:tcW w:w="100" w:type="dxa"/>
            <w:vAlign w:val="bottom"/>
          </w:tcPr>
          <w:p>
            <w:pPr>
              <w:spacing w:after="0"/>
              <w:rPr>
                <w:sz w:val="18"/>
                <w:szCs w:val="18"/>
                <w:color w:val="auto"/>
              </w:rPr>
            </w:pPr>
          </w:p>
        </w:tc>
      </w:tr>
      <w:tr>
        <w:trPr>
          <w:trHeight w:val="240"/>
        </w:trPr>
        <w:tc>
          <w:tcPr>
            <w:tcW w:w="75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Income Taxes Payable (Receivable)</w:t>
            </w:r>
          </w:p>
        </w:tc>
        <w:tc>
          <w:tcPr>
            <w:tcW w:w="340" w:type="dxa"/>
            <w:vAlign w:val="bottom"/>
            <w:tcBorders>
              <w:top w:val="single" w:sz="8" w:color="A6A6A6"/>
              <w:bottom w:val="single" w:sz="8" w:color="004483"/>
            </w:tcBorders>
          </w:tcPr>
          <w:p>
            <w:pPr>
              <w:spacing w:after="0"/>
              <w:rPr>
                <w:sz w:val="20"/>
                <w:szCs w:val="20"/>
                <w:color w:val="auto"/>
              </w:rPr>
            </w:pPr>
          </w:p>
        </w:tc>
        <w:tc>
          <w:tcPr>
            <w:tcW w:w="13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8,310</w:t>
            </w:r>
          </w:p>
        </w:tc>
        <w:tc>
          <w:tcPr>
            <w:tcW w:w="100" w:type="dxa"/>
            <w:vAlign w:val="bottom"/>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720" w:type="dxa"/>
            <w:vAlign w:val="bottom"/>
            <w:tcBorders>
              <w:top w:val="single" w:sz="8" w:color="A6A6A6"/>
              <w:bottom w:val="single" w:sz="8" w:color="004483"/>
            </w:tcBorders>
          </w:tcPr>
          <w:p>
            <w:pPr>
              <w:spacing w:after="0"/>
              <w:rPr>
                <w:sz w:val="20"/>
                <w:szCs w:val="20"/>
                <w:color w:val="auto"/>
              </w:rPr>
            </w:pPr>
          </w:p>
        </w:tc>
        <w:tc>
          <w:tcPr>
            <w:tcW w:w="9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0"/>
                <w:szCs w:val="20"/>
                <w:color w:val="auto"/>
              </w:rPr>
            </w:pPr>
          </w:p>
        </w:tc>
      </w:tr>
      <w:tr>
        <w:trPr>
          <w:trHeight w:val="237"/>
        </w:trPr>
        <w:tc>
          <w:tcPr>
            <w:tcW w:w="75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312,839</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300,445</w:t>
            </w:r>
          </w:p>
        </w:tc>
        <w:tc>
          <w:tcPr>
            <w:tcW w:w="100" w:type="dxa"/>
            <w:vAlign w:val="bottom"/>
          </w:tcPr>
          <w:p>
            <w:pPr>
              <w:spacing w:after="0"/>
              <w:rPr>
                <w:sz w:val="20"/>
                <w:szCs w:val="20"/>
                <w:color w:val="auto"/>
              </w:rPr>
            </w:pPr>
          </w:p>
        </w:tc>
      </w:tr>
      <w:tr>
        <w:trPr>
          <w:trHeight w:val="209"/>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52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4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(65,453 )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(43,249 )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752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3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(55,053 )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(158,451 )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3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9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3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(120,506 )</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(201,700 )</w:t>
            </w:r>
          </w:p>
        </w:tc>
      </w:tr>
      <w:tr>
        <w:trPr>
          <w:trHeight w:val="209"/>
        </w:trPr>
        <w:tc>
          <w:tcPr>
            <w:tcW w:w="75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004483"/>
              <w:bottom w:val="single" w:sz="8" w:color="A6A6A6"/>
            </w:tcBorders>
          </w:tcPr>
          <w:p>
            <w:pPr>
              <w:spacing w:after="0"/>
              <w:rPr>
                <w:sz w:val="18"/>
                <w:szCs w:val="18"/>
                <w:color w:val="auto"/>
              </w:rPr>
            </w:pPr>
          </w:p>
        </w:tc>
        <w:tc>
          <w:tcPr>
            <w:tcW w:w="13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004483"/>
              <w:bottom w:val="single" w:sz="8" w:color="A6A6A6"/>
            </w:tcBorders>
          </w:tcPr>
          <w:p>
            <w:pPr>
              <w:spacing w:after="0"/>
              <w:rPr>
                <w:sz w:val="18"/>
                <w:szCs w:val="18"/>
                <w:color w:val="auto"/>
              </w:rPr>
            </w:pPr>
          </w:p>
        </w:tc>
        <w:tc>
          <w:tcPr>
            <w:tcW w:w="9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5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3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Repayment of Term Loan</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(5,000 )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(2,500 )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(17,908 )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(19,149 )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(151,321 )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(210,398 )</w:t>
            </w:r>
          </w:p>
        </w:tc>
      </w:tr>
      <w:tr>
        <w:trPr>
          <w:trHeight w:val="210"/>
        </w:trPr>
        <w:tc>
          <w:tcPr>
            <w:tcW w:w="75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11,469</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(903 )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752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(2,494 )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(1,806 )</w:t>
            </w:r>
          </w:p>
        </w:tc>
      </w:tr>
      <w:tr>
        <w:trPr>
          <w:trHeight w:val="20"/>
        </w:trPr>
        <w:tc>
          <w:tcPr>
            <w:tcW w:w="752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3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9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3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(160,254 )</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(34,021 )</w:t>
            </w:r>
          </w:p>
        </w:tc>
      </w:tr>
      <w:tr>
        <w:trPr>
          <w:trHeight w:val="209"/>
        </w:trPr>
        <w:tc>
          <w:tcPr>
            <w:tcW w:w="75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tcBorders>
              <w:top w:val="single" w:sz="8" w:color="004483"/>
              <w:bottom w:val="single" w:sz="8" w:color="A6A6A6"/>
            </w:tcBorders>
          </w:tcPr>
          <w:p>
            <w:pPr>
              <w:spacing w:after="0"/>
              <w:rPr>
                <w:sz w:val="18"/>
                <w:szCs w:val="18"/>
                <w:color w:val="auto"/>
              </w:rPr>
            </w:pPr>
          </w:p>
        </w:tc>
        <w:tc>
          <w:tcPr>
            <w:tcW w:w="13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32,079</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004483"/>
              <w:bottom w:val="single" w:sz="8" w:color="A6A6A6"/>
            </w:tcBorders>
          </w:tcPr>
          <w:p>
            <w:pPr>
              <w:spacing w:after="0"/>
              <w:rPr>
                <w:sz w:val="18"/>
                <w:szCs w:val="18"/>
                <w:color w:val="auto"/>
              </w:rPr>
            </w:pPr>
          </w:p>
        </w:tc>
        <w:tc>
          <w:tcPr>
            <w:tcW w:w="9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64,724</w:t>
            </w:r>
          </w:p>
        </w:tc>
        <w:tc>
          <w:tcPr>
            <w:tcW w:w="100" w:type="dxa"/>
            <w:vAlign w:val="bottom"/>
          </w:tcPr>
          <w:p>
            <w:pPr>
              <w:spacing w:after="0"/>
              <w:rPr>
                <w:sz w:val="18"/>
                <w:szCs w:val="18"/>
                <w:color w:val="auto"/>
              </w:rPr>
            </w:pPr>
          </w:p>
        </w:tc>
      </w:tr>
      <w:tr>
        <w:trPr>
          <w:trHeight w:val="237"/>
        </w:trPr>
        <w:tc>
          <w:tcPr>
            <w:tcW w:w="75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19,416</w:t>
            </w:r>
          </w:p>
        </w:tc>
        <w:tc>
          <w:tcPr>
            <w:tcW w:w="100" w:type="dxa"/>
            <w:vAlign w:val="bottom"/>
          </w:tcPr>
          <w:p>
            <w:pPr>
              <w:spacing w:after="0"/>
              <w:rPr>
                <w:sz w:val="20"/>
                <w:szCs w:val="20"/>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47,321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84,140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-6350</wp:posOffset>
            </wp:positionV>
            <wp:extent cx="22885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-127635</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514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2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1,136,344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(3,175 )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1,133,556</w:t>
            </w:r>
          </w:p>
        </w:tc>
        <w:tc>
          <w:tcPr>
            <w:tcW w:w="60" w:type="dxa"/>
            <w:vAlign w:val="bottom"/>
          </w:tcPr>
          <w:p>
            <w:pPr>
              <w:spacing w:after="0"/>
              <w:rPr>
                <w:sz w:val="18"/>
                <w:szCs w:val="18"/>
                <w:color w:val="auto"/>
              </w:rPr>
            </w:pPr>
          </w:p>
        </w:tc>
      </w:tr>
      <w:tr>
        <w:trPr>
          <w:trHeight w:val="207"/>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6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60" w:type="dxa"/>
            <w:vAlign w:val="bottom"/>
          </w:tcPr>
          <w:p>
            <w:pPr>
              <w:spacing w:after="0"/>
              <w:rPr>
                <w:sz w:val="17"/>
                <w:szCs w:val="17"/>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60" w:type="dxa"/>
            <w:vAlign w:val="bottom"/>
          </w:tcPr>
          <w:p>
            <w:pPr>
              <w:spacing w:after="0"/>
              <w:rPr>
                <w:sz w:val="18"/>
                <w:szCs w:val="18"/>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18"/>
                <w:szCs w:val="18"/>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(1,497 )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(1,497 )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(4,315 )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(105,289 )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(109,612 )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(9,507 )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(9,507 )</w:t>
            </w:r>
          </w:p>
        </w:tc>
      </w:tr>
      <w:tr>
        <w:trPr>
          <w:trHeight w:val="239"/>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1,126,553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1,123,781</w:t>
            </w:r>
          </w:p>
        </w:tc>
        <w:tc>
          <w:tcPr>
            <w:tcW w:w="60" w:type="dxa"/>
            <w:vAlign w:val="bottom"/>
          </w:tcPr>
          <w:p>
            <w:pPr>
              <w:spacing w:after="0"/>
              <w:rPr>
                <w:sz w:val="18"/>
                <w:szCs w:val="18"/>
                <w:color w:val="auto"/>
              </w:rPr>
            </w:pPr>
          </w:p>
        </w:tc>
      </w:tr>
      <w:tr>
        <w:trPr>
          <w:trHeight w:val="20"/>
        </w:trPr>
        <w:tc>
          <w:tcPr>
            <w:tcW w:w="51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60" w:type="dxa"/>
            <w:vAlign w:val="bottom"/>
          </w:tcPr>
          <w:p>
            <w:pPr>
              <w:spacing w:after="0"/>
              <w:rPr>
                <w:sz w:val="16"/>
                <w:szCs w:val="16"/>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60" w:type="dxa"/>
            <w:vAlign w:val="bottom"/>
          </w:tcPr>
          <w:p>
            <w:pPr>
              <w:spacing w:after="0"/>
              <w:rPr>
                <w:sz w:val="18"/>
                <w:szCs w:val="18"/>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(309 )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(309 )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(4,161 )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(96,616 )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(100,786 )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(9,471 )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(9,471 )</w:t>
            </w:r>
          </w:p>
        </w:tc>
      </w:tr>
      <w:tr>
        <w:trPr>
          <w:trHeight w:val="239"/>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0"/>
                <w:szCs w:val="20"/>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1,159,461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1,156,704</w:t>
            </w:r>
          </w:p>
        </w:tc>
        <w:tc>
          <w:tcPr>
            <w:tcW w:w="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514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2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1,188,883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(3,547 )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1,185,694</w:t>
            </w:r>
          </w:p>
        </w:tc>
        <w:tc>
          <w:tcPr>
            <w:tcW w:w="60" w:type="dxa"/>
            <w:vAlign w:val="bottom"/>
          </w:tcPr>
          <w:p>
            <w:pPr>
              <w:spacing w:after="0"/>
              <w:rPr>
                <w:sz w:val="18"/>
                <w:szCs w:val="18"/>
                <w:color w:val="auto"/>
              </w:rPr>
            </w:pPr>
          </w:p>
        </w:tc>
      </w:tr>
      <w:tr>
        <w:trPr>
          <w:trHeight w:val="206"/>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6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60" w:type="dxa"/>
            <w:vAlign w:val="bottom"/>
          </w:tcPr>
          <w:p>
            <w:pPr>
              <w:spacing w:after="0"/>
              <w:rPr>
                <w:sz w:val="17"/>
                <w:szCs w:val="17"/>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60" w:type="dxa"/>
            <w:vAlign w:val="bottom"/>
          </w:tcPr>
          <w:p>
            <w:pPr>
              <w:spacing w:after="0"/>
              <w:rPr>
                <w:sz w:val="18"/>
                <w:szCs w:val="18"/>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6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(1,359 )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(1,360 )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(15,481 )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(59,313 )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(74,799 )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(8,863 )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(8,863 )</w:t>
            </w:r>
          </w:p>
        </w:tc>
      </w:tr>
      <w:tr>
        <w:trPr>
          <w:trHeight w:val="240"/>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1,241,556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(3,499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1,238,411</w:t>
            </w:r>
          </w:p>
        </w:tc>
        <w:tc>
          <w:tcPr>
            <w:tcW w:w="60" w:type="dxa"/>
            <w:vAlign w:val="bottom"/>
          </w:tcPr>
          <w:p>
            <w:pPr>
              <w:spacing w:after="0"/>
              <w:rPr>
                <w:sz w:val="18"/>
                <w:szCs w:val="18"/>
                <w:color w:val="auto"/>
              </w:rPr>
            </w:pPr>
          </w:p>
        </w:tc>
      </w:tr>
      <w:tr>
        <w:trPr>
          <w:trHeight w:val="20"/>
        </w:trPr>
        <w:tc>
          <w:tcPr>
            <w:tcW w:w="51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60" w:type="dxa"/>
            <w:vAlign w:val="bottom"/>
          </w:tcPr>
          <w:p>
            <w:pPr>
              <w:spacing w:after="0"/>
              <w:rPr>
                <w:sz w:val="16"/>
                <w:szCs w:val="16"/>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4,542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4,542</w:t>
            </w:r>
          </w:p>
        </w:tc>
        <w:tc>
          <w:tcPr>
            <w:tcW w:w="60" w:type="dxa"/>
            <w:vAlign w:val="bottom"/>
          </w:tcPr>
          <w:p>
            <w:pPr>
              <w:spacing w:after="0"/>
              <w:rPr>
                <w:sz w:val="18"/>
                <w:szCs w:val="18"/>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1,084</w:t>
            </w:r>
          </w:p>
        </w:tc>
        <w:tc>
          <w:tcPr>
            <w:tcW w:w="6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(1,134 )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(1,134 )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(4,492 )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(73,541 )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(78,037 )</w:t>
            </w:r>
          </w:p>
        </w:tc>
      </w:tr>
      <w:tr>
        <w:trPr>
          <w:trHeight w:val="20"/>
        </w:trPr>
        <w:tc>
          <w:tcPr>
            <w:tcW w:w="5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(8,833 )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(8,833 )</w:t>
            </w:r>
          </w:p>
        </w:tc>
      </w:tr>
      <w:tr>
        <w:trPr>
          <w:trHeight w:val="240"/>
        </w:trPr>
        <w:tc>
          <w:tcPr>
            <w:tcW w:w="5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1,309,735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1,306,634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38061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-127635</wp:posOffset>
            </wp:positionV>
            <wp:extent cx="38061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accompanying Unaudited Consolidated Financial Statements as of and for the three and six months ended September 30, 2023,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19, 2023.</w:t>
      </w:r>
    </w:p>
    <w:p>
      <w:pPr>
        <w:spacing w:after="0" w:line="8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8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 accounting pronouncements that are expected to materially affect the Company.</w:t>
      </w:r>
    </w:p>
    <w:p>
      <w:pPr>
        <w:spacing w:after="0" w:line="19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0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73660</wp:posOffset>
            </wp:positionV>
            <wp:extent cx="240030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300" cy="154305"/>
                    </a:xfrm>
                    <a:prstGeom prst="rect">
                      <a:avLst/>
                    </a:prstGeom>
                    <a:noFill/>
                  </pic:spPr>
                </pic:pic>
              </a:graphicData>
            </a:graphic>
          </wp:anchor>
        </w:drawing>
      </w:r>
    </w:p>
    <w:p>
      <w:pPr>
        <w:spacing w:after="0" w:line="169" w:lineRule="exact"/>
        <w:rPr>
          <w:sz w:val="20"/>
          <w:szCs w:val="20"/>
          <w:color w:val="auto"/>
        </w:rPr>
      </w:pPr>
    </w:p>
    <w:p>
      <w:pPr>
        <w:ind w:left="8080"/>
        <w:spacing w:after="0"/>
        <w:rPr>
          <w:sz w:val="20"/>
          <w:szCs w:val="20"/>
          <w:color w:val="auto"/>
        </w:rPr>
      </w:pPr>
      <w:r>
        <w:rPr>
          <w:rFonts w:ascii="Arial" w:cs="Arial" w:eastAsia="Arial" w:hAnsi="Arial"/>
          <w:sz w:val="13"/>
          <w:szCs w:val="13"/>
          <w:b w:val="1"/>
          <w:bCs w:val="1"/>
          <w:color w:val="FFFFFF"/>
        </w:rPr>
        <w:t>For the Six Months Ended September 30,</w:t>
      </w:r>
    </w:p>
    <w:p>
      <w:pPr>
        <w:spacing w:after="0" w:line="26" w:lineRule="exact"/>
        <w:rPr>
          <w:sz w:val="20"/>
          <w:szCs w:val="20"/>
          <w:color w:val="auto"/>
        </w:rPr>
      </w:pPr>
    </w:p>
    <w:p>
      <w:pPr>
        <w:ind w:left="8860"/>
        <w:spacing w:after="0"/>
        <w:tabs>
          <w:tab w:leader="none" w:pos="1082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3" w:lineRule="exact"/>
        <w:rPr>
          <w:sz w:val="20"/>
          <w:szCs w:val="20"/>
          <w:color w:val="auto"/>
        </w:rPr>
      </w:pPr>
    </w:p>
    <w:p>
      <w:pPr>
        <w:ind w:left="870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6374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00"/>
          </w:cols>
          <w:pgMar w:left="320" w:top="1074" w:right="37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Payments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Interest</w:t>
            </w:r>
          </w:p>
        </w:tc>
        <w:tc>
          <w:tcPr>
            <w:tcW w:w="2040" w:type="dxa"/>
            <w:vAlign w:val="bottom"/>
            <w:tcBorders>
              <w:top w:val="single" w:sz="8" w:color="A6A6A6"/>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22,298</w:t>
            </w:r>
          </w:p>
        </w:tc>
      </w:tr>
      <w:tr>
        <w:trPr>
          <w:trHeight w:val="237"/>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204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63,033</w:t>
            </w:r>
          </w:p>
        </w:tc>
      </w:tr>
      <w:tr>
        <w:trPr>
          <w:trHeight w:val="236"/>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204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4,706</w:t>
            </w:r>
          </w:p>
        </w:tc>
      </w:tr>
      <w:tr>
        <w:trPr>
          <w:trHeight w:val="240"/>
        </w:trPr>
        <w:tc>
          <w:tcPr>
            <w:tcW w:w="6060" w:type="dxa"/>
            <w:vAlign w:val="bottom"/>
            <w:tcBorders>
              <w:bottom w:val="single" w:sz="8" w:color="A6A6A6"/>
            </w:tcBorders>
          </w:tcPr>
          <w:p>
            <w:pPr>
              <w:spacing w:after="0"/>
              <w:rPr>
                <w:sz w:val="20"/>
                <w:szCs w:val="20"/>
                <w:color w:val="auto"/>
              </w:rPr>
            </w:pPr>
          </w:p>
        </w:tc>
        <w:tc>
          <w:tcPr>
            <w:tcW w:w="204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spacing w:after="0"/>
              <w:rPr>
                <w:sz w:val="20"/>
                <w:szCs w:val="20"/>
                <w:color w:val="auto"/>
              </w:rPr>
            </w:pPr>
          </w:p>
        </w:tc>
      </w:tr>
      <w:tr>
        <w:trPr>
          <w:trHeight w:val="230"/>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204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spacing w:after="0"/>
              <w:rPr>
                <w:sz w:val="20"/>
                <w:szCs w:val="20"/>
                <w:color w:val="auto"/>
              </w:rPr>
            </w:pPr>
          </w:p>
        </w:tc>
      </w:tr>
      <w:tr>
        <w:trPr>
          <w:trHeight w:val="213"/>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Excise Tax on Share Repurchases</w:t>
            </w:r>
          </w:p>
        </w:tc>
        <w:tc>
          <w:tcPr>
            <w:tcW w:w="20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2,252</w:t>
            </w:r>
          </w:p>
        </w:tc>
      </w:tr>
      <w:tr>
        <w:trPr>
          <w:trHeight w:val="236"/>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Right-of-Use Assets Acquired for Capitalized Operating Leases</w:t>
            </w:r>
          </w:p>
        </w:tc>
        <w:tc>
          <w:tcPr>
            <w:tcW w:w="204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6,018</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40" w:hanging="1149"/>
        <w:spacing w:after="0"/>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12,940</w:t>
      </w:r>
    </w:p>
    <w:p>
      <w:pPr>
        <w:spacing w:after="0" w:line="72"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61,592</w:t>
      </w:r>
    </w:p>
    <w:p>
      <w:pPr>
        <w:spacing w:after="0" w:line="72"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4,248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-469900</wp:posOffset>
            </wp:positionV>
            <wp:extent cx="1174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11741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-144145</wp:posOffset>
            </wp:positionV>
            <wp:extent cx="1174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1174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180975</wp:posOffset>
            </wp:positionV>
            <wp:extent cx="1174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Borders>
              <w:top w:val="single" w:sz="8" w:color="A6A6A6"/>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6A6A6"/>
              <w:bottom w:val="single" w:sz="8" w:color="A6A6A6"/>
            </w:tcBorders>
          </w:tcPr>
          <w:p>
            <w:pPr>
              <w:ind w:left="700"/>
              <w:spacing w:after="0"/>
              <w:rPr>
                <w:sz w:val="20"/>
                <w:szCs w:val="20"/>
                <w:color w:val="auto"/>
              </w:rPr>
            </w:pPr>
            <w:r>
              <w:rPr>
                <w:rFonts w:ascii="Arial" w:cs="Arial" w:eastAsia="Arial" w:hAnsi="Arial"/>
                <w:sz w:val="16"/>
                <w:szCs w:val="16"/>
                <w:color w:val="auto"/>
                <w:w w:val="99"/>
              </w:rPr>
              <w:t>—</w:t>
            </w:r>
          </w:p>
        </w:tc>
      </w:tr>
      <w:tr>
        <w:trPr>
          <w:trHeight w:val="236"/>
        </w:trPr>
        <w:tc>
          <w:tcPr>
            <w:tcW w:w="980" w:type="dxa"/>
            <w:vAlign w:val="bottom"/>
            <w:tcBorders>
              <w:bottom w:val="single" w:sz="8" w:color="A6A6A6"/>
            </w:tcBorders>
          </w:tcPr>
          <w:p>
            <w:pPr>
              <w:spacing w:after="0"/>
              <w:rPr>
                <w:sz w:val="20"/>
                <w:szCs w:val="20"/>
                <w:color w:val="auto"/>
              </w:rPr>
            </w:pPr>
          </w:p>
        </w:tc>
        <w:tc>
          <w:tcPr>
            <w:tcW w:w="880" w:type="dxa"/>
            <w:vAlign w:val="bottom"/>
            <w:tcBorders>
              <w:bottom w:val="single" w:sz="8" w:color="A6A6A6"/>
            </w:tcBorders>
          </w:tcPr>
          <w:p>
            <w:pPr>
              <w:ind w:left="700"/>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ectPr>
          <w:pgSz w:w="11900" w:h="16838" w:orient="portrait"/>
          <w:cols w:equalWidth="0" w:num="2">
            <w:col w:w="9160" w:space="120"/>
            <w:col w:w="1920"/>
          </w:cols>
          <w:pgMar w:left="320" w:top="1074" w:right="379" w:bottom="1440" w:gutter="0" w:footer="0" w:header="0"/>
          <w:type w:val="continuous"/>
        </w:sect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4"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 ACQUISITION</w:t>
      </w:r>
    </w:p>
    <w:p>
      <w:pPr>
        <w:spacing w:after="0" w:line="21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On May 3, 2023, we purchased the assets of a cement import terminal in Stockton, California (the Stockton Terminal Acquisition), which was accounted for under the acquisition method. The purchase price of the Stockton Terminal Acquisition was approximately $55.1 million. The purchase price allocation has not yet been finalized. The purchase price was funded through borrowings under our revolving credit facility. Operations related to the Stockton Terminal Acquisition are included in the Cement business in our segment reporting from May 3, 2023, through September 30, 2023.</w:t>
      </w:r>
    </w:p>
    <w:p>
      <w:pPr>
        <w:spacing w:after="0" w:line="18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(based on Level 3 inputs) as of September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Fair Value</w:t>
            </w:r>
          </w:p>
        </w:tc>
      </w:tr>
      <w:tr>
        <w:trPr>
          <w:trHeight w:val="213"/>
        </w:trPr>
        <w:tc>
          <w:tcPr>
            <w:tcW w:w="89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Inventory</w:t>
            </w:r>
          </w:p>
        </w:tc>
        <w:tc>
          <w:tcPr>
            <w:tcW w:w="880" w:type="dxa"/>
            <w:vAlign w:val="bottom"/>
            <w:tcBorders>
              <w:top w:val="single" w:sz="8" w:color="004483"/>
              <w:bottom w:val="single" w:sz="8" w:color="A6A6A6"/>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14,809</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Prepaid and Other Current Assets</w:t>
            </w:r>
          </w:p>
        </w:tc>
        <w:tc>
          <w:tcPr>
            <w:tcW w:w="88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88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12,737</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Right-of-Use Assets</w:t>
            </w:r>
          </w:p>
        </w:tc>
        <w:tc>
          <w:tcPr>
            <w:tcW w:w="88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88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16,100</w:t>
            </w:r>
          </w:p>
        </w:tc>
        <w:tc>
          <w:tcPr>
            <w:tcW w:w="60" w:type="dxa"/>
            <w:vAlign w:val="bottom"/>
          </w:tcPr>
          <w:p>
            <w:pPr>
              <w:spacing w:after="0"/>
              <w:rPr>
                <w:sz w:val="18"/>
                <w:szCs w:val="18"/>
                <w:color w:val="auto"/>
              </w:rPr>
            </w:pPr>
          </w:p>
        </w:tc>
      </w:tr>
      <w:tr>
        <w:trPr>
          <w:trHeight w:val="209"/>
        </w:trPr>
        <w:tc>
          <w:tcPr>
            <w:tcW w:w="8900" w:type="dxa"/>
            <w:vAlign w:val="bottom"/>
          </w:tcPr>
          <w:p>
            <w:pPr>
              <w:ind w:left="20"/>
              <w:spacing w:after="0"/>
              <w:rPr>
                <w:sz w:val="20"/>
                <w:szCs w:val="20"/>
                <w:color w:val="auto"/>
              </w:rPr>
            </w:pPr>
            <w:r>
              <w:rPr>
                <w:rFonts w:ascii="Arial" w:cs="Arial" w:eastAsia="Arial" w:hAnsi="Arial"/>
                <w:sz w:val="16"/>
                <w:szCs w:val="16"/>
                <w:color w:val="004483"/>
              </w:rPr>
              <w:t>Lease Obligations</w:t>
            </w:r>
          </w:p>
        </w:tc>
        <w:tc>
          <w:tcPr>
            <w:tcW w:w="8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(1,646 )</w:t>
            </w:r>
          </w:p>
        </w:tc>
      </w:tr>
      <w:tr>
        <w:trPr>
          <w:trHeight w:val="20"/>
        </w:trPr>
        <w:tc>
          <w:tcPr>
            <w:tcW w:w="89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36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6"/>
                <w:szCs w:val="16"/>
                <w:color w:val="004483"/>
              </w:rPr>
              <w:t>Other Long-term Liabilities</w:t>
            </w:r>
          </w:p>
        </w:tc>
        <w:tc>
          <w:tcPr>
            <w:tcW w:w="8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(630 )</w:t>
            </w:r>
          </w:p>
        </w:tc>
      </w:tr>
      <w:tr>
        <w:trPr>
          <w:trHeight w:val="239"/>
        </w:trPr>
        <w:tc>
          <w:tcPr>
            <w:tcW w:w="89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880" w:type="dxa"/>
            <w:vAlign w:val="bottom"/>
            <w:tcBorders>
              <w:top w:val="single" w:sz="8" w:color="A6A6A6"/>
              <w:bottom w:val="single" w:sz="8" w:color="004483"/>
            </w:tcBorders>
          </w:tcPr>
          <w:p>
            <w:pPr>
              <w:spacing w:after="0"/>
              <w:rPr>
                <w:sz w:val="20"/>
                <w:szCs w:val="20"/>
                <w:color w:val="auto"/>
              </w:rPr>
            </w:pPr>
          </w:p>
        </w:tc>
        <w:tc>
          <w:tcPr>
            <w:tcW w:w="13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11,858</w:t>
            </w:r>
          </w:p>
        </w:tc>
        <w:tc>
          <w:tcPr>
            <w:tcW w:w="60" w:type="dxa"/>
            <w:vAlign w:val="bottom"/>
          </w:tcPr>
          <w:p>
            <w:pPr>
              <w:spacing w:after="0"/>
              <w:rPr>
                <w:sz w:val="20"/>
                <w:szCs w:val="20"/>
                <w:color w:val="auto"/>
              </w:rPr>
            </w:pPr>
          </w:p>
        </w:tc>
      </w:tr>
      <w:tr>
        <w:trPr>
          <w:trHeight w:val="210"/>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 Estimated Purchase Price</w:t>
            </w:r>
          </w:p>
        </w:tc>
        <w:tc>
          <w:tcPr>
            <w:tcW w:w="880" w:type="dxa"/>
            <w:vAlign w:val="bottom"/>
            <w:tcBorders>
              <w:bottom w:val="single" w:sz="8" w:color="004483"/>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55,053</w:t>
            </w:r>
          </w:p>
        </w:tc>
        <w:tc>
          <w:tcPr>
            <w:tcW w:w="6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range from 2 to 15 years. All goodwill generated from the Stockton Terminal Acquisition is deductible for income tax purposes.</w:t>
      </w:r>
    </w:p>
    <w:p>
      <w:pPr>
        <w:spacing w:after="0" w:line="184"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following table presents the Revenue and Operating Loss related to the Stockton Terminal Acquisition that has been included in our Consolidated Statement of Earnings from May 3, 2023, through September 30, 2023.</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120" w:type="dxa"/>
            <w:vAlign w:val="bottom"/>
            <w:gridSpan w:val="3"/>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9"/>
              </w:rPr>
              <w:t>For the Three Months Ended</w:t>
            </w:r>
          </w:p>
        </w:tc>
        <w:tc>
          <w:tcPr>
            <w:tcW w:w="120" w:type="dxa"/>
            <w:vAlign w:val="bottom"/>
            <w:shd w:val="clear" w:color="auto" w:fill="004483"/>
          </w:tcPr>
          <w:p>
            <w:pPr>
              <w:spacing w:after="0"/>
              <w:rPr>
                <w:sz w:val="17"/>
                <w:szCs w:val="17"/>
                <w:color w:val="auto"/>
              </w:rPr>
            </w:pPr>
          </w:p>
        </w:tc>
        <w:tc>
          <w:tcPr>
            <w:tcW w:w="1700" w:type="dxa"/>
            <w:vAlign w:val="bottom"/>
            <w:shd w:val="clear" w:color="auto" w:fill="004483"/>
          </w:tcPr>
          <w:p>
            <w:pPr>
              <w:jc w:val="right"/>
              <w:ind w:right="65"/>
              <w:spacing w:after="0"/>
              <w:rPr>
                <w:sz w:val="20"/>
                <w:szCs w:val="20"/>
                <w:color w:val="auto"/>
              </w:rPr>
            </w:pPr>
            <w:r>
              <w:rPr>
                <w:rFonts w:ascii="Arial" w:cs="Arial" w:eastAsia="Arial" w:hAnsi="Arial"/>
                <w:sz w:val="13"/>
                <w:szCs w:val="13"/>
                <w:b w:val="1"/>
                <w:bCs w:val="1"/>
                <w:color w:val="FFFFFF"/>
                <w:w w:val="96"/>
              </w:rPr>
              <w:t>For the Six Months Ended</w:t>
            </w:r>
          </w:p>
        </w:tc>
        <w:tc>
          <w:tcPr>
            <w:tcW w:w="100" w:type="dxa"/>
            <w:vAlign w:val="bottom"/>
            <w:shd w:val="clear" w:color="auto" w:fill="004483"/>
          </w:tcPr>
          <w:p>
            <w:pPr>
              <w:spacing w:after="0"/>
              <w:rPr>
                <w:sz w:val="17"/>
                <w:szCs w:val="17"/>
                <w:color w:val="auto"/>
              </w:rPr>
            </w:pPr>
          </w:p>
        </w:tc>
      </w:tr>
      <w:tr>
        <w:trPr>
          <w:trHeight w:val="196"/>
        </w:trPr>
        <w:tc>
          <w:tcPr>
            <w:tcW w:w="7200" w:type="dxa"/>
            <w:vAlign w:val="bottom"/>
          </w:tcPr>
          <w:p>
            <w:pPr>
              <w:spacing w:after="0"/>
              <w:rPr>
                <w:sz w:val="17"/>
                <w:szCs w:val="17"/>
                <w:color w:val="auto"/>
              </w:rPr>
            </w:pPr>
          </w:p>
        </w:tc>
        <w:tc>
          <w:tcPr>
            <w:tcW w:w="720" w:type="dxa"/>
            <w:vAlign w:val="bottom"/>
            <w:shd w:val="clear" w:color="auto" w:fill="004483"/>
          </w:tcPr>
          <w:p>
            <w:pPr>
              <w:spacing w:after="0"/>
              <w:rPr>
                <w:sz w:val="17"/>
                <w:szCs w:val="17"/>
                <w:color w:val="auto"/>
              </w:rPr>
            </w:pPr>
          </w:p>
        </w:tc>
        <w:tc>
          <w:tcPr>
            <w:tcW w:w="3220" w:type="dxa"/>
            <w:vAlign w:val="bottom"/>
            <w:gridSpan w:val="4"/>
            <w:shd w:val="clear" w:color="auto" w:fill="004483"/>
          </w:tcPr>
          <w:p>
            <w:pPr>
              <w:jc w:val="right"/>
              <w:ind w:right="1305"/>
              <w:spacing w:after="0"/>
              <w:rPr>
                <w:sz w:val="20"/>
                <w:szCs w:val="20"/>
                <w:color w:val="auto"/>
              </w:rPr>
            </w:pPr>
            <w:r>
              <w:rPr>
                <w:rFonts w:ascii="Arial" w:cs="Arial" w:eastAsia="Arial" w:hAnsi="Arial"/>
                <w:sz w:val="13"/>
                <w:szCs w:val="13"/>
                <w:b w:val="1"/>
                <w:bCs w:val="1"/>
                <w:color w:val="FFFFFF"/>
              </w:rPr>
              <w:t>September 30, 2023</w:t>
            </w:r>
          </w:p>
        </w:tc>
        <w:tc>
          <w:tcPr>
            <w:tcW w:w="100" w:type="dxa"/>
            <w:vAlign w:val="bottom"/>
            <w:shd w:val="clear" w:color="auto" w:fill="004483"/>
          </w:tcPr>
          <w:p>
            <w:pPr>
              <w:spacing w:after="0"/>
              <w:rPr>
                <w:sz w:val="17"/>
                <w:szCs w:val="17"/>
                <w:color w:val="auto"/>
              </w:rPr>
            </w:pPr>
          </w:p>
        </w:tc>
      </w:tr>
      <w:tr>
        <w:trPr>
          <w:trHeight w:val="183"/>
        </w:trPr>
        <w:tc>
          <w:tcPr>
            <w:tcW w:w="7200" w:type="dxa"/>
            <w:vAlign w:val="bottom"/>
            <w:tcBorders>
              <w:bottom w:val="single" w:sz="8" w:color="004483"/>
            </w:tcBorders>
          </w:tcPr>
          <w:p>
            <w:pPr>
              <w:spacing w:after="0"/>
              <w:rPr>
                <w:sz w:val="15"/>
                <w:szCs w:val="15"/>
                <w:color w:val="auto"/>
              </w:rPr>
            </w:pPr>
          </w:p>
        </w:tc>
        <w:tc>
          <w:tcPr>
            <w:tcW w:w="720" w:type="dxa"/>
            <w:vAlign w:val="bottom"/>
            <w:tcBorders>
              <w:bottom w:val="single" w:sz="8" w:color="004483"/>
            </w:tcBorders>
          </w:tcPr>
          <w:p>
            <w:pPr>
              <w:spacing w:after="0"/>
              <w:rPr>
                <w:sz w:val="15"/>
                <w:szCs w:val="15"/>
                <w:color w:val="auto"/>
              </w:rPr>
            </w:pPr>
          </w:p>
        </w:tc>
        <w:tc>
          <w:tcPr>
            <w:tcW w:w="3220" w:type="dxa"/>
            <w:vAlign w:val="bottom"/>
            <w:tcBorders>
              <w:bottom w:val="single" w:sz="8" w:color="004483"/>
            </w:tcBorders>
            <w:gridSpan w:val="4"/>
          </w:tcPr>
          <w:p>
            <w:pPr>
              <w:jc w:val="right"/>
              <w:ind w:right="1305"/>
              <w:spacing w:after="0"/>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15"/>
                <w:szCs w:val="15"/>
                <w:color w:val="auto"/>
              </w:rPr>
            </w:pPr>
          </w:p>
        </w:tc>
      </w:tr>
      <w:tr>
        <w:trPr>
          <w:trHeight w:val="216"/>
        </w:trPr>
        <w:tc>
          <w:tcPr>
            <w:tcW w:w="7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720" w:type="dxa"/>
            <w:vAlign w:val="bottom"/>
            <w:tcBorders>
              <w:bottom w:val="single" w:sz="8" w:color="A6A6A6"/>
            </w:tcBorders>
          </w:tcPr>
          <w:p>
            <w:pPr>
              <w:jc w:val="right"/>
              <w:ind w:right="54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13,029</w:t>
            </w:r>
          </w:p>
        </w:tc>
        <w:tc>
          <w:tcPr>
            <w:tcW w:w="280" w:type="dxa"/>
            <w:vAlign w:val="bottom"/>
          </w:tcPr>
          <w:p>
            <w:pPr>
              <w:spacing w:after="0"/>
              <w:rPr>
                <w:sz w:val="18"/>
                <w:szCs w:val="18"/>
                <w:color w:val="auto"/>
              </w:rPr>
            </w:pP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19,497</w:t>
            </w:r>
          </w:p>
        </w:tc>
        <w:tc>
          <w:tcPr>
            <w:tcW w:w="100" w:type="dxa"/>
            <w:vAlign w:val="bottom"/>
          </w:tcPr>
          <w:p>
            <w:pPr>
              <w:spacing w:after="0"/>
              <w:rPr>
                <w:sz w:val="18"/>
                <w:szCs w:val="18"/>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b w:val="1"/>
                <w:bCs w:val="1"/>
                <w:color w:val="004483"/>
              </w:rPr>
              <w:t>Operating Loss</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(130 )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(2,050 )</w:t>
            </w:r>
          </w:p>
        </w:tc>
      </w:tr>
      <w:tr>
        <w:trPr>
          <w:trHeight w:val="20"/>
        </w:trPr>
        <w:tc>
          <w:tcPr>
            <w:tcW w:w="72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Operating Loss shown above for the three months ended September 30, 2023 was affected by approximately $0.7 million and $1.1 million related to depreciation and amortization and the recording of acquired inventories at fair value, respectively. Operating Loss for the six months ended September 30, 2023, was affected by approximately $1.2 million and $3.9 million related to depreciation and amortization and the recording of acquired inventories at fair value, 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ind w:right="60"/>
        <w:spacing w:after="0" w:line="260" w:lineRule="auto"/>
        <w:rPr>
          <w:sz w:val="20"/>
          <w:szCs w:val="20"/>
          <w:color w:val="auto"/>
        </w:rPr>
      </w:pPr>
      <w:r>
        <w:rPr>
          <w:rFonts w:ascii="Arial" w:cs="Arial" w:eastAsia="Arial" w:hAnsi="Arial"/>
          <w:sz w:val="18"/>
          <w:szCs w:val="18"/>
          <w:color w:val="auto"/>
        </w:rPr>
        <w:t>supply agreements is recognized upon shipment of the related products to customers, which is when title and ownership are transferred, and the customer is obligated to pay.</w:t>
      </w:r>
    </w:p>
    <w:p>
      <w:pPr>
        <w:spacing w:after="0" w:line="6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80" w:lineRule="exact"/>
        <w:rPr>
          <w:sz w:val="20"/>
          <w:szCs w:val="20"/>
          <w:color w:val="auto"/>
        </w:rPr>
      </w:pPr>
    </w:p>
    <w:p>
      <w:pPr>
        <w:jc w:val="both"/>
        <w:ind w:right="440"/>
        <w:spacing w:after="0" w:line="243"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80"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Accounts Receivable are shown net of the allowance for credit losses totaling $6.9 million at both September 30, 2023, and March 31, 2023, respectively. We perform ongoing credit evaluations of our customers’ financial condition and generally require no collateral from our customers. The allowance for credit losses is based upon analysis of economic trends in the construction industry, detailed analysis of the expected collectability of accounts receivable that are past due, and expected collectability of overall receivables. We have no significant credit risk concentration among our diversified customer base.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2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774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1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96,674</w:t>
            </w:r>
          </w:p>
        </w:tc>
        <w:tc>
          <w:tcPr>
            <w:tcW w:w="98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96,880</w:t>
            </w:r>
          </w:p>
        </w:tc>
        <w:tc>
          <w:tcPr>
            <w:tcW w:w="100" w:type="dxa"/>
            <w:vAlign w:val="bottom"/>
          </w:tcPr>
          <w:p>
            <w:pPr>
              <w:spacing w:after="0"/>
              <w:rPr>
                <w:sz w:val="18"/>
                <w:szCs w:val="18"/>
                <w:color w:val="auto"/>
              </w:rPr>
            </w:pPr>
          </w:p>
        </w:tc>
      </w:tr>
      <w:tr>
        <w:trPr>
          <w:trHeight w:val="210"/>
        </w:trPr>
        <w:tc>
          <w:tcPr>
            <w:tcW w:w="77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4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42,031</w:t>
            </w:r>
          </w:p>
        </w:tc>
        <w:tc>
          <w:tcPr>
            <w:tcW w:w="10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46,364</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10,384</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8,309</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5,684</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4,244</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12,021</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115,962</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112,885</w:t>
            </w:r>
          </w:p>
        </w:tc>
        <w:tc>
          <w:tcPr>
            <w:tcW w:w="100" w:type="dxa"/>
            <w:vAlign w:val="bottom"/>
          </w:tcPr>
          <w:p>
            <w:pPr>
              <w:spacing w:after="0"/>
              <w:rPr>
                <w:sz w:val="18"/>
                <w:szCs w:val="18"/>
                <w:color w:val="auto"/>
              </w:rPr>
            </w:pPr>
          </w:p>
        </w:tc>
      </w:tr>
      <w:tr>
        <w:trPr>
          <w:trHeight w:val="24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18,618</w:t>
            </w:r>
          </w:p>
        </w:tc>
        <w:tc>
          <w:tcPr>
            <w:tcW w:w="10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14,549</w:t>
            </w:r>
          </w:p>
        </w:tc>
        <w:tc>
          <w:tcPr>
            <w:tcW w:w="100" w:type="dxa"/>
            <w:vAlign w:val="bottom"/>
          </w:tcPr>
          <w:p>
            <w:pPr>
              <w:spacing w:after="0"/>
              <w:rPr>
                <w:sz w:val="20"/>
                <w:szCs w:val="20"/>
                <w:color w:val="auto"/>
              </w:rPr>
            </w:pPr>
          </w:p>
        </w:tc>
      </w:tr>
      <w:tr>
        <w:trPr>
          <w:trHeight w:val="210"/>
        </w:trPr>
        <w:tc>
          <w:tcPr>
            <w:tcW w:w="774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301,374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291,882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(G) 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540" w:type="dxa"/>
            <w:vAlign w:val="bottom"/>
            <w:shd w:val="clear" w:color="auto" w:fill="004483"/>
          </w:tcPr>
          <w:p>
            <w:pPr>
              <w:jc w:val="right"/>
              <w:ind w:right="937"/>
              <w:spacing w:after="0"/>
              <w:rPr>
                <w:sz w:val="20"/>
                <w:szCs w:val="20"/>
                <w:color w:val="auto"/>
              </w:rPr>
            </w:pPr>
            <w:r>
              <w:rPr>
                <w:rFonts w:ascii="Arial" w:cs="Arial" w:eastAsia="Arial" w:hAnsi="Arial"/>
                <w:sz w:val="13"/>
                <w:szCs w:val="13"/>
                <w:b w:val="1"/>
                <w:bCs w:val="1"/>
                <w:color w:val="FFFFFF"/>
              </w:rPr>
              <w:t>September 30,</w:t>
            </w:r>
          </w:p>
        </w:tc>
        <w:tc>
          <w:tcPr>
            <w:tcW w:w="9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740" w:type="dxa"/>
            <w:vAlign w:val="bottom"/>
          </w:tcPr>
          <w:p>
            <w:pPr>
              <w:spacing w:after="0"/>
              <w:rPr>
                <w:sz w:val="14"/>
                <w:szCs w:val="14"/>
                <w:color w:val="auto"/>
              </w:rPr>
            </w:pPr>
          </w:p>
        </w:tc>
        <w:tc>
          <w:tcPr>
            <w:tcW w:w="2540" w:type="dxa"/>
            <w:vAlign w:val="bottom"/>
          </w:tcPr>
          <w:p>
            <w:pPr>
              <w:jc w:val="right"/>
              <w:ind w:right="937"/>
              <w:spacing w:after="0"/>
              <w:rPr>
                <w:sz w:val="20"/>
                <w:szCs w:val="20"/>
                <w:color w:val="auto"/>
              </w:rPr>
            </w:pPr>
            <w:r>
              <w:rPr>
                <w:rFonts w:ascii="Arial" w:cs="Arial" w:eastAsia="Arial" w:hAnsi="Arial"/>
                <w:sz w:val="13"/>
                <w:szCs w:val="13"/>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7740" w:type="dxa"/>
            <w:vAlign w:val="bottom"/>
            <w:tcBorders>
              <w:bottom w:val="single" w:sz="8" w:color="004483"/>
            </w:tcBorders>
          </w:tcPr>
          <w:p>
            <w:pPr>
              <w:spacing w:after="0"/>
              <w:rPr>
                <w:sz w:val="15"/>
                <w:szCs w:val="15"/>
                <w:color w:val="auto"/>
              </w:rPr>
            </w:pPr>
          </w:p>
        </w:tc>
        <w:tc>
          <w:tcPr>
            <w:tcW w:w="2540" w:type="dxa"/>
            <w:vAlign w:val="bottom"/>
            <w:tcBorders>
              <w:bottom w:val="single" w:sz="8" w:color="004483"/>
            </w:tcBorders>
          </w:tcPr>
          <w:p>
            <w:pPr>
              <w:jc w:val="right"/>
              <w:ind w:right="17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3" w:lineRule="exact"/>
        <w:rPr>
          <w:sz w:val="20"/>
          <w:szCs w:val="20"/>
          <w:color w:val="auto"/>
        </w:rPr>
      </w:pPr>
    </w:p>
    <w:p>
      <w:pPr>
        <w:sectPr>
          <w:pgSz w:w="11900" w:h="16838" w:orient="portrait"/>
          <w:cols w:equalWidth="0" w:num="1">
            <w:col w:w="11240"/>
          </w:cols>
          <w:pgMar w:left="320" w:top="638"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31,676</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16,870</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8,974</w:t>
            </w:r>
          </w:p>
        </w:tc>
      </w:t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7,478</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10,318</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3,444</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4,161</w:t>
            </w: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2,067</w:t>
            </w:r>
          </w:p>
        </w:tc>
      </w:t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1,490</w:t>
            </w:r>
          </w:p>
        </w:tc>
      </w:tr>
      <w:tr>
        <w:trPr>
          <w:trHeight w:val="23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4,337</w:t>
            </w:r>
          </w:p>
        </w:tc>
      </w:tr>
      <w:tr>
        <w:trPr>
          <w:trHeight w:val="210"/>
        </w:trPr>
        <w:tc>
          <w:tcPr>
            <w:tcW w:w="774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90,815</w:t>
            </w: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14" w:hanging="1014"/>
        <w:spacing w:after="0"/>
        <w:tabs>
          <w:tab w:leader="none" w:pos="1014" w:val="left"/>
        </w:tabs>
        <w:numPr>
          <w:ilvl w:val="0"/>
          <w:numId w:val="8"/>
        </w:numPr>
        <w:rPr>
          <w:rFonts w:ascii="Arial" w:cs="Arial" w:eastAsia="Arial" w:hAnsi="Arial"/>
          <w:sz w:val="16"/>
          <w:szCs w:val="16"/>
          <w:color w:val="auto"/>
        </w:rPr>
      </w:pPr>
      <w:r>
        <w:rPr>
          <w:rFonts w:ascii="Arial" w:cs="Arial" w:eastAsia="Arial" w:hAnsi="Arial"/>
          <w:sz w:val="16"/>
          <w:szCs w:val="16"/>
          <w:color w:val="auto"/>
        </w:rPr>
        <w:t>32,742</w:t>
      </w:r>
    </w:p>
    <w:p>
      <w:pPr>
        <w:spacing w:after="0" w:line="4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16,130</w:t>
      </w:r>
    </w:p>
    <w:p>
      <w:pPr>
        <w:spacing w:after="0" w:line="45"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9,186</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7,163</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6,671</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3,051</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1,663</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1,691</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1,452</w:t>
      </w:r>
    </w:p>
    <w:p>
      <w:pPr>
        <w:spacing w:after="0" w:line="57"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6,723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-1285240</wp:posOffset>
            </wp:positionV>
            <wp:extent cx="1097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-1139825</wp:posOffset>
            </wp:positionV>
            <wp:extent cx="1097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-993775</wp:posOffset>
            </wp:positionV>
            <wp:extent cx="1097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-848360</wp:posOffset>
            </wp:positionV>
            <wp:extent cx="1097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-702310</wp:posOffset>
            </wp:positionV>
            <wp:extent cx="1097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-556895</wp:posOffset>
            </wp:positionV>
            <wp:extent cx="10972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-410845</wp:posOffset>
            </wp:positionV>
            <wp:extent cx="1097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-265430</wp:posOffset>
            </wp:positionV>
            <wp:extent cx="10972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-119380</wp:posOffset>
            </wp:positionV>
            <wp:extent cx="10972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25400</wp:posOffset>
            </wp:positionV>
            <wp:extent cx="109728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97280" cy="25400"/>
                    </a:xfrm>
                    <a:prstGeom prst="rect">
                      <a:avLst/>
                    </a:prstGeom>
                    <a:noFill/>
                  </pic:spPr>
                </pic:pic>
              </a:graphicData>
            </a:graphic>
          </wp:anchor>
        </w:drawing>
      </w:r>
    </w:p>
    <w:p>
      <w:pPr>
        <w:spacing w:after="0" w:line="56" w:lineRule="exact"/>
        <w:rPr>
          <w:sz w:val="20"/>
          <w:szCs w:val="20"/>
          <w:color w:val="auto"/>
        </w:rPr>
      </w:pPr>
    </w:p>
    <w:p>
      <w:pPr>
        <w:ind w:left="1014" w:hanging="1014"/>
        <w:spacing w:after="0"/>
        <w:tabs>
          <w:tab w:leader="none" w:pos="101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86,472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9772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9772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300" w:space="306"/>
            <w:col w:w="1634"/>
          </w:cols>
          <w:pgMar w:left="320" w:top="638"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1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80" w:type="dxa"/>
            <w:vAlign w:val="bottom"/>
          </w:tcPr>
          <w:p>
            <w:pPr>
              <w:spacing w:after="0"/>
              <w:rPr>
                <w:sz w:val="21"/>
                <w:szCs w:val="21"/>
                <w:color w:val="auto"/>
              </w:rPr>
            </w:pPr>
          </w:p>
        </w:tc>
        <w:tc>
          <w:tcPr>
            <w:tcW w:w="2880" w:type="dxa"/>
            <w:vAlign w:val="bottom"/>
            <w:tcBorders>
              <w:bottom w:val="single" w:sz="8" w:color="004483"/>
            </w:tcBorders>
            <w:gridSpan w:val="8"/>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21"/>
                <w:szCs w:val="21"/>
                <w:color w:val="auto"/>
              </w:rPr>
            </w:pPr>
          </w:p>
        </w:tc>
        <w:tc>
          <w:tcPr>
            <w:tcW w:w="120" w:type="dxa"/>
            <w:vAlign w:val="bottom"/>
            <w:tcBorders>
              <w:bottom w:val="single" w:sz="8" w:color="004483"/>
            </w:tcBorders>
            <w:shd w:val="clear" w:color="auto" w:fill="004483"/>
          </w:tcPr>
          <w:p>
            <w:pPr>
              <w:spacing w:after="0"/>
              <w:rPr>
                <w:sz w:val="21"/>
                <w:szCs w:val="21"/>
                <w:color w:val="auto"/>
              </w:rPr>
            </w:pPr>
          </w:p>
        </w:tc>
        <w:tc>
          <w:tcPr>
            <w:tcW w:w="2720" w:type="dxa"/>
            <w:vAlign w:val="bottom"/>
            <w:tcBorders>
              <w:bottom w:val="single" w:sz="8" w:color="004483"/>
            </w:tcBorders>
            <w:gridSpan w:val="6"/>
            <w:shd w:val="clear" w:color="auto" w:fill="004483"/>
          </w:tcPr>
          <w:p>
            <w:pPr>
              <w:ind w:left="2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55"/>
        </w:trPr>
        <w:tc>
          <w:tcPr>
            <w:tcW w:w="5380" w:type="dxa"/>
            <w:vAlign w:val="bottom"/>
          </w:tcPr>
          <w:p>
            <w:pPr>
              <w:spacing w:after="0"/>
              <w:rPr>
                <w:sz w:val="13"/>
                <w:szCs w:val="13"/>
                <w:color w:val="auto"/>
              </w:rPr>
            </w:pPr>
          </w:p>
        </w:tc>
        <w:tc>
          <w:tcPr>
            <w:tcW w:w="480" w:type="dxa"/>
            <w:vAlign w:val="bottom"/>
            <w:tcBorders>
              <w:top w:val="single" w:sz="8" w:color="A6A6A6"/>
            </w:tcBorders>
          </w:tcPr>
          <w:p>
            <w:pPr>
              <w:spacing w:after="0"/>
              <w:rPr>
                <w:sz w:val="13"/>
                <w:szCs w:val="13"/>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6A6A6"/>
            </w:tcBorders>
          </w:tcPr>
          <w:p>
            <w:pPr>
              <w:spacing w:after="0"/>
              <w:rPr>
                <w:sz w:val="13"/>
                <w:szCs w:val="13"/>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6"/>
          </w:tcPr>
          <w:p>
            <w:pPr>
              <w:jc w:val="right"/>
              <w:ind w:right="70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538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480" w:type="dxa"/>
            <w:vAlign w:val="bottom"/>
          </w:tcPr>
          <w:p>
            <w:pPr>
              <w:jc w:val="right"/>
              <w:ind w:right="30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1,953</w:t>
            </w:r>
          </w:p>
        </w:tc>
        <w:tc>
          <w:tcPr>
            <w:tcW w:w="880" w:type="dxa"/>
            <w:vAlign w:val="bottom"/>
            <w:gridSpan w:val="3"/>
          </w:tcPr>
          <w:p>
            <w:pPr>
              <w:jc w:val="right"/>
              <w:ind w:right="419"/>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4,227</w:t>
            </w:r>
          </w:p>
        </w:tc>
        <w:tc>
          <w:tcPr>
            <w:tcW w:w="64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3,398</w:t>
            </w:r>
          </w:p>
        </w:tc>
        <w:tc>
          <w:tcPr>
            <w:tcW w:w="100" w:type="dxa"/>
            <w:vAlign w:val="bottom"/>
          </w:tcPr>
          <w:p>
            <w:pPr>
              <w:spacing w:after="0"/>
              <w:rPr>
                <w:sz w:val="20"/>
                <w:szCs w:val="20"/>
                <w:color w:val="auto"/>
              </w:rPr>
            </w:pPr>
          </w:p>
        </w:tc>
      </w:tr>
      <w:tr>
        <w:trPr>
          <w:trHeight w:val="239"/>
        </w:trPr>
        <w:tc>
          <w:tcPr>
            <w:tcW w:w="53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48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600" w:type="dxa"/>
            <w:vAlign w:val="bottom"/>
            <w:tcBorders>
              <w:top w:val="single" w:sz="8" w:color="A6A6A6"/>
              <w:bottom w:val="single" w:sz="8" w:color="004483"/>
            </w:tcBorders>
          </w:tcPr>
          <w:p>
            <w:pPr>
              <w:spacing w:after="0"/>
              <w:rPr>
                <w:sz w:val="20"/>
                <w:szCs w:val="20"/>
                <w:color w:val="auto"/>
              </w:rPr>
            </w:pPr>
          </w:p>
        </w:tc>
        <w:tc>
          <w:tcPr>
            <w:tcW w:w="640" w:type="dxa"/>
            <w:vAlign w:val="bottom"/>
            <w:tcBorders>
              <w:top w:val="single" w:sz="8" w:color="A6A6A6"/>
              <w:bottom w:val="single" w:sz="8" w:color="004483"/>
            </w:tcBorders>
            <w:gridSpan w:val="2"/>
          </w:tcPr>
          <w:p>
            <w:pPr>
              <w:jc w:val="right"/>
              <w:ind w:right="2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400" w:type="dxa"/>
            <w:vAlign w:val="bottom"/>
            <w:tcBorders>
              <w:top w:val="single" w:sz="8" w:color="A6A6A6"/>
              <w:bottom w:val="single" w:sz="8" w:color="004483"/>
            </w:tcBorders>
          </w:tcPr>
          <w:p>
            <w:pPr>
              <w:spacing w:after="0"/>
              <w:rPr>
                <w:sz w:val="20"/>
                <w:szCs w:val="20"/>
                <w:color w:val="auto"/>
              </w:rPr>
            </w:pPr>
          </w:p>
        </w:tc>
        <w:tc>
          <w:tcPr>
            <w:tcW w:w="8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480" w:type="dxa"/>
            <w:vAlign w:val="bottom"/>
            <w:tcBorders>
              <w:bottom w:val="single" w:sz="8" w:color="004483"/>
            </w:tcBorders>
          </w:tcPr>
          <w:p>
            <w:pPr>
              <w:jc w:val="right"/>
              <w:ind w:right="305"/>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b w:val="1"/>
                <w:bCs w:val="1"/>
                <w:color w:val="auto"/>
              </w:rPr>
              <w:t>1,797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3,673</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7520" w:type="dxa"/>
            <w:vAlign w:val="bottom"/>
            <w:gridSpan w:val="6"/>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r>
      <w:tr>
        <w:trPr>
          <w:trHeight w:val="243"/>
        </w:trPr>
        <w:tc>
          <w:tcPr>
            <w:tcW w:w="5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shd w:val="clear" w:color="auto" w:fill="004483"/>
          </w:tcPr>
          <w:p>
            <w:pPr>
              <w:spacing w:after="0"/>
              <w:rPr>
                <w:sz w:val="21"/>
                <w:szCs w:val="21"/>
                <w:color w:val="auto"/>
              </w:rPr>
            </w:pPr>
          </w:p>
        </w:tc>
        <w:tc>
          <w:tcPr>
            <w:tcW w:w="100" w:type="dxa"/>
            <w:vAlign w:val="bottom"/>
            <w:shd w:val="clear" w:color="auto" w:fill="004483"/>
          </w:tcPr>
          <w:p>
            <w:pPr>
              <w:spacing w:after="0"/>
              <w:rPr>
                <w:sz w:val="21"/>
                <w:szCs w:val="21"/>
                <w:color w:val="auto"/>
              </w:rPr>
            </w:pPr>
          </w:p>
        </w:tc>
        <w:tc>
          <w:tcPr>
            <w:tcW w:w="140" w:type="dxa"/>
            <w:vAlign w:val="bottom"/>
            <w:shd w:val="clear" w:color="auto" w:fill="004483"/>
          </w:tcPr>
          <w:p>
            <w:pPr>
              <w:spacing w:after="0"/>
              <w:rPr>
                <w:sz w:val="21"/>
                <w:szCs w:val="21"/>
                <w:color w:val="auto"/>
              </w:rPr>
            </w:pPr>
          </w:p>
        </w:tc>
        <w:tc>
          <w:tcPr>
            <w:tcW w:w="124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rPr>
              <w:t>September 30,</w:t>
            </w:r>
          </w:p>
        </w:tc>
        <w:tc>
          <w:tcPr>
            <w:tcW w:w="120" w:type="dxa"/>
            <w:vAlign w:val="bottom"/>
            <w:shd w:val="clear" w:color="auto" w:fill="004483"/>
          </w:tcPr>
          <w:p>
            <w:pPr>
              <w:spacing w:after="0"/>
              <w:rPr>
                <w:sz w:val="21"/>
                <w:szCs w:val="21"/>
                <w:color w:val="auto"/>
              </w:rPr>
            </w:pPr>
          </w:p>
        </w:tc>
        <w:tc>
          <w:tcPr>
            <w:tcW w:w="120" w:type="dxa"/>
            <w:vAlign w:val="bottom"/>
            <w:shd w:val="clear" w:color="auto" w:fill="004483"/>
          </w:tcPr>
          <w:p>
            <w:pPr>
              <w:spacing w:after="0"/>
              <w:rPr>
                <w:sz w:val="21"/>
                <w:szCs w:val="21"/>
                <w:color w:val="auto"/>
              </w:rPr>
            </w:pPr>
          </w:p>
        </w:tc>
        <w:tc>
          <w:tcPr>
            <w:tcW w:w="400" w:type="dxa"/>
            <w:vAlign w:val="bottom"/>
            <w:shd w:val="clear" w:color="auto" w:fill="004483"/>
          </w:tcPr>
          <w:p>
            <w:pPr>
              <w:spacing w:after="0"/>
              <w:rPr>
                <w:sz w:val="21"/>
                <w:szCs w:val="21"/>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76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638"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4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22,068</w:t>
            </w:r>
          </w:p>
        </w:tc>
      </w:tr>
      <w:tr>
        <w:trPr>
          <w:trHeight w:val="20"/>
        </w:trPr>
        <w:tc>
          <w:tcPr>
            <w:tcW w:w="774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8"/>
        </w:trPr>
        <w:tc>
          <w:tcPr>
            <w:tcW w:w="774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7"/>
        </w:trPr>
        <w:tc>
          <w:tcPr>
            <w:tcW w:w="774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8,205</w:t>
            </w:r>
          </w:p>
        </w:tc>
      </w:tr>
      <w:tr>
        <w:trPr>
          <w:trHeight w:val="239"/>
        </w:trPr>
        <w:tc>
          <w:tcPr>
            <w:tcW w:w="774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22,699</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014" w:hanging="1014"/>
        <w:spacing w:after="0"/>
        <w:tabs>
          <w:tab w:leader="none" w:pos="10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-127000</wp:posOffset>
            </wp:positionV>
            <wp:extent cx="1097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18415</wp:posOffset>
            </wp:positionV>
            <wp:extent cx="109728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97280" cy="2540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180975</wp:posOffset>
            </wp:positionV>
            <wp:extent cx="1097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2" w:lineRule="exact"/>
        <w:rPr>
          <w:sz w:val="20"/>
          <w:szCs w:val="20"/>
          <w:color w:val="auto"/>
        </w:rPr>
      </w:pPr>
    </w:p>
    <w:p>
      <w:pPr>
        <w:ind w:left="1114" w:hanging="1114"/>
        <w:spacing w:after="0"/>
        <w:tabs>
          <w:tab w:leader="none" w:pos="1114" w:val="left"/>
        </w:tabs>
        <w:numPr>
          <w:ilvl w:val="0"/>
          <w:numId w:val="11"/>
        </w:numPr>
        <w:rPr>
          <w:rFonts w:ascii="Arial" w:cs="Arial" w:eastAsia="Arial" w:hAnsi="Arial"/>
          <w:sz w:val="15"/>
          <w:szCs w:val="15"/>
          <w:color w:val="auto"/>
        </w:rPr>
      </w:pPr>
      <w:r>
        <w:rPr>
          <w:rFonts w:ascii="Arial" w:cs="Arial" w:eastAsia="Arial" w:hAnsi="Arial"/>
          <w:sz w:val="15"/>
          <w:szCs w:val="15"/>
          <w:color w:val="auto"/>
        </w:rPr>
        <w:t>6,009</w:t>
      </w:r>
    </w:p>
    <w:p>
      <w:pPr>
        <w:spacing w:after="0" w:line="57" w:lineRule="exact"/>
        <w:rPr>
          <w:rFonts w:ascii="Arial" w:cs="Arial" w:eastAsia="Arial" w:hAnsi="Arial"/>
          <w:sz w:val="15"/>
          <w:szCs w:val="15"/>
          <w:color w:val="auto"/>
        </w:rPr>
      </w:pPr>
    </w:p>
    <w:p>
      <w:pPr>
        <w:ind w:left="1014"/>
        <w:spacing w:after="0"/>
        <w:rPr>
          <w:rFonts w:ascii="Arial" w:cs="Arial" w:eastAsia="Arial" w:hAnsi="Arial"/>
          <w:sz w:val="15"/>
          <w:szCs w:val="15"/>
          <w:color w:val="auto"/>
        </w:rPr>
      </w:pPr>
      <w:r>
        <w:rPr>
          <w:rFonts w:ascii="Arial" w:cs="Arial" w:eastAsia="Arial" w:hAnsi="Arial"/>
          <w:sz w:val="16"/>
          <w:szCs w:val="16"/>
          <w:color w:val="auto"/>
        </w:rPr>
        <w:t>24,940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-127000</wp:posOffset>
            </wp:positionV>
            <wp:extent cx="10972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18415</wp:posOffset>
            </wp:positionV>
            <wp:extent cx="109728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97280" cy="2540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9300" w:space="306"/>
            <w:col w:w="1634"/>
          </w:cols>
          <w:pgMar w:left="320" w:top="638" w:right="339" w:bottom="1440" w:gutter="0" w:footer="0" w:header="0"/>
          <w:type w:val="continuous"/>
        </w:sectPr>
      </w:pPr>
    </w:p>
    <w:p>
      <w:pPr>
        <w:ind w:left="20"/>
        <w:spacing w:after="0"/>
        <w:tabs>
          <w:tab w:leader="none" w:pos="7740" w:val="left"/>
          <w:tab w:leader="none" w:pos="8760" w:val="left"/>
          <w:tab w:leader="none" w:pos="9580" w:val="left"/>
          <w:tab w:leader="none" w:pos="1060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auto"/>
          <w:vertAlign w:val="superscript"/>
        </w:rPr>
        <w:t>30,904</w:t>
      </w:r>
      <w:r>
        <w:rPr>
          <w:rFonts w:ascii="Arial" w:cs="Arial" w:eastAsia="Arial" w:hAnsi="Arial"/>
          <w:sz w:val="32"/>
          <w:szCs w:val="32"/>
          <w:b w:val="1"/>
          <w:bCs w:val="1"/>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4"/>
          <w:szCs w:val="24"/>
          <w:b w:val="1"/>
          <w:bCs w:val="1"/>
          <w:color w:val="auto"/>
          <w:vertAlign w:val="superscript"/>
        </w:rPr>
        <w:t>30,949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-95885</wp:posOffset>
            </wp:positionV>
            <wp:extent cx="215138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1380" cy="25400"/>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2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760" w:type="dxa"/>
            <w:vAlign w:val="bottom"/>
          </w:tcPr>
          <w:p>
            <w:pPr>
              <w:spacing w:after="0"/>
              <w:rPr>
                <w:sz w:val="14"/>
                <w:szCs w:val="14"/>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3"/>
                <w:szCs w:val="13"/>
                <w:b w:val="1"/>
                <w:bCs w:val="1"/>
                <w:color w:val="auto"/>
              </w:rPr>
              <w:t>Amount</w:t>
            </w:r>
          </w:p>
        </w:tc>
      </w:tr>
      <w:tr>
        <w:trPr>
          <w:trHeight w:val="207"/>
        </w:trPr>
        <w:tc>
          <w:tcPr>
            <w:tcW w:w="92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2024 (remaining six months)</w:t>
            </w:r>
          </w:p>
        </w:tc>
        <w:tc>
          <w:tcPr>
            <w:tcW w:w="760" w:type="dxa"/>
            <w:vAlign w:val="bottom"/>
            <w:tcBorders>
              <w:top w:val="single" w:sz="8" w:color="004483"/>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4,580</w:t>
            </w:r>
          </w:p>
        </w:tc>
        <w:tc>
          <w:tcPr>
            <w:tcW w:w="140" w:type="dxa"/>
            <w:vAlign w:val="bottom"/>
          </w:tcPr>
          <w:p>
            <w:pPr>
              <w:spacing w:after="0"/>
              <w:rPr>
                <w:sz w:val="17"/>
                <w:szCs w:val="17"/>
                <w:color w:val="auto"/>
              </w:rPr>
            </w:pPr>
          </w:p>
        </w:tc>
      </w:tr>
      <w:tr>
        <w:trPr>
          <w:trHeight w:val="209"/>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8,653</w:t>
            </w:r>
          </w:p>
        </w:tc>
        <w:tc>
          <w:tcPr>
            <w:tcW w:w="140" w:type="dxa"/>
            <w:vAlign w:val="bottom"/>
          </w:tcPr>
          <w:p>
            <w:pPr>
              <w:spacing w:after="0"/>
              <w:rPr>
                <w:sz w:val="18"/>
                <w:szCs w:val="18"/>
                <w:color w:val="auto"/>
              </w:rPr>
            </w:pPr>
          </w:p>
        </w:tc>
      </w:tr>
      <w:tr>
        <w:trPr>
          <w:trHeight w:val="209"/>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4,776</w:t>
            </w:r>
          </w:p>
        </w:tc>
        <w:tc>
          <w:tcPr>
            <w:tcW w:w="140" w:type="dxa"/>
            <w:vAlign w:val="bottom"/>
          </w:tcPr>
          <w:p>
            <w:pPr>
              <w:spacing w:after="0"/>
              <w:rPr>
                <w:sz w:val="18"/>
                <w:szCs w:val="18"/>
                <w:color w:val="auto"/>
              </w:rPr>
            </w:pPr>
          </w:p>
        </w:tc>
      </w:tr>
      <w:tr>
        <w:trPr>
          <w:trHeight w:val="209"/>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3,606</w:t>
            </w:r>
          </w:p>
        </w:tc>
        <w:tc>
          <w:tcPr>
            <w:tcW w:w="140" w:type="dxa"/>
            <w:vAlign w:val="bottom"/>
          </w:tcPr>
          <w:p>
            <w:pPr>
              <w:spacing w:after="0"/>
              <w:rPr>
                <w:sz w:val="18"/>
                <w:szCs w:val="18"/>
                <w:color w:val="auto"/>
              </w:rPr>
            </w:pPr>
          </w:p>
        </w:tc>
      </w:tr>
      <w:tr>
        <w:trPr>
          <w:trHeight w:val="210"/>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2028</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2,735</w:t>
            </w:r>
          </w:p>
        </w:tc>
        <w:tc>
          <w:tcPr>
            <w:tcW w:w="140" w:type="dxa"/>
            <w:vAlign w:val="bottom"/>
          </w:tcPr>
          <w:p>
            <w:pPr>
              <w:spacing w:after="0"/>
              <w:rPr>
                <w:sz w:val="18"/>
                <w:szCs w:val="18"/>
                <w:color w:val="auto"/>
              </w:rPr>
            </w:pPr>
          </w:p>
        </w:tc>
      </w:tr>
      <w:tr>
        <w:trPr>
          <w:trHeight w:val="239"/>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6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13,665</w:t>
            </w:r>
          </w:p>
        </w:tc>
        <w:tc>
          <w:tcPr>
            <w:tcW w:w="140" w:type="dxa"/>
            <w:vAlign w:val="bottom"/>
          </w:tcPr>
          <w:p>
            <w:pPr>
              <w:spacing w:after="0"/>
              <w:rPr>
                <w:sz w:val="20"/>
                <w:szCs w:val="20"/>
                <w:color w:val="auto"/>
              </w:rPr>
            </w:pPr>
          </w:p>
        </w:tc>
      </w:tr>
      <w:tr>
        <w:trPr>
          <w:trHeight w:val="210"/>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6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38,015</w:t>
            </w:r>
          </w:p>
        </w:tc>
        <w:tc>
          <w:tcPr>
            <w:tcW w:w="140" w:type="dxa"/>
            <w:vAlign w:val="bottom"/>
          </w:tcPr>
          <w:p>
            <w:pPr>
              <w:spacing w:after="0"/>
              <w:rPr>
                <w:sz w:val="18"/>
                <w:szCs w:val="18"/>
                <w:color w:val="auto"/>
              </w:rPr>
            </w:pPr>
          </w:p>
        </w:tc>
      </w:tr>
      <w:tr>
        <w:trPr>
          <w:trHeight w:val="236"/>
        </w:trPr>
        <w:tc>
          <w:tcPr>
            <w:tcW w:w="922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7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(7,111 )</w:t>
            </w:r>
          </w:p>
        </w:tc>
      </w:tr>
      <w:tr>
        <w:trPr>
          <w:trHeight w:val="210"/>
        </w:trPr>
        <w:tc>
          <w:tcPr>
            <w:tcW w:w="92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60" w:type="dxa"/>
            <w:vAlign w:val="bottom"/>
            <w:tcBorders>
              <w:top w:val="single" w:sz="8" w:color="004483"/>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30,904</w:t>
            </w:r>
          </w:p>
        </w:tc>
        <w:tc>
          <w:tcPr>
            <w:tcW w:w="14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2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9.2</w:t>
            </w:r>
          </w:p>
        </w:tc>
        <w:tc>
          <w:tcPr>
            <w:tcW w:w="140" w:type="dxa"/>
            <w:vAlign w:val="bottom"/>
          </w:tcPr>
          <w:p>
            <w:pPr>
              <w:spacing w:after="0"/>
              <w:rPr>
                <w:sz w:val="18"/>
                <w:szCs w:val="18"/>
                <w:color w:val="auto"/>
              </w:rPr>
            </w:pPr>
          </w:p>
        </w:tc>
      </w:tr>
      <w:tr>
        <w:trPr>
          <w:trHeight w:val="209"/>
        </w:trPr>
        <w:tc>
          <w:tcPr>
            <w:tcW w:w="9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4.19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09"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of Directors specifies grant terms for awards under the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May 2023, under the 2013 amended and restated incentive plan (the Prior Plan), the Compensation Committee of the Board of Directors approved the granting to certain officers and key employees an aggregate of 2,296 performance-vesting stock options that will be earned only if certain performance conditions are satisfied (the Fiscal 2024 Employee Performance Stock Option Award). The performance criteria for the Fiscal 2024 Employee Performance Stock Option Award are based upon the achievement of certain levels of return on equity (as defined in the option agreements), ranging from 10.0% to 20.0%, for the performance periods described in the table below. All stock options in each performance period will be earned if the return on equity is 20.0% or greater. If the return on equity is less than 20% but at least 10% in any performance period, the amount of stock options earned in such period will be reduced proportionately using straight-line interpolation, such that approximately 66.7% of the amount of stock options granted will be earned if the return on equity is 10.0% . If the Company does not achieve a return on equity of at least 10.0% during any performance period, all stock option awards for that performance period will be forfeited. The stock option performance periods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3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20" w:type="dxa"/>
            <w:vAlign w:val="bottom"/>
            <w:tcBorders>
              <w:bottom w:val="single" w:sz="8" w:color="004483"/>
            </w:tcBorders>
          </w:tcPr>
          <w:p>
            <w:pPr>
              <w:spacing w:after="0"/>
              <w:rPr>
                <w:sz w:val="16"/>
                <w:szCs w:val="16"/>
                <w:color w:val="auto"/>
              </w:rPr>
            </w:pPr>
          </w:p>
        </w:tc>
        <w:tc>
          <w:tcPr>
            <w:tcW w:w="2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0"/>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7"/>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7"/>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1,148</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9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stock options have a term of 10 years from the grant date. The Compensation Committee also approved the granting of 1,914 time-vesting stock options to the same officers and key employees, which vest ratably over three years (the Fiscal 2024 Employee Time-Vesting Stock Option Award).</w:t>
      </w:r>
    </w:p>
    <w:p>
      <w:pPr>
        <w:spacing w:after="0" w:line="76"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In August 2023, under the 2023 Plan, the Compensation Committee granted 1,348 options to members of the Board of Directors (the Fiscal 2024 Board of Directors Stock Option Award). Options granted under the Fiscal 2024 Board of Directors Stock Option Award vest one year after the grant date, and can be exercised from the date of vesting until their expiration on the tenth anniversary of the grant date.</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78" w:right="299" w:bottom="1440" w:gutter="0" w:footer="0" w:header="0"/>
        </w:sectPr>
      </w:pPr>
    </w:p>
    <w:bookmarkStart w:id="12" w:name="page13"/>
    <w:bookmarkEnd w:id="12"/>
    <w:p>
      <w:pPr>
        <w:jc w:val="both"/>
        <w:ind w:right="300"/>
        <w:spacing w:after="0" w:line="247" w:lineRule="auto"/>
        <w:rPr>
          <w:sz w:val="20"/>
          <w:szCs w:val="20"/>
          <w:color w:val="auto"/>
        </w:rPr>
      </w:pPr>
      <w:r>
        <w:rPr>
          <w:rFonts w:ascii="Arial" w:cs="Arial" w:eastAsia="Arial" w:hAnsi="Arial"/>
          <w:sz w:val="18"/>
          <w:szCs w:val="18"/>
          <w:color w:val="auto"/>
        </w:rPr>
        <w:t>The Fiscal 2024 Employee Performance Stock Option Award, the Fiscal 2024 Employee Time-Vesting Stock Option Award, and the Fiscal 2024 Board of Directors Stock Option Award were valued at their grant date using the Black-Scholes option pricing model. The weighted-average assumptions used in the Black-Scholes model to value the option awards for fiscal 2024 are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80" w:type="dxa"/>
            <w:vAlign w:val="bottom"/>
            <w:shd w:val="clear" w:color="auto" w:fill="004483"/>
          </w:tcPr>
          <w:p>
            <w:pPr>
              <w:spacing w:after="0"/>
              <w:rPr>
                <w:sz w:val="3"/>
                <w:szCs w:val="3"/>
                <w:color w:val="auto"/>
              </w:rPr>
            </w:pPr>
          </w:p>
        </w:tc>
        <w:tc>
          <w:tcPr>
            <w:tcW w:w="5060" w:type="dxa"/>
            <w:vAlign w:val="bottom"/>
            <w:shd w:val="clear" w:color="auto" w:fill="004483"/>
          </w:tcPr>
          <w:p>
            <w:pPr>
              <w:spacing w:after="0"/>
              <w:rPr>
                <w:sz w:val="3"/>
                <w:szCs w:val="3"/>
                <w:color w:val="auto"/>
              </w:rPr>
            </w:pPr>
          </w:p>
        </w:tc>
        <w:tc>
          <w:tcPr>
            <w:tcW w:w="140" w:type="dxa"/>
            <w:vAlign w:val="bottom"/>
          </w:tcPr>
          <w:p>
            <w:pPr>
              <w:spacing w:after="0"/>
              <w:rPr>
                <w:sz w:val="3"/>
                <w:szCs w:val="3"/>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004483"/>
              </w:rPr>
              <w:t>Expected Volatility</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38.8 %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004483"/>
              </w:rPr>
              <w:t>Risk-Free Interest Rate</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3.7 %</w:t>
            </w:r>
          </w:p>
        </w:tc>
      </w:tr>
      <w:tr>
        <w:trPr>
          <w:trHeight w:val="209"/>
        </w:trPr>
        <w:tc>
          <w:tcPr>
            <w:tcW w:w="6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60" w:type="dxa"/>
            <w:vAlign w:val="bottom"/>
            <w:tcBorders>
              <w:top w:val="single" w:sz="8" w:color="A6A6A6"/>
              <w:bottom w:val="single" w:sz="8" w:color="A6A6A6"/>
            </w:tcBorders>
          </w:tcPr>
          <w:p>
            <w:pPr>
              <w:ind w:left="4380"/>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8"/>
                <w:szCs w:val="18"/>
                <w:color w:val="auto"/>
              </w:rPr>
            </w:pPr>
          </w:p>
        </w:tc>
      </w:tr>
    </w:tbl>
    <w:p>
      <w:pPr>
        <w:spacing w:after="0" w:line="9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In addition to the stock options described above, we issue stock options to certain employees from time to time. Any options issued are valued using the Black-Scholes options pricing model on the grant date, and expensed over the vesting period.</w:t>
      </w:r>
    </w:p>
    <w:p>
      <w:pPr>
        <w:spacing w:after="0" w:line="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Stock option expense for all outstanding stock option awards totaled approximately $0.5 million and $1.0 million for the three and six months ended September 30, 2023, respectively, and $1.1 million and $1.9 million for the three and six months ended September 30, 2022, respectively. At September 30, 2023, there was approximately $2.7 million of unrecognized compensation cost related to outstanding stock options, which is expected to be recognized over a weighted-average period of 2.0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six months ended September 30, 2023:</w:t>
      </w:r>
    </w:p>
    <w:tbl>
      <w:tblPr>
        <w:tblLayout w:type="fixed"/>
        <w:tblInd w:w="0" w:type="dxa"/>
        <w:tblCellMar>
          <w:top w:w="0" w:type="dxa"/>
          <w:left w:w="0" w:type="dxa"/>
          <w:bottom w:w="0" w:type="dxa"/>
          <w:right w:w="0" w:type="dxa"/>
        </w:tblCellMar>
      </w:tblPr>
      <w:tr>
        <w:trPr>
          <w:trHeight w:val="135"/>
        </w:trPr>
        <w:tc>
          <w:tcPr>
            <w:tcW w:w="7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Number</w:t>
            </w: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7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1"/>
        </w:trPr>
        <w:tc>
          <w:tcPr>
            <w:tcW w:w="7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77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2023</w:t>
            </w:r>
          </w:p>
        </w:tc>
        <w:tc>
          <w:tcPr>
            <w:tcW w:w="500" w:type="dxa"/>
            <w:vAlign w:val="bottom"/>
            <w:tcBorders>
              <w:top w:val="single" w:sz="8" w:color="004483"/>
              <w:bottom w:val="single" w:sz="8" w:color="A6A6A6"/>
            </w:tcBorders>
          </w:tcPr>
          <w:p>
            <w:pPr>
              <w:spacing w:after="0"/>
              <w:rPr>
                <w:sz w:val="18"/>
                <w:szCs w:val="18"/>
                <w:color w:val="auto"/>
              </w:rPr>
            </w:pP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436,949</w:t>
            </w:r>
          </w:p>
        </w:tc>
        <w:tc>
          <w:tcPr>
            <w:tcW w:w="100" w:type="dxa"/>
            <w:vAlign w:val="bottom"/>
          </w:tcPr>
          <w:p>
            <w:pPr>
              <w:spacing w:after="0"/>
              <w:rPr>
                <w:sz w:val="18"/>
                <w:szCs w:val="18"/>
                <w:color w:val="auto"/>
              </w:rPr>
            </w:pPr>
          </w:p>
        </w:tc>
        <w:tc>
          <w:tcPr>
            <w:tcW w:w="700" w:type="dxa"/>
            <w:vAlign w:val="bottom"/>
            <w:tcBorders>
              <w:top w:val="single" w:sz="8" w:color="004483"/>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89.69</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50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17"/>
                <w:szCs w:val="17"/>
                <w:color w:val="auto"/>
              </w:rPr>
            </w:pPr>
          </w:p>
        </w:tc>
        <w:tc>
          <w:tcPr>
            <w:tcW w:w="7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172.62</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004483"/>
              </w:rPr>
              <w:t>Exercised</w:t>
            </w: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(130,053 )</w:t>
            </w:r>
          </w:p>
        </w:tc>
        <w:tc>
          <w:tcPr>
            <w:tcW w:w="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88.18</w:t>
            </w:r>
          </w:p>
        </w:tc>
        <w:tc>
          <w:tcPr>
            <w:tcW w:w="0" w:type="dxa"/>
            <w:vAlign w:val="bottom"/>
          </w:tcPr>
          <w:p>
            <w:pPr>
              <w:spacing w:after="0"/>
              <w:rPr>
                <w:sz w:val="1"/>
                <w:szCs w:val="1"/>
                <w:color w:val="auto"/>
              </w:rPr>
            </w:pPr>
          </w:p>
        </w:tc>
      </w:tr>
      <w:tr>
        <w:trPr>
          <w:trHeight w:val="20"/>
        </w:trPr>
        <w:tc>
          <w:tcPr>
            <w:tcW w:w="774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6"/>
                <w:szCs w:val="16"/>
                <w:color w:val="004483"/>
              </w:rPr>
              <w:t>Cancelled</w:t>
            </w:r>
          </w:p>
        </w:tc>
        <w:tc>
          <w:tcPr>
            <w:tcW w:w="5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(1,000 )</w:t>
            </w:r>
          </w:p>
        </w:tc>
        <w:tc>
          <w:tcPr>
            <w:tcW w:w="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9"/>
        </w:trPr>
        <w:tc>
          <w:tcPr>
            <w:tcW w:w="774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September 30, 2023</w:t>
            </w:r>
          </w:p>
        </w:tc>
        <w:tc>
          <w:tcPr>
            <w:tcW w:w="500" w:type="dxa"/>
            <w:vAlign w:val="bottom"/>
            <w:tcBorders>
              <w:top w:val="single" w:sz="8" w:color="004483"/>
              <w:bottom w:val="single" w:sz="8" w:color="004483"/>
            </w:tcBorders>
          </w:tcPr>
          <w:p>
            <w:pPr>
              <w:spacing w:after="0"/>
              <w:rPr>
                <w:sz w:val="18"/>
                <w:szCs w:val="18"/>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311,454</w:t>
            </w:r>
          </w:p>
        </w:tc>
        <w:tc>
          <w:tcPr>
            <w:tcW w:w="100" w:type="dxa"/>
            <w:vAlign w:val="bottom"/>
          </w:tcPr>
          <w:p>
            <w:pPr>
              <w:spacing w:after="0"/>
              <w:rPr>
                <w:sz w:val="18"/>
                <w:szCs w:val="18"/>
                <w:color w:val="auto"/>
              </w:rPr>
            </w:pPr>
          </w:p>
        </w:tc>
        <w:tc>
          <w:tcPr>
            <w:tcW w:w="700" w:type="dxa"/>
            <w:vAlign w:val="bottom"/>
            <w:tcBorders>
              <w:top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September 30, 2023</w:t>
            </w:r>
          </w:p>
        </w:tc>
        <w:tc>
          <w:tcPr>
            <w:tcW w:w="500" w:type="dxa"/>
            <w:vAlign w:val="bottom"/>
            <w:tcBorders>
              <w:bottom w:val="single" w:sz="8" w:color="004483"/>
            </w:tcBorders>
          </w:tcPr>
          <w:p>
            <w:pPr>
              <w:spacing w:after="0"/>
              <w:rPr>
                <w:sz w:val="17"/>
                <w:szCs w:val="17"/>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216,868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Weighted-Average Fair Value of Options Granted</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440" w:type="dxa"/>
            <w:vAlign w:val="bottom"/>
            <w:gridSpan w:val="4"/>
            <w:shd w:val="clear" w:color="auto" w:fill="004483"/>
          </w:tcPr>
          <w:p>
            <w:pPr>
              <w:ind w:left="120"/>
              <w:spacing w:after="0"/>
              <w:rPr>
                <w:sz w:val="20"/>
                <w:szCs w:val="20"/>
                <w:color w:val="auto"/>
              </w:rPr>
            </w:pPr>
            <w:r>
              <w:rPr>
                <w:rFonts w:ascii="Arial" w:cs="Arial" w:eastAsia="Arial" w:hAnsi="Arial"/>
                <w:sz w:val="13"/>
                <w:szCs w:val="13"/>
                <w:b w:val="1"/>
                <w:bCs w:val="1"/>
                <w:color w:val="FFFFFF"/>
              </w:rPr>
              <w:t>Options Outstanding</w:t>
            </w:r>
          </w:p>
        </w:tc>
        <w:tc>
          <w:tcPr>
            <w:tcW w:w="340" w:type="dxa"/>
            <w:vAlign w:val="bottom"/>
            <w:shd w:val="clear" w:color="auto" w:fill="004483"/>
          </w:tcPr>
          <w:p>
            <w:pPr>
              <w:spacing w:after="0"/>
              <w:rPr>
                <w:sz w:val="14"/>
                <w:szCs w:val="14"/>
                <w:color w:val="auto"/>
              </w:rPr>
            </w:pPr>
          </w:p>
        </w:tc>
        <w:tc>
          <w:tcPr>
            <w:tcW w:w="74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shd w:val="clear" w:color="auto" w:fill="004483"/>
          </w:tcPr>
          <w:p>
            <w:pPr>
              <w:ind w:left="500"/>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27"/>
        </w:trPr>
        <w:tc>
          <w:tcPr>
            <w:tcW w:w="5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140"/>
              <w:spacing w:after="0" w:line="127"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3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Contractual</w:t>
            </w:r>
          </w:p>
        </w:tc>
        <w:tc>
          <w:tcPr>
            <w:tcW w:w="34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7"/>
        </w:trPr>
        <w:tc>
          <w:tcPr>
            <w:tcW w:w="5120" w:type="dxa"/>
            <w:vAlign w:val="bottom"/>
            <w:tcBorders>
              <w:bottom w:val="single" w:sz="8" w:color="004483"/>
            </w:tcBorders>
            <w:vMerge w:val="continue"/>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Life (in years)</w:t>
            </w:r>
          </w:p>
        </w:tc>
        <w:tc>
          <w:tcPr>
            <w:tcW w:w="120" w:type="dxa"/>
            <w:vAlign w:val="bottom"/>
          </w:tcPr>
          <w:p>
            <w:pPr>
              <w:spacing w:after="0"/>
              <w:rPr>
                <w:sz w:val="17"/>
                <w:szCs w:val="17"/>
                <w:color w:val="auto"/>
              </w:rPr>
            </w:pPr>
          </w:p>
        </w:tc>
        <w:tc>
          <w:tcPr>
            <w:tcW w:w="340" w:type="dxa"/>
            <w:vAlign w:val="bottom"/>
            <w:tcBorders>
              <w:bottom w:val="single" w:sz="8" w:color="004483"/>
            </w:tcBorders>
          </w:tcPr>
          <w:p>
            <w:pPr>
              <w:spacing w:after="0"/>
              <w:rPr>
                <w:sz w:val="17"/>
                <w:szCs w:val="17"/>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7"/>
                <w:szCs w:val="17"/>
                <w:color w:val="auto"/>
              </w:rPr>
            </w:pPr>
          </w:p>
        </w:tc>
        <w:tc>
          <w:tcPr>
            <w:tcW w:w="220" w:type="dxa"/>
            <w:vAlign w:val="bottom"/>
            <w:tcBorders>
              <w:bottom w:val="single" w:sz="8" w:color="004483"/>
            </w:tcBorders>
          </w:tcPr>
          <w:p>
            <w:pPr>
              <w:spacing w:after="0"/>
              <w:rPr>
                <w:sz w:val="17"/>
                <w:szCs w:val="17"/>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$59.32 - $81.28</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113,790</w:t>
            </w:r>
          </w:p>
        </w:tc>
        <w:tc>
          <w:tcPr>
            <w:tcW w:w="120" w:type="dxa"/>
            <w:vAlign w:val="bottom"/>
          </w:tcPr>
          <w:p>
            <w:pPr>
              <w:spacing w:after="0"/>
              <w:rPr>
                <w:sz w:val="17"/>
                <w:szCs w:val="17"/>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7"/>
                <w:szCs w:val="17"/>
                <w:color w:val="auto"/>
              </w:rPr>
            </w:pPr>
          </w:p>
        </w:tc>
        <w:tc>
          <w:tcPr>
            <w:tcW w:w="34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62.53</w:t>
            </w:r>
          </w:p>
        </w:tc>
        <w:tc>
          <w:tcPr>
            <w:tcW w:w="100" w:type="dxa"/>
            <w:vAlign w:val="bottom"/>
          </w:tcPr>
          <w:p>
            <w:pPr>
              <w:spacing w:after="0"/>
              <w:rPr>
                <w:sz w:val="17"/>
                <w:szCs w:val="17"/>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71,386</w:t>
            </w:r>
          </w:p>
        </w:tc>
        <w:tc>
          <w:tcPr>
            <w:tcW w:w="220" w:type="dxa"/>
            <w:vAlign w:val="bottom"/>
          </w:tcPr>
          <w:p>
            <w:pPr>
              <w:spacing w:after="0"/>
              <w:rPr>
                <w:sz w:val="17"/>
                <w:szCs w:val="17"/>
                <w:color w:val="auto"/>
              </w:rPr>
            </w:pPr>
          </w:p>
        </w:tc>
        <w:tc>
          <w:tcPr>
            <w:tcW w:w="2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$87.37 - $106.24</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126,467</w:t>
            </w:r>
          </w:p>
        </w:tc>
        <w:tc>
          <w:tcPr>
            <w:tcW w:w="120" w:type="dxa"/>
            <w:vAlign w:val="bottom"/>
          </w:tcPr>
          <w:p>
            <w:pPr>
              <w:spacing w:after="0"/>
              <w:rPr>
                <w:sz w:val="18"/>
                <w:szCs w:val="18"/>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34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8"/>
                <w:szCs w:val="18"/>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122,751</w:t>
            </w:r>
          </w:p>
        </w:tc>
        <w:tc>
          <w:tcPr>
            <w:tcW w:w="220" w:type="dxa"/>
            <w:vAlign w:val="bottom"/>
          </w:tcPr>
          <w:p>
            <w:pPr>
              <w:spacing w:after="0"/>
              <w:rPr>
                <w:sz w:val="18"/>
                <w:szCs w:val="18"/>
                <w:color w:val="auto"/>
              </w:rPr>
            </w:pPr>
          </w:p>
        </w:tc>
        <w:tc>
          <w:tcPr>
            <w:tcW w:w="2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$118.27 - $166.75</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71,197</w:t>
            </w:r>
          </w:p>
        </w:tc>
        <w:tc>
          <w:tcPr>
            <w:tcW w:w="120" w:type="dxa"/>
            <w:vAlign w:val="bottom"/>
          </w:tcPr>
          <w:p>
            <w:pPr>
              <w:spacing w:after="0"/>
              <w:rPr>
                <w:sz w:val="20"/>
                <w:szCs w:val="20"/>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34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131.77</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22,731</w:t>
            </w:r>
          </w:p>
        </w:tc>
        <w:tc>
          <w:tcPr>
            <w:tcW w:w="220" w:type="dxa"/>
            <w:vAlign w:val="bottom"/>
          </w:tcPr>
          <w:p>
            <w:pPr>
              <w:spacing w:after="0"/>
              <w:rPr>
                <w:sz w:val="20"/>
                <w:szCs w:val="20"/>
                <w:color w:val="auto"/>
              </w:rPr>
            </w:pPr>
          </w:p>
        </w:tc>
        <w:tc>
          <w:tcPr>
            <w:tcW w:w="2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311,454</w:t>
            </w: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6.19</w:t>
            </w:r>
          </w:p>
        </w:tc>
        <w:tc>
          <w:tcPr>
            <w:tcW w:w="120" w:type="dxa"/>
            <w:vAlign w:val="bottom"/>
          </w:tcPr>
          <w:p>
            <w:pPr>
              <w:spacing w:after="0"/>
              <w:rPr>
                <w:sz w:val="18"/>
                <w:szCs w:val="18"/>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216,868</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At September 30, 2023, the aggregate intrinsic value of the outstanding and exercisable options was approximately $23.3 million and $16.8 million, respectively. The total intrinsic value of options exercised during the six months ended September 30, 2023, was approximately $10.5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1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May 2023, under the Prior Plan, the Compensation Committee approved the granting to certain officers and key employees an aggregate of 45,693 shares of performance-vesting restricted stock that will be earned if certain performance conditions are satisfied (the Fiscal 2024 Employee Restricted Stock Performance Award). The performance criteria for the Fiscal 2024 Employee Restricted Stock Performance Award are based upon the</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78" w:right="299" w:bottom="1440" w:gutter="0" w:footer="0" w:header="0"/>
        </w:sectPr>
      </w:pPr>
    </w:p>
    <w:bookmarkStart w:id="13" w:name="page14"/>
    <w:bookmarkEnd w:id="13"/>
    <w:p>
      <w:pPr>
        <w:ind w:right="160"/>
        <w:spacing w:after="0" w:line="239" w:lineRule="auto"/>
        <w:rPr>
          <w:sz w:val="20"/>
          <w:szCs w:val="20"/>
          <w:color w:val="auto"/>
        </w:rPr>
      </w:pPr>
      <w:r>
        <w:rPr>
          <w:rFonts w:ascii="Arial" w:cs="Arial" w:eastAsia="Arial" w:hAnsi="Arial"/>
          <w:sz w:val="18"/>
          <w:szCs w:val="18"/>
          <w:color w:val="auto"/>
        </w:rPr>
        <w:t>achievement of certain levels of return on equity (as defined in the award agreement), ranging from 10.0% to 20.0%, for the performance periods described in the table below. All restricted shares in each performance period will be earned if the return on equity is 20.0% or greater. If the return on equity is less than 20% but at least 10% in any performance period, the amount of shares earned in such period will be reduced proportionately using straight-line interpolation, such that approximately 66.7% of the amount of shares issued will be earned if the return on equity is 10.0%. If the Company does not achieve a return on equity of at least 10.0% during any performance period, all awards for that performance period will be forfeited. The restricted share performance periods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Borders>
              <w:bottom w:val="single" w:sz="8" w:color="004483"/>
            </w:tcBorders>
          </w:tcPr>
          <w:p>
            <w:pPr>
              <w:spacing w:after="0"/>
              <w:rPr>
                <w:sz w:val="16"/>
                <w:szCs w:val="16"/>
                <w:color w:val="auto"/>
              </w:rPr>
            </w:pPr>
          </w:p>
        </w:tc>
        <w:tc>
          <w:tcPr>
            <w:tcW w:w="1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3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20" w:type="dxa"/>
            <w:vAlign w:val="bottom"/>
            <w:tcBorders>
              <w:bottom w:val="single" w:sz="8" w:color="004483"/>
            </w:tcBorders>
          </w:tcPr>
          <w:p>
            <w:pPr>
              <w:spacing w:after="0"/>
              <w:rPr>
                <w:sz w:val="16"/>
                <w:szCs w:val="16"/>
                <w:color w:val="auto"/>
              </w:rPr>
            </w:pPr>
          </w:p>
        </w:tc>
        <w:tc>
          <w:tcPr>
            <w:tcW w:w="2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0"/>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6"/>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22,845</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9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Compensation Committee also approved the granting of 38,072 shares of time-vesting restricted stock to the same officers and key employees, which vest ratably over three years (the Fiscal 2024 Employee Restricted Stock Time-Vesting Award). The Fiscal 2024 Employee Restricted Stock Performance Award and the Fiscal 2024 Employee Restricted Stock Time-Vesting Award were valued at the closing price of the stock on the grant date and are being expensed over a three-year period.</w:t>
      </w:r>
    </w:p>
    <w:p>
      <w:pPr>
        <w:spacing w:after="0" w:line="80"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August 2023, under the 2023 Plan, we granted 10,755 shares of restricted stock to members of the Board of Directors (the Fiscal 2024 Board of Directors Restricted Stock Award). Restrictions on these shares will lapse one year after the grant date. The Fiscal 2024 Board of Directors Restricted Stock Award was valued at the closing price of the stock on the grant date, and is being expensed over a one-year period.</w:t>
      </w:r>
    </w:p>
    <w:p>
      <w:pPr>
        <w:spacing w:after="0" w:line="80"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In addition to the restricted stock described above, from time to time we issue restricted stock to certain employees. These awards are valued at the closing price of the stock on the grant date and expensed over the vesting period.</w:t>
      </w:r>
    </w:p>
    <w:p>
      <w:pPr>
        <w:spacing w:after="0" w:line="65"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six months ended September 30,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7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1720" w:type="dxa"/>
            <w:vAlign w:val="bottom"/>
            <w:gridSpan w:val="2"/>
          </w:tcPr>
          <w:p>
            <w:pPr>
              <w:ind w:left="200"/>
              <w:spacing w:after="0"/>
              <w:rPr>
                <w:sz w:val="20"/>
                <w:szCs w:val="20"/>
                <w:color w:val="auto"/>
              </w:rPr>
            </w:pPr>
            <w:r>
              <w:rPr>
                <w:rFonts w:ascii="Arial" w:cs="Arial" w:eastAsia="Arial" w:hAnsi="Arial"/>
                <w:sz w:val="13"/>
                <w:szCs w:val="13"/>
                <w:b w:val="1"/>
                <w:bCs w:val="1"/>
                <w:color w:val="auto"/>
                <w:w w:val="98"/>
              </w:rPr>
              <w:t>Weighted-Average Grant</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242"/>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40"/>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2023</w:t>
            </w:r>
          </w:p>
        </w:tc>
        <w:tc>
          <w:tcPr>
            <w:tcW w:w="16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219,084</w:t>
            </w:r>
          </w:p>
        </w:tc>
        <w:tc>
          <w:tcPr>
            <w:tcW w:w="120" w:type="dxa"/>
            <w:vAlign w:val="bottom"/>
          </w:tcPr>
          <w:p>
            <w:pPr>
              <w:spacing w:after="0"/>
              <w:rPr>
                <w:sz w:val="20"/>
                <w:szCs w:val="20"/>
                <w:color w:val="auto"/>
              </w:rPr>
            </w:pPr>
          </w:p>
        </w:tc>
        <w:tc>
          <w:tcPr>
            <w:tcW w:w="40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96.54</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97,257</w:t>
            </w:r>
          </w:p>
        </w:tc>
        <w:tc>
          <w:tcPr>
            <w:tcW w:w="120" w:type="dxa"/>
            <w:vAlign w:val="bottom"/>
          </w:tcPr>
          <w:p>
            <w:pPr>
              <w:spacing w:after="0"/>
              <w:rPr>
                <w:sz w:val="20"/>
                <w:szCs w:val="20"/>
                <w:color w:val="auto"/>
              </w:rPr>
            </w:pPr>
          </w:p>
        </w:tc>
        <w:tc>
          <w:tcPr>
            <w:tcW w:w="4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169.62</w:t>
            </w: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6"/>
                <w:szCs w:val="16"/>
                <w:color w:val="004483"/>
              </w:rPr>
              <w:t>Vested</w:t>
            </w:r>
          </w:p>
        </w:tc>
        <w:tc>
          <w:tcPr>
            <w:tcW w:w="1740" w:type="dxa"/>
            <w:vAlign w:val="bottom"/>
            <w:gridSpan w:val="2"/>
          </w:tcPr>
          <w:p>
            <w:pPr>
              <w:jc w:val="right"/>
              <w:ind w:right="40"/>
              <w:spacing w:after="0"/>
              <w:rPr>
                <w:sz w:val="20"/>
                <w:szCs w:val="20"/>
                <w:color w:val="auto"/>
              </w:rPr>
            </w:pPr>
            <w:r>
              <w:rPr>
                <w:rFonts w:ascii="Arial" w:cs="Arial" w:eastAsia="Arial" w:hAnsi="Arial"/>
                <w:sz w:val="16"/>
                <w:szCs w:val="16"/>
                <w:color w:val="auto"/>
              </w:rPr>
              <w:t>(35,958 )</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146.24</w:t>
            </w:r>
          </w:p>
        </w:tc>
        <w:tc>
          <w:tcPr>
            <w:tcW w:w="0" w:type="dxa"/>
            <w:vAlign w:val="bottom"/>
          </w:tcPr>
          <w:p>
            <w:pPr>
              <w:spacing w:after="0"/>
              <w:rPr>
                <w:sz w:val="1"/>
                <w:szCs w:val="1"/>
                <w:color w:val="auto"/>
              </w:rPr>
            </w:pPr>
          </w:p>
        </w:tc>
      </w:tr>
      <w:tr>
        <w:trPr>
          <w:trHeight w:val="20"/>
        </w:trPr>
        <w:tc>
          <w:tcPr>
            <w:tcW w:w="7680" w:type="dxa"/>
            <w:vAlign w:val="bottom"/>
            <w:shd w:val="clear" w:color="auto" w:fill="A6A6A6"/>
          </w:tcPr>
          <w:p>
            <w:pPr>
              <w:spacing w:after="0" w:line="20" w:lineRule="exact"/>
              <w:rPr>
                <w:sz w:val="1"/>
                <w:szCs w:val="1"/>
                <w:color w:val="auto"/>
              </w:rPr>
            </w:pPr>
          </w:p>
        </w:tc>
        <w:tc>
          <w:tcPr>
            <w:tcW w:w="1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680" w:type="dxa"/>
            <w:vAlign w:val="bottom"/>
          </w:tcPr>
          <w:p>
            <w:pPr>
              <w:ind w:left="20"/>
              <w:spacing w:after="0"/>
              <w:rPr>
                <w:sz w:val="20"/>
                <w:szCs w:val="20"/>
                <w:color w:val="auto"/>
              </w:rPr>
            </w:pPr>
            <w:r>
              <w:rPr>
                <w:rFonts w:ascii="Arial" w:cs="Arial" w:eastAsia="Arial" w:hAnsi="Arial"/>
                <w:sz w:val="16"/>
                <w:szCs w:val="16"/>
                <w:color w:val="004483"/>
              </w:rPr>
              <w:t>Forfeited</w:t>
            </w:r>
          </w:p>
        </w:tc>
        <w:tc>
          <w:tcPr>
            <w:tcW w:w="1740" w:type="dxa"/>
            <w:vAlign w:val="bottom"/>
            <w:gridSpan w:val="2"/>
          </w:tcPr>
          <w:p>
            <w:pPr>
              <w:jc w:val="right"/>
              <w:ind w:right="40"/>
              <w:spacing w:after="0"/>
              <w:rPr>
                <w:sz w:val="20"/>
                <w:szCs w:val="20"/>
                <w:color w:val="auto"/>
              </w:rPr>
            </w:pPr>
            <w:r>
              <w:rPr>
                <w:rFonts w:ascii="Arial" w:cs="Arial" w:eastAsia="Arial" w:hAnsi="Arial"/>
                <w:sz w:val="16"/>
                <w:szCs w:val="16"/>
                <w:color w:val="auto"/>
              </w:rPr>
              <w:t>(3,000 )</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209"/>
        </w:trPr>
        <w:tc>
          <w:tcPr>
            <w:tcW w:w="768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September 30, 2023</w:t>
            </w:r>
          </w:p>
        </w:tc>
        <w:tc>
          <w:tcPr>
            <w:tcW w:w="16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277,383</w:t>
            </w:r>
          </w:p>
        </w:tc>
        <w:tc>
          <w:tcPr>
            <w:tcW w:w="120" w:type="dxa"/>
            <w:vAlign w:val="bottom"/>
          </w:tcPr>
          <w:p>
            <w:pPr>
              <w:spacing w:after="0"/>
              <w:rPr>
                <w:sz w:val="18"/>
                <w:szCs w:val="18"/>
                <w:color w:val="auto"/>
              </w:rPr>
            </w:pPr>
          </w:p>
        </w:tc>
        <w:tc>
          <w:tcPr>
            <w:tcW w:w="40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125.10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Expense related to restricted shares was approximately $3.8 million and $9.8 million for the three and six months ended September 30, 2023, respectively, and $3.3 million and $7.6 million for the three and six months ended September 30, 2022, respectively. At September 30, 2023, there was approximately $25.5 million of unearned compensation from restricted stock, which will be recognized over a weighted-average period of 1.9 years.</w:t>
      </w:r>
    </w:p>
    <w:p>
      <w:pPr>
        <w:spacing w:after="0" w:line="8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2023 Plan was 1,411,810 at September 30, 2023.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920" w:type="dxa"/>
            <w:vAlign w:val="bottom"/>
            <w:gridSpan w:val="5"/>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rPr>
              <w:t>For the Three Months Ended September 30,</w:t>
            </w:r>
          </w:p>
        </w:tc>
        <w:tc>
          <w:tcPr>
            <w:tcW w:w="120" w:type="dxa"/>
            <w:vAlign w:val="bottom"/>
          </w:tcPr>
          <w:p>
            <w:pPr>
              <w:spacing w:after="0"/>
              <w:rPr>
                <w:sz w:val="14"/>
                <w:szCs w:val="14"/>
                <w:color w:val="auto"/>
              </w:rPr>
            </w:pPr>
          </w:p>
        </w:tc>
        <w:tc>
          <w:tcPr>
            <w:tcW w:w="2900" w:type="dxa"/>
            <w:vAlign w:val="bottom"/>
            <w:gridSpan w:val="5"/>
            <w:shd w:val="clear" w:color="auto" w:fill="004483"/>
          </w:tcPr>
          <w:p>
            <w:pPr>
              <w:jc w:val="right"/>
              <w:ind w:right="280"/>
              <w:spacing w:after="0"/>
              <w:rPr>
                <w:sz w:val="20"/>
                <w:szCs w:val="20"/>
                <w:color w:val="auto"/>
              </w:rPr>
            </w:pPr>
            <w:r>
              <w:rPr>
                <w:rFonts w:ascii="Arial" w:cs="Arial" w:eastAsia="Arial" w:hAnsi="Arial"/>
                <w:sz w:val="13"/>
                <w:szCs w:val="13"/>
                <w:b w:val="1"/>
                <w:bCs w:val="1"/>
                <w:color w:val="FFFFFF"/>
              </w:rPr>
              <w:t>For the Six Months Ended September 30,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004483"/>
            </w:tcBorders>
          </w:tcPr>
          <w:p>
            <w:pPr>
              <w:spacing w:after="0"/>
              <w:rPr>
                <w:sz w:val="15"/>
                <w:szCs w:val="15"/>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2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35,056,973</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37,140,197</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35,165,268</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37,559,087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30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312,065</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420,199</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316,163</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424,489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20"/>
              <w:spacing w:after="0"/>
              <w:rPr>
                <w:sz w:val="20"/>
                <w:szCs w:val="20"/>
                <w:color w:val="auto"/>
              </w:rPr>
            </w:pPr>
            <w:r>
              <w:rPr>
                <w:rFonts w:ascii="Arial" w:cs="Arial" w:eastAsia="Arial" w:hAnsi="Arial"/>
                <w:sz w:val="16"/>
                <w:szCs w:val="16"/>
                <w:color w:val="004483"/>
              </w:rPr>
              <w:t>Less Shares Repurchased from Proceeds of Assumed Exercised</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120"/>
              <w:spacing w:after="0"/>
              <w:rPr>
                <w:sz w:val="20"/>
                <w:szCs w:val="20"/>
                <w:color w:val="auto"/>
              </w:rPr>
            </w:pPr>
            <w:r>
              <w:rPr>
                <w:rFonts w:ascii="Arial" w:cs="Arial" w:eastAsia="Arial" w:hAnsi="Arial"/>
                <w:sz w:val="16"/>
                <w:szCs w:val="16"/>
                <w:color w:val="004483"/>
              </w:rPr>
              <w:t>Options</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(169,038 )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(310,956 )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(171,659 )</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color w:val="auto"/>
              </w:rPr>
              <w:t>(311,373 )</w:t>
            </w:r>
          </w:p>
        </w:tc>
        <w:tc>
          <w:tcPr>
            <w:tcW w:w="0" w:type="dxa"/>
            <w:vAlign w:val="bottom"/>
          </w:tcPr>
          <w:p>
            <w:pPr>
              <w:spacing w:after="0"/>
              <w:rPr>
                <w:sz w:val="1"/>
                <w:szCs w:val="1"/>
                <w:color w:val="auto"/>
              </w:rPr>
            </w:pPr>
          </w:p>
        </w:tc>
      </w:tr>
      <w:tr>
        <w:trPr>
          <w:trHeight w:val="239"/>
        </w:trPr>
        <w:tc>
          <w:tcPr>
            <w:tcW w:w="530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Restricted Stock Units</w:t>
            </w: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136,966</w:t>
            </w:r>
          </w:p>
        </w:tc>
        <w:tc>
          <w:tcPr>
            <w:tcW w:w="14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117,439</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124,065</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120,410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3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Weighted-Average Common Stock and Dilutive Securities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35,336,966</w:t>
            </w:r>
          </w:p>
        </w:tc>
        <w:tc>
          <w:tcPr>
            <w:tcW w:w="140" w:type="dxa"/>
            <w:vAlign w:val="bottom"/>
          </w:tcPr>
          <w:p>
            <w:pPr>
              <w:spacing w:after="0"/>
              <w:rPr>
                <w:sz w:val="15"/>
                <w:szCs w:val="15"/>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37,366,879</w:t>
            </w:r>
          </w:p>
        </w:tc>
        <w:tc>
          <w:tcPr>
            <w:tcW w:w="100" w:type="dxa"/>
            <w:vAlign w:val="bottom"/>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35,433,837</w:t>
            </w:r>
          </w:p>
        </w:tc>
        <w:tc>
          <w:tcPr>
            <w:tcW w:w="100" w:type="dxa"/>
            <w:vAlign w:val="bottom"/>
          </w:tcPr>
          <w:p>
            <w:pPr>
              <w:spacing w:after="0"/>
              <w:rPr>
                <w:sz w:val="15"/>
                <w:szCs w:val="15"/>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37,792,613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Outstanding</w:t>
            </w:r>
          </w:p>
        </w:tc>
        <w:tc>
          <w:tcPr>
            <w:tcW w:w="1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w:t>
            </w:r>
          </w:p>
        </w:tc>
        <w:tc>
          <w:tcPr>
            <w:tcW w:w="1300" w:type="dxa"/>
            <w:vAlign w:val="bottom"/>
          </w:tcPr>
          <w:p>
            <w:pPr>
              <w:jc w:val="right"/>
              <w:spacing w:after="0"/>
              <w:rPr>
                <w:sz w:val="20"/>
                <w:szCs w:val="20"/>
                <w:color w:val="auto"/>
              </w:rPr>
            </w:pPr>
            <w:r>
              <w:rPr>
                <w:rFonts w:ascii="Arial" w:cs="Arial" w:eastAsia="Arial" w:hAnsi="Arial"/>
                <w:sz w:val="16"/>
                <w:szCs w:val="16"/>
                <w:color w:val="auto"/>
              </w:rPr>
              <w:t>4,884</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46,750</w:t>
            </w:r>
          </w:p>
        </w:tc>
        <w:tc>
          <w:tcPr>
            <w:tcW w:w="1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31,586</w:t>
            </w:r>
          </w:p>
        </w:tc>
        <w:tc>
          <w:tcPr>
            <w:tcW w:w="1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39,703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2023. Due to the frozen status and current funding of the single-employer pension plans, our expected pension expense for fiscal 2024 is less than $0.2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September 30, 2023, was approximately 23%, which was higher than the effective tax rate of 22% for the three months ended September 30, 2022. The effective tax rate was higher than the U.S. Statutory rate of 21% mainly due to state income taxes, partially offset by a benefit recognized related to percentage depletion.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2023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2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September 30,</w:t>
            </w:r>
          </w:p>
        </w:tc>
        <w:tc>
          <w:tcPr>
            <w:tcW w:w="200" w:type="dxa"/>
            <w:vAlign w:val="bottom"/>
            <w:shd w:val="clear" w:color="auto" w:fill="004483"/>
          </w:tcPr>
          <w:p>
            <w:pPr>
              <w:spacing w:after="0"/>
              <w:rPr>
                <w:sz w:val="14"/>
                <w:szCs w:val="14"/>
                <w:color w:val="auto"/>
              </w:rPr>
            </w:pPr>
          </w:p>
        </w:tc>
        <w:tc>
          <w:tcPr>
            <w:tcW w:w="620" w:type="dxa"/>
            <w:vAlign w:val="bottom"/>
            <w:shd w:val="clear" w:color="auto" w:fill="004483"/>
          </w:tcPr>
          <w:p>
            <w:pPr>
              <w:spacing w:after="0"/>
              <w:rPr>
                <w:sz w:val="14"/>
                <w:szCs w:val="14"/>
                <w:color w:val="auto"/>
              </w:rPr>
            </w:pPr>
          </w:p>
        </w:tc>
        <w:tc>
          <w:tcPr>
            <w:tcW w:w="102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774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4"/>
          </w:tcPr>
          <w:p>
            <w:pPr>
              <w:jc w:val="right"/>
              <w:ind w:right="9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162,000</w:t>
            </w:r>
          </w:p>
        </w:tc>
        <w:tc>
          <w:tcPr>
            <w:tcW w:w="100" w:type="dxa"/>
            <w:vAlign w:val="bottom"/>
          </w:tcPr>
          <w:p>
            <w:pPr>
              <w:spacing w:after="0"/>
              <w:rPr>
                <w:sz w:val="18"/>
                <w:szCs w:val="18"/>
                <w:color w:val="auto"/>
              </w:rPr>
            </w:pPr>
          </w:p>
        </w:tc>
        <w:tc>
          <w:tcPr>
            <w:tcW w:w="820" w:type="dxa"/>
            <w:vAlign w:val="bottom"/>
            <w:tcBorders>
              <w:bottom w:val="single" w:sz="8" w:color="A6A6A6"/>
            </w:tcBorders>
            <w:gridSpan w:val="2"/>
          </w:tcPr>
          <w:p>
            <w:pPr>
              <w:jc w:val="right"/>
              <w:ind w:right="4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157,000</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r>
      <w:tr>
        <w:trPr>
          <w:trHeight w:val="24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187,500</w:t>
            </w:r>
          </w:p>
        </w:tc>
        <w:tc>
          <w:tcPr>
            <w:tcW w:w="10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192,500</w:t>
            </w:r>
          </w:p>
        </w:tc>
        <w:tc>
          <w:tcPr>
            <w:tcW w:w="100" w:type="dxa"/>
            <w:vAlign w:val="bottom"/>
          </w:tcPr>
          <w:p>
            <w:pPr>
              <w:spacing w:after="0"/>
              <w:rPr>
                <w:sz w:val="20"/>
                <w:szCs w:val="20"/>
                <w:color w:val="auto"/>
              </w:rPr>
            </w:pPr>
          </w:p>
        </w:tc>
      </w:tr>
      <w:tr>
        <w:trPr>
          <w:trHeight w:val="210"/>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1,099,500</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1,099,500</w:t>
            </w:r>
          </w:p>
        </w:tc>
        <w:tc>
          <w:tcPr>
            <w:tcW w:w="100" w:type="dxa"/>
            <w:vAlign w:val="bottom"/>
          </w:tcPr>
          <w:p>
            <w:pPr>
              <w:spacing w:after="0"/>
              <w:rPr>
                <w:sz w:val="18"/>
                <w:szCs w:val="18"/>
                <w:color w:val="auto"/>
              </w:rPr>
            </w:pP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r>
      <w:tr>
        <w:trPr>
          <w:trHeight w:val="20"/>
        </w:trPr>
        <w:tc>
          <w:tcPr>
            <w:tcW w:w="77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(9,835 )</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(10,468 )</w:t>
            </w:r>
          </w:p>
        </w:tc>
      </w:tr>
      <w:tr>
        <w:trPr>
          <w:trHeight w:val="210"/>
        </w:trPr>
        <w:tc>
          <w:tcPr>
            <w:tcW w:w="774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Long-term Debt</w:t>
            </w:r>
          </w:p>
        </w:tc>
        <w:tc>
          <w:tcPr>
            <w:tcW w:w="400" w:type="dxa"/>
            <w:vAlign w:val="bottom"/>
            <w:tcBorders>
              <w:top w:val="single" w:sz="8" w:color="004483"/>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1,079,665</w:t>
            </w:r>
          </w:p>
        </w:tc>
        <w:tc>
          <w:tcPr>
            <w:tcW w:w="100" w:type="dxa"/>
            <w:vAlign w:val="bottom"/>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620" w:type="dxa"/>
            <w:vAlign w:val="bottom"/>
            <w:tcBorders>
              <w:top w:val="single" w:sz="8" w:color="004483"/>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1,079,032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1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have an unsecured $750.0 million revolving credit facility (the Revolving Credit Facility). The Revolving Credit Facility includes a separate $200.0 million term loan facility (the Term Loan) and also provides the Company the option to increase the borrowing capacity by up to $375.0 million (for a total borrowing capacity of $1,125.0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right="60" w:firstLine="50"/>
        <w:spacing w:after="0" w:line="260" w:lineRule="auto"/>
        <w:rPr>
          <w:sz w:val="20"/>
          <w:szCs w:val="20"/>
          <w:color w:val="auto"/>
        </w:rPr>
      </w:pPr>
      <w:r>
        <w:rPr>
          <w:rFonts w:ascii="Arial" w:cs="Arial" w:eastAsia="Arial" w:hAnsi="Arial"/>
          <w:sz w:val="18"/>
          <w:szCs w:val="18"/>
          <w:color w:val="auto"/>
        </w:rPr>
        <w:t>million), provided the existing lenders, or new lenders, agree to such increase. The Revolving Credit Facility includes a $40.0 million letter of credit facility and a swingline loan sub-facility of $25.0 million, and expires on May 5, 2027.</w:t>
      </w:r>
    </w:p>
    <w:p>
      <w:pPr>
        <w:spacing w:after="0" w:line="6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 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8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8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There were $162.0 million of outstanding borrowings under the Revolving Credit Facility, plus $8.3 million outstanding letters of credit as of September 30, 2023, resulting in $579.7 million of available borrowings under the Revolving Credit Facility, net of the outstanding letters of credit. We were in compliance with all Financial Covenants on September 30, 2023; therefore, the entire $579.7 million is available for future borrowings.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10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7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Our cement companies focus on the U.S. heartland and operate as an integrated network selling product primarily in California, Colorado, Illinois, Indiana, Iowa, Kansas, Kentucky, Missouri, Nebraska, Nevada, Ohio, Oklahoma, Tennessee, and Texas. We operate 30 readymix concrete batch plants and five aggregates processing plants in markets that are complementary to our cement network.</w:t>
      </w:r>
    </w:p>
    <w:p>
      <w:pPr>
        <w:spacing w:after="0" w:line="8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ind w:right="160"/>
        <w:spacing w:after="0" w:line="24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7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80" w:type="dxa"/>
            <w:vAlign w:val="bottom"/>
            <w:gridSpan w:val="7"/>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6"/>
          </w:tcPr>
          <w:p>
            <w:pPr>
              <w:jc w:val="right"/>
              <w:ind w:right="9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360,751</w:t>
            </w:r>
          </w:p>
        </w:tc>
        <w:tc>
          <w:tcPr>
            <w:tcW w:w="14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319,460</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689,783</w:t>
            </w:r>
          </w:p>
        </w:tc>
        <w:tc>
          <w:tcPr>
            <w:tcW w:w="120" w:type="dxa"/>
            <w:vAlign w:val="bottom"/>
          </w:tcPr>
          <w:p>
            <w:pPr>
              <w:spacing w:after="0"/>
              <w:rPr>
                <w:sz w:val="17"/>
                <w:szCs w:val="17"/>
                <w:color w:val="auto"/>
              </w:rPr>
            </w:pPr>
          </w:p>
        </w:tc>
        <w:tc>
          <w:tcPr>
            <w:tcW w:w="44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603,976</w:t>
            </w:r>
          </w:p>
        </w:tc>
        <w:tc>
          <w:tcPr>
            <w:tcW w:w="100" w:type="dxa"/>
            <w:vAlign w:val="bottom"/>
          </w:tcPr>
          <w:p>
            <w:pPr>
              <w:spacing w:after="0"/>
              <w:rPr>
                <w:sz w:val="17"/>
                <w:szCs w:val="17"/>
                <w:color w:val="auto"/>
              </w:rPr>
            </w:pPr>
          </w:p>
        </w:tc>
      </w:tr>
      <w:tr>
        <w:trPr>
          <w:trHeight w:val="210"/>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69,887</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69,613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140,340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131,231</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209,233</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224,638</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428,330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440,965</w:t>
            </w:r>
          </w:p>
        </w:tc>
        <w:tc>
          <w:tcPr>
            <w:tcW w:w="100" w:type="dxa"/>
            <w:vAlign w:val="bottom"/>
          </w:tcPr>
          <w:p>
            <w:pPr>
              <w:spacing w:after="0"/>
              <w:rPr>
                <w:sz w:val="18"/>
                <w:szCs w:val="18"/>
                <w:color w:val="auto"/>
              </w:rPr>
            </w:pPr>
          </w:p>
        </w:tc>
      </w:tr>
      <w:tr>
        <w:trPr>
          <w:trHeight w:val="239"/>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43,016</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53,673</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88,344</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107,746</w:t>
            </w:r>
          </w:p>
        </w:tc>
        <w:tc>
          <w:tcPr>
            <w:tcW w:w="100" w:type="dxa"/>
            <w:vAlign w:val="bottom"/>
          </w:tcPr>
          <w:p>
            <w:pPr>
              <w:spacing w:after="0"/>
              <w:rPr>
                <w:sz w:val="20"/>
                <w:szCs w:val="20"/>
                <w:color w:val="auto"/>
              </w:rPr>
            </w:pPr>
          </w:p>
        </w:tc>
      </w:tr>
      <w:tr>
        <w:trPr>
          <w:trHeight w:val="206"/>
        </w:trPr>
        <w:tc>
          <w:tcPr>
            <w:tcW w:w="53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682,887</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667,384</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1,346,797</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1,283,918</w:t>
            </w:r>
          </w:p>
        </w:tc>
        <w:tc>
          <w:tcPr>
            <w:tcW w:w="100" w:type="dxa"/>
            <w:vAlign w:val="bottom"/>
          </w:tcPr>
          <w:p>
            <w:pPr>
              <w:spacing w:after="0"/>
              <w:rPr>
                <w:sz w:val="17"/>
                <w:szCs w:val="17"/>
                <w:color w:val="auto"/>
              </w:rPr>
            </w:pPr>
          </w:p>
        </w:tc>
      </w:tr>
      <w:tr>
        <w:trPr>
          <w:trHeight w:val="210"/>
        </w:trPr>
        <w:tc>
          <w:tcPr>
            <w:tcW w:w="5380" w:type="dxa"/>
            <w:vAlign w:val="bottom"/>
          </w:tcPr>
          <w:p>
            <w:pPr>
              <w:ind w:left="200"/>
              <w:spacing w:after="0"/>
              <w:rPr>
                <w:sz w:val="20"/>
                <w:szCs w:val="20"/>
                <w:color w:val="auto"/>
              </w:rPr>
            </w:pPr>
            <w:r>
              <w:rPr>
                <w:rFonts w:ascii="Arial" w:cs="Arial" w:eastAsia="Arial" w:hAnsi="Arial"/>
                <w:sz w:val="16"/>
                <w:szCs w:val="16"/>
                <w:color w:val="004483"/>
              </w:rPr>
              <w:t>Less: Intersegment Revenue</w:t>
            </w: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(31,744 )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(37,186 )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(67,010 )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(66,018 )</w:t>
            </w:r>
          </w:p>
        </w:tc>
      </w:tr>
      <w:tr>
        <w:trPr>
          <w:trHeight w:val="20"/>
        </w:trPr>
        <w:tc>
          <w:tcPr>
            <w:tcW w:w="538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380" w:type="dxa"/>
            <w:vAlign w:val="bottom"/>
          </w:tcPr>
          <w:p>
            <w:pPr>
              <w:ind w:left="200"/>
              <w:spacing w:after="0"/>
              <w:rPr>
                <w:sz w:val="20"/>
                <w:szCs w:val="20"/>
                <w:color w:val="auto"/>
              </w:rPr>
            </w:pPr>
            <w:r>
              <w:rPr>
                <w:rFonts w:ascii="Arial" w:cs="Arial" w:eastAsia="Arial" w:hAnsi="Arial"/>
                <w:sz w:val="16"/>
                <w:szCs w:val="16"/>
                <w:color w:val="004483"/>
              </w:rPr>
              <w:t>Less: Joint Venture Revenue</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(28,907 )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(25,130 )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(56,030 )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(51,445 )</w:t>
            </w:r>
          </w:p>
        </w:tc>
      </w:tr>
      <w:tr>
        <w:trPr>
          <w:trHeight w:val="210"/>
        </w:trPr>
        <w:tc>
          <w:tcPr>
            <w:tcW w:w="538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205"/>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622,236</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605,068</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1,223,757</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32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1,166,455</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80" w:type="dxa"/>
            <w:vAlign w:val="bottom"/>
          </w:tcPr>
          <w:p>
            <w:pPr>
              <w:spacing w:after="0"/>
              <w:rPr>
                <w:sz w:val="19"/>
                <w:szCs w:val="19"/>
                <w:color w:val="auto"/>
              </w:rPr>
            </w:pPr>
          </w:p>
        </w:tc>
        <w:tc>
          <w:tcPr>
            <w:tcW w:w="2880" w:type="dxa"/>
            <w:vAlign w:val="bottom"/>
            <w:gridSpan w:val="7"/>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6"/>
          </w:tcPr>
          <w:p>
            <w:pPr>
              <w:spacing w:after="0"/>
              <w:rPr>
                <w:sz w:val="19"/>
                <w:szCs w:val="19"/>
                <w:color w:val="auto"/>
              </w:rPr>
            </w:pPr>
          </w:p>
        </w:tc>
      </w:tr>
      <w:tr>
        <w:trPr>
          <w:trHeight w:val="162"/>
        </w:trPr>
        <w:tc>
          <w:tcPr>
            <w:tcW w:w="5380" w:type="dxa"/>
            <w:vAlign w:val="bottom"/>
          </w:tcPr>
          <w:p>
            <w:pPr>
              <w:spacing w:after="0"/>
              <w:rPr>
                <w:sz w:val="14"/>
                <w:szCs w:val="14"/>
                <w:color w:val="auto"/>
              </w:rPr>
            </w:pPr>
          </w:p>
        </w:tc>
        <w:tc>
          <w:tcPr>
            <w:tcW w:w="2880" w:type="dxa"/>
            <w:vAlign w:val="bottom"/>
            <w:gridSpan w:val="7"/>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6"/>
          </w:tcPr>
          <w:p>
            <w:pPr>
              <w:jc w:val="right"/>
              <w:ind w:right="9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9,251</w:t>
            </w:r>
          </w:p>
        </w:tc>
        <w:tc>
          <w:tcPr>
            <w:tcW w:w="14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12,361</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19,388</w:t>
            </w:r>
          </w:p>
        </w:tc>
        <w:tc>
          <w:tcPr>
            <w:tcW w:w="120" w:type="dxa"/>
            <w:vAlign w:val="bottom"/>
          </w:tcPr>
          <w:p>
            <w:pPr>
              <w:spacing w:after="0"/>
              <w:rPr>
                <w:sz w:val="17"/>
                <w:szCs w:val="17"/>
                <w:color w:val="auto"/>
              </w:rPr>
            </w:pPr>
          </w:p>
        </w:tc>
        <w:tc>
          <w:tcPr>
            <w:tcW w:w="44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18,652</w:t>
            </w:r>
          </w:p>
        </w:tc>
        <w:tc>
          <w:tcPr>
            <w:tcW w:w="100" w:type="dxa"/>
            <w:vAlign w:val="bottom"/>
          </w:tcPr>
          <w:p>
            <w:pPr>
              <w:spacing w:after="0"/>
              <w:rPr>
                <w:sz w:val="17"/>
                <w:szCs w:val="17"/>
                <w:color w:val="auto"/>
              </w:rPr>
            </w:pPr>
          </w:p>
        </w:tc>
      </w:tr>
      <w:tr>
        <w:trPr>
          <w:trHeight w:val="209"/>
        </w:trPr>
        <w:tc>
          <w:tcPr>
            <w:tcW w:w="5380" w:type="dxa"/>
            <w:vAlign w:val="bottom"/>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53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top w:val="single" w:sz="8" w:color="A6A6A6"/>
              <w:bottom w:val="single" w:sz="8" w:color="004483"/>
            </w:tcBorders>
          </w:tcPr>
          <w:p>
            <w:pPr>
              <w:spacing w:after="0"/>
              <w:rPr>
                <w:sz w:val="20"/>
                <w:szCs w:val="20"/>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18,710</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380" w:type="dxa"/>
            <w:vAlign w:val="bottom"/>
            <w:tcBorders>
              <w:top w:val="single" w:sz="8" w:color="A6A6A6"/>
              <w:bottom w:val="single" w:sz="8" w:color="004483"/>
            </w:tcBorders>
          </w:tcPr>
          <w:p>
            <w:pPr>
              <w:spacing w:after="0"/>
              <w:rPr>
                <w:sz w:val="20"/>
                <w:szCs w:val="20"/>
                <w:color w:val="auto"/>
              </w:rPr>
            </w:pPr>
          </w:p>
        </w:tc>
        <w:tc>
          <w:tcPr>
            <w:tcW w:w="8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24,825</w:t>
            </w:r>
          </w:p>
        </w:tc>
        <w:tc>
          <w:tcPr>
            <w:tcW w:w="10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40,801</w:t>
            </w:r>
          </w:p>
        </w:tc>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9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47,366</w:t>
            </w:r>
          </w:p>
        </w:tc>
        <w:tc>
          <w:tcPr>
            <w:tcW w:w="100" w:type="dxa"/>
            <w:vAlign w:val="bottom"/>
          </w:tcPr>
          <w:p>
            <w:pPr>
              <w:spacing w:after="0"/>
              <w:rPr>
                <w:sz w:val="20"/>
                <w:szCs w:val="20"/>
                <w:color w:val="auto"/>
              </w:rPr>
            </w:pPr>
          </w:p>
        </w:tc>
      </w:tr>
      <w:tr>
        <w:trPr>
          <w:trHeight w:val="210"/>
        </w:trPr>
        <w:tc>
          <w:tcPr>
            <w:tcW w:w="5380" w:type="dxa"/>
            <w:vAlign w:val="bottom"/>
          </w:tcPr>
          <w:p>
            <w:pPr>
              <w:spacing w:after="0"/>
              <w:rPr>
                <w:sz w:val="18"/>
                <w:szCs w:val="18"/>
                <w:color w:val="auto"/>
              </w:rPr>
            </w:pPr>
          </w:p>
        </w:tc>
        <w:tc>
          <w:tcPr>
            <w:tcW w:w="380" w:type="dxa"/>
            <w:vAlign w:val="bottom"/>
            <w:tcBorders>
              <w:bottom w:val="single" w:sz="8" w:color="004483"/>
            </w:tcBorders>
          </w:tcPr>
          <w:p>
            <w:pPr>
              <w:jc w:val="right"/>
              <w:ind w:right="205"/>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31,744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67,010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66,018</w:t>
            </w:r>
          </w:p>
        </w:tc>
        <w:tc>
          <w:tcPr>
            <w:tcW w:w="100" w:type="dxa"/>
            <w:vAlign w:val="bottom"/>
          </w:tcPr>
          <w:p>
            <w:pPr>
              <w:spacing w:after="0"/>
              <w:rPr>
                <w:sz w:val="18"/>
                <w:szCs w:val="18"/>
                <w:color w:val="auto"/>
              </w:rPr>
            </w:pPr>
          </w:p>
        </w:tc>
      </w:tr>
      <w:tr>
        <w:trPr>
          <w:trHeight w:val="20"/>
        </w:trPr>
        <w:tc>
          <w:tcPr>
            <w:tcW w:w="538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1,959</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3,807</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17"/>
                <w:szCs w:val="17"/>
                <w:color w:val="auto"/>
              </w:rPr>
            </w:pPr>
          </w:p>
        </w:tc>
      </w:tr>
      <w:tr>
        <w:trPr>
          <w:trHeight w:val="240"/>
        </w:trPr>
        <w:tc>
          <w:tcPr>
            <w:tcW w:w="53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r>
      <w:tr>
        <w:trPr>
          <w:trHeight w:val="210"/>
        </w:trPr>
        <w:tc>
          <w:tcPr>
            <w:tcW w:w="5380" w:type="dxa"/>
            <w:vAlign w:val="bottom"/>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4,138</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8"/>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8"/>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2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70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w:t>
            </w:r>
          </w:p>
        </w:tc>
        <w:tc>
          <w:tcPr>
            <w:tcW w:w="28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60" w:type="dxa"/>
            <w:vAlign w:val="bottom"/>
            <w:tcBorders>
              <w:bottom w:val="single" w:sz="8" w:color="004483"/>
            </w:tcBorders>
            <w:gridSpan w:val="6"/>
          </w:tcPr>
          <w:p>
            <w:pPr>
              <w:jc w:val="right"/>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3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121,429</w:t>
            </w:r>
          </w:p>
        </w:tc>
        <w:tc>
          <w:tcPr>
            <w:tcW w:w="140" w:type="dxa"/>
            <w:vAlign w:val="bottom"/>
          </w:tcPr>
          <w:p>
            <w:pPr>
              <w:spacing w:after="0"/>
              <w:rPr>
                <w:sz w:val="17"/>
                <w:szCs w:val="17"/>
                <w:color w:val="auto"/>
              </w:rPr>
            </w:pPr>
          </w:p>
        </w:tc>
        <w:tc>
          <w:tcPr>
            <w:tcW w:w="68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98,779</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195,490</w:t>
            </w:r>
          </w:p>
        </w:tc>
        <w:tc>
          <w:tcPr>
            <w:tcW w:w="120" w:type="dxa"/>
            <w:vAlign w:val="bottom"/>
          </w:tcPr>
          <w:p>
            <w:pPr>
              <w:spacing w:after="0"/>
              <w:rPr>
                <w:sz w:val="17"/>
                <w:szCs w:val="17"/>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161,127</w:t>
            </w:r>
          </w:p>
        </w:tc>
        <w:tc>
          <w:tcPr>
            <w:tcW w:w="100" w:type="dxa"/>
            <w:vAlign w:val="bottom"/>
          </w:tcPr>
          <w:p>
            <w:pPr>
              <w:spacing w:after="0"/>
              <w:rPr>
                <w:sz w:val="17"/>
                <w:szCs w:val="17"/>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4,640</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7,276</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11,674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13,008</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85,705</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89,761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176,562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173,829</w:t>
            </w:r>
          </w:p>
        </w:tc>
        <w:tc>
          <w:tcPr>
            <w:tcW w:w="100" w:type="dxa"/>
            <w:vAlign w:val="bottom"/>
          </w:tcPr>
          <w:p>
            <w:pPr>
              <w:spacing w:after="0"/>
              <w:rPr>
                <w:sz w:val="18"/>
                <w:szCs w:val="18"/>
                <w:color w:val="auto"/>
              </w:rPr>
            </w:pPr>
          </w:p>
        </w:tc>
      </w:tr>
      <w:tr>
        <w:trPr>
          <w:trHeight w:val="24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7,590</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5,579</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rPr>
              <w:t>14,792</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20"/>
                <w:szCs w:val="20"/>
                <w:color w:val="auto"/>
              </w:rPr>
            </w:pPr>
          </w:p>
        </w:tc>
      </w:tr>
      <w:tr>
        <w:trPr>
          <w:trHeight w:val="207"/>
        </w:trPr>
        <w:tc>
          <w:tcPr>
            <w:tcW w:w="538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Sub-Total</w:t>
            </w: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219,364</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201,395</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398,518</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357,359</w:t>
            </w:r>
          </w:p>
        </w:tc>
        <w:tc>
          <w:tcPr>
            <w:tcW w:w="100" w:type="dxa"/>
            <w:vAlign w:val="bottom"/>
          </w:tcPr>
          <w:p>
            <w:pPr>
              <w:spacing w:after="0"/>
              <w:rPr>
                <w:sz w:val="17"/>
                <w:szCs w:val="17"/>
                <w:color w:val="auto"/>
              </w:rPr>
            </w:pPr>
          </w:p>
        </w:tc>
      </w:tr>
      <w:tr>
        <w:trPr>
          <w:trHeight w:val="209"/>
        </w:trPr>
        <w:tc>
          <w:tcPr>
            <w:tcW w:w="5380" w:type="dxa"/>
            <w:vAlign w:val="bottom"/>
            <w:gridSpan w:val="2"/>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(16,576 )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(13,627 )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(28,255 )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(25,447 )</w:t>
            </w:r>
          </w:p>
        </w:tc>
      </w:tr>
      <w:tr>
        <w:trPr>
          <w:trHeight w:val="20"/>
        </w:trPr>
        <w:tc>
          <w:tcPr>
            <w:tcW w:w="524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gridSpan w:val="2"/>
            <w:shd w:val="clear" w:color="auto" w:fill="A6A6A6"/>
          </w:tcPr>
          <w:p>
            <w:pPr>
              <w:spacing w:after="0" w:line="20" w:lineRule="exact"/>
              <w:rPr>
                <w:sz w:val="1"/>
                <w:szCs w:val="1"/>
                <w:color w:val="auto"/>
              </w:rPr>
            </w:pPr>
          </w:p>
        </w:tc>
        <w:tc>
          <w:tcPr>
            <w:tcW w:w="240" w:type="dxa"/>
            <w:vAlign w:val="bottom"/>
            <w:tcBorders>
              <w:right w:val="single" w:sz="8" w:color="A6A6A6"/>
            </w:tcBorders>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380" w:type="dxa"/>
            <w:vAlign w:val="bottom"/>
            <w:gridSpan w:val="2"/>
          </w:tcPr>
          <w:p>
            <w:pPr>
              <w:ind w:left="200"/>
              <w:spacing w:after="0"/>
              <w:rPr>
                <w:sz w:val="20"/>
                <w:szCs w:val="20"/>
                <w:color w:val="auto"/>
              </w:rPr>
            </w:pPr>
            <w:r>
              <w:rPr>
                <w:rFonts w:ascii="Arial" w:cs="Arial" w:eastAsia="Arial" w:hAnsi="Arial"/>
                <w:sz w:val="16"/>
                <w:szCs w:val="16"/>
                <w:color w:val="004483"/>
              </w:rPr>
              <w:t>Other Non-Operating Income (Loss)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(664 )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(1,299 )</w:t>
            </w:r>
          </w:p>
        </w:tc>
      </w:tr>
      <w:tr>
        <w:trPr>
          <w:trHeight w:val="207"/>
        </w:trPr>
        <w:tc>
          <w:tcPr>
            <w:tcW w:w="538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380" w:type="dxa"/>
            <w:vAlign w:val="bottom"/>
            <w:tcBorders>
              <w:top w:val="single" w:sz="8" w:color="004483"/>
              <w:bottom w:val="single" w:sz="8" w:color="A6A6A6"/>
            </w:tcBorders>
          </w:tcPr>
          <w:p>
            <w:pPr>
              <w:spacing w:after="0"/>
              <w:rPr>
                <w:sz w:val="17"/>
                <w:szCs w:val="17"/>
                <w:color w:val="auto"/>
              </w:rPr>
            </w:pPr>
          </w:p>
        </w:tc>
        <w:tc>
          <w:tcPr>
            <w:tcW w:w="8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204,393</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540" w:type="dxa"/>
            <w:vAlign w:val="bottom"/>
            <w:tcBorders>
              <w:top w:val="single" w:sz="8" w:color="004483"/>
              <w:bottom w:val="single" w:sz="8" w:color="A6A6A6"/>
            </w:tcBorders>
          </w:tcPr>
          <w:p>
            <w:pPr>
              <w:spacing w:after="0"/>
              <w:rPr>
                <w:sz w:val="17"/>
                <w:szCs w:val="17"/>
                <w:color w:val="auto"/>
              </w:rPr>
            </w:pPr>
          </w:p>
        </w:tc>
        <w:tc>
          <w:tcPr>
            <w:tcW w:w="70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187,104</w:t>
            </w:r>
          </w:p>
        </w:tc>
        <w:tc>
          <w:tcPr>
            <w:tcW w:w="10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004483"/>
              <w:bottom w:val="single" w:sz="8" w:color="A6A6A6"/>
            </w:tcBorders>
          </w:tcPr>
          <w:p>
            <w:pPr>
              <w:spacing w:after="0"/>
              <w:rPr>
                <w:sz w:val="17"/>
                <w:szCs w:val="17"/>
                <w:color w:val="auto"/>
              </w:rPr>
            </w:pPr>
          </w:p>
        </w:tc>
        <w:tc>
          <w:tcPr>
            <w:tcW w:w="1120" w:type="dxa"/>
            <w:vAlign w:val="bottom"/>
            <w:tcBorders>
              <w:top w:val="single" w:sz="8" w:color="004483"/>
              <w:bottom w:val="single" w:sz="8" w:color="A6A6A6"/>
            </w:tcBorders>
            <w:gridSpan w:val="3"/>
          </w:tcPr>
          <w:p>
            <w:pPr>
              <w:jc w:val="right"/>
              <w:spacing w:after="0"/>
              <w:rPr>
                <w:sz w:val="20"/>
                <w:szCs w:val="20"/>
                <w:color w:val="auto"/>
              </w:rPr>
            </w:pPr>
            <w:r>
              <w:rPr>
                <w:rFonts w:ascii="Arial" w:cs="Arial" w:eastAsia="Arial" w:hAnsi="Arial"/>
                <w:sz w:val="16"/>
                <w:szCs w:val="16"/>
                <w:color w:val="auto"/>
              </w:rPr>
              <w:t>372,081</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500" w:type="dxa"/>
            <w:vAlign w:val="bottom"/>
            <w:tcBorders>
              <w:top w:val="single" w:sz="8" w:color="004483"/>
              <w:bottom w:val="single" w:sz="8" w:color="A6A6A6"/>
            </w:tcBorders>
          </w:tcPr>
          <w:p>
            <w:pPr>
              <w:spacing w:after="0"/>
              <w:rPr>
                <w:sz w:val="17"/>
                <w:szCs w:val="17"/>
                <w:color w:val="auto"/>
              </w:rPr>
            </w:pP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330,613</w:t>
            </w:r>
          </w:p>
        </w:tc>
        <w:tc>
          <w:tcPr>
            <w:tcW w:w="100" w:type="dxa"/>
            <w:vAlign w:val="bottom"/>
          </w:tcPr>
          <w:p>
            <w:pPr>
              <w:spacing w:after="0"/>
              <w:rPr>
                <w:sz w:val="17"/>
                <w:szCs w:val="17"/>
                <w:color w:val="auto"/>
              </w:rPr>
            </w:pPr>
          </w:p>
        </w:tc>
      </w:tr>
      <w:tr>
        <w:trPr>
          <w:trHeight w:val="239"/>
        </w:trPr>
        <w:tc>
          <w:tcPr>
            <w:tcW w:w="5380" w:type="dxa"/>
            <w:vAlign w:val="bottom"/>
            <w:gridSpan w:val="2"/>
          </w:tcPr>
          <w:p>
            <w:pPr>
              <w:ind w:left="200"/>
              <w:spacing w:after="0"/>
              <w:rPr>
                <w:sz w:val="20"/>
                <w:szCs w:val="20"/>
                <w:color w:val="auto"/>
              </w:rPr>
            </w:pPr>
            <w:r>
              <w:rPr>
                <w:rFonts w:ascii="Arial" w:cs="Arial" w:eastAsia="Arial" w:hAnsi="Arial"/>
                <w:sz w:val="16"/>
                <w:szCs w:val="16"/>
                <w:color w:val="004483"/>
              </w:rPr>
              <w:t>Interest Expense, net</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(10,204 )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(8,580 )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(22,443 )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(15,910 )</w:t>
            </w:r>
          </w:p>
        </w:tc>
      </w:tr>
      <w:tr>
        <w:trPr>
          <w:trHeight w:val="209"/>
        </w:trPr>
        <w:tc>
          <w:tcPr>
            <w:tcW w:w="538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380" w:type="dxa"/>
            <w:vAlign w:val="bottom"/>
            <w:tcBorders>
              <w:top w:val="single" w:sz="8" w:color="004483"/>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194,189</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540" w:type="dxa"/>
            <w:vAlign w:val="bottom"/>
            <w:tcBorders>
              <w:top w:val="single" w:sz="8" w:color="004483"/>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178,524</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004483"/>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349,638</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500" w:type="dxa"/>
            <w:vAlign w:val="bottom"/>
            <w:tcBorders>
              <w:top w:val="single" w:sz="8" w:color="004483"/>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314,703</w:t>
            </w:r>
          </w:p>
        </w:tc>
        <w:tc>
          <w:tcPr>
            <w:tcW w:w="100" w:type="dxa"/>
            <w:vAlign w:val="bottom"/>
          </w:tcPr>
          <w:p>
            <w:pPr>
              <w:spacing w:after="0"/>
              <w:rPr>
                <w:sz w:val="18"/>
                <w:szCs w:val="18"/>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3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Cement Operating Earnings</w:t>
            </w: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54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24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Wholly Owned</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111,083</w:t>
            </w:r>
          </w:p>
        </w:tc>
        <w:tc>
          <w:tcPr>
            <w:tcW w:w="140" w:type="dxa"/>
            <w:vAlign w:val="bottom"/>
          </w:tcPr>
          <w:p>
            <w:pPr>
              <w:spacing w:after="0"/>
              <w:rPr>
                <w:sz w:val="18"/>
                <w:szCs w:val="18"/>
                <w:color w:val="auto"/>
              </w:rPr>
            </w:pPr>
          </w:p>
        </w:tc>
        <w:tc>
          <w:tcPr>
            <w:tcW w:w="68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91,623</w:t>
            </w: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181,985</w:t>
            </w:r>
          </w:p>
        </w:tc>
        <w:tc>
          <w:tcPr>
            <w:tcW w:w="120" w:type="dxa"/>
            <w:vAlign w:val="bottom"/>
          </w:tcPr>
          <w:p>
            <w:pPr>
              <w:spacing w:after="0"/>
              <w:rPr>
                <w:sz w:val="18"/>
                <w:szCs w:val="18"/>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148,873</w:t>
            </w:r>
          </w:p>
        </w:tc>
        <w:tc>
          <w:tcPr>
            <w:tcW w:w="100" w:type="dxa"/>
            <w:vAlign w:val="bottom"/>
          </w:tcPr>
          <w:p>
            <w:pPr>
              <w:spacing w:after="0"/>
              <w:rPr>
                <w:sz w:val="18"/>
                <w:szCs w:val="18"/>
                <w:color w:val="auto"/>
              </w:rPr>
            </w:pPr>
          </w:p>
        </w:tc>
      </w:tr>
      <w:tr>
        <w:trPr>
          <w:trHeight w:val="23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Joint Venture</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10,346</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7,156</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rPr>
              <w:t>13,505</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12,254</w:t>
            </w: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121,429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98,779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195,490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161,127</w:t>
            </w:r>
          </w:p>
        </w:tc>
        <w:tc>
          <w:tcPr>
            <w:tcW w:w="100" w:type="dxa"/>
            <w:vAlign w:val="bottom"/>
          </w:tcPr>
          <w:p>
            <w:pPr>
              <w:spacing w:after="0"/>
              <w:rPr>
                <w:sz w:val="18"/>
                <w:szCs w:val="18"/>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14,487</w:t>
            </w:r>
          </w:p>
        </w:tc>
        <w:tc>
          <w:tcPr>
            <w:tcW w:w="140" w:type="dxa"/>
            <w:vAlign w:val="bottom"/>
          </w:tcPr>
          <w:p>
            <w:pPr>
              <w:spacing w:after="0"/>
              <w:rPr>
                <w:sz w:val="17"/>
                <w:szCs w:val="17"/>
                <w:color w:val="auto"/>
              </w:rPr>
            </w:pPr>
          </w:p>
        </w:tc>
        <w:tc>
          <w:tcPr>
            <w:tcW w:w="68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4,893</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26,757</w:t>
            </w:r>
          </w:p>
        </w:tc>
        <w:tc>
          <w:tcPr>
            <w:tcW w:w="120" w:type="dxa"/>
            <w:vAlign w:val="bottom"/>
          </w:tcPr>
          <w:p>
            <w:pPr>
              <w:spacing w:after="0"/>
              <w:rPr>
                <w:sz w:val="17"/>
                <w:szCs w:val="17"/>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13,879</w:t>
            </w:r>
          </w:p>
        </w:tc>
        <w:tc>
          <w:tcPr>
            <w:tcW w:w="100" w:type="dxa"/>
            <w:vAlign w:val="bottom"/>
          </w:tcPr>
          <w:p>
            <w:pPr>
              <w:spacing w:after="0"/>
              <w:rPr>
                <w:sz w:val="17"/>
                <w:szCs w:val="17"/>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5,854</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13,688</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14,340</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40" w:type="dxa"/>
            <w:vAlign w:val="bottom"/>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5,452</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8,391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16,480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12,470</w:t>
            </w:r>
          </w:p>
        </w:tc>
        <w:tc>
          <w:tcPr>
            <w:tcW w:w="100" w:type="dxa"/>
            <w:vAlign w:val="bottom"/>
          </w:tcPr>
          <w:p>
            <w:pPr>
              <w:spacing w:after="0"/>
              <w:rPr>
                <w:sz w:val="18"/>
                <w:szCs w:val="18"/>
                <w:color w:val="auto"/>
              </w:rPr>
            </w:pPr>
          </w:p>
        </w:tc>
      </w:tr>
      <w:tr>
        <w:trPr>
          <w:trHeight w:val="21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2,597</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5,865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r>
      <w:tr>
        <w:trPr>
          <w:trHeight w:val="23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1,064</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rPr>
              <w:t>7,277</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29,454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28,335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65,453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43,249</w:t>
            </w:r>
          </w:p>
        </w:tc>
        <w:tc>
          <w:tcPr>
            <w:tcW w:w="100" w:type="dxa"/>
            <w:vAlign w:val="bottom"/>
          </w:tcPr>
          <w:p>
            <w:pPr>
              <w:spacing w:after="0"/>
              <w:rPr>
                <w:sz w:val="18"/>
                <w:szCs w:val="18"/>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22,187</w:t>
            </w:r>
          </w:p>
        </w:tc>
        <w:tc>
          <w:tcPr>
            <w:tcW w:w="140" w:type="dxa"/>
            <w:vAlign w:val="bottom"/>
          </w:tcPr>
          <w:p>
            <w:pPr>
              <w:spacing w:after="0"/>
              <w:rPr>
                <w:sz w:val="17"/>
                <w:szCs w:val="17"/>
                <w:color w:val="auto"/>
              </w:rPr>
            </w:pPr>
          </w:p>
        </w:tc>
        <w:tc>
          <w:tcPr>
            <w:tcW w:w="68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20,258</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43,866</w:t>
            </w:r>
          </w:p>
        </w:tc>
        <w:tc>
          <w:tcPr>
            <w:tcW w:w="120" w:type="dxa"/>
            <w:vAlign w:val="bottom"/>
          </w:tcPr>
          <w:p>
            <w:pPr>
              <w:spacing w:after="0"/>
              <w:rPr>
                <w:sz w:val="17"/>
                <w:szCs w:val="17"/>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40,311</w:t>
            </w:r>
          </w:p>
        </w:tc>
        <w:tc>
          <w:tcPr>
            <w:tcW w:w="100" w:type="dxa"/>
            <w:vAlign w:val="bottom"/>
          </w:tcPr>
          <w:p>
            <w:pPr>
              <w:spacing w:after="0"/>
              <w:rPr>
                <w:sz w:val="17"/>
                <w:szCs w:val="17"/>
                <w:color w:val="auto"/>
              </w:rPr>
            </w:pPr>
          </w:p>
        </w:tc>
      </w:tr>
      <w:tr>
        <w:trPr>
          <w:trHeight w:val="21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4,962</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4,351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9,993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8,552</w:t>
            </w:r>
          </w:p>
        </w:tc>
        <w:tc>
          <w:tcPr>
            <w:tcW w:w="100" w:type="dxa"/>
            <w:vAlign w:val="bottom"/>
          </w:tcPr>
          <w:p>
            <w:pPr>
              <w:spacing w:after="0"/>
              <w:rPr>
                <w:sz w:val="18"/>
                <w:szCs w:val="18"/>
                <w:color w:val="auto"/>
              </w:rPr>
            </w:pPr>
          </w:p>
        </w:tc>
      </w:tr>
      <w:tr>
        <w:trPr>
          <w:trHeight w:val="21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5,548</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5,589</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11,009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11,152</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3,708</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3,742</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7,427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18"/>
                <w:szCs w:val="18"/>
                <w:color w:val="auto"/>
              </w:rPr>
            </w:pPr>
          </w:p>
        </w:tc>
      </w:tr>
      <w:tr>
        <w:trPr>
          <w:trHeight w:val="24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38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792</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34,645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73,879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68,874</w:t>
            </w:r>
          </w:p>
        </w:tc>
        <w:tc>
          <w:tcPr>
            <w:tcW w:w="100" w:type="dxa"/>
            <w:vAlign w:val="bottom"/>
          </w:tcPr>
          <w:p>
            <w:pPr>
              <w:spacing w:after="0"/>
              <w:rPr>
                <w:sz w:val="18"/>
                <w:szCs w:val="18"/>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90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w w:val="96"/>
              </w:rPr>
              <w:t>September 30,</w:t>
            </w:r>
          </w:p>
        </w:tc>
        <w:tc>
          <w:tcPr>
            <w:tcW w:w="100" w:type="dxa"/>
            <w:vAlign w:val="bottom"/>
            <w:shd w:val="clear" w:color="auto" w:fill="004483"/>
          </w:tcPr>
          <w:p>
            <w:pPr>
              <w:spacing w:after="0"/>
              <w:rPr>
                <w:sz w:val="14"/>
                <w:szCs w:val="14"/>
                <w:color w:val="auto"/>
              </w:rPr>
            </w:pPr>
          </w:p>
        </w:tc>
        <w:tc>
          <w:tcPr>
            <w:tcW w:w="240" w:type="dxa"/>
            <w:vAlign w:val="bottom"/>
            <w:tcBorders>
              <w:right w:val="single" w:sz="8" w:color="004483"/>
            </w:tcBorders>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52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60" w:type="dxa"/>
            <w:vAlign w:val="bottom"/>
            <w:tcBorders>
              <w:bottom w:val="single" w:sz="8" w:color="004483"/>
            </w:tcBorders>
            <w:gridSpan w:val="6"/>
          </w:tcPr>
          <w:p>
            <w:pPr>
              <w:jc w:val="right"/>
              <w:ind w:right="25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3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380" w:type="dxa"/>
            <w:vAlign w:val="bottom"/>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2,014,557</w:t>
            </w:r>
          </w:p>
        </w:tc>
        <w:tc>
          <w:tcPr>
            <w:tcW w:w="46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1,905,227</w:t>
            </w:r>
          </w:p>
        </w:tc>
        <w:tc>
          <w:tcPr>
            <w:tcW w:w="100" w:type="dxa"/>
            <w:vAlign w:val="bottom"/>
          </w:tcPr>
          <w:p>
            <w:pPr>
              <w:spacing w:after="0"/>
              <w:rPr>
                <w:sz w:val="17"/>
                <w:szCs w:val="17"/>
                <w:color w:val="auto"/>
              </w:rPr>
            </w:pPr>
          </w:p>
        </w:tc>
      </w:tr>
      <w:tr>
        <w:trPr>
          <w:trHeight w:val="209"/>
        </w:trPr>
        <w:tc>
          <w:tcPr>
            <w:tcW w:w="538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54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238,440</w:t>
            </w:r>
          </w:p>
        </w:tc>
        <w:tc>
          <w:tcPr>
            <w:tcW w:w="100" w:type="dxa"/>
            <w:vAlign w:val="bottom"/>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234,767</w:t>
            </w:r>
          </w:p>
        </w:tc>
        <w:tc>
          <w:tcPr>
            <w:tcW w:w="100" w:type="dxa"/>
            <w:vAlign w:val="bottom"/>
          </w:tcPr>
          <w:p>
            <w:pPr>
              <w:spacing w:after="0"/>
              <w:rPr>
                <w:sz w:val="18"/>
                <w:szCs w:val="18"/>
                <w:color w:val="auto"/>
              </w:rPr>
            </w:pPr>
          </w:p>
        </w:tc>
      </w:tr>
      <w:tr>
        <w:trPr>
          <w:trHeight w:val="21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414,747</w:t>
            </w:r>
          </w:p>
        </w:tc>
        <w:tc>
          <w:tcPr>
            <w:tcW w:w="100" w:type="dxa"/>
            <w:vAlign w:val="bottom"/>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421,425</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168,659</w:t>
            </w:r>
          </w:p>
        </w:tc>
        <w:tc>
          <w:tcPr>
            <w:tcW w:w="100" w:type="dxa"/>
            <w:vAlign w:val="bottom"/>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163,797</w:t>
            </w:r>
          </w:p>
        </w:tc>
        <w:tc>
          <w:tcPr>
            <w:tcW w:w="100" w:type="dxa"/>
            <w:vAlign w:val="bottom"/>
          </w:tcPr>
          <w:p>
            <w:pPr>
              <w:spacing w:after="0"/>
              <w:rPr>
                <w:sz w:val="18"/>
                <w:szCs w:val="18"/>
                <w:color w:val="auto"/>
              </w:rPr>
            </w:pPr>
          </w:p>
        </w:tc>
      </w:tr>
      <w:tr>
        <w:trPr>
          <w:trHeight w:val="240"/>
        </w:trPr>
        <w:tc>
          <w:tcPr>
            <w:tcW w:w="53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net</w:t>
            </w:r>
          </w:p>
        </w:tc>
        <w:tc>
          <w:tcPr>
            <w:tcW w:w="380" w:type="dxa"/>
            <w:vAlign w:val="bottom"/>
            <w:tcBorders>
              <w:bottom w:val="single" w:sz="8" w:color="A6A6A6"/>
            </w:tcBorders>
          </w:tcPr>
          <w:p>
            <w:pPr>
              <w:spacing w:after="0"/>
              <w:rPr>
                <w:sz w:val="20"/>
                <w:szCs w:val="20"/>
                <w:color w:val="auto"/>
              </w:rPr>
            </w:pPr>
          </w:p>
        </w:tc>
        <w:tc>
          <w:tcPr>
            <w:tcW w:w="880" w:type="dxa"/>
            <w:vAlign w:val="bottom"/>
            <w:tcBorders>
              <w:bottom w:val="single" w:sz="8" w:color="A6A6A6"/>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540" w:type="dxa"/>
            <w:vAlign w:val="bottom"/>
            <w:tcBorders>
              <w:bottom w:val="single" w:sz="8" w:color="A6A6A6"/>
            </w:tcBorders>
          </w:tcPr>
          <w:p>
            <w:pPr>
              <w:spacing w:after="0"/>
              <w:rPr>
                <w:sz w:val="20"/>
                <w:szCs w:val="20"/>
                <w:color w:val="auto"/>
              </w:rPr>
            </w:pPr>
          </w:p>
        </w:tc>
        <w:tc>
          <w:tcPr>
            <w:tcW w:w="28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80,691</w:t>
            </w:r>
          </w:p>
        </w:tc>
        <w:tc>
          <w:tcPr>
            <w:tcW w:w="100" w:type="dxa"/>
            <w:vAlign w:val="bottom"/>
          </w:tcPr>
          <w:p>
            <w:pPr>
              <w:spacing w:after="0"/>
              <w:rPr>
                <w:sz w:val="20"/>
                <w:szCs w:val="20"/>
                <w:color w:val="auto"/>
              </w:rPr>
            </w:pPr>
          </w:p>
        </w:tc>
        <w:tc>
          <w:tcPr>
            <w:tcW w:w="2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55,786</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004483"/>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2,917,094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004483"/>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bottom w:val="single" w:sz="8" w:color="004483"/>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2,781,002</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8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segment breakdown of Goodwill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774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1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004483"/>
              </w:rPr>
              <w:t>Cement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227,669</w:t>
            </w:r>
          </w:p>
        </w:tc>
        <w:tc>
          <w:tcPr>
            <w:tcW w:w="98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215,781</w:t>
            </w:r>
          </w:p>
        </w:tc>
        <w:tc>
          <w:tcPr>
            <w:tcW w:w="100" w:type="dxa"/>
            <w:vAlign w:val="bottom"/>
          </w:tcPr>
          <w:p>
            <w:pPr>
              <w:spacing w:after="0"/>
              <w:rPr>
                <w:sz w:val="18"/>
                <w:szCs w:val="18"/>
                <w:color w:val="auto"/>
              </w:rPr>
            </w:pPr>
          </w:p>
        </w:tc>
      </w:tr>
      <w:tr>
        <w:trPr>
          <w:trHeight w:val="210"/>
        </w:trPr>
        <w:tc>
          <w:tcPr>
            <w:tcW w:w="77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4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r>
      <w:tr>
        <w:trPr>
          <w:trHeight w:val="23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r>
      <w:tr>
        <w:trPr>
          <w:trHeight w:val="209"/>
        </w:trPr>
        <w:tc>
          <w:tcPr>
            <w:tcW w:w="774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392,599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380,711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5"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increase in Goodwill in the Cement segment is related to the Stockton Terminal Acquisition. The purchase price allocation is still in progress, and may affect the recorded balance of Goodwill when completed.</w:t>
      </w:r>
    </w:p>
    <w:p>
      <w:pPr>
        <w:spacing w:after="0" w:line="65"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80" w:type="dxa"/>
            <w:vAlign w:val="bottom"/>
            <w:gridSpan w:val="8"/>
            <w:shd w:val="clear" w:color="auto" w:fill="004483"/>
          </w:tcPr>
          <w:p>
            <w:pPr>
              <w:jc w:val="center"/>
              <w:ind w:right="80"/>
              <w:spacing w:after="0"/>
              <w:rPr>
                <w:sz w:val="20"/>
                <w:szCs w:val="20"/>
                <w:color w:val="auto"/>
              </w:rPr>
            </w:pPr>
            <w:r>
              <w:rPr>
                <w:rFonts w:ascii="Arial" w:cs="Arial" w:eastAsia="Arial" w:hAnsi="Arial"/>
                <w:sz w:val="13"/>
                <w:szCs w:val="13"/>
                <w:b w:val="1"/>
                <w:bCs w:val="1"/>
                <w:color w:val="FFFFFF"/>
                <w:w w:val="96"/>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8"/>
            <w:shd w:val="clear" w:color="auto" w:fill="004483"/>
          </w:tcPr>
          <w:p>
            <w:pPr>
              <w:jc w:val="center"/>
              <w:ind w:right="22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700" w:type="dxa"/>
            <w:vAlign w:val="bottom"/>
            <w:tcBorders>
              <w:bottom w:val="single" w:sz="8" w:color="004483"/>
            </w:tcBorders>
            <w:gridSpan w:val="4"/>
          </w:tcPr>
          <w:p>
            <w:pPr>
              <w:jc w:val="center"/>
              <w:ind w:left="126"/>
              <w:spacing w:after="0"/>
              <w:rPr>
                <w:sz w:val="20"/>
                <w:szCs w:val="20"/>
                <w:color w:val="auto"/>
              </w:rPr>
            </w:pPr>
            <w:r>
              <w:rPr>
                <w:rFonts w:ascii="Arial" w:cs="Arial" w:eastAsia="Arial" w:hAnsi="Arial"/>
                <w:sz w:val="13"/>
                <w:szCs w:val="13"/>
                <w:color w:val="auto"/>
                <w:w w:val="98"/>
              </w:rPr>
              <w:t>(dollars in thousands)</w:t>
            </w:r>
          </w:p>
        </w:tc>
        <w:tc>
          <w:tcPr>
            <w:tcW w:w="2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6"/>
          </w:tcPr>
          <w:p>
            <w:pPr>
              <w:jc w:val="center"/>
              <w:ind w:left="487"/>
              <w:spacing w:after="0"/>
              <w:rPr>
                <w:sz w:val="20"/>
                <w:szCs w:val="20"/>
                <w:color w:val="auto"/>
              </w:rPr>
            </w:pPr>
            <w:r>
              <w:rPr>
                <w:rFonts w:ascii="Arial" w:cs="Arial" w:eastAsia="Arial" w:hAnsi="Arial"/>
                <w:sz w:val="13"/>
                <w:szCs w:val="13"/>
                <w:color w:val="auto"/>
                <w:w w:val="98"/>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440" w:type="dxa"/>
            <w:vAlign w:val="bottom"/>
            <w:tcBorders>
              <w:bottom w:val="single" w:sz="8" w:color="A6A6A6"/>
            </w:tcBorders>
          </w:tcPr>
          <w:p>
            <w:pPr>
              <w:jc w:val="right"/>
              <w:ind w:right="26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57,813</w:t>
            </w:r>
          </w:p>
        </w:tc>
        <w:tc>
          <w:tcPr>
            <w:tcW w:w="140" w:type="dxa"/>
            <w:vAlign w:val="bottom"/>
          </w:tcPr>
          <w:p>
            <w:pPr>
              <w:spacing w:after="0"/>
              <w:rPr>
                <w:sz w:val="18"/>
                <w:szCs w:val="18"/>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50,259</w:t>
            </w: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112,060</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102,889</w:t>
            </w:r>
          </w:p>
        </w:tc>
        <w:tc>
          <w:tcPr>
            <w:tcW w:w="100" w:type="dxa"/>
            <w:vAlign w:val="bottom"/>
          </w:tcPr>
          <w:p>
            <w:pPr>
              <w:spacing w:after="0"/>
              <w:rPr>
                <w:sz w:val="18"/>
                <w:szCs w:val="18"/>
                <w:color w:val="auto"/>
              </w:rPr>
            </w:pPr>
          </w:p>
        </w:tc>
      </w:tr>
      <w:tr>
        <w:trPr>
          <w:trHeight w:val="210"/>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440" w:type="dxa"/>
            <w:vAlign w:val="bottom"/>
            <w:tcBorders>
              <w:bottom w:val="single" w:sz="8" w:color="A6A6A6"/>
            </w:tcBorders>
          </w:tcPr>
          <w:p>
            <w:pPr>
              <w:jc w:val="right"/>
              <w:ind w:right="26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23,509</w:t>
            </w:r>
          </w:p>
        </w:tc>
        <w:tc>
          <w:tcPr>
            <w:tcW w:w="140" w:type="dxa"/>
            <w:vAlign w:val="bottom"/>
          </w:tcPr>
          <w:p>
            <w:pPr>
              <w:spacing w:after="0"/>
              <w:rPr>
                <w:sz w:val="18"/>
                <w:szCs w:val="18"/>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15,977</w:t>
            </w: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32,047</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28,003</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440" w:type="dxa"/>
            <w:vAlign w:val="bottom"/>
            <w:tcBorders>
              <w:bottom w:val="single" w:sz="8" w:color="A6A6A6"/>
            </w:tcBorders>
          </w:tcPr>
          <w:p>
            <w:pPr>
              <w:jc w:val="right"/>
              <w:ind w:right="26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20,690</w:t>
            </w:r>
          </w:p>
        </w:tc>
        <w:tc>
          <w:tcPr>
            <w:tcW w:w="140" w:type="dxa"/>
            <w:vAlign w:val="bottom"/>
          </w:tcPr>
          <w:p>
            <w:pPr>
              <w:spacing w:after="0"/>
              <w:rPr>
                <w:sz w:val="18"/>
                <w:szCs w:val="18"/>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14,312</w:t>
            </w: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27,009</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24,508</w:t>
            </w:r>
          </w:p>
        </w:tc>
        <w:tc>
          <w:tcPr>
            <w:tcW w:w="100" w:type="dxa"/>
            <w:vAlign w:val="bottom"/>
          </w:tcPr>
          <w:p>
            <w:pPr>
              <w:spacing w:after="0"/>
              <w:rPr>
                <w:sz w:val="18"/>
                <w:szCs w:val="18"/>
                <w:color w:val="auto"/>
              </w:rPr>
            </w:pPr>
          </w:p>
        </w:tc>
      </w:tr>
      <w:tr>
        <w:trPr>
          <w:trHeight w:val="428"/>
        </w:trPr>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90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w w:val="96"/>
              </w:rPr>
              <w:t>September 30,</w:t>
            </w:r>
          </w:p>
        </w:tc>
        <w:tc>
          <w:tcPr>
            <w:tcW w:w="10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580" w:type="dxa"/>
            <w:vAlign w:val="bottom"/>
            <w:shd w:val="clear" w:color="auto" w:fill="004483"/>
          </w:tcPr>
          <w:p>
            <w:pPr>
              <w:spacing w:after="0"/>
              <w:rPr>
                <w:sz w:val="14"/>
                <w:szCs w:val="14"/>
                <w:color w:val="auto"/>
              </w:rPr>
            </w:pPr>
          </w:p>
        </w:tc>
        <w:tc>
          <w:tcPr>
            <w:tcW w:w="78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8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6"/>
          </w:tcPr>
          <w:p>
            <w:pPr>
              <w:jc w:val="right"/>
              <w:ind w:right="33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102,831</w:t>
            </w:r>
          </w:p>
        </w:tc>
        <w:tc>
          <w:tcPr>
            <w:tcW w:w="100" w:type="dxa"/>
            <w:vAlign w:val="bottom"/>
          </w:tcPr>
          <w:p>
            <w:pPr>
              <w:spacing w:after="0"/>
              <w:rPr>
                <w:sz w:val="18"/>
                <w:szCs w:val="18"/>
                <w:color w:val="auto"/>
              </w:rPr>
            </w:pPr>
          </w:p>
        </w:tc>
        <w:tc>
          <w:tcPr>
            <w:tcW w:w="36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88,562</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134,254</w:t>
            </w:r>
          </w:p>
        </w:tc>
        <w:tc>
          <w:tcPr>
            <w:tcW w:w="100" w:type="dxa"/>
            <w:vAlign w:val="bottom"/>
          </w:tcPr>
          <w:p>
            <w:pPr>
              <w:spacing w:after="0"/>
              <w:rPr>
                <w:sz w:val="18"/>
                <w:szCs w:val="18"/>
                <w:color w:val="auto"/>
              </w:rPr>
            </w:pPr>
          </w:p>
        </w:tc>
        <w:tc>
          <w:tcPr>
            <w:tcW w:w="36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124,503</w:t>
            </w:r>
          </w:p>
        </w:tc>
        <w:tc>
          <w:tcPr>
            <w:tcW w:w="100" w:type="dxa"/>
            <w:vAlign w:val="bottom"/>
          </w:tcPr>
          <w:p>
            <w:pPr>
              <w:spacing w:after="0"/>
              <w:rPr>
                <w:sz w:val="18"/>
                <w:szCs w:val="18"/>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004483"/>
              </w:rPr>
              <w:t>Current Liabilities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31,791</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29,434</w:t>
            </w:r>
          </w:p>
        </w:tc>
        <w:tc>
          <w:tcPr>
            <w:tcW w:w="100" w:type="dxa"/>
            <w:vAlign w:val="bottom"/>
          </w:tcPr>
          <w:p>
            <w:pPr>
              <w:spacing w:after="0"/>
              <w:rPr>
                <w:sz w:val="18"/>
                <w:szCs w:val="18"/>
                <w:color w:val="auto"/>
              </w:rPr>
            </w:pPr>
          </w:p>
        </w:tc>
      </w:tr>
      <w:tr>
        <w:trPr>
          <w:trHeight w:val="678"/>
        </w:trPr>
        <w:tc>
          <w:tcPr>
            <w:tcW w:w="5380" w:type="dxa"/>
            <w:vAlign w:val="bottom"/>
            <w:tcBorders>
              <w:top w:val="single" w:sz="8" w:color="A6A6A6"/>
            </w:tcBorders>
          </w:tcPr>
          <w:p>
            <w:pPr>
              <w:spacing w:after="0"/>
              <w:rPr>
                <w:sz w:val="20"/>
                <w:szCs w:val="20"/>
                <w:color w:val="auto"/>
              </w:rPr>
            </w:pPr>
            <w:r>
              <w:rPr>
                <w:rFonts w:ascii="Arial" w:cs="Arial" w:eastAsia="Arial" w:hAnsi="Arial"/>
                <w:sz w:val="20"/>
                <w:szCs w:val="20"/>
                <w:b w:val="1"/>
                <w:bCs w:val="1"/>
                <w:color w:val="auto"/>
              </w:rPr>
              <w:t>(O) INTEREST EXPENSE</w:t>
            </w:r>
          </w:p>
        </w:tc>
        <w:tc>
          <w:tcPr>
            <w:tcW w:w="440" w:type="dxa"/>
            <w:vAlign w:val="bottom"/>
            <w:tcBorders>
              <w:top w:val="single" w:sz="8" w:color="A6A6A6"/>
            </w:tcBorders>
          </w:tcPr>
          <w:p>
            <w:pPr>
              <w:spacing w:after="0"/>
              <w:rPr>
                <w:sz w:val="24"/>
                <w:szCs w:val="24"/>
                <w:color w:val="auto"/>
              </w:rPr>
            </w:pPr>
          </w:p>
        </w:tc>
        <w:tc>
          <w:tcPr>
            <w:tcW w:w="820" w:type="dxa"/>
            <w:vAlign w:val="bottom"/>
            <w:tcBorders>
              <w:top w:val="single" w:sz="8" w:color="A6A6A6"/>
            </w:tcBorders>
          </w:tcPr>
          <w:p>
            <w:pPr>
              <w:spacing w:after="0"/>
              <w:rPr>
                <w:sz w:val="24"/>
                <w:szCs w:val="24"/>
                <w:color w:val="auto"/>
              </w:rPr>
            </w:pPr>
          </w:p>
        </w:tc>
        <w:tc>
          <w:tcPr>
            <w:tcW w:w="140" w:type="dxa"/>
            <w:vAlign w:val="bottom"/>
            <w:tcBorders>
              <w:top w:val="single" w:sz="8" w:color="A6A6A6"/>
            </w:tcBorders>
          </w:tcPr>
          <w:p>
            <w:pPr>
              <w:spacing w:after="0"/>
              <w:rPr>
                <w:sz w:val="24"/>
                <w:szCs w:val="24"/>
                <w:color w:val="auto"/>
              </w:rPr>
            </w:pPr>
          </w:p>
        </w:tc>
        <w:tc>
          <w:tcPr>
            <w:tcW w:w="140" w:type="dxa"/>
            <w:vAlign w:val="bottom"/>
            <w:tcBorders>
              <w:top w:val="single" w:sz="8" w:color="A6A6A6"/>
            </w:tcBorders>
          </w:tcPr>
          <w:p>
            <w:pPr>
              <w:spacing w:after="0"/>
              <w:rPr>
                <w:sz w:val="24"/>
                <w:szCs w:val="24"/>
                <w:color w:val="auto"/>
              </w:rPr>
            </w:pPr>
          </w:p>
        </w:tc>
        <w:tc>
          <w:tcPr>
            <w:tcW w:w="600" w:type="dxa"/>
            <w:vAlign w:val="bottom"/>
            <w:tcBorders>
              <w:top w:val="single" w:sz="8" w:color="A6A6A6"/>
            </w:tcBorders>
          </w:tcPr>
          <w:p>
            <w:pPr>
              <w:spacing w:after="0"/>
              <w:rPr>
                <w:sz w:val="24"/>
                <w:szCs w:val="24"/>
                <w:color w:val="auto"/>
              </w:rPr>
            </w:pPr>
          </w:p>
        </w:tc>
        <w:tc>
          <w:tcPr>
            <w:tcW w:w="220" w:type="dxa"/>
            <w:vAlign w:val="bottom"/>
            <w:tcBorders>
              <w:top w:val="single" w:sz="8" w:color="A6A6A6"/>
            </w:tcBorders>
          </w:tcPr>
          <w:p>
            <w:pPr>
              <w:spacing w:after="0"/>
              <w:rPr>
                <w:sz w:val="24"/>
                <w:szCs w:val="24"/>
                <w:color w:val="auto"/>
              </w:rPr>
            </w:pPr>
          </w:p>
        </w:tc>
        <w:tc>
          <w:tcPr>
            <w:tcW w:w="420" w:type="dxa"/>
            <w:vAlign w:val="bottom"/>
            <w:tcBorders>
              <w:top w:val="single" w:sz="8" w:color="A6A6A6"/>
            </w:tcBorders>
          </w:tcPr>
          <w:p>
            <w:pPr>
              <w:spacing w:after="0"/>
              <w:rPr>
                <w:sz w:val="24"/>
                <w:szCs w:val="24"/>
                <w:color w:val="auto"/>
              </w:rPr>
            </w:pPr>
          </w:p>
        </w:tc>
        <w:tc>
          <w:tcPr>
            <w:tcW w:w="100" w:type="dxa"/>
            <w:vAlign w:val="bottom"/>
            <w:tcBorders>
              <w:top w:val="single" w:sz="8" w:color="A6A6A6"/>
            </w:tcBorders>
          </w:tcPr>
          <w:p>
            <w:pPr>
              <w:spacing w:after="0"/>
              <w:rPr>
                <w:sz w:val="24"/>
                <w:szCs w:val="24"/>
                <w:color w:val="auto"/>
              </w:rPr>
            </w:pPr>
          </w:p>
        </w:tc>
        <w:tc>
          <w:tcPr>
            <w:tcW w:w="140" w:type="dxa"/>
            <w:vAlign w:val="bottom"/>
            <w:tcBorders>
              <w:top w:val="single" w:sz="8" w:color="A6A6A6"/>
            </w:tcBorders>
          </w:tcPr>
          <w:p>
            <w:pPr>
              <w:spacing w:after="0"/>
              <w:rPr>
                <w:sz w:val="24"/>
                <w:szCs w:val="24"/>
                <w:color w:val="auto"/>
              </w:rPr>
            </w:pPr>
          </w:p>
        </w:tc>
        <w:tc>
          <w:tcPr>
            <w:tcW w:w="120" w:type="dxa"/>
            <w:vAlign w:val="bottom"/>
            <w:tcBorders>
              <w:top w:val="single" w:sz="8" w:color="A6A6A6"/>
            </w:tcBorders>
          </w:tcPr>
          <w:p>
            <w:pPr>
              <w:spacing w:after="0"/>
              <w:rPr>
                <w:sz w:val="24"/>
                <w:szCs w:val="24"/>
                <w:color w:val="auto"/>
              </w:rPr>
            </w:pPr>
          </w:p>
        </w:tc>
        <w:tc>
          <w:tcPr>
            <w:tcW w:w="780" w:type="dxa"/>
            <w:vAlign w:val="bottom"/>
            <w:tcBorders>
              <w:top w:val="single" w:sz="8" w:color="A6A6A6"/>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6A6A6"/>
            </w:tcBorders>
          </w:tcPr>
          <w:p>
            <w:pPr>
              <w:spacing w:after="0"/>
              <w:rPr>
                <w:sz w:val="24"/>
                <w:szCs w:val="24"/>
                <w:color w:val="auto"/>
              </w:rPr>
            </w:pPr>
          </w:p>
        </w:tc>
        <w:tc>
          <w:tcPr>
            <w:tcW w:w="120" w:type="dxa"/>
            <w:vAlign w:val="bottom"/>
            <w:tcBorders>
              <w:top w:val="single" w:sz="8" w:color="A6A6A6"/>
            </w:tcBorders>
          </w:tcPr>
          <w:p>
            <w:pPr>
              <w:spacing w:after="0"/>
              <w:rPr>
                <w:sz w:val="24"/>
                <w:szCs w:val="24"/>
                <w:color w:val="auto"/>
              </w:rPr>
            </w:pPr>
          </w:p>
        </w:tc>
        <w:tc>
          <w:tcPr>
            <w:tcW w:w="120" w:type="dxa"/>
            <w:vAlign w:val="bottom"/>
            <w:tcBorders>
              <w:top w:val="single" w:sz="8" w:color="A6A6A6"/>
            </w:tcBorders>
          </w:tcPr>
          <w:p>
            <w:pPr>
              <w:spacing w:after="0"/>
              <w:rPr>
                <w:sz w:val="24"/>
                <w:szCs w:val="24"/>
                <w:color w:val="auto"/>
              </w:rPr>
            </w:pPr>
          </w:p>
        </w:tc>
        <w:tc>
          <w:tcPr>
            <w:tcW w:w="580" w:type="dxa"/>
            <w:vAlign w:val="bottom"/>
            <w:tcBorders>
              <w:top w:val="single" w:sz="8" w:color="A6A6A6"/>
            </w:tcBorders>
          </w:tcPr>
          <w:p>
            <w:pPr>
              <w:spacing w:after="0"/>
              <w:rPr>
                <w:sz w:val="24"/>
                <w:szCs w:val="24"/>
                <w:color w:val="auto"/>
              </w:rPr>
            </w:pPr>
          </w:p>
        </w:tc>
        <w:tc>
          <w:tcPr>
            <w:tcW w:w="680" w:type="dxa"/>
            <w:vAlign w:val="bottom"/>
            <w:tcBorders>
              <w:top w:val="single" w:sz="8" w:color="A6A6A6"/>
            </w:tcBorders>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5380" w:type="dxa"/>
            <w:vAlign w:val="bottom"/>
          </w:tcPr>
          <w:p>
            <w:pPr>
              <w:spacing w:after="0"/>
              <w:rPr>
                <w:sz w:val="20"/>
                <w:szCs w:val="20"/>
                <w:color w:val="auto"/>
              </w:rPr>
            </w:pPr>
            <w:r>
              <w:rPr>
                <w:rFonts w:ascii="Arial" w:cs="Arial" w:eastAsia="Arial" w:hAnsi="Arial"/>
                <w:sz w:val="18"/>
                <w:szCs w:val="18"/>
                <w:color w:val="auto"/>
              </w:rPr>
              <w:t>The following components are included in Interest Expense, net:</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380" w:type="dxa"/>
            <w:vAlign w:val="bottom"/>
          </w:tcPr>
          <w:p>
            <w:pPr>
              <w:spacing w:after="0"/>
              <w:rPr>
                <w:sz w:val="16"/>
                <w:szCs w:val="16"/>
                <w:color w:val="auto"/>
              </w:rPr>
            </w:pPr>
          </w:p>
        </w:tc>
        <w:tc>
          <w:tcPr>
            <w:tcW w:w="1540" w:type="dxa"/>
            <w:vAlign w:val="bottom"/>
            <w:gridSpan w:val="4"/>
          </w:tcPr>
          <w:p>
            <w:pPr>
              <w:spacing w:after="0"/>
              <w:rPr>
                <w:sz w:val="16"/>
                <w:szCs w:val="16"/>
                <w:color w:val="auto"/>
              </w:rPr>
            </w:pPr>
          </w:p>
        </w:tc>
        <w:tc>
          <w:tcPr>
            <w:tcW w:w="134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spacing w:after="0"/>
              <w:rPr>
                <w:sz w:val="16"/>
                <w:szCs w:val="16"/>
                <w:color w:val="auto"/>
              </w:rPr>
            </w:pPr>
          </w:p>
        </w:tc>
        <w:tc>
          <w:tcPr>
            <w:tcW w:w="1360" w:type="dxa"/>
            <w:vAlign w:val="bottom"/>
            <w:gridSpan w:val="3"/>
          </w:tcPr>
          <w:p>
            <w:pPr>
              <w:spacing w:after="0"/>
              <w:rPr>
                <w:sz w:val="16"/>
                <w:szCs w:val="16"/>
                <w:color w:val="auto"/>
              </w:rPr>
            </w:pPr>
          </w:p>
        </w:tc>
      </w:tr>
      <w:tr>
        <w:trPr>
          <w:trHeight w:val="162"/>
        </w:trPr>
        <w:tc>
          <w:tcPr>
            <w:tcW w:w="5380" w:type="dxa"/>
            <w:vAlign w:val="bottom"/>
          </w:tcPr>
          <w:p>
            <w:pPr>
              <w:spacing w:after="0"/>
              <w:rPr>
                <w:sz w:val="14"/>
                <w:szCs w:val="14"/>
                <w:color w:val="auto"/>
              </w:rPr>
            </w:pPr>
          </w:p>
        </w:tc>
        <w:tc>
          <w:tcPr>
            <w:tcW w:w="2880" w:type="dxa"/>
            <w:vAlign w:val="bottom"/>
            <w:gridSpan w:val="8"/>
            <w:shd w:val="clear" w:color="auto" w:fill="004483"/>
          </w:tcPr>
          <w:p>
            <w:pPr>
              <w:jc w:val="center"/>
              <w:ind w:right="80"/>
              <w:spacing w:after="0"/>
              <w:rPr>
                <w:sz w:val="20"/>
                <w:szCs w:val="20"/>
                <w:color w:val="auto"/>
              </w:rPr>
            </w:pPr>
            <w:r>
              <w:rPr>
                <w:rFonts w:ascii="Arial" w:cs="Arial" w:eastAsia="Arial" w:hAnsi="Arial"/>
                <w:sz w:val="13"/>
                <w:szCs w:val="13"/>
                <w:b w:val="1"/>
                <w:bCs w:val="1"/>
                <w:color w:val="FFFFFF"/>
                <w:w w:val="96"/>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8"/>
            <w:shd w:val="clear" w:color="auto" w:fill="004483"/>
          </w:tcPr>
          <w:p>
            <w:pPr>
              <w:jc w:val="center"/>
              <w:ind w:right="22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538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700" w:type="dxa"/>
            <w:vAlign w:val="bottom"/>
            <w:tcBorders>
              <w:bottom w:val="single" w:sz="8" w:color="004483"/>
            </w:tcBorders>
            <w:gridSpan w:val="4"/>
          </w:tcPr>
          <w:p>
            <w:pPr>
              <w:jc w:val="center"/>
              <w:ind w:left="126"/>
              <w:spacing w:after="0"/>
              <w:rPr>
                <w:sz w:val="20"/>
                <w:szCs w:val="20"/>
                <w:color w:val="auto"/>
              </w:rPr>
            </w:pPr>
            <w:r>
              <w:rPr>
                <w:rFonts w:ascii="Arial" w:cs="Arial" w:eastAsia="Arial" w:hAnsi="Arial"/>
                <w:sz w:val="13"/>
                <w:szCs w:val="13"/>
                <w:color w:val="auto"/>
                <w:w w:val="98"/>
              </w:rPr>
              <w:t>(dollars in thousands)</w:t>
            </w:r>
          </w:p>
        </w:tc>
        <w:tc>
          <w:tcPr>
            <w:tcW w:w="2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6"/>
          </w:tcPr>
          <w:p>
            <w:pPr>
              <w:jc w:val="center"/>
              <w:ind w:left="487"/>
              <w:spacing w:after="0"/>
              <w:rPr>
                <w:sz w:val="20"/>
                <w:szCs w:val="20"/>
                <w:color w:val="auto"/>
              </w:rPr>
            </w:pPr>
            <w:r>
              <w:rPr>
                <w:rFonts w:ascii="Arial" w:cs="Arial" w:eastAsia="Arial" w:hAnsi="Arial"/>
                <w:sz w:val="13"/>
                <w:szCs w:val="13"/>
                <w:color w:val="auto"/>
                <w:w w:val="98"/>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440" w:type="dxa"/>
            <w:vAlign w:val="bottom"/>
          </w:tcPr>
          <w:p>
            <w:pPr>
              <w:jc w:val="right"/>
              <w:ind w:right="264"/>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(215 )</w:t>
            </w:r>
          </w:p>
        </w:tc>
        <w:tc>
          <w:tcPr>
            <w:tcW w:w="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(70 )</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6"/>
                <w:szCs w:val="16"/>
                <w:color w:val="auto"/>
                <w:w w:val="95"/>
              </w:rPr>
              <w:t>(373 )</w:t>
            </w:r>
          </w:p>
        </w:tc>
        <w:tc>
          <w:tcPr>
            <w:tcW w:w="70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(82 )</w:t>
            </w:r>
          </w:p>
        </w:tc>
      </w:tr>
      <w:tr>
        <w:trPr>
          <w:trHeight w:val="210"/>
        </w:trPr>
        <w:tc>
          <w:tcPr>
            <w:tcW w:w="53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4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9,944</w:t>
            </w:r>
          </w:p>
        </w:tc>
        <w:tc>
          <w:tcPr>
            <w:tcW w:w="14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8,176</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gridSpan w:val="3"/>
          </w:tcPr>
          <w:p>
            <w:pPr>
              <w:jc w:val="right"/>
              <w:spacing w:after="0"/>
              <w:rPr>
                <w:sz w:val="20"/>
                <w:szCs w:val="20"/>
                <w:color w:val="auto"/>
              </w:rPr>
            </w:pPr>
            <w:r>
              <w:rPr>
                <w:rFonts w:ascii="Arial" w:cs="Arial" w:eastAsia="Arial" w:hAnsi="Arial"/>
                <w:sz w:val="16"/>
                <w:szCs w:val="16"/>
                <w:color w:val="auto"/>
              </w:rPr>
              <w:t>21,867</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15,055</w:t>
            </w:r>
          </w:p>
        </w:tc>
        <w:tc>
          <w:tcPr>
            <w:tcW w:w="100" w:type="dxa"/>
            <w:vAlign w:val="bottom"/>
          </w:tcPr>
          <w:p>
            <w:pPr>
              <w:spacing w:after="0"/>
              <w:rPr>
                <w:sz w:val="18"/>
                <w:szCs w:val="18"/>
                <w:color w:val="auto"/>
              </w:rPr>
            </w:pPr>
          </w:p>
        </w:tc>
      </w:tr>
      <w:tr>
        <w:trPr>
          <w:trHeight w:val="240"/>
        </w:trPr>
        <w:tc>
          <w:tcPr>
            <w:tcW w:w="5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44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475</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64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spacing w:after="0"/>
              <w:rPr>
                <w:sz w:val="20"/>
                <w:szCs w:val="20"/>
                <w:color w:val="auto"/>
              </w:rPr>
            </w:pPr>
          </w:p>
        </w:tc>
        <w:tc>
          <w:tcPr>
            <w:tcW w:w="34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40" w:type="dxa"/>
            <w:vAlign w:val="bottom"/>
            <w:tcBorders>
              <w:bottom w:val="single" w:sz="8" w:color="004483"/>
            </w:tcBorders>
          </w:tcPr>
          <w:p>
            <w:pPr>
              <w:jc w:val="right"/>
              <w:ind w:right="264"/>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b w:val="1"/>
                <w:bCs w:val="1"/>
                <w:color w:val="auto"/>
              </w:rPr>
              <w:t>8,580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22,443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15,910</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0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September 30, 2023, we had contingent liabilities under these outstanding letters of credit of approximately $8.3 million.</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currently contingently liable for performance under $29.0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09"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fair value of our long-term debt has been determined using market transactions (level 1 inputs). The fair value of our 2.500% Senior Unsecured Notes at September 30, 2023, is as follows:</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26"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6374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8960" w:val="left"/>
          <w:tab w:leader="none" w:pos="1052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637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5"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at September 30, 2023, due to the short-term maturities of these assets and liabilities. The fair value of our Revolving Credit Facility and Term Loan also approximates the carrying value at September 30, 2023.</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2023 and 2022, are presented on a consolidated basis and by these business segments – Cement, Concrete and Aggregates, Gypsum Wallboard, and Recycled Paperboard.</w:t>
      </w:r>
    </w:p>
    <w:p>
      <w:pPr>
        <w:spacing w:after="0" w:line="8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8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1"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In April 2023, we assumed operation of our quarry in Battletown, Kentucky (Battletown Aggregates). Our Battletown quarry is primarily used to supply our Kosmos Cement plant with limestone; however, beginning in April 2023 we also began selling a portion of the mined materials as aggregates. Battletown Aggregates is included in our Heavy Materials sector, in the Concrete and Aggregates business segment.</w:t>
      </w:r>
    </w:p>
    <w:p>
      <w:pPr>
        <w:spacing w:after="0" w:line="7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May 3, 2023, we finalized the Stockton Terminal Acquisition. The purchase price of the Stockton Terminal Acquisition was approximately $55.1 million. The Stockton Terminal Acquisition is included in our Heavy Materials sector, in the Cement business segment. See Footnote (B) in the Unaudited Consolidated Financial Statements for more information regarding the Stockton Terminal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1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During the first half of fiscal 2024, our end markets generally remained resilient despite higher interest rates and persistent inflation. Construction activity in most of our regional markets continued to outpace the national average. During the first half of fiscal 2024, Sales Volume in our Cement business, excluding volume related to the Stockton Acquisition, declined 5%, as did Sales Volume in our Gypsum Wallboard business. The decline in Sales Volume in our Cement business during the first half of fiscal 2024 was due mostly to weather conditions, while the decline in Sales Volume in Gypsum Wallboard was due to the slow down in residential construction. Despite the declines, our overall sales volume remains historically strong.</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9"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Demand Outlook</w:t>
      </w:r>
    </w:p>
    <w:p>
      <w:pPr>
        <w:spacing w:after="0" w:line="11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principal end -use market of Cement is public infrastructure (i.e. roads, bridges, and highways). Our Cement business remains in a near sold-out position. We expect demand for cement to remain strong with increased federal funding from the Infrastructure Investments and Jobs Act for public construction and repair projects; continued high allocations from state budgets for additional infrastructure projects; and growth in heavy industrial projects. Despite underlying growth in demand, our ability to increase Cement sales volume from our existing facilities is limited, because our integrated cement sales network, which stretches across the U.S. heartland, is operating at high utilization levels.</w:t>
      </w:r>
    </w:p>
    <w:p>
      <w:pPr>
        <w:spacing w:after="0" w:line="8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principal end use for Gypsum Wallboard is residential housing, consisting of new construction (both single-family and multi -family homes) as well as repair and remodel. Our Gypsum Wallboard shipments and orders, while down 5% for the first six months of fiscal 2024, compared with the prior year, remain historically strong. Residential construction activity remains resilient as the market balances affordability challenges related primarily to higher interest rates with chronic supply shortages and strong demand. Our Recycled Paperboard business sells paper primarily into the gypsum wallboard market, and demand for our paper generally follows the demand for gypsum wallboard.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well-positioned to manage our cost structure and meet our customers’ needs during the second half of the fiscal year. Our substantial raw material reserves for our Cement, Aggregates, and Gypsum Wallboard businesses, and their proximity to our respective manufacturing facilities, support our low-cost producer position across all our business segments.</w:t>
      </w:r>
    </w:p>
    <w:p>
      <w:pPr>
        <w:spacing w:after="0" w:line="76"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Energy and freight costs increased in all our businesses during fiscal 2023. While natural gas costs have recently declined and freight costs have stabilized, solid fuel costs, which are the primary energy costs in manufacturing cement, continue to increase in fiscal 2024 compared with fiscal 2023.</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primary raw material used to produce recycled paperboard is old corrugated containers (OCC). Prices for OCC stabilized toward the end of fiscal 2023. OCC prices increased slightly during the first half of fiscal 2024, and we anticipate OCC pricing to remain relatively stable in the near term. Our current customer contracts for gypsum liner include price adjustments that partially compensate for changes in raw material fiber prices. However, because these price adjustments are not realized until future quarters, costs in our Gypsum Wallboard segment are likely to be adjusted in the period that these price changes are realized.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WITH THREE MONTHS ENDED SEPTEMBER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004483"/>
          </w:tcPr>
          <w:p>
            <w:pPr>
              <w:spacing w:after="0"/>
              <w:rPr>
                <w:sz w:val="14"/>
                <w:szCs w:val="14"/>
                <w:color w:val="auto"/>
              </w:rPr>
            </w:pPr>
          </w:p>
        </w:tc>
        <w:tc>
          <w:tcPr>
            <w:tcW w:w="3200" w:type="dxa"/>
            <w:vAlign w:val="bottom"/>
            <w:gridSpan w:val="6"/>
            <w:shd w:val="clear" w:color="auto" w:fill="004483"/>
          </w:tcPr>
          <w:p>
            <w:pPr>
              <w:jc w:val="right"/>
              <w:ind w:right="460"/>
              <w:spacing w:after="0"/>
              <w:rPr>
                <w:sz w:val="20"/>
                <w:szCs w:val="20"/>
                <w:color w:val="auto"/>
              </w:rPr>
            </w:pPr>
            <w:r>
              <w:rPr>
                <w:rFonts w:ascii="Arial" w:cs="Arial" w:eastAsia="Arial" w:hAnsi="Arial"/>
                <w:sz w:val="13"/>
                <w:szCs w:val="13"/>
                <w:b w:val="1"/>
                <w:bCs w:val="1"/>
                <w:color w:val="FFFFFF"/>
              </w:rPr>
              <w:t>For the Three Months Ended September 30,</w:t>
            </w: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3080" w:type="dxa"/>
            <w:vAlign w:val="bottom"/>
            <w:tcBorders>
              <w:bottom w:val="single" w:sz="8" w:color="004483"/>
            </w:tcBorders>
            <w:gridSpan w:val="5"/>
          </w:tcPr>
          <w:p>
            <w:pPr>
              <w:jc w:val="right"/>
              <w:ind w:right="461"/>
              <w:spacing w:after="0"/>
              <w:rPr>
                <w:sz w:val="20"/>
                <w:szCs w:val="20"/>
                <w:color w:val="auto"/>
              </w:rPr>
            </w:pPr>
            <w:r>
              <w:rPr>
                <w:rFonts w:ascii="Arial" w:cs="Arial" w:eastAsia="Arial" w:hAnsi="Arial"/>
                <w:sz w:val="13"/>
                <w:szCs w:val="13"/>
                <w:color w:val="auto"/>
              </w:rPr>
              <w:t>(dollars in thousands, except per share)</w:t>
            </w:r>
          </w:p>
        </w:tc>
        <w:tc>
          <w:tcPr>
            <w:tcW w:w="120" w:type="dxa"/>
            <w:vAlign w:val="bottom"/>
          </w:tcPr>
          <w:p>
            <w:pPr>
              <w:spacing w:after="0"/>
              <w:rPr>
                <w:sz w:val="15"/>
                <w:szCs w:val="15"/>
                <w:color w:val="auto"/>
              </w:rPr>
            </w:pPr>
          </w:p>
        </w:tc>
        <w:tc>
          <w:tcPr>
            <w:tcW w:w="138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622,236</w:t>
            </w:r>
          </w:p>
        </w:tc>
        <w:tc>
          <w:tcPr>
            <w:tcW w:w="120" w:type="dxa"/>
            <w:vAlign w:val="bottom"/>
          </w:tcPr>
          <w:p>
            <w:pPr>
              <w:spacing w:after="0"/>
              <w:rPr>
                <w:sz w:val="18"/>
                <w:szCs w:val="18"/>
                <w:color w:val="auto"/>
              </w:rPr>
            </w:pPr>
          </w:p>
        </w:tc>
        <w:tc>
          <w:tcPr>
            <w:tcW w:w="64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605,068</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(413,218 )</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(410,829 )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194,239</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(16,576 )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(13,627 )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Other Non-Operating Loss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(664 )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(10,204 )</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(8,580 )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178,524</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8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(43,636 )</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(39,529 )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150,553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138,995</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3.72</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Revenue increased by $17.1 million, or 3%, to $622.2 million for the three months ended September 30, 2023. Battletown Aggregates and the Stockton Terminal Acquisition contributed $2.4 million and $ 13.0 million of Revenue, respectively, during the three months ended September 30, 2023. Excluding Battletown Aggregates and the Stockton Terminal Acquisition, Revenue increased by $1.7 million. This was due to higher gross sales prices, which positively affected Revenue by $43.3 million, partially offset by lower Sales Volume, which adversely affected Revenue by approximately $41.6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1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Cost of Goods Sold increased by $2.4 million, or 1%, to $413.2 million for the three months ended September 30, 2023. Battletown Aggregates and the Stockton Terminal Acquisition contributed $ 2.7 million and $13.2 million of Cost of Goods Sold, respectively, during the three months ended September 30, 2023. Excluding Battletown Aggregates and the Stockton Terminal Acquisition, Cost of Goods Sold decreased by $13.5 million, or 3%. The decline was due to lower Sales Volume of $30.2 million, partially offset by higher operating costs of $16.7 million. Higher operating costs were primarily related to our Cement and Concrete and Aggregates businesses and are discussed further in the segment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Gross Profit increased 8% to $209.0 million during the three months ended September 30, 2023. The increase was primarily related to higher gross sales prices, partially offset by lower Sales Volume and increased operating costs. The gross margin expanded to 34%, with higher gross sales prices being partially offset by a rise in operating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14"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Equity in Earnings of our Unconsolidated Joint Venture increased $3.1 million, or 45%, for the three months ended September 30, 2023. The increase was primarily due to higher gross sales prices and Sales Volume, which increased earnings by approximately $2.9 million and $0.2 million, respectively, while operating costs remained relatively flat.</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1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Corporate General and Administrative expenses increased by approximately $3.0 million, or 22%, for the three months ended September 30, 2023. The increase was primarily due to higher salary and incentive compensation, information technology upgrades, and legal and professional expenses of $0.7 million, $0.9 million, and $0.7 million, respectively. The increase in incentive compensation was due to higher earnings compared with the prior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1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4"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Interest Expense, net increased by approximately $1.6 million, or 19%, during the three months ended September 30, 2023. This was primarily due to higher interest on our revolving credit facility, which was mostly related to higher interest rates on our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Earnings Before Income Taxes increased to $194.2 million during the three months ended September 30, 2023, primarily because of higher Gross Profit and Equity in Earnings of Unconsolidated Joint Venture. This was partially offset by higher Corporate General and Administrative Expense and 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Income Tax Expense was $43.6 million for the three months ended September 30, 2023, compared with $39.5 million for the three months ended September 30, 2022. The effective tax rate increased to 23% from 22% in the prior-year period. The increase was primarily due to state 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8% to $150.6 million for the three months ended September 30, 2023, as discussed above.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2023 COMPARED WITH SIX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3160" w:type="dxa"/>
            <w:vAlign w:val="bottom"/>
            <w:gridSpan w:val="6"/>
            <w:shd w:val="clear" w:color="auto" w:fill="004483"/>
          </w:tcPr>
          <w:p>
            <w:pPr>
              <w:jc w:val="right"/>
              <w:ind w:right="540"/>
              <w:spacing w:after="0"/>
              <w:rPr>
                <w:sz w:val="20"/>
                <w:szCs w:val="20"/>
                <w:color w:val="auto"/>
              </w:rPr>
            </w:pPr>
            <w:r>
              <w:rPr>
                <w:rFonts w:ascii="Arial" w:cs="Arial" w:eastAsia="Arial" w:hAnsi="Arial"/>
                <w:sz w:val="13"/>
                <w:szCs w:val="13"/>
                <w:b w:val="1"/>
                <w:bCs w:val="1"/>
                <w:color w:val="FFFFFF"/>
              </w:rPr>
              <w:t>For the Six Months Ended September 30,</w:t>
            </w: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3040" w:type="dxa"/>
            <w:vAlign w:val="bottom"/>
            <w:tcBorders>
              <w:bottom w:val="single" w:sz="8" w:color="004483"/>
            </w:tcBorders>
            <w:gridSpan w:val="5"/>
          </w:tcPr>
          <w:p>
            <w:pPr>
              <w:jc w:val="right"/>
              <w:ind w:right="461"/>
              <w:spacing w:after="0"/>
              <w:rPr>
                <w:sz w:val="20"/>
                <w:szCs w:val="20"/>
                <w:color w:val="auto"/>
              </w:rPr>
            </w:pPr>
            <w:r>
              <w:rPr>
                <w:rFonts w:ascii="Arial" w:cs="Arial" w:eastAsia="Arial" w:hAnsi="Arial"/>
                <w:sz w:val="13"/>
                <w:szCs w:val="13"/>
                <w:color w:val="auto"/>
              </w:rPr>
              <w:t>(dollars in thousands, except per share)</w:t>
            </w:r>
          </w:p>
        </w:tc>
        <w:tc>
          <w:tcPr>
            <w:tcW w:w="120" w:type="dxa"/>
            <w:vAlign w:val="bottom"/>
          </w:tcPr>
          <w:p>
            <w:pPr>
              <w:spacing w:after="0"/>
              <w:rPr>
                <w:sz w:val="15"/>
                <w:szCs w:val="15"/>
                <w:color w:val="auto"/>
              </w:rPr>
            </w:pPr>
          </w:p>
        </w:tc>
        <w:tc>
          <w:tcPr>
            <w:tcW w:w="138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1,223,757</w:t>
            </w:r>
          </w:p>
        </w:tc>
        <w:tc>
          <w:tcPr>
            <w:tcW w:w="120" w:type="dxa"/>
            <w:vAlign w:val="bottom"/>
          </w:tcPr>
          <w:p>
            <w:pPr>
              <w:spacing w:after="0"/>
              <w:rPr>
                <w:sz w:val="18"/>
                <w:szCs w:val="18"/>
                <w:color w:val="auto"/>
              </w:rPr>
            </w:pPr>
          </w:p>
        </w:tc>
        <w:tc>
          <w:tcPr>
            <w:tcW w:w="6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1,166,455</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(838,744 )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(821,350 )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345,105</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(28,255 )</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(25,447 )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Other Non-Operating Income (Loss)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(1,299 )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(240 )%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(22,443 )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(15,910 )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4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349,638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314,703</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8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(78,236 )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(70,703 )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18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4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271,402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244,000</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19 %</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Revenue increased by $57.4 million, or 5%, to $1,223.7 million for the six months ended September 30, 2023. Battletown Aggregates and the Stockton Terminal Acquisition contributed $4.1 million and $ 19.5 million of Revenue, respectively, during the six months ended September 30, 2023. Excluding Battletown Aggregates and the Stockton Terminal Acquisition, Revenue increased by $33.8 million, or 3%. This was due to higher gross sales prices, which positively affected Revenue by $91.7 million, partially offset by lower Sales Volume, which adversely affected Revenue by approximately $57.9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1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Cost of Goods Sold increased by $17.3 million, or 2%, to $838.7 million for the six months ended September 30, 2023. Battletown Aggregates and the Stockton Terminal Acquisition contributed $4.2 million and $21.5 million of Cost of Goods Sold, respectively, during the six months ended September 30, 2023. Excluding Battletown Aggregates and the Stockton Terminal Acquisition, Cost of Goods Sold decreased by $8.4 million, or 1%. The decline was due to lower Sales Volume of $42.7 million, partially offset by higher operating costs of $34.3 million. Higher operating costs were primarily related to our Cement and Concrete and Aggregates businesses and are discussed further in the segment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Gross Profit increased 12% to $385.0 million during the six months ended September 30, 2023. The increase was primarily related to higher gross sales prices, partially offset by lower Sales Volume and increased operating costs. The gross margin expanded to 31%, with higher gross sales prices being partially offset by a rise in operating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Equity in Earnings of our Unconsolidated Joint Venture increased $1.2 million, or 10%, for the six months ended September 30, 2023. The increase was primarily due to higher gross sales prices, which positively affected earnings by $7.1 million. This was partially offset by higher operating costs and lower Sales Volume, which adversely affected earnings by approximately $5.2 million and $ 0.6 million, respectively. The increase in operating costs was primarily related to extended equipment downtime that reduced production and resulted in higher maintenance expenses of approximately $2.8 million, as well as purchased cement costs which reduced operating earnings $1.0 million.</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Corporate General and Administrative expenses increased by approximately $2.9 million, or 11%, for the six months ended September 30, 2023. The increase was primarily due to higher salary and incentive compensation, information technology upgrades, and legal and professional expenses of $1.5 million, $0.9 million, and $0.5 million, respectively. The increase in incentive compensation was due to higher earnings compared with the prior year, while the increase in legal and professional expense was primarily related to the Stockton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Interest Expense, net increased by approximately $6.5 million, or 41%, during the six months ended September 30, 2023. This was primarily due to approximately $ 6.9 million of higher interest on our revolving credit facility, which was related to increased average outstanding borrowings and higher interest rates, partially offset by increased interest income on cash deposits.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1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Earnings Before Income Taxes increased to $349.6 million during the six months ended September 30, 2023, primarily because of higher Gross Profit and Equity in Earnings of Unconsolidated Joint Venture. This was partially offset by higher Corporate General and Administrative Expense and 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Income Tax Expense was $78.2 million for the six months ended September 30, 2023, compared with $70.7 million for the six months ended September 30, 2022. The effective tax rate of 22% remained consistent with the prior-year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11% to $271.4 million for the six months ended September 30, 2023, as discussed above.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SEPTEMBER 30, 2023 vs. THREE AND SIX MONTHS ENDED SEPTEMBER 30, 2022 BY SEGMENT</w:t>
      </w:r>
    </w:p>
    <w:p>
      <w:pPr>
        <w:spacing w:after="0" w:line="11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following presents results within our two business sectors for the three and six months ended September 30, 2023, and 2022. Revenue and operating results are organized by sector and discussed by individual business segments.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4420" w:type="dxa"/>
        <w:tblCellMar>
          <w:top w:w="0" w:type="dxa"/>
          <w:left w:w="0" w:type="dxa"/>
          <w:bottom w:w="0" w:type="dxa"/>
          <w:right w:w="0" w:type="dxa"/>
        </w:tblCellMar>
      </w:tblPr>
      <w:tr>
        <w:trPr>
          <w:trHeight w:val="127"/>
        </w:trPr>
        <w:tc>
          <w:tcPr>
            <w:tcW w:w="2360" w:type="dxa"/>
            <w:vAlign w:val="bottom"/>
            <w:gridSpan w:val="3"/>
            <w:shd w:val="clear" w:color="auto" w:fill="004483"/>
          </w:tcPr>
          <w:p>
            <w:pPr>
              <w:jc w:val="center"/>
              <w:ind w:right="140"/>
              <w:spacing w:after="0" w:line="127" w:lineRule="exact"/>
              <w:rPr>
                <w:sz w:val="20"/>
                <w:szCs w:val="20"/>
                <w:color w:val="auto"/>
              </w:rPr>
            </w:pPr>
            <w:r>
              <w:rPr>
                <w:rFonts w:ascii="Arial" w:cs="Arial" w:eastAsia="Arial" w:hAnsi="Arial"/>
                <w:sz w:val="13"/>
                <w:szCs w:val="13"/>
                <w:b w:val="1"/>
                <w:bCs w:val="1"/>
                <w:color w:val="FFFFFF"/>
                <w:w w:val="96"/>
              </w:rPr>
              <w:t>For the Three Months Ended</w:t>
            </w:r>
          </w:p>
        </w:tc>
        <w:tc>
          <w:tcPr>
            <w:tcW w:w="1160" w:type="dxa"/>
            <w:vAlign w:val="bottom"/>
          </w:tcPr>
          <w:p>
            <w:pPr>
              <w:spacing w:after="0"/>
              <w:rPr>
                <w:sz w:val="11"/>
                <w:szCs w:val="11"/>
                <w:color w:val="auto"/>
              </w:rPr>
            </w:pPr>
          </w:p>
        </w:tc>
        <w:tc>
          <w:tcPr>
            <w:tcW w:w="1840" w:type="dxa"/>
            <w:vAlign w:val="bottom"/>
            <w:shd w:val="clear" w:color="auto" w:fill="004483"/>
          </w:tcPr>
          <w:p>
            <w:pPr>
              <w:jc w:val="center"/>
              <w:ind w:left="217"/>
              <w:spacing w:after="0" w:line="127" w:lineRule="exact"/>
              <w:rPr>
                <w:sz w:val="20"/>
                <w:szCs w:val="20"/>
                <w:color w:val="auto"/>
              </w:rPr>
            </w:pPr>
            <w:r>
              <w:rPr>
                <w:rFonts w:ascii="Arial" w:cs="Arial" w:eastAsia="Arial" w:hAnsi="Arial"/>
                <w:sz w:val="13"/>
                <w:szCs w:val="13"/>
                <w:b w:val="1"/>
                <w:bCs w:val="1"/>
                <w:color w:val="FFFFFF"/>
                <w:w w:val="97"/>
              </w:rPr>
              <w:t>For the Six Months Ended</w:t>
            </w:r>
          </w:p>
        </w:tc>
        <w:tc>
          <w:tcPr>
            <w:tcW w:w="320" w:type="dxa"/>
            <w:vAlign w:val="bottom"/>
            <w:shd w:val="clear" w:color="auto" w:fill="004483"/>
          </w:tcPr>
          <w:p>
            <w:pPr>
              <w:spacing w:after="0"/>
              <w:rPr>
                <w:sz w:val="11"/>
                <w:szCs w:val="11"/>
                <w:color w:val="auto"/>
              </w:rPr>
            </w:pPr>
          </w:p>
        </w:tc>
        <w:tc>
          <w:tcPr>
            <w:tcW w:w="100" w:type="dxa"/>
            <w:vAlign w:val="bottom"/>
            <w:shd w:val="clear" w:color="auto" w:fill="00448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Borders>
              <w:bottom w:val="single" w:sz="8" w:color="auto"/>
            </w:tcBorders>
            <w:shd w:val="clear" w:color="auto" w:fill="004483"/>
          </w:tcPr>
          <w:p>
            <w:pPr>
              <w:jc w:val="center"/>
              <w:ind w:left="437"/>
              <w:spacing w:after="0"/>
              <w:rPr>
                <w:sz w:val="20"/>
                <w:szCs w:val="20"/>
                <w:color w:val="auto"/>
              </w:rPr>
            </w:pPr>
            <w:r>
              <w:rPr>
                <w:rFonts w:ascii="Arial" w:cs="Arial" w:eastAsia="Arial" w:hAnsi="Arial"/>
                <w:sz w:val="13"/>
                <w:szCs w:val="13"/>
                <w:b w:val="1"/>
                <w:bCs w:val="1"/>
                <w:color w:val="FFFFFF"/>
                <w:w w:val="96"/>
              </w:rPr>
              <w:t>September 30,</w:t>
            </w:r>
          </w:p>
        </w:tc>
        <w:tc>
          <w:tcPr>
            <w:tcW w:w="48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16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6"/>
              </w:rPr>
              <w:t>Percentage</w:t>
            </w:r>
          </w:p>
        </w:tc>
        <w:tc>
          <w:tcPr>
            <w:tcW w:w="1840" w:type="dxa"/>
            <w:vAlign w:val="bottom"/>
            <w:tcBorders>
              <w:bottom w:val="single" w:sz="8" w:color="auto"/>
            </w:tcBorders>
            <w:shd w:val="clear" w:color="auto" w:fill="004483"/>
          </w:tcPr>
          <w:p>
            <w:pPr>
              <w:jc w:val="center"/>
              <w:ind w:left="237"/>
              <w:spacing w:after="0"/>
              <w:rPr>
                <w:sz w:val="20"/>
                <w:szCs w:val="20"/>
                <w:color w:val="auto"/>
              </w:rPr>
            </w:pPr>
            <w:r>
              <w:rPr>
                <w:rFonts w:ascii="Arial" w:cs="Arial" w:eastAsia="Arial" w:hAnsi="Arial"/>
                <w:sz w:val="13"/>
                <w:szCs w:val="13"/>
                <w:b w:val="1"/>
                <w:bCs w:val="1"/>
                <w:color w:val="FFFFFF"/>
                <w:w w:val="96"/>
              </w:rPr>
              <w:t>September 30,</w:t>
            </w:r>
          </w:p>
        </w:tc>
        <w:tc>
          <w:tcPr>
            <w:tcW w:w="3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40" w:type="dxa"/>
            <w:vAlign w:val="bottom"/>
            <w:vMerge w:val="restart"/>
          </w:tcPr>
          <w:p>
            <w:pPr>
              <w:jc w:val="center"/>
              <w:ind w:left="97"/>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20"/>
        </w:trPr>
        <w:tc>
          <w:tcPr>
            <w:tcW w:w="1760" w:type="dxa"/>
            <w:vAlign w:val="bottom"/>
            <w:vMerge w:val="restart"/>
          </w:tcPr>
          <w:p>
            <w:pPr>
              <w:jc w:val="right"/>
              <w:ind w:right="677"/>
              <w:spacing w:after="0"/>
              <w:rPr>
                <w:sz w:val="20"/>
                <w:szCs w:val="20"/>
                <w:color w:val="auto"/>
              </w:rPr>
            </w:pPr>
            <w:r>
              <w:rPr>
                <w:rFonts w:ascii="Arial" w:cs="Arial" w:eastAsia="Arial" w:hAnsi="Arial"/>
                <w:sz w:val="13"/>
                <w:szCs w:val="13"/>
                <w:b w:val="1"/>
                <w:bCs w:val="1"/>
                <w:color w:val="auto"/>
              </w:rPr>
              <w:t>2023</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840" w:type="dxa"/>
            <w:vAlign w:val="bottom"/>
            <w:vMerge w:val="restart"/>
          </w:tcPr>
          <w:p>
            <w:pPr>
              <w:jc w:val="right"/>
              <w:ind w:right="797"/>
              <w:spacing w:after="0"/>
              <w:rPr>
                <w:sz w:val="20"/>
                <w:szCs w:val="20"/>
                <w:color w:val="auto"/>
              </w:rPr>
            </w:pPr>
            <w:r>
              <w:rPr>
                <w:rFonts w:ascii="Arial" w:cs="Arial" w:eastAsia="Arial" w:hAnsi="Arial"/>
                <w:sz w:val="13"/>
                <w:szCs w:val="13"/>
                <w:b w:val="1"/>
                <w:bCs w:val="1"/>
                <w:color w:val="auto"/>
              </w:rPr>
              <w:t>2023</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left="13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-200025</wp:posOffset>
            </wp:positionV>
            <wp:extent cx="77470" cy="2049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20491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-200025</wp:posOffset>
            </wp:positionV>
            <wp:extent cx="68580" cy="2049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20491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sectPr>
      </w:pPr>
    </w:p>
    <w:p>
      <w:pPr>
        <w:jc w:val="center"/>
        <w:ind w:left="3600"/>
        <w:spacing w:after="0"/>
        <w:rPr>
          <w:sz w:val="20"/>
          <w:szCs w:val="20"/>
          <w:color w:val="auto"/>
        </w:rPr>
      </w:pPr>
      <w:r>
        <w:rPr>
          <w:rFonts w:ascii="Arial" w:cs="Arial" w:eastAsia="Arial" w:hAnsi="Arial"/>
          <w:sz w:val="12"/>
          <w:szCs w:val="12"/>
          <w:color w:val="auto"/>
        </w:rPr>
        <w:t>(in thousands, except per ton</w:t>
      </w:r>
    </w:p>
    <w:p>
      <w:pPr>
        <w:jc w:val="center"/>
        <w:ind w:left="362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2592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2592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2"/>
          <w:szCs w:val="12"/>
          <w:color w:val="auto"/>
        </w:rPr>
        <w:t>(in thousands, except per ton</w:t>
      </w:r>
    </w:p>
    <w:p>
      <w:pPr>
        <w:jc w:val="center"/>
        <w:ind w:right="150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460" w:space="720"/>
            <w:col w:w="3160"/>
          </w:cols>
          <w:pgMar w:left="320" w:top="670" w:right="2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 and Joint Venture</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360,751</w:t>
            </w:r>
          </w:p>
        </w:tc>
      </w:tr>
      <w:tr>
        <w:trPr>
          <w:trHeight w:val="209"/>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Intersegment Revenue</w:t>
            </w:r>
          </w:p>
        </w:tc>
        <w:tc>
          <w:tcPr>
            <w:tcW w:w="26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(9,251</w:t>
            </w:r>
          </w:p>
        </w:tc>
      </w:tr>
      <w:tr>
        <w:trPr>
          <w:trHeight w:val="239"/>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Joint Venture Revenue</w:t>
            </w:r>
          </w:p>
        </w:tc>
        <w:tc>
          <w:tcPr>
            <w:tcW w:w="26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(28,907</w:t>
            </w:r>
          </w:p>
        </w:tc>
      </w:tr>
      <w:tr>
        <w:trPr>
          <w:trHeight w:val="207"/>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322,593</w:t>
            </w:r>
          </w:p>
        </w:tc>
      </w:tr>
      <w:tr>
        <w:trPr>
          <w:trHeight w:val="239"/>
        </w:trPr>
        <w:tc>
          <w:tcPr>
            <w:tcW w:w="4420" w:type="dxa"/>
            <w:vAlign w:val="bottom"/>
            <w:tcBorders>
              <w:bottom w:val="single" w:sz="8" w:color="A6A6A6"/>
            </w:tcBorders>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760" w:type="dxa"/>
            <w:vAlign w:val="bottom"/>
            <w:tcBorders>
              <w:bottom w:val="single" w:sz="8" w:color="A6A6A6"/>
            </w:tcBorders>
          </w:tcPr>
          <w:p>
            <w:pPr>
              <w:spacing w:after="0"/>
              <w:rPr>
                <w:sz w:val="20"/>
                <w:szCs w:val="20"/>
                <w:color w:val="auto"/>
              </w:rPr>
            </w:pPr>
          </w:p>
        </w:tc>
      </w:tr>
      <w:tr>
        <w:trPr>
          <w:trHeight w:val="210"/>
        </w:trPr>
        <w:tc>
          <w:tcPr>
            <w:tcW w:w="44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06"/>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 (M Tons)</w:t>
            </w:r>
          </w:p>
        </w:tc>
        <w:tc>
          <w:tcPr>
            <w:tcW w:w="26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2,129</w:t>
            </w:r>
          </w:p>
        </w:tc>
      </w:tr>
      <w:tr>
        <w:trPr>
          <w:trHeight w:val="210"/>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(17,872</w:t>
            </w:r>
          </w:p>
        </w:tc>
      </w:tr>
      <w:tr>
        <w:trPr>
          <w:trHeight w:val="213"/>
        </w:trPr>
        <w:tc>
          <w:tcPr>
            <w:tcW w:w="4420" w:type="dxa"/>
            <w:vAlign w:val="bottom"/>
            <w:tcBorders>
              <w:bottom w:val="single" w:sz="8" w:color="A6A6A6"/>
            </w:tcBorders>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151.99</w:t>
            </w:r>
          </w:p>
        </w:tc>
      </w:tr>
      <w:tr>
        <w:trPr>
          <w:trHeight w:val="207"/>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Margin, per ton</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57.04</w:t>
            </w:r>
          </w:p>
        </w:tc>
      </w:tr>
      <w:tr>
        <w:trPr>
          <w:trHeight w:val="209"/>
        </w:trPr>
        <w:tc>
          <w:tcPr>
            <w:tcW w:w="4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Earnings</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121,429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
        </w:trPr>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60" w:type="dxa"/>
            <w:vAlign w:val="bottom"/>
            <w:shd w:val="clear" w:color="auto" w:fill="17385E"/>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17385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319,460</w:t>
            </w:r>
          </w:p>
        </w:tc>
        <w:tc>
          <w:tcPr>
            <w:tcW w:w="12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13 % $</w:t>
            </w:r>
          </w:p>
        </w:tc>
        <w:tc>
          <w:tcPr>
            <w:tcW w:w="760" w:type="dxa"/>
            <w:vAlign w:val="bottom"/>
          </w:tcPr>
          <w:p>
            <w:pPr>
              <w:jc w:val="right"/>
              <w:spacing w:after="0"/>
              <w:rPr>
                <w:sz w:val="20"/>
                <w:szCs w:val="20"/>
                <w:color w:val="auto"/>
              </w:rPr>
            </w:pPr>
            <w:r>
              <w:rPr>
                <w:rFonts w:ascii="Arial" w:cs="Arial" w:eastAsia="Arial" w:hAnsi="Arial"/>
                <w:sz w:val="16"/>
                <w:szCs w:val="16"/>
                <w:color w:val="auto"/>
              </w:rPr>
              <w:t>689,783</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603,976</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(12,361 )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(25 )%</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(19,388 )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(18,652 )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(25,130 )</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(56,030 )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(51,445 )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281,969</w:t>
            </w:r>
          </w:p>
        </w:tc>
        <w:tc>
          <w:tcPr>
            <w:tcW w:w="120" w:type="dxa"/>
            <w:vAlign w:val="bottom"/>
          </w:tcPr>
          <w:p>
            <w:pPr>
              <w:spacing w:after="0"/>
              <w:rPr>
                <w:sz w:val="17"/>
                <w:szCs w:val="17"/>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14 % $</w:t>
            </w:r>
          </w:p>
        </w:tc>
        <w:tc>
          <w:tcPr>
            <w:tcW w:w="760" w:type="dxa"/>
            <w:vAlign w:val="bottom"/>
          </w:tcPr>
          <w:p>
            <w:pPr>
              <w:jc w:val="right"/>
              <w:spacing w:after="0"/>
              <w:rPr>
                <w:sz w:val="20"/>
                <w:szCs w:val="20"/>
                <w:color w:val="auto"/>
              </w:rPr>
            </w:pPr>
            <w:r>
              <w:rPr>
                <w:rFonts w:ascii="Arial" w:cs="Arial" w:eastAsia="Arial" w:hAnsi="Arial"/>
                <w:sz w:val="16"/>
                <w:szCs w:val="16"/>
                <w:color w:val="auto"/>
              </w:rPr>
              <w:t>614,365</w:t>
            </w:r>
          </w:p>
        </w:tc>
        <w:tc>
          <w:tcPr>
            <w:tcW w:w="1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533,879</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20" w:type="dxa"/>
            <w:vAlign w:val="bottom"/>
            <w:tcBorders>
              <w:top w:val="single" w:sz="8" w:color="A6A6A6"/>
              <w:bottom w:val="single" w:sz="8" w:color="A6A6A6"/>
            </w:tcBorders>
          </w:tcPr>
          <w:p>
            <w:pPr>
              <w:spacing w:after="0"/>
              <w:rPr>
                <w:sz w:val="20"/>
                <w:szCs w:val="20"/>
                <w:color w:val="auto"/>
              </w:rPr>
            </w:pPr>
          </w:p>
        </w:tc>
        <w:tc>
          <w:tcPr>
            <w:tcW w:w="74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240" w:type="dxa"/>
            <w:vAlign w:val="bottom"/>
            <w:tcBorders>
              <w:top w:val="single" w:sz="8" w:color="A6A6A6"/>
              <w:bottom w:val="single" w:sz="8" w:color="A6A6A6"/>
            </w:tcBorders>
          </w:tcPr>
          <w:p>
            <w:pPr>
              <w:spacing w:after="0"/>
              <w:rPr>
                <w:sz w:val="20"/>
                <w:szCs w:val="20"/>
                <w:color w:val="auto"/>
              </w:rPr>
            </w:pPr>
          </w:p>
        </w:tc>
        <w:tc>
          <w:tcPr>
            <w:tcW w:w="76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240" w:type="dxa"/>
            <w:vAlign w:val="bottom"/>
            <w:tcBorders>
              <w:top w:val="single" w:sz="8" w:color="A6A6A6"/>
              <w:bottom w:val="single" w:sz="8" w:color="A6A6A6"/>
            </w:tcBorders>
          </w:tcPr>
          <w:p>
            <w:pPr>
              <w:spacing w:after="0"/>
              <w:rPr>
                <w:sz w:val="20"/>
                <w:szCs w:val="20"/>
                <w:color w:val="auto"/>
              </w:rPr>
            </w:pPr>
          </w:p>
        </w:tc>
        <w:tc>
          <w:tcPr>
            <w:tcW w:w="72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6A6A6"/>
              <w:bottom w:val="single" w:sz="8" w:color="A6A6A6"/>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3"/>
          </w:tcPr>
          <w:p>
            <w:pPr>
              <w:jc w:val="right"/>
              <w:ind w:right="39"/>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(18,737 )</w:t>
            </w: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(5 )% $</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(35,400 )</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(36,012 )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132.50</w:t>
            </w:r>
          </w:p>
        </w:tc>
        <w:tc>
          <w:tcPr>
            <w:tcW w:w="12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15 % $</w:t>
            </w:r>
          </w:p>
        </w:tc>
        <w:tc>
          <w:tcPr>
            <w:tcW w:w="760" w:type="dxa"/>
            <w:vAlign w:val="bottom"/>
          </w:tcPr>
          <w:p>
            <w:pPr>
              <w:jc w:val="right"/>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130.24</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46.05</w:t>
            </w:r>
          </w:p>
        </w:tc>
        <w:tc>
          <w:tcPr>
            <w:tcW w:w="12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24 % $</w:t>
            </w:r>
          </w:p>
        </w:tc>
        <w:tc>
          <w:tcPr>
            <w:tcW w:w="760" w:type="dxa"/>
            <w:vAlign w:val="bottom"/>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98,779</w:t>
            </w:r>
          </w:p>
        </w:tc>
        <w:tc>
          <w:tcPr>
            <w:tcW w:w="12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6"/>
                <w:szCs w:val="16"/>
                <w:color w:val="auto"/>
              </w:rPr>
              <w:t>23 % $</w:t>
            </w:r>
          </w:p>
        </w:tc>
        <w:tc>
          <w:tcPr>
            <w:tcW w:w="760" w:type="dxa"/>
            <w:vAlign w:val="bottom"/>
          </w:tcPr>
          <w:p>
            <w:pPr>
              <w:jc w:val="right"/>
              <w:spacing w:after="0"/>
              <w:rPr>
                <w:sz w:val="20"/>
                <w:szCs w:val="20"/>
                <w:color w:val="auto"/>
              </w:rPr>
            </w:pPr>
            <w:r>
              <w:rPr>
                <w:rFonts w:ascii="Arial" w:cs="Arial" w:eastAsia="Arial" w:hAnsi="Arial"/>
                <w:sz w:val="16"/>
                <w:szCs w:val="16"/>
                <w:color w:val="auto"/>
              </w:rPr>
              <w:t>195,490</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161,127</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440" w:space="20"/>
            <w:col w:w="5880"/>
          </w:cols>
          <w:pgMar w:left="320" w:top="670" w:right="239" w:bottom="1440" w:gutter="0" w:footer="0" w:header="0"/>
          <w:type w:val="continuous"/>
        </w:sect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w:t>
      </w:r>
    </w:p>
    <w:p>
      <w:pPr>
        <w:spacing w:after="0" w:line="11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Cement Revenue was $360.8 million, a 13% increase, for the three months ended September 30, 2023. Excluding Intersegment Revenue and the Stockton Terminal Acquisition, Revenue increased $31.4 million, or 10%, for the three months ended September 30, 2023. The increase was primarily due to higher gross sales prices, which improved Cement Revenue by approximately $46.9 million, partially offset by lower Sales Volume from legacy cement plants of $15.5 million.</w:t>
      </w:r>
    </w:p>
    <w:p>
      <w:pPr>
        <w:spacing w:after="0" w:line="8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Cement Operating Earnings increased by $22.6 million to $121.4 million for the three months ended September 30, 2023. Excluding the Stockton Terminal Acquisition, Operating Earnings increased by $ 22.8 million, or 23%. The increase was due to higher gross sales prices of $46.9 million. This was partially offset by lower Sales Volume and higher operating costs of $5.1 million and $19.0 million, respectively. Higher operating costs were primarily due to increased maintenance, fuel, purchased raw materials, and fixed costs, which includes depreciation, of approximately $5.9 million, $4.5 million, $2.8 million, and $4.1 million, respectively. The Operating Margin increased to 34% from 31%, as a result of higher gross sales prices, partially offset by the higher operating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2023</w:t>
      </w:r>
    </w:p>
    <w:p>
      <w:pPr>
        <w:spacing w:after="0" w:line="11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Cement Revenue was $689.8 million, a 14% increase, for the six months ended September 30, 2023. Excluding Intersegment Revenue and the Stockton Terminal Acquisition, Revenue increased $65.5 million, or 11%, for the six months ended September 30, 2023. The increase was primarily due to higher gross sales prices, which improved Cement Revenue by approximately $87.2 million, partially offset by lower Sales Volume from legacy cement plants of $21.7 million.</w:t>
      </w:r>
    </w:p>
    <w:p>
      <w:pPr>
        <w:spacing w:after="0" w:line="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Cement Operating Earnings increased by $34.4 million to $195.5 million for the six months ended September 30, 2023. Excluding the Stockton Terminal Acquisition, Operating Earnings increased by $ 36.4 million, or 23%. The increase was due to higher gross sales prices of $87.2 million. This was partially offset by lower Sales Volume and higher operating costs of $12.4 million and $38.4 million, respectively. Higher operating costs were primarily due to increased maintenance, purchased raw materials, and energy expenses of approximately $24.4 million, $6.2 million, and $3.5 million, respectively. The Operating Margin increased to 28% from 27%, as a result of higher gross sales prices, partially offset by higher operating expenses.</w:t>
      </w: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CONCRETE AND AGGREGATES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180" w:type="dxa"/>
            <w:vAlign w:val="bottom"/>
            <w:gridSpan w:val="6"/>
            <w:shd w:val="clear" w:color="auto" w:fill="004483"/>
          </w:tcPr>
          <w:p>
            <w:pPr>
              <w:jc w:val="center"/>
              <w:ind w:right="300"/>
              <w:spacing w:after="0"/>
              <w:rPr>
                <w:sz w:val="20"/>
                <w:szCs w:val="20"/>
                <w:color w:val="auto"/>
              </w:rPr>
            </w:pPr>
            <w:r>
              <w:rPr>
                <w:rFonts w:ascii="Arial" w:cs="Arial" w:eastAsia="Arial" w:hAnsi="Arial"/>
                <w:sz w:val="13"/>
                <w:szCs w:val="13"/>
                <w:b w:val="1"/>
                <w:bCs w:val="1"/>
                <w:color w:val="FFFFFF"/>
                <w:w w:val="97"/>
              </w:rPr>
              <w:t>For the 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2120" w:type="dxa"/>
            <w:vAlign w:val="bottom"/>
            <w:gridSpan w:val="6"/>
            <w:shd w:val="clear" w:color="auto" w:fill="004483"/>
          </w:tcPr>
          <w:p>
            <w:pPr>
              <w:jc w:val="center"/>
              <w:ind w:right="280"/>
              <w:spacing w:after="0"/>
              <w:rPr>
                <w:sz w:val="20"/>
                <w:szCs w:val="20"/>
                <w:color w:val="auto"/>
              </w:rPr>
            </w:pPr>
            <w:r>
              <w:rPr>
                <w:rFonts w:ascii="Arial" w:cs="Arial" w:eastAsia="Arial" w:hAnsi="Arial"/>
                <w:sz w:val="13"/>
                <w:szCs w:val="13"/>
                <w:b w:val="1"/>
                <w:bCs w:val="1"/>
                <w:color w:val="FFFFFF"/>
                <w:w w:val="97"/>
              </w:rPr>
              <w:t>For the Six Months Ended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80" w:type="dxa"/>
            <w:vAlign w:val="bottom"/>
            <w:tcBorders>
              <w:bottom w:val="single" w:sz="8" w:color="auto"/>
            </w:tcBorders>
            <w:shd w:val="clear" w:color="auto" w:fill="004483"/>
          </w:tcPr>
          <w:p>
            <w:pPr>
              <w:spacing w:after="0"/>
              <w:rPr>
                <w:sz w:val="14"/>
                <w:szCs w:val="14"/>
                <w:color w:val="auto"/>
              </w:rPr>
            </w:pPr>
          </w:p>
        </w:tc>
        <w:tc>
          <w:tcPr>
            <w:tcW w:w="1460" w:type="dxa"/>
            <w:vAlign w:val="bottom"/>
            <w:tcBorders>
              <w:bottom w:val="single" w:sz="8" w:color="auto"/>
            </w:tcBorders>
            <w:gridSpan w:val="4"/>
            <w:shd w:val="clear" w:color="auto" w:fill="004483"/>
          </w:tcPr>
          <w:p>
            <w:pPr>
              <w:jc w:val="center"/>
              <w:ind w:left="324"/>
              <w:spacing w:after="0"/>
              <w:rPr>
                <w:sz w:val="20"/>
                <w:szCs w:val="20"/>
                <w:color w:val="auto"/>
              </w:rPr>
            </w:pPr>
            <w:r>
              <w:rPr>
                <w:rFonts w:ascii="Arial" w:cs="Arial" w:eastAsia="Arial" w:hAnsi="Arial"/>
                <w:sz w:val="13"/>
                <w:szCs w:val="13"/>
                <w:b w:val="1"/>
                <w:bCs w:val="1"/>
                <w:color w:val="FFFFFF"/>
                <w:w w:val="96"/>
              </w:rPr>
              <w:t>September 30,</w:t>
            </w:r>
          </w:p>
        </w:tc>
        <w:tc>
          <w:tcPr>
            <w:tcW w:w="6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140" w:type="dxa"/>
            <w:vAlign w:val="bottom"/>
            <w:gridSpan w:val="3"/>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160" w:type="dxa"/>
            <w:vAlign w:val="bottom"/>
            <w:tcBorders>
              <w:bottom w:val="single" w:sz="8" w:color="auto"/>
            </w:tcBorders>
            <w:shd w:val="clear" w:color="auto" w:fill="004483"/>
          </w:tcPr>
          <w:p>
            <w:pPr>
              <w:spacing w:after="0"/>
              <w:rPr>
                <w:sz w:val="14"/>
                <w:szCs w:val="14"/>
                <w:color w:val="auto"/>
              </w:rPr>
            </w:pPr>
          </w:p>
        </w:tc>
        <w:tc>
          <w:tcPr>
            <w:tcW w:w="1380" w:type="dxa"/>
            <w:vAlign w:val="bottom"/>
            <w:tcBorders>
              <w:bottom w:val="single" w:sz="8" w:color="auto"/>
            </w:tcBorders>
            <w:gridSpan w:val="4"/>
            <w:shd w:val="clear" w:color="auto" w:fill="004483"/>
          </w:tcPr>
          <w:p>
            <w:pPr>
              <w:jc w:val="center"/>
              <w:ind w:left="406"/>
              <w:spacing w:after="0"/>
              <w:rPr>
                <w:sz w:val="20"/>
                <w:szCs w:val="20"/>
                <w:color w:val="auto"/>
              </w:rPr>
            </w:pPr>
            <w:r>
              <w:rPr>
                <w:rFonts w:ascii="Arial" w:cs="Arial" w:eastAsia="Arial" w:hAnsi="Arial"/>
                <w:sz w:val="13"/>
                <w:szCs w:val="13"/>
                <w:b w:val="1"/>
                <w:bCs w:val="1"/>
                <w:color w:val="FFFFFF"/>
                <w:w w:val="96"/>
              </w:rPr>
              <w:t>September 30,</w:t>
            </w:r>
          </w:p>
        </w:tc>
        <w:tc>
          <w:tcPr>
            <w:tcW w:w="62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Change</w:t>
            </w: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6"/>
          </w:tcPr>
          <w:p>
            <w:pPr>
              <w:jc w:val="center"/>
              <w:ind w:right="300"/>
              <w:spacing w:after="0" w:line="135" w:lineRule="exact"/>
              <w:rPr>
                <w:sz w:val="20"/>
                <w:szCs w:val="20"/>
                <w:color w:val="auto"/>
              </w:rPr>
            </w:pPr>
            <w:r>
              <w:rPr>
                <w:rFonts w:ascii="Arial" w:cs="Arial" w:eastAsia="Arial" w:hAnsi="Arial"/>
                <w:sz w:val="13"/>
                <w:szCs w:val="13"/>
                <w:color w:val="auto"/>
                <w:w w:val="97"/>
              </w:rPr>
              <w:t>(in thousands, except net sales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17385E"/>
            </w:tcBorders>
          </w:tcPr>
          <w:p>
            <w:pPr>
              <w:spacing w:after="0"/>
              <w:rPr>
                <w:sz w:val="15"/>
                <w:szCs w:val="15"/>
                <w:color w:val="auto"/>
              </w:rPr>
            </w:pPr>
          </w:p>
        </w:tc>
        <w:tc>
          <w:tcPr>
            <w:tcW w:w="224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97"/>
              </w:rPr>
              <w:t>(in thousands, except net sales prices)</w:t>
            </w:r>
          </w:p>
        </w:tc>
        <w:tc>
          <w:tcPr>
            <w:tcW w:w="120" w:type="dxa"/>
            <w:vAlign w:val="bottom"/>
          </w:tcPr>
          <w:p>
            <w:pPr>
              <w:spacing w:after="0"/>
              <w:rPr>
                <w:sz w:val="15"/>
                <w:szCs w:val="15"/>
                <w:color w:val="auto"/>
              </w:rPr>
            </w:pPr>
          </w:p>
        </w:tc>
        <w:tc>
          <w:tcPr>
            <w:tcW w:w="920" w:type="dxa"/>
            <w:vAlign w:val="bottom"/>
            <w:tcBorders>
              <w:bottom w:val="single" w:sz="8" w:color="17385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1380" w:type="dxa"/>
            <w:vAlign w:val="bottom"/>
            <w:tcBorders>
              <w:bottom w:val="single" w:sz="8" w:color="17385E"/>
            </w:tcBorders>
            <w:gridSpan w:val="4"/>
          </w:tcPr>
          <w:p>
            <w:pPr>
              <w:jc w:val="center"/>
              <w:ind w:left="406"/>
              <w:spacing w:after="0"/>
              <w:rPr>
                <w:sz w:val="20"/>
                <w:szCs w:val="20"/>
                <w:color w:val="auto"/>
              </w:rPr>
            </w:pPr>
            <w:r>
              <w:rPr>
                <w:rFonts w:ascii="Arial" w:cs="Arial" w:eastAsia="Arial" w:hAnsi="Arial"/>
                <w:sz w:val="13"/>
                <w:szCs w:val="13"/>
                <w:color w:val="auto"/>
                <w:w w:val="97"/>
              </w:rPr>
              <w:t>prices)</w:t>
            </w:r>
          </w:p>
        </w:tc>
        <w:tc>
          <w:tcPr>
            <w:tcW w:w="620" w:type="dxa"/>
            <w:vAlign w:val="bottom"/>
            <w:tcBorders>
              <w:bottom w:val="single" w:sz="8" w:color="17385E"/>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17385E"/>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004483"/>
              </w:rPr>
              <w:t>Revenue, including Intersegment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69,887</w:t>
            </w:r>
          </w:p>
        </w:tc>
        <w:tc>
          <w:tcPr>
            <w:tcW w:w="120" w:type="dxa"/>
            <w:vAlign w:val="bottom"/>
          </w:tcPr>
          <w:p>
            <w:pPr>
              <w:spacing w:after="0"/>
              <w:rPr>
                <w:sz w:val="18"/>
                <w:szCs w:val="18"/>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69,613</w:t>
            </w:r>
          </w:p>
        </w:tc>
        <w:tc>
          <w:tcPr>
            <w:tcW w:w="1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0 % $</w:t>
            </w:r>
          </w:p>
        </w:tc>
        <w:tc>
          <w:tcPr>
            <w:tcW w:w="840" w:type="dxa"/>
            <w:vAlign w:val="bottom"/>
          </w:tcPr>
          <w:p>
            <w:pPr>
              <w:jc w:val="right"/>
              <w:spacing w:after="0"/>
              <w:rPr>
                <w:sz w:val="20"/>
                <w:szCs w:val="20"/>
                <w:color w:val="auto"/>
              </w:rPr>
            </w:pPr>
            <w:r>
              <w:rPr>
                <w:rFonts w:ascii="Arial" w:cs="Arial" w:eastAsia="Arial" w:hAnsi="Arial"/>
                <w:sz w:val="16"/>
                <w:szCs w:val="16"/>
                <w:color w:val="auto"/>
              </w:rPr>
              <w:t>140,340</w:t>
            </w:r>
          </w:p>
        </w:tc>
        <w:tc>
          <w:tcPr>
            <w:tcW w:w="1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131,231</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(3,783 )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(6,821 )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180" w:type="dxa"/>
            <w:vAlign w:val="bottom"/>
            <w:tcBorders>
              <w:top w:val="single" w:sz="8" w:color="004483"/>
            </w:tcBorders>
            <w:shd w:val="clear" w:color="auto" w:fill="004483"/>
          </w:tcPr>
          <w:p>
            <w:pPr>
              <w:spacing w:after="0" w:line="20" w:lineRule="exact"/>
              <w:rPr>
                <w:sz w:val="1"/>
                <w:szCs w:val="1"/>
                <w:color w:val="auto"/>
              </w:rPr>
            </w:pPr>
          </w:p>
        </w:tc>
        <w:tc>
          <w:tcPr>
            <w:tcW w:w="8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80" w:type="dxa"/>
            <w:vAlign w:val="bottom"/>
            <w:tcBorders>
              <w:top w:val="single" w:sz="8" w:color="004483"/>
            </w:tcBorders>
            <w:shd w:val="clear" w:color="auto" w:fill="004483"/>
          </w:tcPr>
          <w:p>
            <w:pPr>
              <w:spacing w:after="0" w:line="20" w:lineRule="exact"/>
              <w:rPr>
                <w:sz w:val="1"/>
                <w:szCs w:val="1"/>
                <w:color w:val="auto"/>
              </w:rPr>
            </w:pPr>
          </w:p>
        </w:tc>
        <w:tc>
          <w:tcPr>
            <w:tcW w:w="6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60" w:type="dxa"/>
            <w:vAlign w:val="bottom"/>
            <w:tcBorders>
              <w:top w:val="single" w:sz="8" w:color="004483"/>
            </w:tcBorders>
            <w:shd w:val="clear" w:color="auto" w:fill="004483"/>
          </w:tcPr>
          <w:p>
            <w:pPr>
              <w:spacing w:after="0" w:line="20" w:lineRule="exact"/>
              <w:rPr>
                <w:sz w:val="1"/>
                <w:szCs w:val="1"/>
                <w:color w:val="auto"/>
              </w:rPr>
            </w:pPr>
          </w:p>
        </w:tc>
        <w:tc>
          <w:tcPr>
            <w:tcW w:w="8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20" w:type="dxa"/>
            <w:vAlign w:val="bottom"/>
            <w:tcBorders>
              <w:top w:val="single" w:sz="8" w:color="004483"/>
            </w:tcBorders>
            <w:shd w:val="clear" w:color="auto" w:fill="004483"/>
          </w:tcPr>
          <w:p>
            <w:pPr>
              <w:spacing w:after="0" w:line="20" w:lineRule="exact"/>
              <w:rPr>
                <w:sz w:val="1"/>
                <w:szCs w:val="1"/>
                <w:color w:val="auto"/>
              </w:rPr>
            </w:pPr>
          </w:p>
        </w:tc>
        <w:tc>
          <w:tcPr>
            <w:tcW w:w="6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40" w:type="dxa"/>
            <w:vAlign w:val="bottom"/>
          </w:tcPr>
          <w:p>
            <w:pPr>
              <w:ind w:left="20"/>
              <w:spacing w:after="0"/>
              <w:rPr>
                <w:sz w:val="20"/>
                <w:szCs w:val="20"/>
                <w:color w:val="auto"/>
              </w:rPr>
            </w:pPr>
            <w:r>
              <w:rPr>
                <w:rFonts w:ascii="Arial" w:cs="Arial" w:eastAsia="Arial" w:hAnsi="Arial"/>
                <w:sz w:val="16"/>
                <w:szCs w:val="16"/>
                <w:color w:val="004483"/>
              </w:rPr>
              <w:t>Revenue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69,613</w:t>
            </w:r>
          </w:p>
        </w:tc>
        <w:tc>
          <w:tcPr>
            <w:tcW w:w="120" w:type="dxa"/>
            <w:vAlign w:val="bottom"/>
          </w:tcPr>
          <w:p>
            <w:pPr>
              <w:spacing w:after="0"/>
              <w:rPr>
                <w:sz w:val="17"/>
                <w:szCs w:val="17"/>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(5 )% $</w:t>
            </w:r>
          </w:p>
        </w:tc>
        <w:tc>
          <w:tcPr>
            <w:tcW w:w="840" w:type="dxa"/>
            <w:vAlign w:val="bottom"/>
          </w:tcPr>
          <w:p>
            <w:pPr>
              <w:jc w:val="right"/>
              <w:spacing w:after="0"/>
              <w:rPr>
                <w:sz w:val="20"/>
                <w:szCs w:val="20"/>
                <w:color w:val="auto"/>
              </w:rPr>
            </w:pPr>
            <w:r>
              <w:rPr>
                <w:rFonts w:ascii="Arial" w:cs="Arial" w:eastAsia="Arial" w:hAnsi="Arial"/>
                <w:sz w:val="16"/>
                <w:szCs w:val="16"/>
                <w:color w:val="auto"/>
              </w:rPr>
              <w:t>133,519</w:t>
            </w:r>
          </w:p>
        </w:tc>
        <w:tc>
          <w:tcPr>
            <w:tcW w:w="12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131,231</w:t>
            </w: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444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18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28 %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9"/>
        </w:trPr>
        <w:tc>
          <w:tcPr>
            <w:tcW w:w="4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18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145.39</w:t>
            </w:r>
          </w:p>
        </w:tc>
        <w:tc>
          <w:tcPr>
            <w:tcW w:w="120" w:type="dxa"/>
            <w:vAlign w:val="bottom"/>
          </w:tcPr>
          <w:p>
            <w:pPr>
              <w:spacing w:after="0"/>
              <w:rPr>
                <w:sz w:val="18"/>
                <w:szCs w:val="18"/>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134.28</w:t>
            </w:r>
          </w:p>
        </w:tc>
        <w:tc>
          <w:tcPr>
            <w:tcW w:w="1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8 % $</w:t>
            </w:r>
          </w:p>
        </w:tc>
        <w:tc>
          <w:tcPr>
            <w:tcW w:w="840" w:type="dxa"/>
            <w:vAlign w:val="bottom"/>
          </w:tcPr>
          <w:p>
            <w:pPr>
              <w:jc w:val="right"/>
              <w:spacing w:after="0"/>
              <w:rPr>
                <w:sz w:val="20"/>
                <w:szCs w:val="20"/>
                <w:color w:val="auto"/>
              </w:rPr>
            </w:pPr>
            <w:r>
              <w:rPr>
                <w:rFonts w:ascii="Arial" w:cs="Arial" w:eastAsia="Arial" w:hAnsi="Arial"/>
                <w:sz w:val="16"/>
                <w:szCs w:val="16"/>
                <w:color w:val="auto"/>
              </w:rPr>
              <w:t>143.55</w:t>
            </w:r>
          </w:p>
        </w:tc>
        <w:tc>
          <w:tcPr>
            <w:tcW w:w="1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131.65</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8"/>
                <w:szCs w:val="18"/>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3 % $</w:t>
            </w:r>
          </w:p>
        </w:tc>
        <w:tc>
          <w:tcPr>
            <w:tcW w:w="8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9"/>
        </w:trPr>
        <w:tc>
          <w:tcPr>
            <w:tcW w:w="444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84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6A6A6"/>
              <w:bottom w:val="single" w:sz="8" w:color="A6A6A6"/>
            </w:tcBorders>
            <w:gridSpan w:val="2"/>
          </w:tcPr>
          <w:p>
            <w:pPr>
              <w:spacing w:after="0"/>
              <w:rPr>
                <w:sz w:val="20"/>
                <w:szCs w:val="20"/>
                <w:color w:val="auto"/>
              </w:rPr>
            </w:pPr>
          </w:p>
        </w:tc>
        <w:tc>
          <w:tcPr>
            <w:tcW w:w="60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6A6A6"/>
              <w:bottom w:val="single" w:sz="8" w:color="A6A6A6"/>
            </w:tcBorders>
            <w:gridSpan w:val="2"/>
          </w:tcPr>
          <w:p>
            <w:pPr>
              <w:spacing w:after="0"/>
              <w:rPr>
                <w:sz w:val="20"/>
                <w:szCs w:val="20"/>
                <w:color w:val="auto"/>
              </w:rPr>
            </w:pPr>
          </w:p>
        </w:tc>
        <w:tc>
          <w:tcPr>
            <w:tcW w:w="84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6A6A6"/>
              <w:bottom w:val="single" w:sz="8" w:color="A6A6A6"/>
            </w:tcBorders>
            <w:gridSpan w:val="2"/>
          </w:tcPr>
          <w:p>
            <w:pPr>
              <w:spacing w:after="0"/>
              <w:rPr>
                <w:sz w:val="20"/>
                <w:szCs w:val="20"/>
                <w:color w:val="auto"/>
              </w:rPr>
            </w:pPr>
          </w:p>
        </w:tc>
        <w:tc>
          <w:tcPr>
            <w:tcW w:w="62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6A6A6"/>
              <w:bottom w:val="single" w:sz="8" w:color="A6A6A6"/>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7"/>
                <w:szCs w:val="17"/>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7,276</w:t>
            </w:r>
          </w:p>
        </w:tc>
        <w:tc>
          <w:tcPr>
            <w:tcW w:w="120" w:type="dxa"/>
            <w:vAlign w:val="bottom"/>
          </w:tcPr>
          <w:p>
            <w:pPr>
              <w:spacing w:after="0"/>
              <w:rPr>
                <w:sz w:val="17"/>
                <w:szCs w:val="17"/>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(36 )% $</w:t>
            </w:r>
          </w:p>
        </w:tc>
        <w:tc>
          <w:tcPr>
            <w:tcW w:w="840" w:type="dxa"/>
            <w:vAlign w:val="bottom"/>
          </w:tcPr>
          <w:p>
            <w:pPr>
              <w:jc w:val="right"/>
              <w:spacing w:after="0"/>
              <w:rPr>
                <w:sz w:val="20"/>
                <w:szCs w:val="20"/>
                <w:color w:val="auto"/>
              </w:rPr>
            </w:pPr>
            <w:r>
              <w:rPr>
                <w:rFonts w:ascii="Arial" w:cs="Arial" w:eastAsia="Arial" w:hAnsi="Arial"/>
                <w:sz w:val="16"/>
                <w:szCs w:val="16"/>
                <w:color w:val="auto"/>
              </w:rPr>
              <w:t>11,674</w:t>
            </w:r>
          </w:p>
        </w:tc>
        <w:tc>
          <w:tcPr>
            <w:tcW w:w="12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13,008</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-2193925</wp:posOffset>
            </wp:positionV>
            <wp:extent cx="76835" cy="2194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21945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-2193925</wp:posOffset>
            </wp:positionV>
            <wp:extent cx="68580" cy="2194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219456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w:t>
      </w:r>
    </w:p>
    <w:p>
      <w:pPr>
        <w:spacing w:after="0" w:line="22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Concrete and Aggregates Revenue remained relatively flat at $69.9 million for the three months ended September 30, 2023. Excluding Intersegment Revenue and Battletown Aggregates, Revenue declined $5.8 million. The decline was due to lower Sales Volume, primarily in Concrete, which reduced Revenue by $12.0 million. This was partially offset by higher gross sales prices of $6.2 million.</w:t>
      </w:r>
    </w:p>
    <w:p>
      <w:pPr>
        <w:spacing w:after="0" w:line="76" w:lineRule="exact"/>
        <w:rPr>
          <w:sz w:val="20"/>
          <w:szCs w:val="20"/>
          <w:color w:val="auto"/>
        </w:rPr>
      </w:pPr>
    </w:p>
    <w:p>
      <w:pPr>
        <w:jc w:val="both"/>
        <w:ind w:right="580"/>
        <w:spacing w:after="0" w:line="243" w:lineRule="auto"/>
        <w:rPr>
          <w:sz w:val="20"/>
          <w:szCs w:val="20"/>
          <w:color w:val="auto"/>
        </w:rPr>
      </w:pPr>
      <w:r>
        <w:rPr>
          <w:rFonts w:ascii="Arial" w:cs="Arial" w:eastAsia="Arial" w:hAnsi="Arial"/>
          <w:sz w:val="18"/>
          <w:szCs w:val="18"/>
          <w:color w:val="auto"/>
        </w:rPr>
        <w:t>Operating Earnings were approximately $4.6 million, a 36% decrease. Excluding Battletown Aggregates, Operating Earnings were $5.0 million. The decrease in Operating Earnings was due to lower Sales Volume and higher operating costs of $ 0.5 million and $8.0 million, respectively. This was partially offset by higher gross selling prices of $6.2 million. The increase in operating costs was primarily due to higher cost of materials and maintenance expenses of approximately $3.7 million and $2.3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2023</w:t>
      </w:r>
    </w:p>
    <w:p>
      <w:pPr>
        <w:spacing w:after="0" w:line="114"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Concrete and Aggregates Revenue was $140.3 million for the six months ended September 30, 2023. Excluding Intersegment Revenue and Battletown Aggregates, Revenue declined $ 1.8 million. The decrease was due to lower Sales Volume, primarily in Concrete, which reduced Revenue by $13.1 million. This was partially offset by higher gross sales prices of $11.3 million.</w:t>
      </w:r>
    </w:p>
    <w:p>
      <w:pPr>
        <w:spacing w:after="0" w:line="7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Operating Earnings were approximately $11.7 million, a 10% decrease. Excluding Battletown Aggregates, Operating Earnings decreased to $1.2 million. The decline in Operating Earnings was due to lower Sales Volume and higher operating costs of $0.3 million and $12.2 million, respectively. This was partially offset by higher gross selling prices of $11.3 million. The increase in operating costs was primarily due to higher materials and maintenance expenses of approximately $ 7.1 million, $5.5 million, respectively. This was partially offset by the impact of recording acquired inventories at fair value of $1.2 million in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tbl>
      <w:tblPr>
        <w:tblLayout w:type="fixed"/>
        <w:tblInd w:w="4320" w:type="dxa"/>
        <w:tblCellMar>
          <w:top w:w="0" w:type="dxa"/>
          <w:left w:w="0" w:type="dxa"/>
          <w:bottom w:w="0" w:type="dxa"/>
          <w:right w:w="0" w:type="dxa"/>
        </w:tblCellMar>
      </w:tblPr>
      <w:tr>
        <w:trPr>
          <w:trHeight w:val="145"/>
        </w:trPr>
        <w:tc>
          <w:tcPr>
            <w:tcW w:w="2320" w:type="dxa"/>
            <w:vAlign w:val="bottom"/>
            <w:gridSpan w:val="3"/>
            <w:shd w:val="clear" w:color="auto" w:fill="004483"/>
          </w:tcPr>
          <w:p>
            <w:pPr>
              <w:jc w:val="center"/>
              <w:ind w:right="140"/>
              <w:spacing w:after="0" w:line="145" w:lineRule="exact"/>
              <w:rPr>
                <w:sz w:val="20"/>
                <w:szCs w:val="20"/>
                <w:color w:val="auto"/>
              </w:rPr>
            </w:pPr>
            <w:r>
              <w:rPr>
                <w:rFonts w:ascii="Arial" w:cs="Arial" w:eastAsia="Arial" w:hAnsi="Arial"/>
                <w:sz w:val="13"/>
                <w:szCs w:val="13"/>
                <w:b w:val="1"/>
                <w:bCs w:val="1"/>
                <w:color w:val="FFFFFF"/>
                <w:w w:val="96"/>
              </w:rPr>
              <w:t>For the Three Months Ended</w:t>
            </w:r>
          </w:p>
        </w:tc>
        <w:tc>
          <w:tcPr>
            <w:tcW w:w="1260" w:type="dxa"/>
            <w:vAlign w:val="bottom"/>
          </w:tcPr>
          <w:p>
            <w:pPr>
              <w:spacing w:after="0"/>
              <w:rPr>
                <w:sz w:val="12"/>
                <w:szCs w:val="12"/>
                <w:color w:val="auto"/>
              </w:rPr>
            </w:pPr>
          </w:p>
        </w:tc>
        <w:tc>
          <w:tcPr>
            <w:tcW w:w="1800" w:type="dxa"/>
            <w:vAlign w:val="bottom"/>
            <w:shd w:val="clear" w:color="auto" w:fill="004483"/>
          </w:tcPr>
          <w:p>
            <w:pPr>
              <w:jc w:val="right"/>
              <w:spacing w:after="0" w:line="145" w:lineRule="exact"/>
              <w:rPr>
                <w:sz w:val="20"/>
                <w:szCs w:val="20"/>
                <w:color w:val="auto"/>
              </w:rPr>
            </w:pPr>
            <w:r>
              <w:rPr>
                <w:rFonts w:ascii="Arial" w:cs="Arial" w:eastAsia="Arial" w:hAnsi="Arial"/>
                <w:sz w:val="13"/>
                <w:szCs w:val="13"/>
                <w:b w:val="1"/>
                <w:bCs w:val="1"/>
                <w:color w:val="FFFFFF"/>
              </w:rPr>
              <w:t>For the Six Months Ended</w:t>
            </w:r>
          </w:p>
        </w:tc>
        <w:tc>
          <w:tcPr>
            <w:tcW w:w="30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Borders>
              <w:bottom w:val="single" w:sz="8" w:color="auto"/>
            </w:tcBorders>
            <w:shd w:val="clear" w:color="auto" w:fill="004483"/>
          </w:tcPr>
          <w:p>
            <w:pPr>
              <w:jc w:val="center"/>
              <w:ind w:left="437"/>
              <w:spacing w:after="0"/>
              <w:rPr>
                <w:sz w:val="20"/>
                <w:szCs w:val="20"/>
                <w:color w:val="auto"/>
              </w:rPr>
            </w:pPr>
            <w:r>
              <w:rPr>
                <w:rFonts w:ascii="Arial" w:cs="Arial" w:eastAsia="Arial" w:hAnsi="Arial"/>
                <w:sz w:val="13"/>
                <w:szCs w:val="13"/>
                <w:b w:val="1"/>
                <w:bCs w:val="1"/>
                <w:color w:val="FFFFFF"/>
                <w:w w:val="96"/>
              </w:rPr>
              <w:t>September 30,</w:t>
            </w:r>
          </w:p>
        </w:tc>
        <w:tc>
          <w:tcPr>
            <w:tcW w:w="48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1800" w:type="dxa"/>
            <w:vAlign w:val="bottom"/>
            <w:tcBorders>
              <w:bottom w:val="single" w:sz="8" w:color="auto"/>
            </w:tcBorders>
            <w:shd w:val="clear" w:color="auto" w:fill="004483"/>
          </w:tcPr>
          <w:p>
            <w:pPr>
              <w:jc w:val="right"/>
              <w:ind w:right="257"/>
              <w:spacing w:after="0"/>
              <w:rPr>
                <w:sz w:val="20"/>
                <w:szCs w:val="20"/>
                <w:color w:val="auto"/>
              </w:rPr>
            </w:pPr>
            <w:r>
              <w:rPr>
                <w:rFonts w:ascii="Arial" w:cs="Arial" w:eastAsia="Arial" w:hAnsi="Arial"/>
                <w:sz w:val="13"/>
                <w:szCs w:val="13"/>
                <w:b w:val="1"/>
                <w:bCs w:val="1"/>
                <w:color w:val="FFFFFF"/>
              </w:rPr>
              <w:t>September 30,</w:t>
            </w:r>
          </w:p>
        </w:tc>
        <w:tc>
          <w:tcPr>
            <w:tcW w:w="30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900" w:type="dxa"/>
            <w:vAlign w:val="bottom"/>
            <w:vMerge w:val="restart"/>
          </w:tcPr>
          <w:p>
            <w:pPr>
              <w:jc w:val="center"/>
              <w:ind w:left="157"/>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20"/>
        </w:trPr>
        <w:tc>
          <w:tcPr>
            <w:tcW w:w="1720" w:type="dxa"/>
            <w:vAlign w:val="bottom"/>
            <w:vMerge w:val="restart"/>
          </w:tcPr>
          <w:p>
            <w:pPr>
              <w:jc w:val="right"/>
              <w:ind w:right="657"/>
              <w:spacing w:after="0"/>
              <w:rPr>
                <w:sz w:val="20"/>
                <w:szCs w:val="20"/>
                <w:color w:val="auto"/>
              </w:rPr>
            </w:pPr>
            <w:r>
              <w:rPr>
                <w:rFonts w:ascii="Arial" w:cs="Arial" w:eastAsia="Arial" w:hAnsi="Arial"/>
                <w:sz w:val="13"/>
                <w:szCs w:val="13"/>
                <w:b w:val="1"/>
                <w:bCs w:val="1"/>
                <w:color w:val="auto"/>
              </w:rPr>
              <w:t>2023</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800" w:type="dxa"/>
            <w:vAlign w:val="bottom"/>
            <w:vMerge w:val="restart"/>
          </w:tcPr>
          <w:p>
            <w:pPr>
              <w:jc w:val="right"/>
              <w:ind w:right="777"/>
              <w:spacing w:after="0"/>
              <w:rPr>
                <w:sz w:val="20"/>
                <w:szCs w:val="20"/>
                <w:color w:val="auto"/>
              </w:rPr>
            </w:pPr>
            <w:r>
              <w:rPr>
                <w:rFonts w:ascii="Arial" w:cs="Arial" w:eastAsia="Arial" w:hAnsi="Arial"/>
                <w:sz w:val="13"/>
                <w:szCs w:val="13"/>
                <w:b w:val="1"/>
                <w:bCs w:val="1"/>
                <w:color w:val="auto"/>
              </w:rPr>
              <w:t>2023</w:t>
            </w: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Change</w:t>
            </w:r>
          </w:p>
        </w:tc>
        <w:tc>
          <w:tcPr>
            <w:tcW w:w="18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-200025</wp:posOffset>
            </wp:positionV>
            <wp:extent cx="76835" cy="1577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7734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-200025</wp:posOffset>
            </wp:positionV>
            <wp:extent cx="68580" cy="1577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577340"/>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sectPr>
      </w:pPr>
    </w:p>
    <w:p>
      <w:pPr>
        <w:jc w:val="center"/>
        <w:ind w:left="3440"/>
        <w:spacing w:after="0"/>
        <w:rPr>
          <w:sz w:val="20"/>
          <w:szCs w:val="20"/>
          <w:color w:val="auto"/>
        </w:rPr>
      </w:pPr>
      <w:r>
        <w:rPr>
          <w:rFonts w:ascii="Arial" w:cs="Arial" w:eastAsia="Arial" w:hAnsi="Arial"/>
          <w:sz w:val="12"/>
          <w:szCs w:val="12"/>
          <w:color w:val="auto"/>
        </w:rPr>
        <w:t>(in thousands, except per MSF</w:t>
      </w:r>
    </w:p>
    <w:p>
      <w:pPr>
        <w:jc w:val="center"/>
        <w:ind w:left="348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2"/>
          <w:szCs w:val="12"/>
          <w:color w:val="auto"/>
        </w:rPr>
        <w:t>(in thousands, except per MSF</w:t>
      </w:r>
    </w:p>
    <w:p>
      <w:pPr>
        <w:jc w:val="center"/>
        <w:ind w:right="154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360" w:space="720"/>
            <w:col w:w="3260"/>
          </w:cols>
          <w:pgMar w:left="32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386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74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36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320" w:type="dxa"/>
            <w:vAlign w:val="bottom"/>
            <w:shd w:val="clear" w:color="auto" w:fill="17385E"/>
          </w:tcPr>
          <w:p>
            <w:pPr>
              <w:spacing w:after="0"/>
              <w:rPr>
                <w:sz w:val="2"/>
                <w:szCs w:val="2"/>
                <w:color w:val="auto"/>
              </w:rPr>
            </w:pPr>
          </w:p>
        </w:tc>
        <w:tc>
          <w:tcPr>
            <w:tcW w:w="70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17385E"/>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004483"/>
              </w:rPr>
              <w:t>Revenue</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209,233</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224,638</w:t>
            </w:r>
          </w:p>
        </w:tc>
        <w:tc>
          <w:tcPr>
            <w:tcW w:w="12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(7 )% $</w:t>
            </w:r>
          </w:p>
        </w:tc>
        <w:tc>
          <w:tcPr>
            <w:tcW w:w="720" w:type="dxa"/>
            <w:vAlign w:val="bottom"/>
          </w:tcPr>
          <w:p>
            <w:pPr>
              <w:jc w:val="right"/>
              <w:spacing w:after="0"/>
              <w:rPr>
                <w:sz w:val="20"/>
                <w:szCs w:val="20"/>
                <w:color w:val="auto"/>
              </w:rPr>
            </w:pPr>
            <w:r>
              <w:rPr>
                <w:rFonts w:ascii="Arial" w:cs="Arial" w:eastAsia="Arial" w:hAnsi="Arial"/>
                <w:sz w:val="16"/>
                <w:szCs w:val="16"/>
                <w:color w:val="auto"/>
              </w:rPr>
              <w:t>428,330</w:t>
            </w:r>
          </w:p>
        </w:tc>
        <w:tc>
          <w:tcPr>
            <w:tcW w:w="1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440,965</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2"/>
        </w:trPr>
        <w:tc>
          <w:tcPr>
            <w:tcW w:w="38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7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7"/>
                <w:szCs w:val="17"/>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rPr>
              <w:t>(6 )%</w:t>
            </w:r>
          </w:p>
        </w:tc>
        <w:tc>
          <w:tcPr>
            <w:tcW w:w="720" w:type="dxa"/>
            <w:vAlign w:val="bottom"/>
          </w:tcPr>
          <w:p>
            <w:pPr>
              <w:jc w:val="right"/>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(37,802 )</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(41,535 )</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(9 )% $</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(76,410 )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(83,540 )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386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233.69</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233.70</w:t>
            </w:r>
          </w:p>
        </w:tc>
        <w:tc>
          <w:tcPr>
            <w:tcW w:w="12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235.20</w:t>
            </w:r>
          </w:p>
        </w:tc>
        <w:tc>
          <w:tcPr>
            <w:tcW w:w="1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226.07</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53.05</w:t>
            </w:r>
          </w:p>
        </w:tc>
        <w:tc>
          <w:tcPr>
            <w:tcW w:w="120" w:type="dxa"/>
            <w:vAlign w:val="bottom"/>
          </w:tcPr>
          <w:p>
            <w:pPr>
              <w:spacing w:after="0"/>
              <w:rPr>
                <w:sz w:val="17"/>
                <w:szCs w:val="17"/>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(3 )% $</w:t>
            </w:r>
          </w:p>
        </w:tc>
        <w:tc>
          <w:tcPr>
            <w:tcW w:w="720" w:type="dxa"/>
            <w:vAlign w:val="bottom"/>
          </w:tcPr>
          <w:p>
            <w:pPr>
              <w:jc w:val="right"/>
              <w:spacing w:after="0"/>
              <w:rPr>
                <w:sz w:val="20"/>
                <w:szCs w:val="20"/>
                <w:color w:val="auto"/>
              </w:rPr>
            </w:pPr>
            <w:r>
              <w:rPr>
                <w:rFonts w:ascii="Arial" w:cs="Arial" w:eastAsia="Arial" w:hAnsi="Arial"/>
                <w:sz w:val="16"/>
                <w:szCs w:val="16"/>
                <w:color w:val="auto"/>
              </w:rPr>
              <w:t>51.08</w:t>
            </w:r>
          </w:p>
        </w:tc>
        <w:tc>
          <w:tcPr>
            <w:tcW w:w="1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52.84</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116.92</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114.64</w:t>
            </w:r>
          </w:p>
        </w:tc>
        <w:tc>
          <w:tcPr>
            <w:tcW w:w="12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2 % $</w:t>
            </w:r>
          </w:p>
        </w:tc>
        <w:tc>
          <w:tcPr>
            <w:tcW w:w="720" w:type="dxa"/>
            <w:vAlign w:val="bottom"/>
          </w:tcPr>
          <w:p>
            <w:pPr>
              <w:jc w:val="right"/>
              <w:spacing w:after="0"/>
              <w:rPr>
                <w:sz w:val="20"/>
                <w:szCs w:val="20"/>
                <w:color w:val="auto"/>
              </w:rPr>
            </w:pPr>
            <w:r>
              <w:rPr>
                <w:rFonts w:ascii="Arial" w:cs="Arial" w:eastAsia="Arial" w:hAnsi="Arial"/>
                <w:sz w:val="16"/>
                <w:szCs w:val="16"/>
                <w:color w:val="auto"/>
              </w:rPr>
              <w:t>118.02</w:t>
            </w:r>
          </w:p>
        </w:tc>
        <w:tc>
          <w:tcPr>
            <w:tcW w:w="1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109.95</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85,705</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89,761</w:t>
            </w:r>
          </w:p>
        </w:tc>
        <w:tc>
          <w:tcPr>
            <w:tcW w:w="12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(5 )% $</w:t>
            </w:r>
          </w:p>
        </w:tc>
        <w:tc>
          <w:tcPr>
            <w:tcW w:w="720" w:type="dxa"/>
            <w:vAlign w:val="bottom"/>
          </w:tcPr>
          <w:p>
            <w:pPr>
              <w:jc w:val="right"/>
              <w:spacing w:after="0"/>
              <w:rPr>
                <w:sz w:val="20"/>
                <w:szCs w:val="20"/>
                <w:color w:val="auto"/>
              </w:rPr>
            </w:pPr>
            <w:r>
              <w:rPr>
                <w:rFonts w:ascii="Arial" w:cs="Arial" w:eastAsia="Arial" w:hAnsi="Arial"/>
                <w:sz w:val="16"/>
                <w:szCs w:val="16"/>
                <w:color w:val="auto"/>
              </w:rPr>
              <w:t>176,562</w:t>
            </w:r>
          </w:p>
        </w:tc>
        <w:tc>
          <w:tcPr>
            <w:tcW w:w="1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173,829</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r>
      <w:tr>
        <w:trPr>
          <w:trHeight w:val="20"/>
        </w:trPr>
        <w:tc>
          <w:tcPr>
            <w:tcW w:w="38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w:t>
      </w:r>
    </w:p>
    <w:p>
      <w:pPr>
        <w:spacing w:after="0" w:line="114"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Gypsum Wallboard Revenue was $209.2 million, a 7% decrease for the three months ended September 30, 2023. The decrease was primarily due to lower gross sales prices and Sales Volume, which reduced Revenue by $1.1 million, and $14.3 million, respectively. Our market share remained relatively consistent during the three months ended September 30, 2023.</w:t>
      </w:r>
    </w:p>
    <w:p>
      <w:pPr>
        <w:spacing w:after="0" w:line="7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Operating Earnings decreased 5% to $85.7 million, primarily because of lower gross sales prices and Sales Volume, partially offset by lower operating costs. The decline in gross sales prices and Sales Volume negatively affected Operating Earnings by approximately $1.1 million and $5.7 million, respectively. This was partially offset by lower operating costs, which increased Operating Earnings by approximately $2.7 million. Lower operating costs were primarily related to freight, energy and purchased raw materials, which increased Operating Earnings by approximately $1.1 million, $3.0 million and $2.0 million, respectively. This was partially offset by higher maintenance of $0.9 million and wage expense of $1.9 million. Operating Margin increased to 40% for the three months ended September 30, 2023, primarily because of lower operating costs, partly offset by lower gross sales prices. Fixed costs are not a significant portion of the overall cost of wallboard; therefore, changes in utilization have a relatively minor impact on our operating cost per unit.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2023</w:t>
      </w:r>
    </w:p>
    <w:p>
      <w:pPr>
        <w:spacing w:after="0" w:line="114"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Gypsum Wallboard Revenue was $428.3 million, a 3% decrease for the six months ended September 30, 2023. The decrease was primarily due to lower Sales Volume, which reduced Revenue by $23.7 million, partially offset by higher gross sales prices, which increased Revenue by $11.1 million. Our market share remained relatively consistent during the three months ended September 30, 2023.</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Operating Earnings increased 2% to $176.6 million, primarily because of higher gross sales prices and lower operating costs of $11.1 million and $1.0 million, respectively. This was partially offset by lower Sales Volume, which adversely affected Operating Earnings by approximately $9.3 million. Lower operating costs were primarily related to energy, which increased Operating Earnings by approximately $ 8.1 million. This was partially offset by higher maintenance of $2.5 million and fixed costs of $4.8 million. Operating Margin increased to 41% for the six months ended September 30, 2023, primarily because of higher gross sales prices and lower operating expenses.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RECYCLED PAPERBOARD</w:t>
      </w:r>
    </w:p>
    <w:tbl>
      <w:tblPr>
        <w:tblLayout w:type="fixed"/>
        <w:tblInd w:w="4320" w:type="dxa"/>
        <w:tblCellMar>
          <w:top w:w="0" w:type="dxa"/>
          <w:left w:w="0" w:type="dxa"/>
          <w:bottom w:w="0" w:type="dxa"/>
          <w:right w:w="0" w:type="dxa"/>
        </w:tblCellMar>
      </w:tblPr>
      <w:tr>
        <w:trPr>
          <w:trHeight w:val="145"/>
        </w:trPr>
        <w:tc>
          <w:tcPr>
            <w:tcW w:w="2320" w:type="dxa"/>
            <w:vAlign w:val="bottom"/>
            <w:gridSpan w:val="3"/>
            <w:shd w:val="clear" w:color="auto" w:fill="004483"/>
          </w:tcPr>
          <w:p>
            <w:pPr>
              <w:jc w:val="center"/>
              <w:ind w:right="140"/>
              <w:spacing w:after="0" w:line="145" w:lineRule="exact"/>
              <w:rPr>
                <w:sz w:val="20"/>
                <w:szCs w:val="20"/>
                <w:color w:val="auto"/>
              </w:rPr>
            </w:pPr>
            <w:r>
              <w:rPr>
                <w:rFonts w:ascii="Arial" w:cs="Arial" w:eastAsia="Arial" w:hAnsi="Arial"/>
                <w:sz w:val="13"/>
                <w:szCs w:val="13"/>
                <w:b w:val="1"/>
                <w:bCs w:val="1"/>
                <w:color w:val="FFFFFF"/>
                <w:w w:val="96"/>
              </w:rPr>
              <w:t>For the Three Months Ended</w:t>
            </w:r>
          </w:p>
        </w:tc>
        <w:tc>
          <w:tcPr>
            <w:tcW w:w="1260" w:type="dxa"/>
            <w:vAlign w:val="bottom"/>
          </w:tcPr>
          <w:p>
            <w:pPr>
              <w:spacing w:after="0"/>
              <w:rPr>
                <w:sz w:val="12"/>
                <w:szCs w:val="12"/>
                <w:color w:val="auto"/>
              </w:rPr>
            </w:pPr>
          </w:p>
        </w:tc>
        <w:tc>
          <w:tcPr>
            <w:tcW w:w="1800" w:type="dxa"/>
            <w:vAlign w:val="bottom"/>
            <w:shd w:val="clear" w:color="auto" w:fill="004483"/>
          </w:tcPr>
          <w:p>
            <w:pPr>
              <w:jc w:val="right"/>
              <w:spacing w:after="0" w:line="145" w:lineRule="exact"/>
              <w:rPr>
                <w:sz w:val="20"/>
                <w:szCs w:val="20"/>
                <w:color w:val="auto"/>
              </w:rPr>
            </w:pPr>
            <w:r>
              <w:rPr>
                <w:rFonts w:ascii="Arial" w:cs="Arial" w:eastAsia="Arial" w:hAnsi="Arial"/>
                <w:sz w:val="13"/>
                <w:szCs w:val="13"/>
                <w:b w:val="1"/>
                <w:bCs w:val="1"/>
                <w:color w:val="FFFFFF"/>
              </w:rPr>
              <w:t>For the Six Months Ended</w:t>
            </w:r>
          </w:p>
        </w:tc>
        <w:tc>
          <w:tcPr>
            <w:tcW w:w="30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Borders>
              <w:bottom w:val="single" w:sz="8" w:color="auto"/>
            </w:tcBorders>
            <w:shd w:val="clear" w:color="auto" w:fill="004483"/>
          </w:tcPr>
          <w:p>
            <w:pPr>
              <w:jc w:val="center"/>
              <w:ind w:left="437"/>
              <w:spacing w:after="0"/>
              <w:rPr>
                <w:sz w:val="20"/>
                <w:szCs w:val="20"/>
                <w:color w:val="auto"/>
              </w:rPr>
            </w:pPr>
            <w:r>
              <w:rPr>
                <w:rFonts w:ascii="Arial" w:cs="Arial" w:eastAsia="Arial" w:hAnsi="Arial"/>
                <w:sz w:val="13"/>
                <w:szCs w:val="13"/>
                <w:b w:val="1"/>
                <w:bCs w:val="1"/>
                <w:color w:val="FFFFFF"/>
                <w:w w:val="96"/>
              </w:rPr>
              <w:t>September 30,</w:t>
            </w:r>
          </w:p>
        </w:tc>
        <w:tc>
          <w:tcPr>
            <w:tcW w:w="48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1800" w:type="dxa"/>
            <w:vAlign w:val="bottom"/>
            <w:tcBorders>
              <w:bottom w:val="single" w:sz="8" w:color="auto"/>
            </w:tcBorders>
            <w:shd w:val="clear" w:color="auto" w:fill="004483"/>
          </w:tcPr>
          <w:p>
            <w:pPr>
              <w:jc w:val="right"/>
              <w:ind w:right="257"/>
              <w:spacing w:after="0"/>
              <w:rPr>
                <w:sz w:val="20"/>
                <w:szCs w:val="20"/>
                <w:color w:val="auto"/>
              </w:rPr>
            </w:pPr>
            <w:r>
              <w:rPr>
                <w:rFonts w:ascii="Arial" w:cs="Arial" w:eastAsia="Arial" w:hAnsi="Arial"/>
                <w:sz w:val="13"/>
                <w:szCs w:val="13"/>
                <w:b w:val="1"/>
                <w:bCs w:val="1"/>
                <w:color w:val="FFFFFF"/>
              </w:rPr>
              <w:t>September 30,</w:t>
            </w:r>
          </w:p>
        </w:tc>
        <w:tc>
          <w:tcPr>
            <w:tcW w:w="30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900" w:type="dxa"/>
            <w:vAlign w:val="bottom"/>
            <w:vMerge w:val="restart"/>
          </w:tcPr>
          <w:p>
            <w:pPr>
              <w:jc w:val="center"/>
              <w:ind w:left="157"/>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20"/>
        </w:trPr>
        <w:tc>
          <w:tcPr>
            <w:tcW w:w="1720" w:type="dxa"/>
            <w:vAlign w:val="bottom"/>
            <w:vMerge w:val="restart"/>
          </w:tcPr>
          <w:p>
            <w:pPr>
              <w:jc w:val="right"/>
              <w:ind w:right="657"/>
              <w:spacing w:after="0"/>
              <w:rPr>
                <w:sz w:val="20"/>
                <w:szCs w:val="20"/>
                <w:color w:val="auto"/>
              </w:rPr>
            </w:pPr>
            <w:r>
              <w:rPr>
                <w:rFonts w:ascii="Arial" w:cs="Arial" w:eastAsia="Arial" w:hAnsi="Arial"/>
                <w:sz w:val="13"/>
                <w:szCs w:val="13"/>
                <w:b w:val="1"/>
                <w:bCs w:val="1"/>
                <w:color w:val="auto"/>
              </w:rPr>
              <w:t>2023</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800" w:type="dxa"/>
            <w:vAlign w:val="bottom"/>
            <w:vMerge w:val="restart"/>
          </w:tcPr>
          <w:p>
            <w:pPr>
              <w:jc w:val="right"/>
              <w:ind w:right="777"/>
              <w:spacing w:after="0"/>
              <w:rPr>
                <w:sz w:val="20"/>
                <w:szCs w:val="20"/>
                <w:color w:val="auto"/>
              </w:rPr>
            </w:pPr>
            <w:r>
              <w:rPr>
                <w:rFonts w:ascii="Arial" w:cs="Arial" w:eastAsia="Arial" w:hAnsi="Arial"/>
                <w:sz w:val="13"/>
                <w:szCs w:val="13"/>
                <w:b w:val="1"/>
                <w:bCs w:val="1"/>
                <w:color w:val="auto"/>
              </w:rPr>
              <w:t>2023</w:t>
            </w: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Change</w:t>
            </w:r>
          </w:p>
        </w:tc>
        <w:tc>
          <w:tcPr>
            <w:tcW w:w="18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-200025</wp:posOffset>
            </wp:positionV>
            <wp:extent cx="76835" cy="1885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8859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-200025</wp:posOffset>
            </wp:positionV>
            <wp:extent cx="68580" cy="1885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0"/>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sectPr>
      </w:pPr>
    </w:p>
    <w:p>
      <w:pPr>
        <w:jc w:val="center"/>
        <w:ind w:left="3420"/>
        <w:spacing w:after="0"/>
        <w:rPr>
          <w:sz w:val="20"/>
          <w:szCs w:val="20"/>
          <w:color w:val="auto"/>
        </w:rPr>
      </w:pPr>
      <w:r>
        <w:rPr>
          <w:rFonts w:ascii="Arial" w:cs="Arial" w:eastAsia="Arial" w:hAnsi="Arial"/>
          <w:sz w:val="12"/>
          <w:szCs w:val="12"/>
          <w:color w:val="auto"/>
        </w:rPr>
        <w:t>(in thousands, except per ton</w:t>
      </w:r>
    </w:p>
    <w:p>
      <w:pPr>
        <w:jc w:val="center"/>
        <w:ind w:left="344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Arial" w:cs="Arial" w:eastAsia="Arial" w:hAnsi="Arial"/>
          <w:sz w:val="12"/>
          <w:szCs w:val="12"/>
          <w:color w:val="auto"/>
        </w:rPr>
        <w:t>(in thousands, except per ton</w:t>
      </w:r>
    </w:p>
    <w:p>
      <w:pPr>
        <w:jc w:val="center"/>
        <w:ind w:right="156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400" w:space="720"/>
            <w:col w:w="3220"/>
          </w:cols>
          <w:pgMar w:left="320" w:top="603"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4320" w:type="dxa"/>
            <w:vAlign w:val="bottom"/>
            <w:shd w:val="clear" w:color="auto" w:fill="17385E"/>
          </w:tcPr>
          <w:p>
            <w:pPr>
              <w:spacing w:after="0"/>
              <w:rPr>
                <w:sz w:val="2"/>
                <w:szCs w:val="2"/>
                <w:color w:val="auto"/>
              </w:rPr>
            </w:pPr>
          </w:p>
        </w:tc>
        <w:tc>
          <w:tcPr>
            <w:tcW w:w="28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60" w:type="dxa"/>
            <w:vAlign w:val="bottom"/>
            <w:shd w:val="clear" w:color="auto" w:fill="17385E"/>
          </w:tcPr>
          <w:p>
            <w:pPr>
              <w:spacing w:after="0"/>
              <w:rPr>
                <w:sz w:val="2"/>
                <w:szCs w:val="2"/>
                <w:color w:val="auto"/>
              </w:rPr>
            </w:pPr>
          </w:p>
        </w:tc>
        <w:tc>
          <w:tcPr>
            <w:tcW w:w="700" w:type="dxa"/>
            <w:vAlign w:val="bottom"/>
            <w:shd w:val="clear" w:color="auto" w:fill="17385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220" w:type="dxa"/>
            <w:vAlign w:val="bottom"/>
            <w:shd w:val="clear" w:color="auto" w:fill="17385E"/>
          </w:tcPr>
          <w:p>
            <w:pPr>
              <w:spacing w:after="0"/>
              <w:rPr>
                <w:sz w:val="2"/>
                <w:szCs w:val="2"/>
                <w:color w:val="auto"/>
              </w:rPr>
            </w:pPr>
          </w:p>
        </w:tc>
        <w:tc>
          <w:tcPr>
            <w:tcW w:w="70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17385E"/>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004483"/>
              </w:rPr>
              <w:t>Revenue, including intersegment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43,016</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53,673</w:t>
            </w:r>
          </w:p>
        </w:tc>
        <w:tc>
          <w:tcPr>
            <w:tcW w:w="120" w:type="dxa"/>
            <w:vAlign w:val="bottom"/>
          </w:tcPr>
          <w:p>
            <w:pPr>
              <w:spacing w:after="0"/>
              <w:rPr>
                <w:sz w:val="18"/>
                <w:szCs w:val="18"/>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(20 )% $</w:t>
            </w:r>
          </w:p>
        </w:tc>
        <w:tc>
          <w:tcPr>
            <w:tcW w:w="720" w:type="dxa"/>
            <w:vAlign w:val="bottom"/>
          </w:tcPr>
          <w:p>
            <w:pPr>
              <w:jc w:val="right"/>
              <w:spacing w:after="0"/>
              <w:rPr>
                <w:sz w:val="20"/>
                <w:szCs w:val="20"/>
                <w:color w:val="auto"/>
              </w:rPr>
            </w:pPr>
            <w:r>
              <w:rPr>
                <w:rFonts w:ascii="Arial" w:cs="Arial" w:eastAsia="Arial" w:hAnsi="Arial"/>
                <w:sz w:val="16"/>
                <w:szCs w:val="16"/>
                <w:color w:val="auto"/>
              </w:rPr>
              <w:t>88,344</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107,746</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432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(18,710 )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(24,825 )</w:t>
            </w: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(25 )%</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(40,801 )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(47,366 )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28,848</w:t>
            </w:r>
          </w:p>
        </w:tc>
        <w:tc>
          <w:tcPr>
            <w:tcW w:w="120" w:type="dxa"/>
            <w:vAlign w:val="bottom"/>
          </w:tcPr>
          <w:p>
            <w:pPr>
              <w:spacing w:after="0"/>
              <w:rPr>
                <w:sz w:val="17"/>
                <w:szCs w:val="17"/>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(16 )% $</w:t>
            </w:r>
          </w:p>
        </w:tc>
        <w:tc>
          <w:tcPr>
            <w:tcW w:w="720" w:type="dxa"/>
            <w:vAlign w:val="bottom"/>
          </w:tcPr>
          <w:p>
            <w:pPr>
              <w:jc w:val="right"/>
              <w:spacing w:after="0"/>
              <w:rPr>
                <w:sz w:val="20"/>
                <w:szCs w:val="20"/>
                <w:color w:val="auto"/>
              </w:rPr>
            </w:pPr>
            <w:r>
              <w:rPr>
                <w:rFonts w:ascii="Arial" w:cs="Arial" w:eastAsia="Arial" w:hAnsi="Arial"/>
                <w:sz w:val="16"/>
                <w:szCs w:val="16"/>
                <w:color w:val="auto"/>
              </w:rPr>
              <w:t>47,543</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60,380</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43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(6 )%</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(2,469 )</w:t>
            </w: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(100 )% $</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(605 )</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(5,018 )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32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542.28</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603.62</w:t>
            </w:r>
          </w:p>
        </w:tc>
        <w:tc>
          <w:tcPr>
            <w:tcW w:w="120" w:type="dxa"/>
            <w:vAlign w:val="bottom"/>
          </w:tcPr>
          <w:p>
            <w:pPr>
              <w:spacing w:after="0"/>
              <w:rPr>
                <w:sz w:val="18"/>
                <w:szCs w:val="18"/>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(10 )% $</w:t>
            </w:r>
          </w:p>
        </w:tc>
        <w:tc>
          <w:tcPr>
            <w:tcW w:w="720" w:type="dxa"/>
            <w:vAlign w:val="bottom"/>
          </w:tcPr>
          <w:p>
            <w:pPr>
              <w:jc w:val="right"/>
              <w:spacing w:after="0"/>
              <w:rPr>
                <w:sz w:val="20"/>
                <w:szCs w:val="20"/>
                <w:color w:val="auto"/>
              </w:rPr>
            </w:pPr>
            <w:r>
              <w:rPr>
                <w:rFonts w:ascii="Arial" w:cs="Arial" w:eastAsia="Arial" w:hAnsi="Arial"/>
                <w:sz w:val="16"/>
                <w:szCs w:val="16"/>
                <w:color w:val="auto"/>
              </w:rPr>
              <w:t>539.35</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607.73</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004483"/>
              </w:rPr>
              <w:t>Freight, per ton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17"/>
                <w:szCs w:val="17"/>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(100 )% $</w:t>
            </w: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29.69</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94.88</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65.64</w:t>
            </w:r>
          </w:p>
        </w:tc>
        <w:tc>
          <w:tcPr>
            <w:tcW w:w="120" w:type="dxa"/>
            <w:vAlign w:val="bottom"/>
          </w:tcPr>
          <w:p>
            <w:pPr>
              <w:spacing w:after="0"/>
              <w:rPr>
                <w:sz w:val="18"/>
                <w:szCs w:val="18"/>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45 % $</w:t>
            </w:r>
          </w:p>
        </w:tc>
        <w:tc>
          <w:tcPr>
            <w:tcW w:w="720" w:type="dxa"/>
            <w:vAlign w:val="bottom"/>
          </w:tcPr>
          <w:p>
            <w:pPr>
              <w:jc w:val="right"/>
              <w:spacing w:after="0"/>
              <w:rPr>
                <w:sz w:val="20"/>
                <w:szCs w:val="20"/>
                <w:color w:val="auto"/>
              </w:rPr>
            </w:pPr>
            <w:r>
              <w:rPr>
                <w:rFonts w:ascii="Arial" w:cs="Arial" w:eastAsia="Arial" w:hAnsi="Arial"/>
                <w:sz w:val="16"/>
                <w:szCs w:val="16"/>
                <w:color w:val="auto"/>
              </w:rPr>
              <w:t>90.75</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55.59</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63 %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7,590</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18"/>
                <w:szCs w:val="18"/>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36 % $</w:t>
            </w:r>
          </w:p>
        </w:tc>
        <w:tc>
          <w:tcPr>
            <w:tcW w:w="720" w:type="dxa"/>
            <w:vAlign w:val="bottom"/>
          </w:tcPr>
          <w:p>
            <w:pPr>
              <w:jc w:val="right"/>
              <w:spacing w:after="0"/>
              <w:rPr>
                <w:sz w:val="20"/>
                <w:szCs w:val="20"/>
                <w:color w:val="auto"/>
              </w:rPr>
            </w:pPr>
            <w:r>
              <w:rPr>
                <w:rFonts w:ascii="Arial" w:cs="Arial" w:eastAsia="Arial" w:hAnsi="Arial"/>
                <w:sz w:val="16"/>
                <w:szCs w:val="16"/>
                <w:color w:val="auto"/>
              </w:rPr>
              <w:t>14,792</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57 %</w:t>
            </w:r>
          </w:p>
        </w:tc>
      </w:tr>
      <w:tr>
        <w:trPr>
          <w:trHeight w:val="20"/>
        </w:trPr>
        <w:tc>
          <w:tcPr>
            <w:tcW w:w="43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w:t>
      </w:r>
    </w:p>
    <w:p>
      <w:pPr>
        <w:spacing w:after="0" w:line="114" w:lineRule="exact"/>
        <w:rPr>
          <w:sz w:val="20"/>
          <w:szCs w:val="20"/>
          <w:color w:val="auto"/>
        </w:rPr>
      </w:pPr>
    </w:p>
    <w:p>
      <w:pPr>
        <w:jc w:val="both"/>
        <w:ind w:right="460"/>
        <w:spacing w:after="0" w:line="247" w:lineRule="auto"/>
        <w:rPr>
          <w:sz w:val="20"/>
          <w:szCs w:val="20"/>
          <w:color w:val="auto"/>
        </w:rPr>
      </w:pPr>
      <w:r>
        <w:rPr>
          <w:rFonts w:ascii="Arial" w:cs="Arial" w:eastAsia="Arial" w:hAnsi="Arial"/>
          <w:sz w:val="18"/>
          <w:szCs w:val="18"/>
          <w:color w:val="auto"/>
        </w:rPr>
        <w:t>Recycled Paperboard Revenue decreased 20% to $43.0 million during the three months ended September 30, 2023. The decrease was primarily due to lower gross sales prices and Sales Volume, which reduced Revenue by $7.2 million and $3.5 million, respectively. Lower gross sales prices were related to the pricing provisions in our long-term sales agreements.</w:t>
      </w:r>
    </w:p>
    <w:p>
      <w:pPr>
        <w:spacing w:after="0" w:line="7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Operating Earnings increased 36% to $ 7.6 million, primarily because of lower operating expenses, which increased Operating Earnings by $9.5 million. This was partially offset by lower gross sales prices and Sales Volume, which reduced Operating Earnings by approximately $7.2 million and $0.3 million, respectively. The decrease in operating costs was primarily related to lower input costs, namely fiber, and freight, which improved Operating Earnings by approximately $8.0 million, and $2.4 million, respectively. This was partially offset by higher fixed costs of $1.0 million. The Operating Margin increased to 18% because of lower operating costs, partially offset by lower gross sales prices. Although the Company has certain pricing provisions in its long-term sales agreements, prices are only adjusted at certain times throughout the year, so price adjustments are not always reflected in the same period as the change in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2023</w:t>
      </w:r>
    </w:p>
    <w:p>
      <w:pPr>
        <w:spacing w:after="0" w:line="114"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Recycled Paperboard Revenue decreased 18% to $88.3 million during the six months ended September 30, 2023. The decrease was primarily due to lower gross sales prices and Sales Volume, which reduced Revenue by $15.3 million and $4.1 million, respectively. Lower gross sales prices were related to the pricing provisions in our long-term sales agreements.</w:t>
      </w:r>
    </w:p>
    <w:p>
      <w:pPr>
        <w:spacing w:after="0" w:line="7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Operating Earnings increased 57% to $14.8 million, primarily because of lower operating expenses, which increased Operating Earnings by $21.1 million. This was partially offset by lower gross sales prices and Sales Volume, which reduced Operating Earnings by approximately $15.3 million and $0.4 million, respectively. The decrease in operating costs was primarily related to lower input costs, namely fiber, and freight, which lowered Operating Earnings by approximately $ 18.4 million, and $4.4 million, respectively. This was partially offset by higher fixed costs of $1.5 million. The Operating Margin increased to 17% because of lower operating costs, partially offset by lower gross sales prices. Although the Company has certain pricing provisions in its long-term sales agreements, prices are only adjusted at certain times throughout the year, so price adjustments are not always reflected in the same period as the change in costs.</w:t>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1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74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6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62"/>
        </w:trPr>
        <w:tc>
          <w:tcPr>
            <w:tcW w:w="7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73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74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312,839</w:t>
            </w:r>
          </w:p>
        </w:tc>
        <w:tc>
          <w:tcPr>
            <w:tcW w:w="120" w:type="dxa"/>
            <w:vAlign w:val="bottom"/>
          </w:tcPr>
          <w:p>
            <w:pPr>
              <w:spacing w:after="0"/>
              <w:rPr>
                <w:sz w:val="18"/>
                <w:szCs w:val="18"/>
                <w:color w:val="auto"/>
              </w:rPr>
            </w:pPr>
          </w:p>
        </w:tc>
        <w:tc>
          <w:tcPr>
            <w:tcW w:w="124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300,445</w:t>
            </w:r>
          </w:p>
        </w:tc>
        <w:tc>
          <w:tcPr>
            <w:tcW w:w="100" w:type="dxa"/>
            <w:vAlign w:val="bottom"/>
          </w:tcPr>
          <w:p>
            <w:pPr>
              <w:spacing w:after="0"/>
              <w:rPr>
                <w:sz w:val="18"/>
                <w:szCs w:val="18"/>
                <w:color w:val="auto"/>
              </w:rPr>
            </w:pPr>
          </w:p>
        </w:tc>
      </w:tr>
      <w:tr>
        <w:trPr>
          <w:trHeight w:val="230"/>
        </w:trPr>
        <w:tc>
          <w:tcPr>
            <w:tcW w:w="7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Borders>
              <w:bottom w:val="single" w:sz="8" w:color="A6A6A6"/>
            </w:tcBorders>
          </w:tcPr>
          <w:p>
            <w:pPr>
              <w:spacing w:after="0"/>
              <w:rPr>
                <w:sz w:val="20"/>
                <w:szCs w:val="20"/>
                <w:color w:val="auto"/>
              </w:rPr>
            </w:pPr>
          </w:p>
        </w:tc>
        <w:tc>
          <w:tcPr>
            <w:tcW w:w="138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32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(65,453 )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(43,249 )</w:t>
            </w:r>
          </w:p>
        </w:tc>
      </w:tr>
      <w:tr>
        <w:trPr>
          <w:trHeight w:val="20"/>
        </w:trPr>
        <w:tc>
          <w:tcPr>
            <w:tcW w:w="73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32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4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(55,053 )</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(158,451 )</w:t>
            </w:r>
          </w:p>
        </w:tc>
      </w:tr>
      <w:tr>
        <w:trPr>
          <w:trHeight w:val="236"/>
        </w:trPr>
        <w:tc>
          <w:tcPr>
            <w:tcW w:w="7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top w:val="single" w:sz="8" w:color="004483"/>
              <w:bottom w:val="single" w:sz="8" w:color="004483"/>
            </w:tcBorders>
          </w:tcPr>
          <w:p>
            <w:pPr>
              <w:spacing w:after="0"/>
              <w:rPr>
                <w:sz w:val="20"/>
                <w:szCs w:val="20"/>
                <w:color w:val="auto"/>
              </w:rPr>
            </w:pPr>
          </w:p>
        </w:tc>
        <w:tc>
          <w:tcPr>
            <w:tcW w:w="13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(120,506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6A6A6"/>
              <w:bottom w:val="single" w:sz="8" w:color="A6A6A6"/>
            </w:tcBorders>
          </w:tcPr>
          <w:p>
            <w:pPr>
              <w:spacing w:after="0"/>
              <w:rPr>
                <w:sz w:val="20"/>
                <w:szCs w:val="20"/>
                <w:color w:val="auto"/>
              </w:rPr>
            </w:pPr>
          </w:p>
        </w:tc>
        <w:tc>
          <w:tcPr>
            <w:tcW w:w="1060" w:type="dxa"/>
            <w:vAlign w:val="bottom"/>
            <w:tcBorders>
              <w:top w:val="single" w:sz="8" w:color="004483"/>
              <w:bottom w:val="single" w:sz="8" w:color="004483"/>
            </w:tcBorders>
          </w:tcPr>
          <w:p>
            <w:pPr>
              <w:spacing w:after="0"/>
              <w:rPr>
                <w:sz w:val="20"/>
                <w:szCs w:val="20"/>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(201,700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0"/>
        </w:trPr>
        <w:tc>
          <w:tcPr>
            <w:tcW w:w="7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Borders>
              <w:bottom w:val="single" w:sz="8" w:color="A6A6A6"/>
            </w:tcBorders>
          </w:tcPr>
          <w:p>
            <w:pPr>
              <w:spacing w:after="0"/>
              <w:rPr>
                <w:sz w:val="20"/>
                <w:szCs w:val="20"/>
                <w:color w:val="auto"/>
              </w:rPr>
            </w:pPr>
          </w:p>
        </w:tc>
        <w:tc>
          <w:tcPr>
            <w:tcW w:w="138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r>
      <w:tr>
        <w:trPr>
          <w:trHeight w:val="210"/>
        </w:trPr>
        <w:tc>
          <w:tcPr>
            <w:tcW w:w="7320" w:type="dxa"/>
            <w:vAlign w:val="bottom"/>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(5,000 )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(2,500 )</w:t>
            </w:r>
          </w:p>
        </w:tc>
      </w:tr>
      <w:tr>
        <w:trPr>
          <w:trHeight w:val="20"/>
        </w:trPr>
        <w:tc>
          <w:tcPr>
            <w:tcW w:w="73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(17,908 )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(19,149 )</w:t>
            </w:r>
          </w:p>
        </w:tc>
      </w:tr>
      <w:tr>
        <w:trPr>
          <w:trHeight w:val="20"/>
        </w:trPr>
        <w:tc>
          <w:tcPr>
            <w:tcW w:w="73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(151,321 )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(210,398 )</w:t>
            </w:r>
          </w:p>
        </w:tc>
      </w:tr>
      <w:tr>
        <w:trPr>
          <w:trHeight w:val="210"/>
        </w:trPr>
        <w:tc>
          <w:tcPr>
            <w:tcW w:w="73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top w:val="single" w:sz="8" w:color="A6A6A6"/>
              <w:bottom w:val="single" w:sz="8" w:color="A6A6A6"/>
            </w:tcBorders>
          </w:tcPr>
          <w:p>
            <w:pPr>
              <w:spacing w:after="0"/>
              <w:rPr>
                <w:sz w:val="18"/>
                <w:szCs w:val="18"/>
                <w:color w:val="auto"/>
              </w:rPr>
            </w:pPr>
          </w:p>
        </w:tc>
        <w:tc>
          <w:tcPr>
            <w:tcW w:w="1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11,469</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6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r>
      <w:tr>
        <w:trPr>
          <w:trHeight w:val="209"/>
        </w:trPr>
        <w:tc>
          <w:tcPr>
            <w:tcW w:w="732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(903 )</w:t>
            </w:r>
          </w:p>
        </w:tc>
      </w:tr>
      <w:tr>
        <w:trPr>
          <w:trHeight w:val="20"/>
        </w:trPr>
        <w:tc>
          <w:tcPr>
            <w:tcW w:w="73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32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(2,494 )</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(1,806 )</w:t>
            </w:r>
          </w:p>
        </w:tc>
      </w:tr>
      <w:tr>
        <w:trPr>
          <w:trHeight w:val="237"/>
        </w:trPr>
        <w:tc>
          <w:tcPr>
            <w:tcW w:w="7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top w:val="single" w:sz="8" w:color="004483"/>
              <w:bottom w:val="single" w:sz="8" w:color="004483"/>
            </w:tcBorders>
          </w:tcPr>
          <w:p>
            <w:pPr>
              <w:spacing w:after="0"/>
              <w:rPr>
                <w:sz w:val="20"/>
                <w:szCs w:val="20"/>
                <w:color w:val="auto"/>
              </w:rPr>
            </w:pPr>
          </w:p>
        </w:tc>
        <w:tc>
          <w:tcPr>
            <w:tcW w:w="13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(160,254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6A6A6"/>
              <w:bottom w:val="single" w:sz="8" w:color="A6A6A6"/>
            </w:tcBorders>
          </w:tcPr>
          <w:p>
            <w:pPr>
              <w:spacing w:after="0"/>
              <w:rPr>
                <w:sz w:val="20"/>
                <w:szCs w:val="20"/>
                <w:color w:val="auto"/>
              </w:rPr>
            </w:pPr>
          </w:p>
        </w:tc>
        <w:tc>
          <w:tcPr>
            <w:tcW w:w="1060" w:type="dxa"/>
            <w:vAlign w:val="bottom"/>
            <w:tcBorders>
              <w:top w:val="single" w:sz="8" w:color="004483"/>
              <w:bottom w:val="single" w:sz="8" w:color="004483"/>
            </w:tcBorders>
          </w:tcPr>
          <w:p>
            <w:pPr>
              <w:spacing w:after="0"/>
              <w:rPr>
                <w:sz w:val="20"/>
                <w:szCs w:val="20"/>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(34,021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32,079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64,724</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p>
      <w:pPr>
        <w:ind w:right="340"/>
        <w:spacing w:after="0" w:line="247" w:lineRule="auto"/>
        <w:rPr>
          <w:sz w:val="20"/>
          <w:szCs w:val="20"/>
          <w:color w:val="auto"/>
        </w:rPr>
      </w:pPr>
      <w:r>
        <w:rPr>
          <w:rFonts w:ascii="Arial" w:cs="Arial" w:eastAsia="Arial" w:hAnsi="Arial"/>
          <w:sz w:val="18"/>
          <w:szCs w:val="18"/>
          <w:color w:val="auto"/>
        </w:rPr>
        <w:t>Net Cash Provided by Operating Activities increased by $12.4 million to $312.8 million during the six months ended September 30, 2023. This increase was primarily attributable to higher Net Earnings, adjusted for non-cash charges of approximately $33.3 million. This was partially offset by changes in working capital of $15.9 million and lower dividends from our Unconsolidated Joint Venture of $5.0 million.</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Working capital increased by $78.7 million to $ 387.3 million at September 30, 2023, compared with March 31, 2023. The increase was due to higher Cash, Accounts and Notes Receivable, net, Inventories, Prepaid and Other Assets of $32.1 million, $49.7 million, $9.5 million, and $7.0 million, respectively. This was partially offset by lower Income Tax Receivable of $ 8.2 million and higher Income Tax Payable and Accounts Payable and Accrued Liabilities of $2.0 million and $7.6 million, respectively. The increase in inventory was due primarily to the Stockton Terminal Acquisition. The Stockton Terminal Acquisition in May 2023 increased working capital by approximately $3.0 million at September 30, 2023.</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increase in Accounts Receivable at September 30, 2023, was primarily related to higher Revenue during the three months ended September 30, 2023, compared with the three months ended March 31, 2023. As a percentage of quarterly sales generated for the respective quarter, Accounts Receivable was approximately 39% at September 30, 2023 and 41% at March 31, 2023.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2023.</w:t>
      </w:r>
    </w:p>
    <w:p>
      <w:pPr>
        <w:spacing w:after="0" w:line="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Inventory balance at September 30, 2023, increased by approximately $9.5 million from our balance at March 31, 2023. Excluding the Stockton Terminal Acquisition, our Inventory balance increased by $2.8 million. Within Inventory, Aggregates, Recycled Paperboard, Repair Parts and Fuel and Coal increased by approximately $2.1 million, $3.3 million, $3.1 million, and $4.1 million, respectively. This was partially offset by Finished Cement, which declined $4.4 million. The relatively flat balance in Raw Materials and Materials-in-Progress and decline in Finished Cement is consistent with our business cycle; we generally build up clinker inventory over the winter months to meet the demand for cement in the spring and summer. The decrease in repair parts inventory was primarily due to completing most of our scheduled outages during the quarter.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8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Net Cash Used in Investing Activities during the six months ended September 30, 2023, was approximately $120.5 million, compared with $201.7 million during the same period in 2022. The $ 81.2 million decrease was primarily related to the lower purchase price for the Stockton Terminal Acquisition in May 2023, compared with the acquisition completed in the six months ended September 30, 2022, partially offset by higher capital expenditures.</w:t>
      </w:r>
    </w:p>
    <w:p>
      <w:pPr>
        <w:spacing w:after="0" w:line="8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Net Cash Used in Financing Activities was approximately $160.3 million during the six months ended September 30, 2023, compared with $34.0 million during the six months ended September 30, 2022. The $126.3 million increase was primarily related to reduced borrowings of $197.5 million, partially offset by lower Purchase and Retirement of Common Stock of $59.1 million and increased Proceeds from Stock Option Exercises of $10.8 million.</w:t>
      </w:r>
    </w:p>
    <w:p>
      <w:pPr>
        <w:spacing w:after="0" w:line="80"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Our debt-to -capitalization ratio and net-debt-to-capitalization ratio were 45.7% and 44.6%, respectively, at September 30, 2023, compared with 48.1% and 47.8%, respectively, at March 31, 2023.</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September 30,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80" w:type="dxa"/>
            <w:vAlign w:val="bottom"/>
            <w:tcBorders>
              <w:bottom w:val="single" w:sz="8" w:color="004483"/>
            </w:tcBorders>
          </w:tcPr>
          <w:p>
            <w:pPr>
              <w:spacing w:after="0"/>
              <w:rPr>
                <w:sz w:val="16"/>
                <w:szCs w:val="16"/>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3"/>
        </w:trPr>
        <w:tc>
          <w:tcPr>
            <w:tcW w:w="6480" w:type="dxa"/>
            <w:vAlign w:val="bottom"/>
            <w:tcBorders>
              <w:bottom w:val="single" w:sz="8" w:color="A3A3A3"/>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10"/>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6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Facility, as applicable, the Revolving Loans). The Revolving Credit Facility also includes a swingline loan sublimit of $25.0 million, and a</w:t>
      </w:r>
    </w:p>
    <w:p>
      <w:pPr>
        <w:spacing w:after="0" w:line="234" w:lineRule="auto"/>
        <w:rPr>
          <w:sz w:val="20"/>
          <w:szCs w:val="20"/>
          <w:color w:val="auto"/>
        </w:rPr>
      </w:pPr>
      <w:r>
        <w:rPr>
          <w:rFonts w:ascii="Arial" w:cs="Arial" w:eastAsia="Arial" w:hAnsi="Arial"/>
          <w:sz w:val="18"/>
          <w:szCs w:val="18"/>
          <w:color w:val="auto"/>
        </w:rPr>
        <w:t>$40.0 million letter of credit facility. At September 30, 2023 we had $162.0 million outstanding of Revolving Loans under the Revolving Credit</w:t>
      </w:r>
    </w:p>
    <w:p>
      <w:pPr>
        <w:spacing w:after="0" w:line="235" w:lineRule="auto"/>
        <w:rPr>
          <w:sz w:val="20"/>
          <w:szCs w:val="20"/>
          <w:color w:val="auto"/>
        </w:rPr>
      </w:pPr>
      <w:r>
        <w:rPr>
          <w:rFonts w:ascii="Arial" w:cs="Arial" w:eastAsia="Arial" w:hAnsi="Arial"/>
          <w:sz w:val="18"/>
          <w:szCs w:val="18"/>
          <w:color w:val="auto"/>
        </w:rPr>
        <w:t>Facility and $8.3 million of outstanding letters of credit, resulting in $579.7 million of available borrowings under the Revolving Credit Facility,</w:t>
      </w:r>
    </w:p>
    <w:p>
      <w:pPr>
        <w:spacing w:after="0" w:line="235" w:lineRule="auto"/>
        <w:rPr>
          <w:sz w:val="20"/>
          <w:szCs w:val="20"/>
          <w:color w:val="auto"/>
        </w:rPr>
      </w:pPr>
      <w:r>
        <w:rPr>
          <w:rFonts w:ascii="Arial" w:cs="Arial" w:eastAsia="Arial" w:hAnsi="Arial"/>
          <w:sz w:val="18"/>
          <w:szCs w:val="18"/>
          <w:color w:val="auto"/>
        </w:rPr>
        <w:t>net of the outstanding letters of credit. We are contingently liable for performance under $29.0 million in performance bonds relating primarily</w:t>
      </w:r>
    </w:p>
    <w:p>
      <w:pPr>
        <w:spacing w:after="0"/>
        <w:rPr>
          <w:sz w:val="20"/>
          <w:szCs w:val="20"/>
          <w:color w:val="auto"/>
        </w:rPr>
      </w:pPr>
      <w:r>
        <w:rPr>
          <w:rFonts w:ascii="Arial" w:cs="Arial" w:eastAsia="Arial" w:hAnsi="Arial"/>
          <w:sz w:val="18"/>
          <w:szCs w:val="18"/>
          <w:color w:val="auto"/>
        </w:rPr>
        <w:t>to our mining operations. We do not have any off-balance sheet debt, or any outstanding debt guarantees.</w:t>
      </w:r>
    </w:p>
    <w:p>
      <w:pPr>
        <w:spacing w:after="0" w:line="9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86"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8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We have approximately $30.9 million of lease liabilities at September 30, 2023, that have an average remaining life of approximately 9.1 years.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1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Dividends paid were $17.7 million and $19.1 million for the six months ended September 30, 2023 and 2022, respectively. Each quarterly dividend payment is subject to review and approval by our Board of Directors, who will continue to evaluate our dividend payment amount on a quarterly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2023, our share repurchases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70"/>
        </w:trPr>
        <w:tc>
          <w:tcPr>
            <w:tcW w:w="5440" w:type="dxa"/>
            <w:vAlign w:val="bottom"/>
            <w:tcBorders>
              <w:bottom w:val="single" w:sz="8" w:color="004483"/>
            </w:tcBorders>
            <w:vMerge w:val="continue"/>
          </w:tcPr>
          <w:p>
            <w:pPr>
              <w:spacing w:after="0"/>
              <w:rPr>
                <w:sz w:val="14"/>
                <w:szCs w:val="14"/>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160" w:type="dxa"/>
            <w:vAlign w:val="bottom"/>
            <w:tcBorders>
              <w:bottom w:val="single" w:sz="8" w:color="004483"/>
            </w:tcBorders>
          </w:tcPr>
          <w:p>
            <w:pPr>
              <w:spacing w:after="0"/>
              <w:rPr>
                <w:sz w:val="14"/>
                <w:szCs w:val="14"/>
                <w:color w:val="auto"/>
              </w:rPr>
            </w:pPr>
          </w:p>
        </w:tc>
        <w:tc>
          <w:tcPr>
            <w:tcW w:w="340" w:type="dxa"/>
            <w:vAlign w:val="bottom"/>
            <w:tcBorders>
              <w:bottom w:val="single" w:sz="8" w:color="004483"/>
            </w:tcBorders>
          </w:tcPr>
          <w:p>
            <w:pPr>
              <w:spacing w:after="0"/>
              <w:rPr>
                <w:sz w:val="14"/>
                <w:szCs w:val="14"/>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2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2023</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234,000</w:t>
            </w:r>
          </w:p>
        </w:tc>
        <w:tc>
          <w:tcPr>
            <w:tcW w:w="120" w:type="dxa"/>
            <w:vAlign w:val="bottom"/>
          </w:tcPr>
          <w:p>
            <w:pPr>
              <w:spacing w:after="0"/>
              <w:rPr>
                <w:sz w:val="17"/>
                <w:szCs w:val="17"/>
                <w:color w:val="auto"/>
              </w:rPr>
            </w:pPr>
          </w:p>
        </w:tc>
        <w:tc>
          <w:tcPr>
            <w:tcW w:w="50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143.73</w:t>
            </w:r>
          </w:p>
        </w:tc>
        <w:tc>
          <w:tcPr>
            <w:tcW w:w="120" w:type="dxa"/>
            <w:vAlign w:val="bottom"/>
          </w:tcPr>
          <w:p>
            <w:pPr>
              <w:spacing w:after="0"/>
              <w:rPr>
                <w:sz w:val="17"/>
                <w:szCs w:val="17"/>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234,000</w:t>
            </w: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2023</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June 1 through June 30, 2023</w:t>
            </w:r>
          </w:p>
        </w:tc>
        <w:tc>
          <w:tcPr>
            <w:tcW w:w="1300" w:type="dxa"/>
            <w:vAlign w:val="bottom"/>
          </w:tcPr>
          <w:p>
            <w:pPr>
              <w:jc w:val="right"/>
              <w:spacing w:after="0"/>
              <w:rPr>
                <w:sz w:val="20"/>
                <w:szCs w:val="20"/>
                <w:color w:val="auto"/>
              </w:rPr>
            </w:pPr>
            <w:r>
              <w:rPr>
                <w:rFonts w:ascii="Arial" w:cs="Arial" w:eastAsia="Arial" w:hAnsi="Arial"/>
                <w:sz w:val="16"/>
                <w:szCs w:val="16"/>
                <w:color w:val="auto"/>
              </w:rPr>
              <w:t>105,000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161.65</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105,000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484,000</w:t>
            </w:r>
          </w:p>
        </w:tc>
        <w:tc>
          <w:tcPr>
            <w:tcW w:w="120" w:type="dxa"/>
            <w:vAlign w:val="bottom"/>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340" w:type="dxa"/>
            <w:vAlign w:val="bottom"/>
            <w:tcBorders>
              <w:top w:val="single" w:sz="8" w:color="004483"/>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154.54</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484,000</w:t>
            </w: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July 1 through July 31, 2023</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50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184.80</w:t>
            </w:r>
          </w:p>
        </w:tc>
        <w:tc>
          <w:tcPr>
            <w:tcW w:w="120" w:type="dxa"/>
            <w:vAlign w:val="bottom"/>
          </w:tcPr>
          <w:p>
            <w:pPr>
              <w:spacing w:after="0"/>
              <w:rPr>
                <w:sz w:val="17"/>
                <w:szCs w:val="17"/>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August 1 through August 31, 2023</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157,500</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181.29</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157,500</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September 1 through September 30, 2023</w:t>
            </w:r>
          </w:p>
        </w:tc>
        <w:tc>
          <w:tcPr>
            <w:tcW w:w="1300" w:type="dxa"/>
            <w:vAlign w:val="bottom"/>
          </w:tcPr>
          <w:p>
            <w:pPr>
              <w:jc w:val="right"/>
              <w:spacing w:after="0"/>
              <w:rPr>
                <w:sz w:val="20"/>
                <w:szCs w:val="20"/>
                <w:color w:val="auto"/>
              </w:rPr>
            </w:pPr>
            <w:r>
              <w:rPr>
                <w:rFonts w:ascii="Arial" w:cs="Arial" w:eastAsia="Arial" w:hAnsi="Arial"/>
                <w:sz w:val="16"/>
                <w:szCs w:val="16"/>
                <w:color w:val="auto"/>
              </w:rPr>
              <w:t>265,000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176.84</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265,000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2 Totals</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432,500</w:t>
            </w:r>
          </w:p>
        </w:tc>
        <w:tc>
          <w:tcPr>
            <w:tcW w:w="120" w:type="dxa"/>
            <w:vAlign w:val="bottom"/>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340" w:type="dxa"/>
            <w:vAlign w:val="bottom"/>
            <w:tcBorders>
              <w:top w:val="single" w:sz="8" w:color="004483"/>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178.64</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432,500</w:t>
            </w: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916,500</w:t>
            </w:r>
          </w:p>
        </w:tc>
        <w:tc>
          <w:tcPr>
            <w:tcW w:w="280" w:type="dxa"/>
            <w:vAlign w:val="bottom"/>
            <w:gridSpan w:val="2"/>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165.11</w:t>
            </w:r>
          </w:p>
        </w:tc>
        <w:tc>
          <w:tcPr>
            <w:tcW w:w="220" w:type="dxa"/>
            <w:vAlign w:val="bottom"/>
            <w:gridSpan w:val="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916,500</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6,830,704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8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September 30, 2023, we have repurchased approximately 49.1 million shares.</w:t>
      </w:r>
    </w:p>
    <w:p>
      <w:pPr>
        <w:spacing w:after="0" w:line="7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 harbor provided by Rule 10b5-1.</w:t>
      </w:r>
    </w:p>
    <w:p>
      <w:pPr>
        <w:spacing w:after="0" w:line="80"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color w:val="auto"/>
        </w:rPr>
        <w:t>During the six months ended September 30, 2023, the Company withheld from employees 14,572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82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6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62"/>
        </w:trPr>
        <w:tc>
          <w:tcPr>
            <w:tcW w:w="7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73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820" w:type="dxa"/>
            <w:vAlign w:val="bottom"/>
            <w:tcBorders>
              <w:bottom w:val="single" w:sz="8" w:color="004483"/>
            </w:tcBorders>
            <w:gridSpan w:val="4"/>
          </w:tcPr>
          <w:p>
            <w:pPr>
              <w:jc w:val="right"/>
              <w:ind w:right="619"/>
              <w:spacing w:after="0"/>
              <w:rPr>
                <w:sz w:val="20"/>
                <w:szCs w:val="20"/>
                <w:color w:val="auto"/>
              </w:rPr>
            </w:pPr>
            <w:r>
              <w:rPr>
                <w:rFonts w:ascii="Arial" w:cs="Arial" w:eastAsia="Arial" w:hAnsi="Arial"/>
                <w:sz w:val="13"/>
                <w:szCs w:val="13"/>
                <w:color w:val="auto"/>
              </w:rPr>
              <w:t>(dollars in thousands)</w:t>
            </w:r>
          </w:p>
        </w:tc>
        <w:tc>
          <w:tcPr>
            <w:tcW w:w="6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5,504</w:t>
            </w:r>
          </w:p>
        </w:tc>
        <w:tc>
          <w:tcPr>
            <w:tcW w:w="1440" w:type="dxa"/>
            <w:vAlign w:val="bottom"/>
            <w:gridSpan w:val="3"/>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10,157</w:t>
            </w:r>
          </w:p>
        </w:tc>
        <w:tc>
          <w:tcPr>
            <w:tcW w:w="100" w:type="dxa"/>
            <w:vAlign w:val="bottom"/>
          </w:tcPr>
          <w:p>
            <w:pPr>
              <w:spacing w:after="0"/>
              <w:rPr>
                <w:sz w:val="18"/>
                <w:szCs w:val="18"/>
                <w:color w:val="auto"/>
              </w:rPr>
            </w:pPr>
          </w:p>
        </w:tc>
      </w:tr>
      <w:tr>
        <w:trPr>
          <w:trHeight w:val="210"/>
        </w:trPr>
        <w:tc>
          <w:tcPr>
            <w:tcW w:w="7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400" w:type="dxa"/>
            <w:vAlign w:val="bottom"/>
            <w:tcBorders>
              <w:top w:val="single" w:sz="8" w:color="A6A6A6"/>
              <w:bottom w:val="single" w:sz="8" w:color="A6A6A6"/>
            </w:tcBorders>
          </w:tcPr>
          <w:p>
            <w:pPr>
              <w:spacing w:after="0"/>
              <w:rPr>
                <w:sz w:val="18"/>
                <w:szCs w:val="18"/>
                <w:color w:val="auto"/>
              </w:rPr>
            </w:pPr>
          </w:p>
        </w:tc>
        <w:tc>
          <w:tcPr>
            <w:tcW w:w="1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29,628</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21,944</w:t>
            </w:r>
          </w:p>
        </w:tc>
        <w:tc>
          <w:tcPr>
            <w:tcW w:w="100" w:type="dxa"/>
            <w:vAlign w:val="bottom"/>
          </w:tcPr>
          <w:p>
            <w:pPr>
              <w:spacing w:after="0"/>
              <w:rPr>
                <w:sz w:val="18"/>
                <w:szCs w:val="18"/>
                <w:color w:val="auto"/>
              </w:rPr>
            </w:pPr>
          </w:p>
        </w:tc>
      </w:tr>
      <w:tr>
        <w:trPr>
          <w:trHeight w:val="239"/>
        </w:trPr>
        <w:tc>
          <w:tcPr>
            <w:tcW w:w="7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30,321</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40" w:type="dxa"/>
            <w:vAlign w:val="bottom"/>
            <w:tcBorders>
              <w:bottom w:val="single" w:sz="8" w:color="004483"/>
            </w:tcBorders>
          </w:tcPr>
          <w:p>
            <w:pPr>
              <w:spacing w:after="0"/>
              <w:rPr>
                <w:sz w:val="20"/>
                <w:szCs w:val="20"/>
                <w:color w:val="auto"/>
              </w:rPr>
            </w:pP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tcPr>
          <w:p>
            <w:pPr>
              <w:spacing w:after="0"/>
              <w:rPr>
                <w:sz w:val="20"/>
                <w:szCs w:val="20"/>
                <w:color w:val="auto"/>
              </w:rPr>
            </w:pPr>
          </w:p>
        </w:tc>
      </w:tr>
      <w:tr>
        <w:trPr>
          <w:trHeight w:val="210"/>
        </w:trPr>
        <w:tc>
          <w:tcPr>
            <w:tcW w:w="732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65,453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004483"/>
            </w:tcBorders>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43,249</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Capital expenditures for fiscal 2024 are expected to range from $145.0 million to $165.0 million and will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can expected to adversely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or on economic conditions, capital and financial markets. These and other factors are described in the Company’s Annual Report on Form 10-K for the fiscal year ended March 31, 2023.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September 30, 2023, under which borrowings bear interest at a variable rate. A hypothetical 100 basis point increase in interest rates on the $ 162.0 million of borrowings under the Revolving Credit Facility and the $187.5 million of borrowings under the Term Loan at September 30, 2023, would increase interest expense by approximately $3.5 million on an annual basis. At present, we do not utilize derivative financial instruments.</w:t>
      </w:r>
    </w:p>
    <w:p>
      <w:pPr>
        <w:spacing w:after="0" w:line="8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addition to the legal matters described in Part 1, Item 3 "Legal Proceedings" of our Form 10-K for the fiscal year ended March 31, 2023,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3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2023, filed with the Securities and Exchange Commission on May 19, 2023.</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3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3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3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second quarter ended September 30, 2023.</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59" w:right="51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6. Exhibits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2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4380" w:type="dxa"/>
            <w:vAlign w:val="bottom"/>
            <w:gridSpan w:val="7"/>
            <w:vMerge w:val="restart"/>
          </w:tcPr>
          <w:p>
            <w:pPr>
              <w:spacing w:after="0"/>
              <w:rPr>
                <w:sz w:val="20"/>
                <w:szCs w:val="20"/>
                <w:color w:val="auto"/>
              </w:rPr>
            </w:pPr>
            <w:r>
              <w:rPr>
                <w:rFonts w:ascii="Arial" w:cs="Arial" w:eastAsia="Arial" w:hAnsi="Arial"/>
                <w:sz w:val="18"/>
                <w:szCs w:val="18"/>
                <w:color w:val="auto"/>
              </w:rPr>
              <w:t>Eagle Materials Inc. Director Compensation Summary.</w:t>
            </w: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544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4380" w:type="dxa"/>
            <w:vAlign w:val="bottom"/>
            <w:tcBorders>
              <w:bottom w:val="single" w:sz="8" w:color="0000EE"/>
            </w:tcBorders>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5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gridSpan w:val="12"/>
          </w:tcPr>
          <w:p>
            <w:pPr>
              <w:spacing w:after="0"/>
              <w:rPr>
                <w:sz w:val="20"/>
                <w:szCs w:val="20"/>
                <w:color w:val="auto"/>
              </w:rPr>
            </w:pPr>
            <w:r>
              <w:rPr>
                <w:rFonts w:ascii="Arial" w:cs="Arial" w:eastAsia="Arial" w:hAnsi="Arial"/>
                <w:sz w:val="18"/>
                <w:szCs w:val="18"/>
                <w:color w:val="auto"/>
              </w:rPr>
              <w:t xml:space="preserve">Form of Director Restricted Stock Agreement. </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36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 xml:space="preserve">Form of Director Stock Option Agreement. </w:t>
            </w:r>
            <w:r>
              <w:rPr>
                <w:rFonts w:ascii="Arial" w:cs="Arial" w:eastAsia="Arial" w:hAnsi="Arial"/>
                <w:sz w:val="24"/>
                <w:szCs w:val="24"/>
                <w:color w:val="auto"/>
                <w:vertAlign w:val="superscript"/>
              </w:rPr>
              <w:t>(1)</w:t>
            </w:r>
          </w:p>
        </w:tc>
        <w:tc>
          <w:tcPr>
            <w:tcW w:w="6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9"/>
              </w:rPr>
              <w:t>to Section 906 of the Sarbanes-Oxley Act of 2002.</w:t>
            </w:r>
          </w:p>
        </w:tc>
        <w:tc>
          <w:tcPr>
            <w:tcW w:w="59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9"/>
              </w:rPr>
              <w:t>Section 906 of the Sarbanes-Oxley Act of 2002.</w:t>
            </w:r>
          </w:p>
        </w:tc>
        <w:tc>
          <w:tcPr>
            <w:tcW w:w="6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12"/>
          </w:tcPr>
          <w:p>
            <w:pPr>
              <w:spacing w:after="0"/>
              <w:rPr>
                <w:sz w:val="20"/>
                <w:szCs w:val="20"/>
                <w:color w:val="auto"/>
              </w:rPr>
            </w:pPr>
            <w:r>
              <w:rPr>
                <w:rFonts w:ascii="Arial" w:cs="Arial" w:eastAsia="Arial" w:hAnsi="Arial"/>
                <w:sz w:val="18"/>
                <w:szCs w:val="18"/>
                <w:color w:val="auto"/>
              </w:rPr>
              <w:t>Mine Safety Disclosure.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960" w:type="dxa"/>
            <w:vAlign w:val="bottom"/>
            <w:gridSpan w:val="12"/>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640" w:firstLine="21"/>
        <w:spacing w:after="0" w:line="359" w:lineRule="auto"/>
        <w:tabs>
          <w:tab w:leader="none" w:pos="12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3742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400" w:hanging="392"/>
        <w:spacing w:after="0" w:line="200" w:lineRule="auto"/>
        <w:tabs>
          <w:tab w:leader="none" w:pos="400" w:val="left"/>
        </w:tabs>
        <w:numPr>
          <w:ilvl w:val="0"/>
          <w:numId w:val="14"/>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54"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Vice President – Finance and</w:t>
      </w:r>
    </w:p>
    <w:p>
      <w:pPr>
        <w:jc w:val="center"/>
        <w:ind w:left="6740"/>
        <w:spacing w:after="0" w:line="234"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54"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13970</wp:posOffset>
            </wp:positionV>
            <wp:extent cx="2837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0"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William R. Devlin</w:t>
      </w:r>
    </w:p>
    <w:p>
      <w:pPr>
        <w:jc w:val="center"/>
        <w:ind w:left="676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9"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 -- Compensation Summary</w:t>
      </w:r>
    </w:p>
    <w:p>
      <w:pPr>
        <w:jc w:val="center"/>
        <w:spacing w:after="0"/>
        <w:rPr>
          <w:sz w:val="20"/>
          <w:szCs w:val="20"/>
          <w:color w:val="auto"/>
        </w:rPr>
      </w:pPr>
      <w:r>
        <w:rPr>
          <w:rFonts w:ascii="Arial" w:cs="Arial" w:eastAsia="Arial" w:hAnsi="Arial"/>
          <w:sz w:val="22"/>
          <w:szCs w:val="22"/>
          <w:b w:val="1"/>
          <w:bCs w:val="1"/>
          <w:color w:val="auto"/>
        </w:rPr>
        <w:t>Effective August 2023 to July 2024</w:t>
      </w:r>
    </w:p>
    <w:p>
      <w:pPr>
        <w:spacing w:after="0" w:line="215" w:lineRule="exact"/>
        <w:rPr>
          <w:sz w:val="20"/>
          <w:szCs w:val="20"/>
          <w:color w:val="auto"/>
        </w:rPr>
      </w:pPr>
    </w:p>
    <w:p>
      <w:pPr>
        <w:ind w:right="860" w:firstLine="749"/>
        <w:spacing w:after="0" w:line="328" w:lineRule="auto"/>
        <w:rPr>
          <w:sz w:val="20"/>
          <w:szCs w:val="20"/>
          <w:color w:val="auto"/>
        </w:rPr>
      </w:pPr>
      <w:r>
        <w:rPr>
          <w:rFonts w:ascii="Arial" w:cs="Arial" w:eastAsia="Arial" w:hAnsi="Arial"/>
          <w:sz w:val="19"/>
          <w:szCs w:val="19"/>
          <w:color w:val="auto"/>
        </w:rPr>
        <w:t>On an annual basis, each non-employee director of Eagle Materials Inc. (the “Company”) may select one of the following compensation packages for his or her performance of director services during the next 12 months:</w:t>
      </w:r>
    </w:p>
    <w:p>
      <w:pPr>
        <w:spacing w:after="0" w:line="132" w:lineRule="exact"/>
        <w:rPr>
          <w:sz w:val="20"/>
          <w:szCs w:val="20"/>
          <w:color w:val="auto"/>
        </w:rPr>
      </w:pPr>
    </w:p>
    <w:p>
      <w:pPr>
        <w:ind w:left="1500" w:right="160" w:hanging="690"/>
        <w:spacing w:after="0" w:line="250" w:lineRule="auto"/>
        <w:tabs>
          <w:tab w:leader="none" w:pos="1237" w:val="left"/>
        </w:tabs>
        <w:numPr>
          <w:ilvl w:val="0"/>
          <w:numId w:val="15"/>
        </w:numPr>
        <w:rPr>
          <w:rFonts w:ascii="Arial" w:cs="Arial" w:eastAsia="Arial" w:hAnsi="Arial"/>
          <w:sz w:val="22"/>
          <w:szCs w:val="22"/>
          <w:color w:val="auto"/>
        </w:rPr>
      </w:pPr>
      <w:r>
        <w:rPr>
          <w:rFonts w:ascii="Arial" w:cs="Arial" w:eastAsia="Arial" w:hAnsi="Arial"/>
          <w:sz w:val="22"/>
          <w:szCs w:val="22"/>
          <w:color w:val="auto"/>
        </w:rPr>
        <w:t>total annual compensation valued at $230,000, of which $105,000 is paid in cash and the remainder is provided in the form of an equity grant valued at $125,000; or</w:t>
      </w:r>
    </w:p>
    <w:p>
      <w:pPr>
        <w:spacing w:after="0" w:line="201" w:lineRule="exact"/>
        <w:rPr>
          <w:rFonts w:ascii="Arial" w:cs="Arial" w:eastAsia="Arial" w:hAnsi="Arial"/>
          <w:sz w:val="22"/>
          <w:szCs w:val="22"/>
          <w:color w:val="auto"/>
        </w:rPr>
      </w:pPr>
    </w:p>
    <w:p>
      <w:pPr>
        <w:ind w:left="1240" w:hanging="430"/>
        <w:spacing w:after="0"/>
        <w:tabs>
          <w:tab w:leader="none" w:pos="12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 equity grant valued at $261,500.</w:t>
      </w:r>
    </w:p>
    <w:p>
      <w:pPr>
        <w:spacing w:after="0" w:line="233" w:lineRule="exact"/>
        <w:rPr>
          <w:sz w:val="20"/>
          <w:szCs w:val="20"/>
          <w:color w:val="auto"/>
        </w:rPr>
      </w:pPr>
    </w:p>
    <w:p>
      <w:pPr>
        <w:jc w:val="both"/>
        <w:ind w:right="480"/>
        <w:spacing w:after="0"/>
        <w:rPr>
          <w:sz w:val="20"/>
          <w:szCs w:val="20"/>
          <w:color w:val="auto"/>
        </w:rPr>
      </w:pPr>
      <w:r>
        <w:rPr>
          <w:rFonts w:ascii="Arial" w:cs="Arial" w:eastAsia="Arial" w:hAnsi="Arial"/>
          <w:sz w:val="22"/>
          <w:szCs w:val="22"/>
          <w:color w:val="auto"/>
        </w:rPr>
        <w:t>The grant date value of the equity grant under either alternative is allocated between restricted stock and options to purchase common stock of the Company, par value $0.01 (“Common Stock”) (based upon the recommendation of the Compensation Committee) with respect to each non-employee director.</w:t>
      </w:r>
    </w:p>
    <w:p>
      <w:pPr>
        <w:spacing w:after="0" w:line="213" w:lineRule="exact"/>
        <w:rPr>
          <w:sz w:val="20"/>
          <w:szCs w:val="20"/>
          <w:color w:val="auto"/>
        </w:rPr>
      </w:pPr>
    </w:p>
    <w:p>
      <w:pPr>
        <w:ind w:right="20" w:firstLine="749"/>
        <w:spacing w:after="0" w:line="245" w:lineRule="auto"/>
        <w:rPr>
          <w:sz w:val="20"/>
          <w:szCs w:val="20"/>
          <w:color w:val="auto"/>
        </w:rPr>
      </w:pPr>
      <w:r>
        <w:rPr>
          <w:rFonts w:ascii="Arial" w:cs="Arial" w:eastAsia="Arial" w:hAnsi="Arial"/>
          <w:sz w:val="21"/>
          <w:szCs w:val="21"/>
          <w:color w:val="auto"/>
        </w:rPr>
        <w:t>In accordance with the terms of the Eagle Materials Inc. 2023 Equity Incentive Plan, the exercise price of the stock options is set at the closing price of the Common Stock on the New York Stock Exchange (“NYSE”) on the date of grant. The number of option shares granted is determined as of the date of the grant by using the Black-Scholes method. All options granted to directors in August 2023 have a ten-year term but are subject to vesting requirements, with the options becoming fully vested (exercisable)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211" w:lineRule="exact"/>
        <w:rPr>
          <w:sz w:val="20"/>
          <w:szCs w:val="20"/>
          <w:color w:val="auto"/>
        </w:rPr>
      </w:pPr>
    </w:p>
    <w:p>
      <w:pPr>
        <w:ind w:right="200" w:firstLine="749"/>
        <w:spacing w:after="0" w:line="245" w:lineRule="auto"/>
        <w:rPr>
          <w:sz w:val="20"/>
          <w:szCs w:val="20"/>
          <w:color w:val="auto"/>
        </w:rPr>
      </w:pPr>
      <w:r>
        <w:rPr>
          <w:rFonts w:ascii="Arial" w:cs="Arial" w:eastAsia="Arial" w:hAnsi="Arial"/>
          <w:sz w:val="21"/>
          <w:szCs w:val="21"/>
          <w:color w:val="auto"/>
        </w:rPr>
        <w:t>The number of shares of restricted stock is determined as of the date of grant using the closing price of the Common Stock on the NYSE on the date of grant. The restricted stock granted to directors in August 2023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respect to such shares that were paid to holders of Common Stock during the restriction period.</w:t>
      </w:r>
    </w:p>
    <w:p>
      <w:pPr>
        <w:spacing w:after="0" w:line="23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9"/>
          <w:szCs w:val="19"/>
          <w:color w:val="auto"/>
        </w:rPr>
        <w:t>Non-employee directors who chair committees of the Board of Directors receive additional annual compensation. The chairs of the Audit Committee, Compensation Committee and Governance Committee each receive a fee of $20,000 per year. The Chairman of the Board of Directors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77" w:lineRule="exact"/>
        <w:rPr>
          <w:sz w:val="20"/>
          <w:szCs w:val="20"/>
          <w:color w:val="auto"/>
        </w:rPr>
      </w:pPr>
    </w:p>
    <w:p>
      <w:pPr>
        <w:ind w:firstLine="432"/>
        <w:spacing w:after="0" w:line="238" w:lineRule="auto"/>
        <w:rPr>
          <w:sz w:val="20"/>
          <w:szCs w:val="20"/>
          <w:color w:val="auto"/>
        </w:rPr>
      </w:pPr>
      <w:r>
        <w:rPr>
          <w:rFonts w:ascii="Arial" w:cs="Arial" w:eastAsia="Arial" w:hAnsi="Arial"/>
          <w:sz w:val="22"/>
          <w:szCs w:val="22"/>
          <w:color w:val="auto"/>
        </w:rPr>
        <w:t>In certain prior years, equity grants were in some cases made in the form of restricted stock units (“RSUs”). In the case of non-employee directors who hold unvested RSUs (which currently only includes Mr. Nicolais), these directors will receive dividend equivalent units as and when the Company issues a cash dividend on the Common Stock, in accordance with the terms of the RSUs.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All directors are reimbursed for reasonable expenses of attending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EQUITY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Eagle Materials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Restricted Stock Award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August 7, 2023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214" w:lineRule="exact"/>
        <w:rPr>
          <w:sz w:val="20"/>
          <w:szCs w:val="20"/>
          <w:color w:val="auto"/>
        </w:rPr>
      </w:pPr>
    </w:p>
    <w:p>
      <w:pPr>
        <w:ind w:left="1020" w:hanging="263"/>
        <w:spacing w:after="0"/>
        <w:tabs>
          <w:tab w:leader="none" w:pos="102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 shares of Common Stock of the Company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757"/>
        <w:spacing w:after="0" w:line="287" w:lineRule="auto"/>
        <w:tabs>
          <w:tab w:leader="none" w:pos="101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Relationship to the Plan</w:t>
      </w:r>
      <w:r>
        <w:rPr>
          <w:rFonts w:ascii="Arial" w:cs="Arial" w:eastAsia="Arial" w:hAnsi="Arial"/>
          <w:sz w:val="19"/>
          <w:szCs w:val="19"/>
          <w:color w:val="auto"/>
        </w:rPr>
        <w:t>. The Award shall be subject to the terms and conditions of the Eagle Materials Inc. 2023 Equity Incentive Plan (as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this Agreement and such administrative interpretations of the Plan, if any, as such interpretations may be in effect on the date of this Agreement or thereafter. Except as defined herein, capitalized terms shall have the meanings ascribed to them under the Plan. For purposes of this Agreement:</w:t>
      </w:r>
    </w:p>
    <w:p>
      <w:pPr>
        <w:spacing w:after="0" w:line="142" w:lineRule="exact"/>
        <w:rPr>
          <w:rFonts w:ascii="Arial" w:cs="Arial" w:eastAsia="Arial" w:hAnsi="Arial"/>
          <w:sz w:val="19"/>
          <w:szCs w:val="19"/>
          <w:color w:val="auto"/>
        </w:rPr>
      </w:pPr>
    </w:p>
    <w:p>
      <w:pPr>
        <w:ind w:left="226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a disability of the Grantee as determined by the Committee.</w:t>
      </w:r>
    </w:p>
    <w:p>
      <w:pPr>
        <w:spacing w:after="0" w:line="206" w:lineRule="exact"/>
        <w:rPr>
          <w:rFonts w:ascii="Arial" w:cs="Arial" w:eastAsia="Arial" w:hAnsi="Arial"/>
          <w:sz w:val="22"/>
          <w:szCs w:val="22"/>
          <w:color w:val="auto"/>
        </w:rPr>
      </w:pPr>
    </w:p>
    <w:p>
      <w:pPr>
        <w:ind w:left="2260" w:hanging="755"/>
        <w:spacing w:after="0" w:line="250" w:lineRule="auto"/>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shall mean the period beginning on the Award Date and ending on the date immediately preceding the Vesting Date (as defined below) for a Share.</w:t>
      </w:r>
    </w:p>
    <w:p>
      <w:pPr>
        <w:spacing w:after="0" w:line="174" w:lineRule="exact"/>
        <w:rPr>
          <w:rFonts w:ascii="Arial" w:cs="Arial" w:eastAsia="Arial" w:hAnsi="Arial"/>
          <w:sz w:val="22"/>
          <w:szCs w:val="22"/>
          <w:color w:val="auto"/>
        </w:rPr>
      </w:pPr>
    </w:p>
    <w:p>
      <w:pPr>
        <w:jc w:val="both"/>
        <w:ind w:left="226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86" w:lineRule="exact"/>
        <w:rPr>
          <w:rFonts w:ascii="Arial" w:cs="Arial" w:eastAsia="Arial" w:hAnsi="Arial"/>
          <w:sz w:val="22"/>
          <w:szCs w:val="22"/>
          <w:color w:val="auto"/>
        </w:rPr>
      </w:pPr>
    </w:p>
    <w:p>
      <w:pPr>
        <w:ind w:left="1020" w:hanging="263"/>
        <w:spacing w:after="0"/>
        <w:tabs>
          <w:tab w:leader="none" w:pos="102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260" w:hanging="755"/>
        <w:spacing w:after="0" w:line="249" w:lineRule="auto"/>
        <w:tabs>
          <w:tab w:leader="none" w:pos="2260"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Vesting Criteria</w:t>
      </w:r>
      <w:r>
        <w:rPr>
          <w:rFonts w:ascii="Arial" w:cs="Arial" w:eastAsia="Arial" w:hAnsi="Arial"/>
          <w:sz w:val="21"/>
          <w:szCs w:val="21"/>
          <w:color w:val="auto"/>
        </w:rPr>
        <w:t>. The Grantee’s interest in the Shares shall vest in full as of the earliest of (i) the one-year anniversary of the Award Date; (ii) the next annual meeting of the Company’s stockholders, which is at least 50 weeks after the immediately preceding year’s annual meeting; (iii) the Grantee’s Retirement; (iv) the Grantee’s Disability; or (v) the Grantee’s death (as applicable, the “</w:t>
      </w:r>
      <w:r>
        <w:rPr>
          <w:rFonts w:ascii="Arial" w:cs="Arial" w:eastAsia="Arial" w:hAnsi="Arial"/>
          <w:sz w:val="21"/>
          <w:szCs w:val="21"/>
          <w:u w:val="single" w:color="auto"/>
          <w:color w:val="auto"/>
        </w:rPr>
        <w:t>Vesting Date</w:t>
      </w:r>
      <w:r>
        <w:rPr>
          <w:rFonts w:ascii="Arial" w:cs="Arial" w:eastAsia="Arial" w:hAnsi="Arial"/>
          <w:sz w:val="21"/>
          <w:szCs w:val="21"/>
          <w:color w:val="auto"/>
        </w:rPr>
        <w:t>”). Prior to the Vesting Date, all Shares shall be unvested Shares.</w:t>
      </w:r>
    </w:p>
    <w:p>
      <w:pPr>
        <w:spacing w:after="0" w:line="178" w:lineRule="exact"/>
        <w:rPr>
          <w:rFonts w:ascii="Arial" w:cs="Arial" w:eastAsia="Arial" w:hAnsi="Arial"/>
          <w:sz w:val="21"/>
          <w:szCs w:val="21"/>
          <w:color w:val="auto"/>
        </w:rPr>
      </w:pPr>
    </w:p>
    <w:p>
      <w:pPr>
        <w:jc w:val="both"/>
        <w:ind w:left="2260" w:hanging="755"/>
        <w:spacing w:after="0" w:line="287" w:lineRule="auto"/>
        <w:tabs>
          <w:tab w:leader="none" w:pos="226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During the Restriction Period, the Grantee may not sell, transfer, pledge, assign, hypothecate, encumber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42" w:lineRule="exact"/>
        <w:rPr>
          <w:rFonts w:ascii="Arial" w:cs="Arial" w:eastAsia="Arial" w:hAnsi="Arial"/>
          <w:sz w:val="19"/>
          <w:szCs w:val="19"/>
          <w:color w:val="auto"/>
        </w:rPr>
      </w:pPr>
    </w:p>
    <w:p>
      <w:pPr>
        <w:jc w:val="both"/>
        <w:ind w:left="2260" w:hanging="755"/>
        <w:spacing w:after="0" w:line="238" w:lineRule="auto"/>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Subject to Section 4, the Grantee must be in continuous service as a Non-Employee Director for purposes of Section 1.4 of the Plan (“</w:t>
      </w:r>
      <w:r>
        <w:rPr>
          <w:rFonts w:ascii="Arial" w:cs="Arial" w:eastAsia="Arial" w:hAnsi="Arial"/>
          <w:sz w:val="22"/>
          <w:szCs w:val="22"/>
          <w:u w:val="single" w:color="auto"/>
          <w:color w:val="auto"/>
        </w:rPr>
        <w:t>Continuous Service</w:t>
      </w:r>
      <w:r>
        <w:rPr>
          <w:rFonts w:ascii="Arial" w:cs="Arial" w:eastAsia="Arial" w:hAnsi="Arial"/>
          <w:sz w:val="22"/>
          <w:szCs w:val="22"/>
          <w:color w:val="auto"/>
        </w:rPr>
        <w:t>”) from the Award Date through the Vesting Date for an unvested Share to become vested. Subject to Section 4, the termination of such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left="2260"/>
        <w:spacing w:after="0" w:line="251" w:lineRule="auto"/>
        <w:rPr>
          <w:sz w:val="20"/>
          <w:szCs w:val="20"/>
          <w:color w:val="auto"/>
        </w:rPr>
      </w:pPr>
      <w:r>
        <w:rPr>
          <w:rFonts w:ascii="Arial" w:cs="Arial" w:eastAsia="Arial" w:hAnsi="Arial"/>
          <w:sz w:val="22"/>
          <w:szCs w:val="22"/>
          <w:color w:val="auto"/>
        </w:rPr>
        <w:t>prior to the Vesting Date shall cause all unvested Shares to be automatically forfeited as of the date of such termination of Continuous Service.</w:t>
      </w:r>
    </w:p>
    <w:p>
      <w:pPr>
        <w:spacing w:after="0" w:line="173" w:lineRule="exact"/>
        <w:rPr>
          <w:sz w:val="20"/>
          <w:szCs w:val="20"/>
          <w:color w:val="auto"/>
        </w:rPr>
      </w:pPr>
    </w:p>
    <w:p>
      <w:pPr>
        <w:jc w:val="both"/>
        <w:ind w:firstLine="757"/>
        <w:spacing w:after="0" w:line="238" w:lineRule="auto"/>
        <w:tabs>
          <w:tab w:leader="none" w:pos="101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Section 3 above, if the Grantee has been in Continuous Service from the Award Date through the occurrence of a Change in Control, then, in the event of the occurrence of such a Change in Control, any vesting of the Shares will remain subject to the applicable provisions of the Plan, including, but not limited to, Sections 1.3 and 5.8 thereof.</w:t>
      </w:r>
    </w:p>
    <w:p>
      <w:pPr>
        <w:spacing w:after="0" w:line="184" w:lineRule="exact"/>
        <w:rPr>
          <w:rFonts w:ascii="Arial" w:cs="Arial" w:eastAsia="Arial" w:hAnsi="Arial"/>
          <w:sz w:val="22"/>
          <w:szCs w:val="22"/>
          <w:color w:val="auto"/>
        </w:rPr>
      </w:pPr>
    </w:p>
    <w:p>
      <w:pPr>
        <w:jc w:val="both"/>
        <w:ind w:firstLine="757"/>
        <w:spacing w:after="0" w:line="282" w:lineRule="auto"/>
        <w:tabs>
          <w:tab w:leader="none" w:pos="101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xml:space="preserve">. The Grantee shall have the right to vote the Shares. On the Vesting Date, the Grantee shall be paid a cash dividend payment equal to: (i) the sum of per share dividends paid with respect to Common Stock during the period from the Award Date to the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record date for such dividend payment is on or after the Award Date; times (ii) the number of Shares determined to be vested with respect to the Vesting Date, it being understood that the Grantee’s entitlement to receive such dividend payment shall be subject to the same vesting conditions as the Shares hereunder.</w:t>
      </w:r>
    </w:p>
    <w:p>
      <w:pPr>
        <w:spacing w:after="0" w:line="147" w:lineRule="exact"/>
        <w:rPr>
          <w:rFonts w:ascii="Arial" w:cs="Arial" w:eastAsia="Arial" w:hAnsi="Arial"/>
          <w:sz w:val="19"/>
          <w:szCs w:val="19"/>
          <w:color w:val="auto"/>
        </w:rPr>
      </w:pPr>
    </w:p>
    <w:p>
      <w:pPr>
        <w:jc w:val="both"/>
        <w:ind w:firstLine="757"/>
        <w:spacing w:after="0" w:line="279" w:lineRule="auto"/>
        <w:tabs>
          <w:tab w:leader="none" w:pos="101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Corporate Events</w:t>
      </w:r>
      <w:r>
        <w:rPr>
          <w:rFonts w:ascii="Arial" w:cs="Arial" w:eastAsia="Arial" w:hAnsi="Arial"/>
          <w:sz w:val="19"/>
          <w:szCs w:val="19"/>
          <w:color w:val="auto"/>
        </w:rPr>
        <w:t>. If, from time to time during the term of the Restriction Period, there is any equity restructuring affecting the outstanding Common Stock that causes the per share value of Common Stock to change, the Shares and other applicable terms of this Award shall be adjusted in accordance with the provisions of Section 5.7 of the Plan. Any and all new, substituted or additional securities to which the Grantee may be entitled by reason of the Grantee’s ownership of the Shares hereunder because of an equity restructuring shall be immediately subject to the restrictions set forth herein (as may be modified pursuant to this Agreement) and included thereafter as Shares for purposes of this Agreement.</w:t>
      </w:r>
    </w:p>
    <w:p>
      <w:pPr>
        <w:spacing w:after="0" w:line="150" w:lineRule="exact"/>
        <w:rPr>
          <w:rFonts w:ascii="Arial" w:cs="Arial" w:eastAsia="Arial" w:hAnsi="Arial"/>
          <w:sz w:val="19"/>
          <w:szCs w:val="19"/>
          <w:color w:val="auto"/>
        </w:rPr>
      </w:pPr>
    </w:p>
    <w:p>
      <w:pPr>
        <w:ind w:left="1020" w:hanging="263"/>
        <w:spacing w:after="0"/>
        <w:tabs>
          <w:tab w:leader="none" w:pos="102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06" w:lineRule="exact"/>
        <w:rPr>
          <w:rFonts w:ascii="Arial" w:cs="Arial" w:eastAsia="Arial" w:hAnsi="Arial"/>
          <w:sz w:val="22"/>
          <w:szCs w:val="22"/>
          <w:color w:val="auto"/>
        </w:rPr>
      </w:pPr>
    </w:p>
    <w:p>
      <w:pPr>
        <w:ind w:left="2260" w:hanging="755"/>
        <w:spacing w:after="0" w:line="250" w:lineRule="auto"/>
        <w:tabs>
          <w:tab w:leader="none" w:pos="22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w:t>
      </w:r>
    </w:p>
    <w:p>
      <w:pPr>
        <w:spacing w:after="0" w:line="174" w:lineRule="exact"/>
        <w:rPr>
          <w:rFonts w:ascii="Arial" w:cs="Arial" w:eastAsia="Arial" w:hAnsi="Arial"/>
          <w:sz w:val="22"/>
          <w:szCs w:val="22"/>
          <w:color w:val="auto"/>
        </w:rPr>
      </w:pPr>
    </w:p>
    <w:p>
      <w:pPr>
        <w:ind w:left="2260" w:right="20" w:hanging="755"/>
        <w:spacing w:after="0" w:line="250" w:lineRule="auto"/>
        <w:tabs>
          <w:tab w:leader="none" w:pos="22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w:t>
      </w:r>
    </w:p>
    <w:p>
      <w:pPr>
        <w:spacing w:after="0" w:line="174" w:lineRule="exact"/>
        <w:rPr>
          <w:rFonts w:ascii="Arial" w:cs="Arial" w:eastAsia="Arial" w:hAnsi="Arial"/>
          <w:sz w:val="22"/>
          <w:szCs w:val="22"/>
          <w:color w:val="auto"/>
        </w:rPr>
      </w:pPr>
    </w:p>
    <w:p>
      <w:pPr>
        <w:ind w:left="2260" w:hanging="755"/>
        <w:spacing w:after="0" w:line="250" w:lineRule="auto"/>
        <w:tabs>
          <w:tab w:leader="none" w:pos="22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pay or deliver dividends or other distributions to such purchaser or other transferee with respect to such Shares.</w:t>
      </w:r>
    </w:p>
    <w:p>
      <w:pPr>
        <w:spacing w:after="0" w:line="174" w:lineRule="exact"/>
        <w:rPr>
          <w:rFonts w:ascii="Arial" w:cs="Arial" w:eastAsia="Arial" w:hAnsi="Arial"/>
          <w:sz w:val="22"/>
          <w:szCs w:val="22"/>
          <w:color w:val="auto"/>
        </w:rPr>
      </w:pPr>
    </w:p>
    <w:p>
      <w:pPr>
        <w:ind w:right="20" w:firstLine="757"/>
        <w:spacing w:after="0" w:line="250" w:lineRule="auto"/>
        <w:tabs>
          <w:tab w:leader="none" w:pos="101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jc w:val="both"/>
        <w:ind w:left="1500"/>
        <w:spacing w:after="0" w:line="235" w:lineRule="auto"/>
        <w:rPr>
          <w:sz w:val="20"/>
          <w:szCs w:val="20"/>
          <w:color w:val="auto"/>
        </w:rPr>
      </w:pPr>
      <w:r>
        <w:rPr>
          <w:rFonts w:ascii="Arial" w:cs="Arial" w:eastAsia="Arial" w:hAnsi="Arial"/>
          <w:sz w:val="22"/>
          <w:szCs w:val="22"/>
          <w:color w:val="auto"/>
        </w:rPr>
        <w:t>THE SHARES REPRESENTED BY THIS CERTIFICATE ARE SUBJECT TO CERTAIN RESTRICTIONS AND, ACCORDINGLY, MAY NOT BE SOLD, TRANSFERRED, PLEDGED, ASSIGNED, HYPOTHECATED,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8" w:lineRule="exact"/>
        <w:rPr>
          <w:sz w:val="20"/>
          <w:szCs w:val="20"/>
          <w:color w:val="auto"/>
        </w:rPr>
      </w:pPr>
    </w:p>
    <w:p>
      <w:pPr>
        <w:jc w:val="both"/>
        <w:ind w:firstLine="757"/>
        <w:spacing w:after="0"/>
        <w:tabs>
          <w:tab w:leader="none" w:pos="101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The Grantee acknowledges that the Grantee has reviewed, or has had the opportunity to review, with the Grantee’s own tax advisors the federal, state, and local tax consequences of this investment and the transactions contemplated by this Agreement. The Grantee is relying solely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both"/>
        <w:spacing w:after="0" w:line="244" w:lineRule="auto"/>
        <w:rPr>
          <w:sz w:val="20"/>
          <w:szCs w:val="20"/>
          <w:color w:val="auto"/>
        </w:rPr>
      </w:pPr>
      <w:r>
        <w:rPr>
          <w:rFonts w:ascii="Arial" w:cs="Arial" w:eastAsia="Arial" w:hAnsi="Arial"/>
          <w:sz w:val="21"/>
          <w:szCs w:val="21"/>
          <w:color w:val="auto"/>
        </w:rPr>
        <w:t>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the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(and by submitting a copy of such election with the Company).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8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10.</w:t>
      </w: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and this Agreement constitute the entire agreement of the Company and the Grantee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8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4900" w:type="dxa"/>
        <w:tblCellMar>
          <w:top w:w="0" w:type="dxa"/>
          <w:left w:w="0" w:type="dxa"/>
          <w:bottom w:w="0" w:type="dxa"/>
          <w:right w:w="0" w:type="dxa"/>
        </w:tblCellMar>
      </w:tblPr>
      <w:tr>
        <w:trPr>
          <w:trHeight w:val="276"/>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2"/>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40"/>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09"/>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9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GRANTEE</w:t>
      </w:r>
    </w:p>
    <w:p>
      <w:pPr>
        <w:spacing w:after="0" w:line="253" w:lineRule="exact"/>
        <w:rPr>
          <w:sz w:val="20"/>
          <w:szCs w:val="20"/>
          <w:color w:val="auto"/>
        </w:rPr>
      </w:pPr>
    </w:p>
    <w:p>
      <w:pPr>
        <w:ind w:left="4900"/>
        <w:spacing w:after="0"/>
        <w:tabs>
          <w:tab w:leader="none" w:pos="60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EQUITY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DIRECTOR STOCK OPTION AGREEMENT</w:t>
      </w:r>
    </w:p>
    <w:p>
      <w:pPr>
        <w:spacing w:after="0" w:line="200" w:lineRule="exact"/>
        <w:rPr>
          <w:sz w:val="20"/>
          <w:szCs w:val="20"/>
          <w:color w:val="auto"/>
        </w:rPr>
      </w:pPr>
    </w:p>
    <w:p>
      <w:pPr>
        <w:spacing w:after="0" w:line="282" w:lineRule="exact"/>
        <w:rPr>
          <w:sz w:val="20"/>
          <w:szCs w:val="20"/>
          <w:color w:val="auto"/>
        </w:rPr>
      </w:pPr>
    </w:p>
    <w:p>
      <w:pPr>
        <w:ind w:firstLine="1497"/>
        <w:spacing w:after="0" w:line="276" w:lineRule="auto"/>
        <w:rPr>
          <w:sz w:val="20"/>
          <w:szCs w:val="20"/>
          <w:color w:val="auto"/>
        </w:rPr>
      </w:pPr>
      <w:r>
        <w:rPr>
          <w:rFonts w:ascii="Arial" w:cs="Arial" w:eastAsia="Arial" w:hAnsi="Arial"/>
          <w:sz w:val="19"/>
          <w:szCs w:val="19"/>
          <w:color w:val="auto"/>
        </w:rPr>
        <w:t>This option agreement (the “Option Agreement” or “Agreement”) entered into between EAGLE MATERIALS INC., a Delaware corporation (the “Company”), and ____________ (the “Optionee”), a director of the Company, with respect to</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a right (the “Option”) awarded to the Optionee under the Eagle Materials Inc. 2023 Equity Incentive Plan (the “Plan”), on August 7, 2023 (the “Award Date”) to purchase from the Company up to but not exceeding in the aggregate _________ shares of</w:t>
      </w:r>
    </w:p>
    <w:p>
      <w:pPr>
        <w:spacing w:after="0" w:line="2"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Common Stock (as defined in the Plan) at a price of $190.97 per share (the “Exercise Price”), such number of shares and such price per share being subject to adjustment as provided in the Plan, and further subject to the following terms and conditions:</w:t>
      </w:r>
    </w:p>
    <w:p>
      <w:pPr>
        <w:spacing w:after="0" w:line="123" w:lineRule="exact"/>
        <w:rPr>
          <w:sz w:val="20"/>
          <w:szCs w:val="20"/>
          <w:color w:val="auto"/>
        </w:rPr>
      </w:pPr>
    </w:p>
    <w:p>
      <w:pPr>
        <w:ind w:left="2260" w:hanging="755"/>
        <w:spacing w:after="0"/>
        <w:tabs>
          <w:tab w:leader="none" w:pos="226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Relationship to Plan</w:t>
      </w:r>
      <w:r>
        <w:rPr>
          <w:rFonts w:ascii="Arial" w:cs="Arial" w:eastAsia="Arial" w:hAnsi="Arial"/>
          <w:sz w:val="22"/>
          <w:szCs w:val="22"/>
          <w:color w:val="auto"/>
        </w:rPr>
        <w:t>.</w:t>
      </w:r>
    </w:p>
    <w:p>
      <w:pPr>
        <w:spacing w:after="0" w:line="206" w:lineRule="exact"/>
        <w:rPr>
          <w:sz w:val="20"/>
          <w:szCs w:val="20"/>
          <w:color w:val="auto"/>
        </w:rPr>
      </w:pPr>
    </w:p>
    <w:p>
      <w:pPr>
        <w:jc w:val="both"/>
        <w:ind w:firstLine="1623"/>
        <w:spacing w:after="0" w:line="238" w:lineRule="auto"/>
        <w:rPr>
          <w:sz w:val="20"/>
          <w:szCs w:val="20"/>
          <w:color w:val="auto"/>
        </w:rPr>
      </w:pPr>
      <w:r>
        <w:rPr>
          <w:rFonts w:ascii="Arial" w:cs="Arial" w:eastAsia="Arial" w:hAnsi="Arial"/>
          <w:sz w:val="22"/>
          <w:szCs w:val="22"/>
          <w:color w:val="auto"/>
        </w:rPr>
        <w:t>This Option is subject to all of the terms, conditions and provisions of the Plan and administrative interpretations thereunder, if any, which have been adopted by the Company’s Compensation Committee (“Committee”) and are in effect on the date hereof. Except as defined herein, capitalized terms shall have the same meanings ascribed to them under the Plan. For purposes of this Option Agreement:</w:t>
      </w:r>
    </w:p>
    <w:p>
      <w:pPr>
        <w:spacing w:after="0" w:line="200" w:lineRule="exact"/>
        <w:rPr>
          <w:sz w:val="20"/>
          <w:szCs w:val="20"/>
          <w:color w:val="auto"/>
        </w:rPr>
      </w:pPr>
    </w:p>
    <w:p>
      <w:pPr>
        <w:ind w:left="1940" w:hanging="435"/>
        <w:spacing w:after="0"/>
        <w:tabs>
          <w:tab w:leader="none" w:pos="1940" w:val="left"/>
        </w:tabs>
        <w:numPr>
          <w:ilvl w:val="0"/>
          <w:numId w:val="2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w:t>
      </w:r>
      <w:r>
        <w:rPr>
          <w:rFonts w:ascii="Arial" w:cs="Arial" w:eastAsia="Arial" w:hAnsi="Arial"/>
          <w:sz w:val="20"/>
          <w:szCs w:val="20"/>
          <w:color w:val="auto"/>
        </w:rPr>
        <w:t>” shall mean a disability of the Optionee as determined by the Committee.</w:t>
      </w:r>
    </w:p>
    <w:p>
      <w:pPr>
        <w:spacing w:after="0" w:line="190" w:lineRule="exact"/>
        <w:rPr>
          <w:rFonts w:ascii="Arial" w:cs="Arial" w:eastAsia="Arial" w:hAnsi="Arial"/>
          <w:sz w:val="22"/>
          <w:szCs w:val="22"/>
          <w:color w:val="auto"/>
        </w:rPr>
      </w:pPr>
    </w:p>
    <w:p>
      <w:pPr>
        <w:jc w:val="both"/>
        <w:ind w:firstLine="1505"/>
        <w:spacing w:after="0" w:line="328" w:lineRule="auto"/>
        <w:tabs>
          <w:tab w:leader="none" w:pos="1929"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Retirement</w:t>
      </w:r>
      <w:r>
        <w:rPr>
          <w:rFonts w:ascii="Arial" w:cs="Arial" w:eastAsia="Arial" w:hAnsi="Arial"/>
          <w:sz w:val="19"/>
          <w:szCs w:val="19"/>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05" w:lineRule="exact"/>
        <w:rPr>
          <w:sz w:val="20"/>
          <w:szCs w:val="20"/>
          <w:color w:val="auto"/>
        </w:rPr>
      </w:pPr>
    </w:p>
    <w:p>
      <w:pPr>
        <w:ind w:left="2260" w:hanging="755"/>
        <w:spacing w:after="0"/>
        <w:tabs>
          <w:tab w:leader="none" w:pos="226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Exercise Schedule</w:t>
      </w:r>
      <w:r>
        <w:rPr>
          <w:rFonts w:ascii="Arial" w:cs="Arial" w:eastAsia="Arial" w:hAnsi="Arial"/>
          <w:sz w:val="22"/>
          <w:szCs w:val="22"/>
          <w:b w:val="1"/>
          <w:bCs w:val="1"/>
          <w:i w:val="1"/>
          <w:iCs w:val="1"/>
          <w:color w:val="auto"/>
        </w:rPr>
        <w:t>.</w:t>
      </w:r>
    </w:p>
    <w:p>
      <w:pPr>
        <w:spacing w:after="0" w:line="206" w:lineRule="exact"/>
        <w:rPr>
          <w:sz w:val="20"/>
          <w:szCs w:val="20"/>
          <w:color w:val="auto"/>
        </w:rPr>
      </w:pPr>
    </w:p>
    <w:p>
      <w:pPr>
        <w:jc w:val="both"/>
        <w:ind w:firstLine="1505"/>
        <w:spacing w:after="0" w:line="248" w:lineRule="auto"/>
        <w:tabs>
          <w:tab w:leader="none" w:pos="1956" w:val="left"/>
        </w:tabs>
        <w:numPr>
          <w:ilvl w:val="0"/>
          <w:numId w:val="22"/>
        </w:numPr>
        <w:rPr>
          <w:rFonts w:ascii="Arial" w:cs="Arial" w:eastAsia="Arial" w:hAnsi="Arial"/>
          <w:sz w:val="21"/>
          <w:szCs w:val="21"/>
          <w:color w:val="auto"/>
        </w:rPr>
      </w:pPr>
      <w:r>
        <w:rPr>
          <w:rFonts w:ascii="Arial" w:cs="Arial" w:eastAsia="Arial" w:hAnsi="Arial"/>
          <w:sz w:val="21"/>
          <w:szCs w:val="21"/>
          <w:i w:val="1"/>
          <w:iCs w:val="1"/>
          <w:color w:val="auto"/>
        </w:rPr>
        <w:t>Exercisability</w:t>
      </w:r>
      <w:r>
        <w:rPr>
          <w:rFonts w:ascii="Arial" w:cs="Arial" w:eastAsia="Arial" w:hAnsi="Arial"/>
          <w:sz w:val="21"/>
          <w:szCs w:val="21"/>
          <w:color w:val="auto"/>
        </w:rPr>
        <w:t>. The shares of Common Stock covered by this Option (“Option Shares”) shall vest and</w:t>
      </w:r>
      <w:r>
        <w:rPr>
          <w:rFonts w:ascii="Arial" w:cs="Arial" w:eastAsia="Arial" w:hAnsi="Arial"/>
          <w:sz w:val="21"/>
          <w:szCs w:val="21"/>
          <w:i w:val="1"/>
          <w:iCs w:val="1"/>
          <w:color w:val="auto"/>
        </w:rPr>
        <w:t xml:space="preserve"> </w:t>
      </w:r>
      <w:r>
        <w:rPr>
          <w:rFonts w:ascii="Arial" w:cs="Arial" w:eastAsia="Arial" w:hAnsi="Arial"/>
          <w:sz w:val="21"/>
          <w:szCs w:val="21"/>
          <w:color w:val="auto"/>
        </w:rPr>
        <w:t>become exercisable upon the earliest of (i) the one-year anniversary of the Award Date; (ii) the next annual meeting of the Company’s stockholders, which is at least 50 weeks after the immediately preceding year’s annual meeting; (iii) the Optionee’s Retirement; (iv) the Optionee’s Disability; or (v) the Optionee’s death (as applicable, the “Vesting Date”). Vested Options may be exercised in whole or in part (at any time or from time to time, except as otherwise provided herein) until expiration of the Option pursuant to the terms of this Agreement or the Plan.</w:t>
      </w:r>
    </w:p>
    <w:p>
      <w:pPr>
        <w:spacing w:after="0" w:line="176"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Change in Control</w:t>
      </w:r>
      <w:r>
        <w:rPr>
          <w:rFonts w:ascii="Arial" w:cs="Arial" w:eastAsia="Arial" w:hAnsi="Arial"/>
          <w:sz w:val="22"/>
          <w:szCs w:val="22"/>
          <w:color w:val="auto"/>
        </w:rPr>
        <w:t>. Notwithstanding Section 3(c) above, if the Optionee has been in continuous service</w:t>
      </w:r>
      <w:r>
        <w:rPr>
          <w:rFonts w:ascii="Arial" w:cs="Arial" w:eastAsia="Arial" w:hAnsi="Arial"/>
          <w:sz w:val="22"/>
          <w:szCs w:val="22"/>
          <w:i w:val="1"/>
          <w:iCs w:val="1"/>
          <w:color w:val="auto"/>
        </w:rPr>
        <w:t xml:space="preserve"> </w:t>
      </w:r>
      <w:r>
        <w:rPr>
          <w:rFonts w:ascii="Arial" w:cs="Arial" w:eastAsia="Arial" w:hAnsi="Arial"/>
          <w:sz w:val="22"/>
          <w:szCs w:val="22"/>
          <w:color w:val="auto"/>
        </w:rPr>
        <w:t>as a Non-Employee Director from the Award Date through the occurrence of a Change in Control, then, in the event of the occurrence of such a Change in Control, any vesting of the Option Shares will remain subject to the applicable provisions of the Plan, including, but not limited to, Sections 1.3 and 5.8 thereof.</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ind w:firstLine="1505"/>
        <w:spacing w:after="0" w:line="279" w:lineRule="auto"/>
        <w:tabs>
          <w:tab w:leader="none" w:pos="1929"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Capital Adjustments and Corporate Events. </w:t>
      </w:r>
      <w:r>
        <w:rPr>
          <w:rFonts w:ascii="Arial" w:cs="Arial" w:eastAsia="Arial" w:hAnsi="Arial"/>
          <w:sz w:val="19"/>
          <w:szCs w:val="19"/>
          <w:color w:val="auto"/>
        </w:rPr>
        <w:t>If, from time to time during the term of the Option prior to its</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there is any capital adjustment affecting the outstanding Common Stock as a class without the Company’s receipt of consideration, the Option Shares and other applicable terms of this Option shall be adjusted in accordance with the provisions of Section 5.7 of the Plan.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50" w:lineRule="exact"/>
        <w:rPr>
          <w:sz w:val="20"/>
          <w:szCs w:val="20"/>
          <w:color w:val="auto"/>
        </w:rPr>
      </w:pPr>
    </w:p>
    <w:p>
      <w:pPr>
        <w:ind w:left="2260" w:hanging="755"/>
        <w:spacing w:after="0"/>
        <w:tabs>
          <w:tab w:leader="none" w:pos="226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Termination of Option.</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The Option hereby granted shall terminate and be of no force and effect with respect to any Option Shares not previously purchased by the Optionee at the earliest time specified below:</w:t>
      </w:r>
    </w:p>
    <w:p>
      <w:pPr>
        <w:spacing w:after="0" w:line="175" w:lineRule="exact"/>
        <w:rPr>
          <w:sz w:val="20"/>
          <w:szCs w:val="20"/>
          <w:color w:val="auto"/>
        </w:rPr>
      </w:pPr>
    </w:p>
    <w:p>
      <w:pPr>
        <w:ind w:left="2040" w:hanging="535"/>
        <w:spacing w:after="0"/>
        <w:tabs>
          <w:tab w:leader="none" w:pos="20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tenth anniversary of the Award Date;</w:t>
      </w:r>
    </w:p>
    <w:p>
      <w:pPr>
        <w:spacing w:after="0" w:line="206" w:lineRule="exact"/>
        <w:rPr>
          <w:rFonts w:ascii="Arial" w:cs="Arial" w:eastAsia="Arial" w:hAnsi="Arial"/>
          <w:sz w:val="22"/>
          <w:szCs w:val="22"/>
          <w:color w:val="auto"/>
        </w:rPr>
      </w:pPr>
    </w:p>
    <w:p>
      <w:pPr>
        <w:jc w:val="both"/>
        <w:ind w:firstLine="1505"/>
        <w:spacing w:after="0"/>
        <w:tabs>
          <w:tab w:leader="none" w:pos="203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Optionee’s service as a Director is terminated by the Company for “cause” (as determined by the Committee) at any time after the Award Date, then the Option shall terminate immediately upon such termination of Optionee’s service;</w:t>
      </w:r>
    </w:p>
    <w:p>
      <w:pPr>
        <w:spacing w:after="0" w:line="186" w:lineRule="exact"/>
        <w:rPr>
          <w:rFonts w:ascii="Arial" w:cs="Arial" w:eastAsia="Arial" w:hAnsi="Arial"/>
          <w:sz w:val="22"/>
          <w:szCs w:val="22"/>
          <w:color w:val="auto"/>
        </w:rPr>
      </w:pPr>
    </w:p>
    <w:p>
      <w:pPr>
        <w:ind w:firstLine="1505"/>
        <w:spacing w:after="0" w:line="250" w:lineRule="auto"/>
        <w:tabs>
          <w:tab w:leader="none" w:pos="203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Optionee’s service as a Director is terminated due to death, Disability or Retirement, then this Option shall terminate on the tenth anniversary of the Award Date; or</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Optionee’s service as a Director is terminated for any reason other than death, Retirement or termination for “cause,” then the Option shall terminate on the first business day following the expiration of the 90-day period beginning on the date of termination of Optionee’s service.</w:t>
      </w:r>
    </w:p>
    <w:p>
      <w:pPr>
        <w:spacing w:after="0" w:line="186" w:lineRule="exact"/>
        <w:rPr>
          <w:sz w:val="20"/>
          <w:szCs w:val="20"/>
          <w:color w:val="auto"/>
        </w:rPr>
      </w:pPr>
    </w:p>
    <w:p>
      <w:pPr>
        <w:ind w:left="2260" w:hanging="755"/>
        <w:spacing w:after="0"/>
        <w:tabs>
          <w:tab w:leader="none" w:pos="226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Exercise of Option.</w:t>
      </w:r>
    </w:p>
    <w:p>
      <w:pPr>
        <w:spacing w:after="0" w:line="20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Subject to the limitations set forth herein and in the Plan, this Option may be exercised by notice provided to the Company as set forth in Section 5. The payment of the Exercise Price for the Option Shares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Notwithstanding the foregoing, if the Exercise Price of the outstanding portion of the Option is less than the Fair Market Value of a share of Common Stock on the day the Option would otherwise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2"/>
          <w:szCs w:val="22"/>
          <w:color w:val="auto"/>
        </w:rPr>
        <w:t>expire as provided in Section 3(a), then the Option shall be automatically exercised in full pursuant to clause (d) above immediately prior to its expiration.</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80"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“Act”),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5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86" w:lineRule="exact"/>
        <w:rPr>
          <w:sz w:val="20"/>
          <w:szCs w:val="20"/>
          <w:color w:val="auto"/>
        </w:rPr>
      </w:pPr>
    </w:p>
    <w:p>
      <w:pPr>
        <w:ind w:left="2260" w:hanging="755"/>
        <w:spacing w:after="0"/>
        <w:tabs>
          <w:tab w:leader="none" w:pos="2260"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Notices.</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Notice of exercise of the Option must be made in the following manner, using such forms as the Company may from time to time provide:</w:t>
      </w:r>
    </w:p>
    <w:p>
      <w:pPr>
        <w:spacing w:after="0" w:line="175" w:lineRule="exact"/>
        <w:rPr>
          <w:sz w:val="20"/>
          <w:szCs w:val="20"/>
          <w:color w:val="auto"/>
        </w:rPr>
      </w:pPr>
    </w:p>
    <w:p>
      <w:pPr>
        <w:ind w:firstLine="1505"/>
        <w:spacing w:after="0" w:line="250" w:lineRule="auto"/>
        <w:tabs>
          <w:tab w:leader="none" w:pos="20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by electronic means as designated by the Committee, in which case the date of exercise shall be the date when receipt is acknowledged by the Company;</w:t>
      </w:r>
    </w:p>
    <w:p>
      <w:pPr>
        <w:spacing w:after="0" w:line="174" w:lineRule="exact"/>
        <w:rPr>
          <w:rFonts w:ascii="Arial" w:cs="Arial" w:eastAsia="Arial" w:hAnsi="Arial"/>
          <w:sz w:val="22"/>
          <w:szCs w:val="22"/>
          <w:color w:val="auto"/>
        </w:rPr>
      </w:pPr>
    </w:p>
    <w:p>
      <w:pPr>
        <w:ind w:right="20" w:firstLine="1505"/>
        <w:spacing w:after="0" w:line="328" w:lineRule="auto"/>
        <w:tabs>
          <w:tab w:leader="none" w:pos="2036" w:val="left"/>
        </w:tabs>
        <w:numPr>
          <w:ilvl w:val="0"/>
          <w:numId w:val="28"/>
        </w:numPr>
        <w:rPr>
          <w:rFonts w:ascii="Arial" w:cs="Arial" w:eastAsia="Arial" w:hAnsi="Arial"/>
          <w:sz w:val="19"/>
          <w:szCs w:val="19"/>
          <w:color w:val="auto"/>
        </w:rPr>
      </w:pPr>
      <w:r>
        <w:rPr>
          <w:rFonts w:ascii="Arial" w:cs="Arial" w:eastAsia="Arial" w:hAnsi="Arial"/>
          <w:sz w:val="19"/>
          <w:szCs w:val="19"/>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04" w:lineRule="exact"/>
        <w:rPr>
          <w:rFonts w:ascii="Arial" w:cs="Arial" w:eastAsia="Arial" w:hAnsi="Arial"/>
          <w:sz w:val="19"/>
          <w:szCs w:val="19"/>
          <w:color w:val="auto"/>
        </w:rPr>
      </w:pPr>
    </w:p>
    <w:p>
      <w:pPr>
        <w:ind w:firstLine="1505"/>
        <w:spacing w:after="0" w:line="328" w:lineRule="auto"/>
        <w:tabs>
          <w:tab w:leader="none" w:pos="2036" w:val="left"/>
        </w:tabs>
        <w:numPr>
          <w:ilvl w:val="0"/>
          <w:numId w:val="28"/>
        </w:numPr>
        <w:rPr>
          <w:rFonts w:ascii="Arial" w:cs="Arial" w:eastAsia="Arial" w:hAnsi="Arial"/>
          <w:sz w:val="19"/>
          <w:szCs w:val="19"/>
          <w:color w:val="auto"/>
        </w:rPr>
      </w:pPr>
      <w:r>
        <w:rPr>
          <w:rFonts w:ascii="Arial" w:cs="Arial" w:eastAsia="Arial" w:hAnsi="Arial"/>
          <w:sz w:val="19"/>
          <w:szCs w:val="19"/>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jc w:val="both"/>
        <w:ind w:firstLine="1497"/>
        <w:spacing w:after="0"/>
        <w:rPr>
          <w:sz w:val="20"/>
          <w:szCs w:val="20"/>
          <w:color w:val="auto"/>
        </w:rPr>
      </w:pPr>
      <w:r>
        <w:rPr>
          <w:rFonts w:ascii="Arial" w:cs="Arial" w:eastAsia="Arial" w:hAnsi="Arial"/>
          <w:sz w:val="22"/>
          <w:szCs w:val="22"/>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87" w:lineRule="exact"/>
        <w:rPr>
          <w:sz w:val="20"/>
          <w:szCs w:val="20"/>
          <w:color w:val="auto"/>
        </w:rPr>
      </w:pPr>
    </w:p>
    <w:p>
      <w:pPr>
        <w:ind w:left="2260" w:hanging="755"/>
        <w:spacing w:after="0"/>
        <w:tabs>
          <w:tab w:leader="none" w:pos="2260"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Assignment of Option.</w:t>
      </w:r>
    </w:p>
    <w:p>
      <w:pPr>
        <w:spacing w:after="0" w:line="20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provided in this Agreement.</w:t>
      </w:r>
    </w:p>
    <w:p>
      <w:pPr>
        <w:spacing w:after="0" w:line="14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and only to the extent that the Option was exercisable on the date of the Optionee’s death.</w:t>
      </w:r>
    </w:p>
    <w:p>
      <w:pPr>
        <w:spacing w:after="0" w:line="185" w:lineRule="exact"/>
        <w:rPr>
          <w:sz w:val="20"/>
          <w:szCs w:val="20"/>
          <w:color w:val="auto"/>
        </w:rPr>
      </w:pPr>
    </w:p>
    <w:p>
      <w:pPr>
        <w:ind w:left="2260" w:hanging="755"/>
        <w:spacing w:after="0"/>
        <w:tabs>
          <w:tab w:leader="none" w:pos="2260"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Stock Certificates.</w:t>
      </w:r>
    </w:p>
    <w:p>
      <w:pPr>
        <w:spacing w:after="0" w:line="20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Certificates representing the Common Stock issued pursuant to the exercise of the Option will bear all legends required by law and necessary or advisable to effectuate the provisions of the Plan and this Option. The Company may place a “stop transfer” order against shares of the Common Stock issued pursuant to the exercise of this Option until all restrictions and conditions set forth in the Plan or this Agreement and in the legends referred to in this Section 7 have been complied with.</w:t>
      </w:r>
    </w:p>
    <w:p>
      <w:pPr>
        <w:spacing w:after="0" w:line="143" w:lineRule="exact"/>
        <w:rPr>
          <w:sz w:val="20"/>
          <w:szCs w:val="20"/>
          <w:color w:val="auto"/>
        </w:rPr>
      </w:pPr>
    </w:p>
    <w:p>
      <w:pPr>
        <w:ind w:left="2260" w:hanging="755"/>
        <w:spacing w:after="0"/>
        <w:tabs>
          <w:tab w:leader="none" w:pos="2260"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Shareholder Rights.</w:t>
      </w:r>
    </w:p>
    <w:p>
      <w:pPr>
        <w:spacing w:after="0" w:line="206"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86" w:lineRule="exact"/>
        <w:rPr>
          <w:sz w:val="20"/>
          <w:szCs w:val="20"/>
          <w:color w:val="auto"/>
        </w:rPr>
      </w:pPr>
    </w:p>
    <w:p>
      <w:pPr>
        <w:ind w:left="2260" w:hanging="755"/>
        <w:spacing w:after="0"/>
        <w:tabs>
          <w:tab w:leader="none" w:pos="22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Successors and Assigns.</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ind w:left="2260" w:hanging="755"/>
        <w:spacing w:after="0"/>
        <w:tabs>
          <w:tab w:leader="none" w:pos="226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No Service Guaranteed.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 provision of this Option Agreement shall confer any right upon the Optionee to continued service with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left="2260" w:hanging="755"/>
        <w:spacing w:after="0"/>
        <w:tabs>
          <w:tab w:leader="none" w:pos="2260"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This Option Agreement shall be governed by, construed and enforced in accordance with the laws of the State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188" w:lineRule="exact"/>
        <w:rPr>
          <w:sz w:val="20"/>
          <w:szCs w:val="20"/>
          <w:color w:val="auto"/>
        </w:rPr>
      </w:pPr>
    </w:p>
    <w:p>
      <w:pPr>
        <w:ind w:left="2260" w:hanging="755"/>
        <w:spacing w:after="0"/>
        <w:tabs>
          <w:tab w:leader="none" w:pos="22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Amendment.</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This Agreement cannot be modified, altered or amended except by an agreement, in writing, signed by both the Company and the Optionee.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EAGLE MATERIALS INC.</w:t>
      </w:r>
    </w:p>
    <w:p>
      <w:pPr>
        <w:spacing w:after="0" w:line="200" w:lineRule="exact"/>
        <w:rPr>
          <w:sz w:val="20"/>
          <w:szCs w:val="20"/>
          <w:color w:val="auto"/>
        </w:rPr>
      </w:pPr>
    </w:p>
    <w:p>
      <w:pPr>
        <w:spacing w:after="0" w:line="377" w:lineRule="exact"/>
        <w:rPr>
          <w:sz w:val="20"/>
          <w:szCs w:val="20"/>
          <w:color w:val="auto"/>
        </w:rPr>
      </w:pPr>
    </w:p>
    <w:tbl>
      <w:tblPr>
        <w:tblLayout w:type="fixed"/>
        <w:tblInd w:w="4900" w:type="dxa"/>
        <w:tblCellMar>
          <w:top w:w="0" w:type="dxa"/>
          <w:left w:w="0" w:type="dxa"/>
          <w:bottom w:w="0" w:type="dxa"/>
          <w:right w:w="0" w:type="dxa"/>
        </w:tblCellMar>
      </w:tblPr>
      <w:tr>
        <w:trPr>
          <w:trHeight w:val="276"/>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2"/>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40"/>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09"/>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9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The Optionee hereby accepts the foregoing Option Agreement, subject to the terms and provisions of the Plan and administrative interpretations thereof referred to above.</w:t>
      </w:r>
    </w:p>
    <w:p>
      <w:pPr>
        <w:spacing w:after="0" w:line="169"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OPTIONEE:</w:t>
      </w:r>
    </w:p>
    <w:p>
      <w:pPr>
        <w:spacing w:after="0" w:line="200" w:lineRule="exact"/>
        <w:rPr>
          <w:sz w:val="20"/>
          <w:szCs w:val="20"/>
          <w:color w:val="auto"/>
        </w:rPr>
      </w:pPr>
    </w:p>
    <w:p>
      <w:pPr>
        <w:spacing w:after="0" w:line="377" w:lineRule="exact"/>
        <w:rPr>
          <w:sz w:val="20"/>
          <w:szCs w:val="20"/>
          <w:color w:val="auto"/>
        </w:rPr>
      </w:pPr>
    </w:p>
    <w:p>
      <w:pPr>
        <w:ind w:left="4900"/>
        <w:spacing w:after="0"/>
        <w:tabs>
          <w:tab w:leader="none" w:pos="60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pacing w:after="0" w:line="25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-130175</wp:posOffset>
            </wp:positionV>
            <wp:extent cx="25971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23495</wp:posOffset>
            </wp:positionV>
            <wp:extent cx="26060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September 30, 2023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640" w:hanging="377"/>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23495</wp:posOffset>
            </wp:positionV>
            <wp:extent cx="26060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September 30, 2023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640" w:hanging="37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23495</wp:posOffset>
            </wp:positionV>
            <wp:extent cx="26060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Exhibit 95</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42" w:lineRule="exact"/>
        <w:rPr>
          <w:sz w:val="20"/>
          <w:szCs w:val="20"/>
          <w:color w:val="auto"/>
        </w:rPr>
      </w:pPr>
    </w:p>
    <w:p>
      <w:pPr>
        <w:ind w:left="600" w:right="120"/>
        <w:spacing w:after="0" w:line="303" w:lineRule="auto"/>
        <w:rPr>
          <w:sz w:val="20"/>
          <w:szCs w:val="20"/>
          <w:color w:val="auto"/>
        </w:rPr>
      </w:pPr>
      <w:r>
        <w:rPr>
          <w:rFonts w:ascii="Arial" w:cs="Arial" w:eastAsia="Arial" w:hAnsi="Arial"/>
          <w:sz w:val="14"/>
          <w:szCs w:val="14"/>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September 30, 2023 for our facilities. In evaluating this information, consideration should be given to factors such as:</w:t>
      </w:r>
    </w:p>
    <w:p>
      <w:pPr>
        <w:spacing w:after="0" w:line="1" w:lineRule="exact"/>
        <w:rPr>
          <w:sz w:val="20"/>
          <w:szCs w:val="20"/>
          <w:color w:val="auto"/>
        </w:rPr>
      </w:pPr>
    </w:p>
    <w:p>
      <w:pPr>
        <w:ind w:left="600" w:right="100" w:hanging="8"/>
        <w:spacing w:after="0" w:line="276" w:lineRule="auto"/>
        <w:tabs>
          <w:tab w:leader="none" w:pos="7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940" w:type="dxa"/>
            <w:vAlign w:val="bottom"/>
            <w:tcBorders>
              <w:top w:val="single" w:sz="8" w:color="auto"/>
              <w:left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7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Receive</w:t>
            </w:r>
          </w:p>
        </w:tc>
        <w:tc>
          <w:tcPr>
            <w:tcW w:w="8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Notice</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3"/>
              </w:rPr>
              <w:t>d Notice</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rPr>
              <w:t>of</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rPr>
              <w:t>of</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96"/>
              </w:rPr>
              <w:t>Total</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88"/>
              </w:rPr>
              <w:t>Pattern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Mine or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rPr>
              <w:t>of</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1"/>
              </w:rPr>
              <w:t>to Have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Operating</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89"/>
              </w:rPr>
              <w:t>Section</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Violation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88"/>
              </w:rPr>
              <w:t>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Name/MSH</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104</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104(d)</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rPr>
              <w:t>MSHA</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7"/>
              </w:rPr>
              <w:t>s Under</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Pending</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2"/>
              </w:rPr>
              <w:t>S&amp;S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(2)</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tcBorders>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2"/>
              </w:rPr>
              <w:t>as of Last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Identificati</w:t>
            </w:r>
          </w:p>
        </w:tc>
        <w:tc>
          <w:tcPr>
            <w:tcW w:w="7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Citation</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200" w:type="dxa"/>
            <w:vAlign w:val="bottom"/>
          </w:tcPr>
          <w:p>
            <w:pPr>
              <w:spacing w:after="0"/>
              <w:rPr>
                <w:sz w:val="12"/>
                <w:szCs w:val="12"/>
                <w:color w:val="auto"/>
              </w:rPr>
            </w:pPr>
          </w:p>
        </w:tc>
        <w:tc>
          <w:tcPr>
            <w:tcW w:w="56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82"/>
              </w:rPr>
              <w:t>ents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Fatalitie</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on 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Orders</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71"/>
              </w:rPr>
              <w:t>s</w:t>
            </w:r>
          </w:p>
        </w:tc>
        <w:tc>
          <w:tcPr>
            <w:tcW w:w="7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4"/>
              </w:rPr>
              <w:t>(yes/no)</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20"/>
        </w:trPr>
        <w:tc>
          <w:tcPr>
            <w:tcW w:w="940" w:type="dxa"/>
            <w:vAlign w:val="bottom"/>
            <w:tcBorders>
              <w:top w:val="single" w:sz="8" w:color="D9E2F3"/>
              <w:left w:val="single" w:sz="8" w:color="D9E2F3"/>
              <w:right w:val="single" w:sz="8" w:color="auto"/>
            </w:tcBorders>
            <w:shd w:val="clear" w:color="auto" w:fill="D9E2F3"/>
          </w:tcPr>
          <w:p>
            <w:pPr>
              <w:ind w:left="100"/>
              <w:spacing w:after="0" w:line="120" w:lineRule="exact"/>
              <w:rPr>
                <w:sz w:val="20"/>
                <w:szCs w:val="20"/>
                <w:color w:val="auto"/>
              </w:rPr>
            </w:pPr>
            <w:r>
              <w:rPr>
                <w:rFonts w:ascii="Arial" w:cs="Arial" w:eastAsia="Arial" w:hAnsi="Arial"/>
                <w:sz w:val="13"/>
                <w:szCs w:val="13"/>
                <w:color w:val="auto"/>
              </w:rPr>
              <w:t>3D</w:t>
            </w:r>
          </w:p>
        </w:tc>
        <w:tc>
          <w:tcPr>
            <w:tcW w:w="700" w:type="dxa"/>
            <w:vAlign w:val="bottom"/>
            <w:tcBorders>
              <w:top w:val="single" w:sz="8" w:color="D9E2F3"/>
              <w:right w:val="single" w:sz="8" w:color="auto"/>
            </w:tcBorders>
            <w:shd w:val="clear" w:color="auto" w:fill="D9E2F3"/>
          </w:tcPr>
          <w:p>
            <w:pPr>
              <w:spacing w:after="0"/>
              <w:rPr>
                <w:sz w:val="10"/>
                <w:szCs w:val="10"/>
                <w:color w:val="auto"/>
              </w:rPr>
            </w:pPr>
          </w:p>
        </w:tc>
        <w:tc>
          <w:tcPr>
            <w:tcW w:w="780" w:type="dxa"/>
            <w:vAlign w:val="bottom"/>
            <w:tcBorders>
              <w:top w:val="single" w:sz="8" w:color="D9E2F3"/>
              <w:right w:val="single" w:sz="8" w:color="auto"/>
            </w:tcBorders>
            <w:shd w:val="clear" w:color="auto" w:fill="D9E2F3"/>
          </w:tcPr>
          <w:p>
            <w:pPr>
              <w:spacing w:after="0"/>
              <w:rPr>
                <w:sz w:val="10"/>
                <w:szCs w:val="10"/>
                <w:color w:val="auto"/>
              </w:rPr>
            </w:pPr>
          </w:p>
        </w:tc>
        <w:tc>
          <w:tcPr>
            <w:tcW w:w="780" w:type="dxa"/>
            <w:vAlign w:val="bottom"/>
            <w:tcBorders>
              <w:top w:val="single" w:sz="8" w:color="D9E2F3"/>
              <w:right w:val="single" w:sz="8" w:color="auto"/>
            </w:tcBorders>
            <w:shd w:val="clear" w:color="auto" w:fill="D9E2F3"/>
          </w:tcPr>
          <w:p>
            <w:pPr>
              <w:spacing w:after="0"/>
              <w:rPr>
                <w:sz w:val="10"/>
                <w:szCs w:val="10"/>
                <w:color w:val="auto"/>
              </w:rPr>
            </w:pPr>
          </w:p>
        </w:tc>
        <w:tc>
          <w:tcPr>
            <w:tcW w:w="720" w:type="dxa"/>
            <w:vAlign w:val="bottom"/>
            <w:tcBorders>
              <w:top w:val="single" w:sz="8" w:color="D9E2F3"/>
              <w:right w:val="single" w:sz="8" w:color="auto"/>
            </w:tcBorders>
            <w:shd w:val="clear" w:color="auto" w:fill="D9E2F3"/>
          </w:tcPr>
          <w:p>
            <w:pPr>
              <w:spacing w:after="0"/>
              <w:rPr>
                <w:sz w:val="10"/>
                <w:szCs w:val="10"/>
                <w:color w:val="auto"/>
              </w:rPr>
            </w:pPr>
          </w:p>
        </w:tc>
        <w:tc>
          <w:tcPr>
            <w:tcW w:w="680" w:type="dxa"/>
            <w:vAlign w:val="bottom"/>
            <w:tcBorders>
              <w:top w:val="single" w:sz="8" w:color="D9E2F3"/>
              <w:right w:val="single" w:sz="8" w:color="auto"/>
            </w:tcBorders>
            <w:shd w:val="clear" w:color="auto" w:fill="D9E2F3"/>
          </w:tcPr>
          <w:p>
            <w:pPr>
              <w:spacing w:after="0"/>
              <w:rPr>
                <w:sz w:val="10"/>
                <w:szCs w:val="10"/>
                <w:color w:val="auto"/>
              </w:rPr>
            </w:pPr>
          </w:p>
        </w:tc>
        <w:tc>
          <w:tcPr>
            <w:tcW w:w="200" w:type="dxa"/>
            <w:vAlign w:val="bottom"/>
            <w:tcBorders>
              <w:top w:val="single" w:sz="8" w:color="D9E2F3"/>
            </w:tcBorders>
            <w:shd w:val="clear" w:color="auto" w:fill="D9E2F3"/>
          </w:tcPr>
          <w:p>
            <w:pPr>
              <w:spacing w:after="0"/>
              <w:rPr>
                <w:sz w:val="10"/>
                <w:szCs w:val="10"/>
                <w:color w:val="auto"/>
              </w:rPr>
            </w:pPr>
          </w:p>
        </w:tc>
        <w:tc>
          <w:tcPr>
            <w:tcW w:w="560" w:type="dxa"/>
            <w:vAlign w:val="bottom"/>
            <w:tcBorders>
              <w:top w:val="single" w:sz="8" w:color="D9E2F3"/>
              <w:right w:val="single" w:sz="8" w:color="auto"/>
            </w:tcBorders>
            <w:shd w:val="clear" w:color="auto" w:fill="D9E2F3"/>
          </w:tcPr>
          <w:p>
            <w:pPr>
              <w:spacing w:after="0"/>
              <w:rPr>
                <w:sz w:val="10"/>
                <w:szCs w:val="10"/>
                <w:color w:val="auto"/>
              </w:rPr>
            </w:pPr>
          </w:p>
        </w:tc>
        <w:tc>
          <w:tcPr>
            <w:tcW w:w="700" w:type="dxa"/>
            <w:vAlign w:val="bottom"/>
            <w:tcBorders>
              <w:top w:val="single" w:sz="8" w:color="D9E2F3"/>
              <w:right w:val="single" w:sz="8" w:color="auto"/>
            </w:tcBorders>
            <w:shd w:val="clear" w:color="auto" w:fill="D9E2F3"/>
          </w:tcPr>
          <w:p>
            <w:pPr>
              <w:spacing w:after="0"/>
              <w:rPr>
                <w:sz w:val="10"/>
                <w:szCs w:val="10"/>
                <w:color w:val="auto"/>
              </w:rPr>
            </w:pPr>
          </w:p>
        </w:tc>
        <w:tc>
          <w:tcPr>
            <w:tcW w:w="760" w:type="dxa"/>
            <w:vAlign w:val="bottom"/>
            <w:tcBorders>
              <w:top w:val="single" w:sz="8" w:color="D9E2F3"/>
              <w:right w:val="single" w:sz="8" w:color="auto"/>
            </w:tcBorders>
            <w:shd w:val="clear" w:color="auto" w:fill="D9E2F3"/>
          </w:tcPr>
          <w:p>
            <w:pPr>
              <w:spacing w:after="0"/>
              <w:rPr>
                <w:sz w:val="10"/>
                <w:szCs w:val="10"/>
                <w:color w:val="auto"/>
              </w:rPr>
            </w:pPr>
          </w:p>
        </w:tc>
        <w:tc>
          <w:tcPr>
            <w:tcW w:w="720" w:type="dxa"/>
            <w:vAlign w:val="bottom"/>
            <w:tcBorders>
              <w:top w:val="single" w:sz="8" w:color="D9E2F3"/>
              <w:right w:val="single" w:sz="8" w:color="auto"/>
            </w:tcBorders>
            <w:shd w:val="clear" w:color="auto" w:fill="D9E2F3"/>
          </w:tcPr>
          <w:p>
            <w:pPr>
              <w:spacing w:after="0"/>
              <w:rPr>
                <w:sz w:val="10"/>
                <w:szCs w:val="10"/>
                <w:color w:val="auto"/>
              </w:rPr>
            </w:pPr>
          </w:p>
        </w:tc>
        <w:tc>
          <w:tcPr>
            <w:tcW w:w="800" w:type="dxa"/>
            <w:vAlign w:val="bottom"/>
            <w:tcBorders>
              <w:top w:val="single" w:sz="8" w:color="D9E2F3"/>
              <w:right w:val="single" w:sz="8" w:color="auto"/>
            </w:tcBorders>
            <w:shd w:val="clear" w:color="auto" w:fill="D9E2F3"/>
          </w:tcPr>
          <w:p>
            <w:pPr>
              <w:spacing w:after="0"/>
              <w:rPr>
                <w:sz w:val="10"/>
                <w:szCs w:val="10"/>
                <w:color w:val="auto"/>
              </w:rPr>
            </w:pPr>
          </w:p>
        </w:tc>
        <w:tc>
          <w:tcPr>
            <w:tcW w:w="820" w:type="dxa"/>
            <w:vAlign w:val="bottom"/>
            <w:tcBorders>
              <w:top w:val="single" w:sz="8" w:color="D9E2F3"/>
              <w:right w:val="single" w:sz="8" w:color="auto"/>
            </w:tcBorders>
            <w:shd w:val="clear" w:color="auto" w:fill="D9E2F3"/>
          </w:tcPr>
          <w:p>
            <w:pPr>
              <w:spacing w:after="0"/>
              <w:rPr>
                <w:sz w:val="10"/>
                <w:szCs w:val="10"/>
                <w:color w:val="auto"/>
              </w:rPr>
            </w:pPr>
          </w:p>
        </w:tc>
        <w:tc>
          <w:tcPr>
            <w:tcW w:w="840" w:type="dxa"/>
            <w:vAlign w:val="bottom"/>
            <w:tcBorders>
              <w:top w:val="single" w:sz="8" w:color="D9E2F3"/>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Concrete</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Lander, NV</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(2602434)</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3D</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Concrete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4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Lyon,</w:t>
            </w:r>
          </w:p>
        </w:tc>
        <w:tc>
          <w:tcPr>
            <w:tcW w:w="7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4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Nevada</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(2602412)</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D9E2F3"/>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Albuquerqu</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e, NM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(2900181)</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4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4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Duke, OK</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(3400256)</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200" w:type="dxa"/>
            <w:vAlign w:val="bottom"/>
            <w:vMerge w:val="restart"/>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4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680" w:type="dxa"/>
            <w:vAlign w:val="bottom"/>
            <w:tcBorders>
              <w:right w:val="single" w:sz="8" w:color="auto"/>
            </w:tcBorders>
            <w:vMerge w:val="continue"/>
            <w:shd w:val="clear" w:color="auto" w:fill="D9E2F3"/>
          </w:tcPr>
          <w:p>
            <w:pPr>
              <w:spacing w:after="0"/>
              <w:rPr>
                <w:sz w:val="8"/>
                <w:szCs w:val="8"/>
                <w:color w:val="auto"/>
              </w:rPr>
            </w:pPr>
          </w:p>
        </w:tc>
        <w:tc>
          <w:tcPr>
            <w:tcW w:w="200" w:type="dxa"/>
            <w:vAlign w:val="bottom"/>
            <w:vMerge w:val="continue"/>
            <w:shd w:val="clear" w:color="auto" w:fill="D9E2F3"/>
          </w:tcPr>
          <w:p>
            <w:pPr>
              <w:spacing w:after="0"/>
              <w:rPr>
                <w:sz w:val="8"/>
                <w:szCs w:val="8"/>
                <w:color w:val="auto"/>
              </w:rPr>
            </w:pPr>
          </w:p>
        </w:tc>
        <w:tc>
          <w:tcPr>
            <w:tcW w:w="56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80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4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680" w:type="dxa"/>
            <w:vAlign w:val="bottom"/>
            <w:tcBorders>
              <w:right w:val="single" w:sz="8" w:color="auto"/>
            </w:tcBorders>
            <w:shd w:val="clear" w:color="auto" w:fill="D9E2F3"/>
          </w:tcPr>
          <w:p>
            <w:pPr>
              <w:spacing w:after="0"/>
              <w:rPr>
                <w:sz w:val="4"/>
                <w:szCs w:val="4"/>
                <w:color w:val="auto"/>
              </w:rPr>
            </w:pPr>
          </w:p>
        </w:tc>
        <w:tc>
          <w:tcPr>
            <w:tcW w:w="200" w:type="dxa"/>
            <w:vAlign w:val="bottom"/>
            <w:shd w:val="clear" w:color="auto" w:fill="D9E2F3"/>
          </w:tcPr>
          <w:p>
            <w:pPr>
              <w:spacing w:after="0"/>
              <w:rPr>
                <w:sz w:val="4"/>
                <w:szCs w:val="4"/>
                <w:color w:val="auto"/>
              </w:rPr>
            </w:pPr>
          </w:p>
        </w:tc>
        <w:tc>
          <w:tcPr>
            <w:tcW w:w="56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0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4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Eagle, CO</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(0503997)</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4"/>
                <w:szCs w:val="14"/>
                <w:color w:val="auto"/>
              </w:rPr>
              <w:t>Battletown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4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Quarry</w:t>
            </w:r>
            <w:r>
              <w:rPr>
                <w:rFonts w:ascii="Arial" w:cs="Arial" w:eastAsia="Arial" w:hAnsi="Arial"/>
                <w:sz w:val="18"/>
                <w:szCs w:val="18"/>
                <w:color w:val="auto"/>
                <w:vertAlign w:val="superscript"/>
              </w:rPr>
              <w:t>2</w:t>
            </w:r>
          </w:p>
        </w:tc>
        <w:tc>
          <w:tcPr>
            <w:tcW w:w="7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Battletown,</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KY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(1500040)</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Centex</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Materials</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Buda, TX</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(4102241)</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Central</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Plains</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color w:val="auto"/>
              </w:rPr>
              <w:t>$25,350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4"/>
                <w:szCs w:val="24"/>
                <w:color w:val="auto"/>
                <w:w w:val="90"/>
                <w:vertAlign w:val="subscript"/>
              </w:rPr>
              <w:t>1</w:t>
            </w: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89"/>
        </w:trPr>
        <w:tc>
          <w:tcPr>
            <w:tcW w:w="940" w:type="dxa"/>
            <w:vAlign w:val="bottom"/>
            <w:tcBorders>
              <w:right w:val="single" w:sz="8" w:color="auto"/>
            </w:tcBorders>
          </w:tcPr>
          <w:p>
            <w:pPr>
              <w:ind w:left="100"/>
              <w:spacing w:after="0" w:line="90" w:lineRule="exact"/>
              <w:rPr>
                <w:sz w:val="20"/>
                <w:szCs w:val="20"/>
                <w:color w:val="auto"/>
              </w:rPr>
            </w:pPr>
            <w:r>
              <w:rPr>
                <w:rFonts w:ascii="Arial" w:cs="Arial" w:eastAsia="Arial" w:hAnsi="Arial"/>
                <w:sz w:val="10"/>
                <w:szCs w:val="10"/>
                <w:color w:val="auto"/>
              </w:rPr>
              <w:t>LLC</w:t>
            </w: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Sugar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Creek, MO</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(2302171)</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Central</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Plains</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24</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 Tulsa,</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OK</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(3400026)</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Fairborn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Greene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County, OH</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(3300161)</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Illinois</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2</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tcBorders>
              <w:right w:val="single" w:sz="8" w:color="auto"/>
            </w:tcBorders>
            <w:gridSpan w:val="2"/>
            <w:vMerge w:val="restart"/>
            <w:shd w:val="clear" w:color="auto" w:fill="D9E2F3"/>
          </w:tcPr>
          <w:p>
            <w:pPr>
              <w:ind w:left="140"/>
              <w:spacing w:after="0"/>
              <w:rPr>
                <w:sz w:val="20"/>
                <w:szCs w:val="20"/>
                <w:color w:val="auto"/>
              </w:rPr>
            </w:pPr>
            <w:r>
              <w:rPr>
                <w:rFonts w:ascii="Arial" w:cs="Arial" w:eastAsia="Arial" w:hAnsi="Arial"/>
                <w:sz w:val="14"/>
                <w:szCs w:val="14"/>
                <w:color w:val="auto"/>
              </w:rPr>
              <w:t>$14,976</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4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68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gridSpan w:val="2"/>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80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4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680" w:type="dxa"/>
            <w:vAlign w:val="bottom"/>
            <w:tcBorders>
              <w:right w:val="single" w:sz="8" w:color="auto"/>
            </w:tcBorders>
            <w:shd w:val="clear" w:color="auto" w:fill="D9E2F3"/>
          </w:tcPr>
          <w:p>
            <w:pPr>
              <w:spacing w:after="0"/>
              <w:rPr>
                <w:sz w:val="4"/>
                <w:szCs w:val="4"/>
                <w:color w:val="auto"/>
              </w:rPr>
            </w:pPr>
          </w:p>
        </w:tc>
        <w:tc>
          <w:tcPr>
            <w:tcW w:w="200" w:type="dxa"/>
            <w:vAlign w:val="bottom"/>
            <w:shd w:val="clear" w:color="auto" w:fill="D9E2F3"/>
          </w:tcPr>
          <w:p>
            <w:pPr>
              <w:spacing w:after="0"/>
              <w:rPr>
                <w:sz w:val="4"/>
                <w:szCs w:val="4"/>
                <w:color w:val="auto"/>
              </w:rPr>
            </w:pPr>
          </w:p>
        </w:tc>
        <w:tc>
          <w:tcPr>
            <w:tcW w:w="56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0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4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LaSalle, IL</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(1100003)</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4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Kosmos</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461</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Jefferson,</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KY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(1504469)</w:t>
            </w:r>
          </w:p>
        </w:tc>
        <w:tc>
          <w:tcPr>
            <w:tcW w:w="7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Borders>
              <w:left w:val="single" w:sz="8" w:color="D9E2F3"/>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Mountain</w:t>
            </w:r>
          </w:p>
        </w:tc>
        <w:tc>
          <w:tcPr>
            <w:tcW w:w="70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1</w:t>
            </w:r>
          </w:p>
        </w:tc>
        <w:tc>
          <w:tcPr>
            <w:tcW w:w="78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200" w:type="dxa"/>
            <w:vAlign w:val="bottom"/>
            <w:shd w:val="clear" w:color="auto" w:fill="D9E2F3"/>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shd w:val="clear" w:color="auto" w:fill="D9E2F3"/>
          </w:tcPr>
          <w:p>
            <w:pPr>
              <w:jc w:val="right"/>
              <w:ind w:right="268"/>
              <w:spacing w:after="0"/>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shd w:val="clear" w:color="auto" w:fill="D9E2F3"/>
          </w:tcPr>
          <w:p>
            <w:pPr>
              <w:jc w:val="right"/>
              <w:ind w:right="29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3"/>
        </w:trPr>
        <w:tc>
          <w:tcPr>
            <w:tcW w:w="940" w:type="dxa"/>
            <w:vAlign w:val="bottom"/>
            <w:tcBorders>
              <w:left w:val="single" w:sz="8" w:color="D9E2F3"/>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0140"/>
          </w:cols>
          <w:pgMar w:left="760" w:top="814" w:right="999" w:bottom="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216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32169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920" w:type="dxa"/>
            <w:vAlign w:val="bottom"/>
            <w:tcBorders>
              <w:left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spacing w:after="0"/>
              <w:rPr>
                <w:sz w:val="14"/>
                <w:szCs w:val="14"/>
                <w:color w:val="auto"/>
              </w:rPr>
            </w:pPr>
          </w:p>
        </w:tc>
        <w:tc>
          <w:tcPr>
            <w:tcW w:w="780" w:type="dxa"/>
            <w:vAlign w:val="bottom"/>
            <w:tcBorders>
              <w:right w:val="single" w:sz="8" w:color="auto"/>
            </w:tcBorders>
            <w:shd w:val="clear" w:color="auto" w:fill="D9E2F3"/>
          </w:tcPr>
          <w:p>
            <w:pPr>
              <w:spacing w:after="0"/>
              <w:rPr>
                <w:sz w:val="14"/>
                <w:szCs w:val="14"/>
                <w:color w:val="auto"/>
              </w:rPr>
            </w:pPr>
          </w:p>
        </w:tc>
        <w:tc>
          <w:tcPr>
            <w:tcW w:w="780" w:type="dxa"/>
            <w:vAlign w:val="bottom"/>
            <w:tcBorders>
              <w:right w:val="single" w:sz="8" w:color="auto"/>
            </w:tcBorders>
            <w:shd w:val="clear" w:color="auto" w:fill="D9E2F3"/>
          </w:tcPr>
          <w:p>
            <w:pPr>
              <w:spacing w:after="0"/>
              <w:rPr>
                <w:sz w:val="14"/>
                <w:szCs w:val="14"/>
                <w:color w:val="auto"/>
              </w:rPr>
            </w:pPr>
          </w:p>
        </w:tc>
        <w:tc>
          <w:tcPr>
            <w:tcW w:w="720" w:type="dxa"/>
            <w:vAlign w:val="bottom"/>
            <w:tcBorders>
              <w:right w:val="single" w:sz="8" w:color="auto"/>
            </w:tcBorders>
            <w:shd w:val="clear" w:color="auto" w:fill="D9E2F3"/>
          </w:tcPr>
          <w:p>
            <w:pPr>
              <w:spacing w:after="0"/>
              <w:rPr>
                <w:sz w:val="14"/>
                <w:szCs w:val="14"/>
                <w:color w:val="auto"/>
              </w:rPr>
            </w:pPr>
          </w:p>
        </w:tc>
        <w:tc>
          <w:tcPr>
            <w:tcW w:w="680" w:type="dxa"/>
            <w:vAlign w:val="bottom"/>
            <w:tcBorders>
              <w:right w:val="single" w:sz="8" w:color="auto"/>
            </w:tcBorders>
            <w:shd w:val="clear" w:color="auto" w:fill="D9E2F3"/>
          </w:tcPr>
          <w:p>
            <w:pPr>
              <w:spacing w:after="0"/>
              <w:rPr>
                <w:sz w:val="14"/>
                <w:szCs w:val="14"/>
                <w:color w:val="auto"/>
              </w:rPr>
            </w:pPr>
          </w:p>
        </w:tc>
        <w:tc>
          <w:tcPr>
            <w:tcW w:w="320" w:type="dxa"/>
            <w:vAlign w:val="bottom"/>
            <w:shd w:val="clear" w:color="auto" w:fill="D9E2F3"/>
          </w:tcPr>
          <w:p>
            <w:pPr>
              <w:spacing w:after="0"/>
              <w:rPr>
                <w:sz w:val="14"/>
                <w:szCs w:val="14"/>
                <w:color w:val="auto"/>
              </w:rPr>
            </w:pPr>
          </w:p>
        </w:tc>
        <w:tc>
          <w:tcPr>
            <w:tcW w:w="440" w:type="dxa"/>
            <w:vAlign w:val="bottom"/>
            <w:tcBorders>
              <w:right w:val="single" w:sz="8" w:color="auto"/>
            </w:tcBorders>
            <w:shd w:val="clear" w:color="auto" w:fill="D9E2F3"/>
          </w:tcPr>
          <w:p>
            <w:pPr>
              <w:spacing w:after="0"/>
              <w:rPr>
                <w:sz w:val="14"/>
                <w:szCs w:val="14"/>
                <w:color w:val="auto"/>
              </w:rPr>
            </w:pPr>
          </w:p>
        </w:tc>
        <w:tc>
          <w:tcPr>
            <w:tcW w:w="700" w:type="dxa"/>
            <w:vAlign w:val="bottom"/>
            <w:tcBorders>
              <w:right w:val="single" w:sz="8" w:color="auto"/>
            </w:tcBorders>
            <w:shd w:val="clear" w:color="auto" w:fill="D9E2F3"/>
          </w:tcPr>
          <w:p>
            <w:pPr>
              <w:spacing w:after="0"/>
              <w:rPr>
                <w:sz w:val="14"/>
                <w:szCs w:val="14"/>
                <w:color w:val="auto"/>
              </w:rPr>
            </w:pPr>
          </w:p>
        </w:tc>
        <w:tc>
          <w:tcPr>
            <w:tcW w:w="760" w:type="dxa"/>
            <w:vAlign w:val="bottom"/>
            <w:tcBorders>
              <w:right w:val="single" w:sz="8" w:color="auto"/>
            </w:tcBorders>
            <w:shd w:val="clear" w:color="auto" w:fill="D9E2F3"/>
          </w:tcPr>
          <w:p>
            <w:pPr>
              <w:spacing w:after="0"/>
              <w:rPr>
                <w:sz w:val="14"/>
                <w:szCs w:val="14"/>
                <w:color w:val="auto"/>
              </w:rPr>
            </w:pPr>
          </w:p>
        </w:tc>
        <w:tc>
          <w:tcPr>
            <w:tcW w:w="720" w:type="dxa"/>
            <w:vAlign w:val="bottom"/>
            <w:tcBorders>
              <w:right w:val="single" w:sz="8" w:color="auto"/>
            </w:tcBorders>
            <w:shd w:val="clear" w:color="auto" w:fill="D9E2F3"/>
          </w:tcPr>
          <w:p>
            <w:pPr>
              <w:spacing w:after="0"/>
              <w:rPr>
                <w:sz w:val="14"/>
                <w:szCs w:val="14"/>
                <w:color w:val="auto"/>
              </w:rPr>
            </w:pPr>
          </w:p>
        </w:tc>
        <w:tc>
          <w:tcPr>
            <w:tcW w:w="800" w:type="dxa"/>
            <w:vAlign w:val="bottom"/>
            <w:tcBorders>
              <w:right w:val="single" w:sz="8" w:color="auto"/>
            </w:tcBorders>
            <w:shd w:val="clear" w:color="auto" w:fill="D9E2F3"/>
          </w:tcPr>
          <w:p>
            <w:pPr>
              <w:spacing w:after="0"/>
              <w:rPr>
                <w:sz w:val="14"/>
                <w:szCs w:val="14"/>
                <w:color w:val="auto"/>
              </w:rPr>
            </w:pPr>
          </w:p>
        </w:tc>
        <w:tc>
          <w:tcPr>
            <w:tcW w:w="820" w:type="dxa"/>
            <w:vAlign w:val="bottom"/>
            <w:tcBorders>
              <w:right w:val="single" w:sz="8" w:color="auto"/>
            </w:tcBorders>
            <w:shd w:val="clear" w:color="auto" w:fill="D9E2F3"/>
          </w:tcPr>
          <w:p>
            <w:pPr>
              <w:spacing w:after="0"/>
              <w:rPr>
                <w:sz w:val="14"/>
                <w:szCs w:val="14"/>
                <w:color w:val="auto"/>
              </w:rPr>
            </w:pPr>
          </w:p>
        </w:tc>
        <w:tc>
          <w:tcPr>
            <w:tcW w:w="840" w:type="dxa"/>
            <w:vAlign w:val="bottom"/>
            <w:tcBorders>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Laramie,</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WY</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(4800007)</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320" w:type="dxa"/>
            <w:vAlign w:val="bottom"/>
            <w:tcBorders>
              <w:bottom w:val="single" w:sz="8" w:color="auto"/>
            </w:tcBorders>
            <w:shd w:val="clear" w:color="auto" w:fill="D9E2F3"/>
          </w:tcPr>
          <w:p>
            <w:pPr>
              <w:spacing w:after="0"/>
              <w:rPr>
                <w:sz w:val="15"/>
                <w:szCs w:val="15"/>
                <w:color w:val="auto"/>
              </w:rPr>
            </w:pPr>
          </w:p>
        </w:tc>
        <w:tc>
          <w:tcPr>
            <w:tcW w:w="44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Nevada</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Fernley,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NV</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(2600015)</w:t>
            </w:r>
          </w:p>
        </w:tc>
        <w:tc>
          <w:tcPr>
            <w:tcW w:w="7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Seguin</w:t>
            </w:r>
          </w:p>
        </w:tc>
        <w:tc>
          <w:tcPr>
            <w:tcW w:w="72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320" w:type="dxa"/>
            <w:vAlign w:val="bottom"/>
            <w:shd w:val="clear" w:color="auto" w:fill="D9E2F3"/>
          </w:tcPr>
          <w:p>
            <w:pPr>
              <w:spacing w:after="0"/>
              <w:rPr>
                <w:sz w:val="11"/>
                <w:szCs w:val="11"/>
                <w:color w:val="auto"/>
              </w:rPr>
            </w:pPr>
          </w:p>
        </w:tc>
        <w:tc>
          <w:tcPr>
            <w:tcW w:w="4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Sand</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vMerge w:val="restart"/>
            <w:shd w:val="clear" w:color="auto" w:fill="D9E2F3"/>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Guadalupe,</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right"/>
              <w:ind w:right="30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320" w:type="dxa"/>
            <w:vAlign w:val="bottom"/>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44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ind w:left="280"/>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vMerge w:val="restart"/>
            <w:shd w:val="clear" w:color="auto" w:fill="D9E2F3"/>
          </w:tcPr>
          <w:p>
            <w:pPr>
              <w:ind w:left="260"/>
              <w:spacing w:after="0" w:line="149" w:lineRule="exact"/>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Borders>
              <w:right w:val="single" w:sz="8" w:color="auto"/>
            </w:tcBorders>
            <w:vMerge w:val="restart"/>
            <w:shd w:val="clear" w:color="auto" w:fill="D9E2F3"/>
          </w:tcPr>
          <w:p>
            <w:pPr>
              <w:jc w:val="right"/>
              <w:ind w:right="276"/>
              <w:spacing w:after="0" w:line="149" w:lineRule="exact"/>
              <w:rPr>
                <w:sz w:val="20"/>
                <w:szCs w:val="20"/>
                <w:color w:val="auto"/>
              </w:rPr>
            </w:pPr>
            <w:r>
              <w:rPr>
                <w:rFonts w:ascii="Arial" w:cs="Arial" w:eastAsia="Arial" w:hAnsi="Arial"/>
                <w:sz w:val="14"/>
                <w:szCs w:val="14"/>
                <w:color w:val="auto"/>
              </w:rPr>
              <w:t>0</w:t>
            </w:r>
          </w:p>
        </w:tc>
        <w:tc>
          <w:tcPr>
            <w:tcW w:w="840" w:type="dxa"/>
            <w:vAlign w:val="bottom"/>
            <w:tcBorders>
              <w:right w:val="single" w:sz="8" w:color="auto"/>
            </w:tcBorders>
            <w:vMerge w:val="restart"/>
            <w:shd w:val="clear" w:color="auto" w:fill="D9E2F3"/>
          </w:tcPr>
          <w:p>
            <w:pPr>
              <w:jc w:val="right"/>
              <w:ind w:right="3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7"/>
        </w:trPr>
        <w:tc>
          <w:tcPr>
            <w:tcW w:w="920" w:type="dxa"/>
            <w:vAlign w:val="bottom"/>
            <w:tcBorders>
              <w:left w:val="single" w:sz="8" w:color="auto"/>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vMerge w:val="continue"/>
            <w:shd w:val="clear" w:color="auto" w:fill="D9E2F3"/>
          </w:tcPr>
          <w:p>
            <w:pPr>
              <w:spacing w:after="0"/>
              <w:rPr>
                <w:sz w:val="4"/>
                <w:szCs w:val="4"/>
                <w:color w:val="auto"/>
              </w:rPr>
            </w:pPr>
          </w:p>
        </w:tc>
        <w:tc>
          <w:tcPr>
            <w:tcW w:w="780" w:type="dxa"/>
            <w:vAlign w:val="bottom"/>
            <w:tcBorders>
              <w:right w:val="single" w:sz="8" w:color="auto"/>
            </w:tcBorders>
            <w:vMerge w:val="continue"/>
            <w:shd w:val="clear" w:color="auto" w:fill="D9E2F3"/>
          </w:tcPr>
          <w:p>
            <w:pPr>
              <w:spacing w:after="0"/>
              <w:rPr>
                <w:sz w:val="4"/>
                <w:szCs w:val="4"/>
                <w:color w:val="auto"/>
              </w:rPr>
            </w:pPr>
          </w:p>
        </w:tc>
        <w:tc>
          <w:tcPr>
            <w:tcW w:w="780" w:type="dxa"/>
            <w:vAlign w:val="bottom"/>
            <w:tcBorders>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vMerge w:val="continue"/>
            <w:shd w:val="clear" w:color="auto" w:fill="D9E2F3"/>
          </w:tcPr>
          <w:p>
            <w:pPr>
              <w:spacing w:after="0"/>
              <w:rPr>
                <w:sz w:val="4"/>
                <w:szCs w:val="4"/>
                <w:color w:val="auto"/>
              </w:rPr>
            </w:pPr>
          </w:p>
        </w:tc>
        <w:tc>
          <w:tcPr>
            <w:tcW w:w="680" w:type="dxa"/>
            <w:vAlign w:val="bottom"/>
            <w:tcBorders>
              <w:right w:val="single" w:sz="8" w:color="auto"/>
            </w:tcBorders>
            <w:vMerge w:val="continue"/>
            <w:shd w:val="clear" w:color="auto" w:fill="D9E2F3"/>
          </w:tcPr>
          <w:p>
            <w:pPr>
              <w:spacing w:after="0"/>
              <w:rPr>
                <w:sz w:val="4"/>
                <w:szCs w:val="4"/>
                <w:color w:val="auto"/>
              </w:rPr>
            </w:pPr>
          </w:p>
        </w:tc>
        <w:tc>
          <w:tcPr>
            <w:tcW w:w="320" w:type="dxa"/>
            <w:vAlign w:val="bottom"/>
            <w:vMerge w:val="continue"/>
            <w:shd w:val="clear" w:color="auto" w:fill="D9E2F3"/>
          </w:tcPr>
          <w:p>
            <w:pPr>
              <w:spacing w:after="0"/>
              <w:rPr>
                <w:sz w:val="4"/>
                <w:szCs w:val="4"/>
                <w:color w:val="auto"/>
              </w:rPr>
            </w:pPr>
          </w:p>
        </w:tc>
        <w:tc>
          <w:tcPr>
            <w:tcW w:w="44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vMerge w:val="continue"/>
            <w:shd w:val="clear" w:color="auto" w:fill="D9E2F3"/>
          </w:tcPr>
          <w:p>
            <w:pPr>
              <w:spacing w:after="0"/>
              <w:rPr>
                <w:sz w:val="4"/>
                <w:szCs w:val="4"/>
                <w:color w:val="auto"/>
              </w:rPr>
            </w:pPr>
          </w:p>
        </w:tc>
        <w:tc>
          <w:tcPr>
            <w:tcW w:w="760" w:type="dxa"/>
            <w:vAlign w:val="bottom"/>
            <w:tcBorders>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vMerge w:val="continue"/>
            <w:shd w:val="clear" w:color="auto" w:fill="D9E2F3"/>
          </w:tcPr>
          <w:p>
            <w:pPr>
              <w:spacing w:after="0"/>
              <w:rPr>
                <w:sz w:val="4"/>
                <w:szCs w:val="4"/>
                <w:color w:val="auto"/>
              </w:rPr>
            </w:pPr>
          </w:p>
        </w:tc>
        <w:tc>
          <w:tcPr>
            <w:tcW w:w="800" w:type="dxa"/>
            <w:vAlign w:val="bottom"/>
            <w:tcBorders>
              <w:right w:val="single" w:sz="8" w:color="auto"/>
            </w:tcBorders>
            <w:vMerge w:val="continue"/>
            <w:shd w:val="clear" w:color="auto" w:fill="D9E2F3"/>
          </w:tcPr>
          <w:p>
            <w:pPr>
              <w:spacing w:after="0"/>
              <w:rPr>
                <w:sz w:val="4"/>
                <w:szCs w:val="4"/>
                <w:color w:val="auto"/>
              </w:rPr>
            </w:pPr>
          </w:p>
        </w:tc>
        <w:tc>
          <w:tcPr>
            <w:tcW w:w="820" w:type="dxa"/>
            <w:vAlign w:val="bottom"/>
            <w:tcBorders>
              <w:right w:val="single" w:sz="8" w:color="auto"/>
            </w:tcBorders>
            <w:vMerge w:val="continue"/>
            <w:shd w:val="clear" w:color="auto" w:fill="D9E2F3"/>
          </w:tcPr>
          <w:p>
            <w:pPr>
              <w:spacing w:after="0"/>
              <w:rPr>
                <w:sz w:val="4"/>
                <w:szCs w:val="4"/>
                <w:color w:val="auto"/>
              </w:rPr>
            </w:pPr>
          </w:p>
        </w:tc>
        <w:tc>
          <w:tcPr>
            <w:tcW w:w="840" w:type="dxa"/>
            <w:vAlign w:val="bottom"/>
            <w:tcBorders>
              <w:right w:val="single" w:sz="8" w:color="auto"/>
            </w:tcBorders>
            <w:vMerge w:val="continue"/>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TX</w:t>
            </w:r>
          </w:p>
        </w:tc>
        <w:tc>
          <w:tcPr>
            <w:tcW w:w="720" w:type="dxa"/>
            <w:vAlign w:val="bottom"/>
            <w:tcBorders>
              <w:right w:val="single" w:sz="8" w:color="auto"/>
            </w:tcBorders>
            <w:shd w:val="clear" w:color="auto" w:fill="D9E2F3"/>
          </w:tcPr>
          <w:p>
            <w:pPr>
              <w:spacing w:after="0"/>
              <w:rPr>
                <w:sz w:val="8"/>
                <w:szCs w:val="8"/>
                <w:color w:val="auto"/>
              </w:rPr>
            </w:pPr>
          </w:p>
        </w:tc>
        <w:tc>
          <w:tcPr>
            <w:tcW w:w="780" w:type="dxa"/>
            <w:vAlign w:val="bottom"/>
            <w:tcBorders>
              <w:right w:val="single" w:sz="8" w:color="auto"/>
            </w:tcBorders>
            <w:shd w:val="clear" w:color="auto" w:fill="D9E2F3"/>
          </w:tcPr>
          <w:p>
            <w:pPr>
              <w:spacing w:after="0"/>
              <w:rPr>
                <w:sz w:val="8"/>
                <w:szCs w:val="8"/>
                <w:color w:val="auto"/>
              </w:rPr>
            </w:pPr>
          </w:p>
        </w:tc>
        <w:tc>
          <w:tcPr>
            <w:tcW w:w="780" w:type="dxa"/>
            <w:vAlign w:val="bottom"/>
            <w:tcBorders>
              <w:right w:val="single" w:sz="8" w:color="auto"/>
            </w:tcBorders>
            <w:shd w:val="clear" w:color="auto" w:fill="D9E2F3"/>
          </w:tcPr>
          <w:p>
            <w:pPr>
              <w:spacing w:after="0"/>
              <w:rPr>
                <w:sz w:val="8"/>
                <w:szCs w:val="8"/>
                <w:color w:val="auto"/>
              </w:rPr>
            </w:pPr>
          </w:p>
        </w:tc>
        <w:tc>
          <w:tcPr>
            <w:tcW w:w="720" w:type="dxa"/>
            <w:vAlign w:val="bottom"/>
            <w:tcBorders>
              <w:right w:val="single" w:sz="8" w:color="auto"/>
            </w:tcBorders>
            <w:shd w:val="clear" w:color="auto" w:fill="D9E2F3"/>
          </w:tcPr>
          <w:p>
            <w:pPr>
              <w:spacing w:after="0"/>
              <w:rPr>
                <w:sz w:val="8"/>
                <w:szCs w:val="8"/>
                <w:color w:val="auto"/>
              </w:rPr>
            </w:pPr>
          </w:p>
        </w:tc>
        <w:tc>
          <w:tcPr>
            <w:tcW w:w="680" w:type="dxa"/>
            <w:vAlign w:val="bottom"/>
            <w:tcBorders>
              <w:right w:val="single" w:sz="8" w:color="auto"/>
            </w:tcBorders>
            <w:shd w:val="clear" w:color="auto" w:fill="D9E2F3"/>
          </w:tcPr>
          <w:p>
            <w:pPr>
              <w:spacing w:after="0"/>
              <w:rPr>
                <w:sz w:val="8"/>
                <w:szCs w:val="8"/>
                <w:color w:val="auto"/>
              </w:rPr>
            </w:pPr>
          </w:p>
        </w:tc>
        <w:tc>
          <w:tcPr>
            <w:tcW w:w="320" w:type="dxa"/>
            <w:vAlign w:val="bottom"/>
            <w:vMerge w:val="continue"/>
            <w:shd w:val="clear" w:color="auto" w:fill="D9E2F3"/>
          </w:tcPr>
          <w:p>
            <w:pPr>
              <w:spacing w:after="0"/>
              <w:rPr>
                <w:sz w:val="8"/>
                <w:szCs w:val="8"/>
                <w:color w:val="auto"/>
              </w:rPr>
            </w:pPr>
          </w:p>
        </w:tc>
        <w:tc>
          <w:tcPr>
            <w:tcW w:w="440" w:type="dxa"/>
            <w:vAlign w:val="bottom"/>
            <w:tcBorders>
              <w:right w:val="single" w:sz="8" w:color="auto"/>
            </w:tcBorders>
            <w:shd w:val="clear" w:color="auto" w:fill="D9E2F3"/>
          </w:tcPr>
          <w:p>
            <w:pPr>
              <w:spacing w:after="0"/>
              <w:rPr>
                <w:sz w:val="8"/>
                <w:szCs w:val="8"/>
                <w:color w:val="auto"/>
              </w:rPr>
            </w:pPr>
          </w:p>
        </w:tc>
        <w:tc>
          <w:tcPr>
            <w:tcW w:w="700" w:type="dxa"/>
            <w:vAlign w:val="bottom"/>
            <w:tcBorders>
              <w:right w:val="single" w:sz="8" w:color="auto"/>
            </w:tcBorders>
            <w:shd w:val="clear" w:color="auto" w:fill="D9E2F3"/>
          </w:tcPr>
          <w:p>
            <w:pPr>
              <w:spacing w:after="0"/>
              <w:rPr>
                <w:sz w:val="8"/>
                <w:szCs w:val="8"/>
                <w:color w:val="auto"/>
              </w:rPr>
            </w:pPr>
          </w:p>
        </w:tc>
        <w:tc>
          <w:tcPr>
            <w:tcW w:w="760" w:type="dxa"/>
            <w:vAlign w:val="bottom"/>
            <w:tcBorders>
              <w:right w:val="single" w:sz="8" w:color="auto"/>
            </w:tcBorders>
            <w:shd w:val="clear" w:color="auto" w:fill="D9E2F3"/>
          </w:tcPr>
          <w:p>
            <w:pPr>
              <w:spacing w:after="0"/>
              <w:rPr>
                <w:sz w:val="8"/>
                <w:szCs w:val="8"/>
                <w:color w:val="auto"/>
              </w:rPr>
            </w:pPr>
          </w:p>
        </w:tc>
        <w:tc>
          <w:tcPr>
            <w:tcW w:w="720" w:type="dxa"/>
            <w:vAlign w:val="bottom"/>
            <w:tcBorders>
              <w:right w:val="single" w:sz="8" w:color="auto"/>
            </w:tcBorders>
            <w:shd w:val="clear" w:color="auto" w:fill="D9E2F3"/>
          </w:tcPr>
          <w:p>
            <w:pPr>
              <w:spacing w:after="0"/>
              <w:rPr>
                <w:sz w:val="8"/>
                <w:szCs w:val="8"/>
                <w:color w:val="auto"/>
              </w:rPr>
            </w:pPr>
          </w:p>
        </w:tc>
        <w:tc>
          <w:tcPr>
            <w:tcW w:w="800" w:type="dxa"/>
            <w:vAlign w:val="bottom"/>
            <w:tcBorders>
              <w:right w:val="single" w:sz="8" w:color="auto"/>
            </w:tcBorders>
            <w:shd w:val="clear" w:color="auto" w:fill="D9E2F3"/>
          </w:tcPr>
          <w:p>
            <w:pPr>
              <w:spacing w:after="0"/>
              <w:rPr>
                <w:sz w:val="8"/>
                <w:szCs w:val="8"/>
                <w:color w:val="auto"/>
              </w:rPr>
            </w:pPr>
          </w:p>
        </w:tc>
        <w:tc>
          <w:tcPr>
            <w:tcW w:w="820" w:type="dxa"/>
            <w:vAlign w:val="bottom"/>
            <w:tcBorders>
              <w:right w:val="single" w:sz="8" w:color="auto"/>
            </w:tcBorders>
            <w:shd w:val="clear" w:color="auto" w:fill="D9E2F3"/>
          </w:tcPr>
          <w:p>
            <w:pPr>
              <w:spacing w:after="0"/>
              <w:rPr>
                <w:sz w:val="8"/>
                <w:szCs w:val="8"/>
                <w:color w:val="auto"/>
              </w:rPr>
            </w:pPr>
          </w:p>
        </w:tc>
        <w:tc>
          <w:tcPr>
            <w:tcW w:w="840" w:type="dxa"/>
            <w:vAlign w:val="bottom"/>
            <w:tcBorders>
              <w:right w:val="single" w:sz="8" w:color="auto"/>
            </w:tcBorders>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left w:val="single" w:sz="8" w:color="auto"/>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680" w:type="dxa"/>
            <w:vAlign w:val="bottom"/>
            <w:tcBorders>
              <w:right w:val="single" w:sz="8" w:color="auto"/>
            </w:tcBorders>
            <w:shd w:val="clear" w:color="auto" w:fill="D9E2F3"/>
          </w:tcPr>
          <w:p>
            <w:pPr>
              <w:spacing w:after="0"/>
              <w:rPr>
                <w:sz w:val="4"/>
                <w:szCs w:val="4"/>
                <w:color w:val="auto"/>
              </w:rPr>
            </w:pPr>
          </w:p>
        </w:tc>
        <w:tc>
          <w:tcPr>
            <w:tcW w:w="320" w:type="dxa"/>
            <w:vAlign w:val="bottom"/>
            <w:shd w:val="clear" w:color="auto" w:fill="D9E2F3"/>
          </w:tcPr>
          <w:p>
            <w:pPr>
              <w:spacing w:after="0"/>
              <w:rPr>
                <w:sz w:val="4"/>
                <w:szCs w:val="4"/>
                <w:color w:val="auto"/>
              </w:rPr>
            </w:pPr>
          </w:p>
        </w:tc>
        <w:tc>
          <w:tcPr>
            <w:tcW w:w="44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0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4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(4105665)</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680" w:type="dxa"/>
            <w:vAlign w:val="bottom"/>
            <w:tcBorders>
              <w:bottom w:val="single" w:sz="8" w:color="auto"/>
              <w:right w:val="single" w:sz="8" w:color="auto"/>
            </w:tcBorders>
            <w:shd w:val="clear" w:color="auto" w:fill="D9E2F3"/>
          </w:tcPr>
          <w:p>
            <w:pPr>
              <w:spacing w:after="0"/>
              <w:rPr>
                <w:sz w:val="15"/>
                <w:szCs w:val="15"/>
                <w:color w:val="auto"/>
              </w:rPr>
            </w:pPr>
          </w:p>
        </w:tc>
        <w:tc>
          <w:tcPr>
            <w:tcW w:w="320" w:type="dxa"/>
            <w:vAlign w:val="bottom"/>
            <w:tcBorders>
              <w:bottom w:val="single" w:sz="8" w:color="auto"/>
            </w:tcBorders>
            <w:shd w:val="clear" w:color="auto" w:fill="D9E2F3"/>
          </w:tcPr>
          <w:p>
            <w:pPr>
              <w:spacing w:after="0"/>
              <w:rPr>
                <w:sz w:val="15"/>
                <w:szCs w:val="15"/>
                <w:color w:val="auto"/>
              </w:rPr>
            </w:pPr>
          </w:p>
        </w:tc>
        <w:tc>
          <w:tcPr>
            <w:tcW w:w="44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4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Texas</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Lehigh</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Arial" w:cs="Arial" w:eastAsia="Arial" w:hAnsi="Arial"/>
                <w:sz w:val="28"/>
                <w:szCs w:val="28"/>
                <w:color w:val="auto"/>
                <w:w w:val="79"/>
                <w:vertAlign w:val="subscript"/>
              </w:rPr>
              <w:t>2</w:t>
            </w:r>
            <w:r>
              <w:rPr>
                <w:rFonts w:ascii="Arial" w:cs="Arial" w:eastAsia="Arial" w:hAnsi="Arial"/>
                <w:sz w:val="10"/>
                <w:szCs w:val="10"/>
                <w:color w:val="auto"/>
                <w:w w:val="79"/>
              </w:rPr>
              <w:t>(1)</w:t>
            </w:r>
          </w:p>
        </w:tc>
        <w:tc>
          <w:tcPr>
            <w:tcW w:w="820" w:type="dxa"/>
            <w:vAlign w:val="bottom"/>
            <w:tcBorders>
              <w:right w:val="single" w:sz="8" w:color="auto"/>
            </w:tcBorders>
            <w:vMerge w:val="restart"/>
          </w:tcPr>
          <w:p>
            <w:pPr>
              <w:ind w:left="360"/>
              <w:spacing w:after="0" w:line="297"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4</w:t>
            </w:r>
          </w:p>
        </w:tc>
        <w:tc>
          <w:tcPr>
            <w:tcW w:w="780" w:type="dxa"/>
            <w:vAlign w:val="bottom"/>
            <w:tcBorders>
              <w:right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$10,355</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no</w:t>
            </w:r>
          </w:p>
        </w:tc>
        <w:tc>
          <w:tcPr>
            <w:tcW w:w="72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no</w:t>
            </w: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LP</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Buda, TX</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(4102781)</w:t>
            </w:r>
          </w:p>
        </w:tc>
        <w:tc>
          <w:tcPr>
            <w:tcW w:w="7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80" w:hanging="714"/>
        <w:spacing w:after="0"/>
        <w:tabs>
          <w:tab w:leader="none" w:pos="1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legal actions were penalty contests.</w:t>
      </w:r>
    </w:p>
    <w:p>
      <w:pPr>
        <w:ind w:left="1280" w:hanging="714"/>
        <w:spacing w:after="0"/>
        <w:tabs>
          <w:tab w:leader="none" w:pos="1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Battletown Quarry was acquired on 3/31/2023 by Eagle Materials Inc. - Operator is Battletown Materials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506730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760" w:top="81" w:right="11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21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upperLetter"/>
      <w:start w:val="2"/>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lvl w:ilvl="1">
      <w:lvlJc w:val="left"/>
      <w:lvlText w:val="%2"/>
      <w:numFmt w:val="decimal"/>
      <w:start w:val="104"/>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lvl w:ilvl="1">
      <w:lvlJc w:val="left"/>
      <w:lvlText w:val="(%2)"/>
      <w:numFmt w:val="lowerLetter"/>
      <w:start w:val="1"/>
    </w:lvl>
  </w:abstractNum>
  <w:abstractNum w:abstractNumId="16">
    <w:nsid w:val="6CEAF087"/>
    <w:multiLevelType w:val="hybridMultilevel"/>
    <w:lvl w:ilvl="0">
      <w:lvlJc w:val="left"/>
      <w:lvlText w:val="%1."/>
      <w:numFmt w:val="decimal"/>
      <w:start w:val="4"/>
    </w:lvl>
    <w:lvl w:ilvl="1">
      <w:lvlJc w:val="left"/>
      <w:lvlText w:val="(%2)"/>
      <w:numFmt w:val="lowerLetter"/>
      <w:start w:val="1"/>
    </w:lvl>
  </w:abstractNum>
  <w:abstractNum w:abstractNumId="17">
    <w:nsid w:val="22221A70"/>
    <w:multiLevelType w:val="hybridMultilevel"/>
    <w:lvl w:ilvl="0">
      <w:lvlJc w:val="left"/>
      <w:lvlText w:val="%1."/>
      <w:numFmt w:val="decimal"/>
      <w:start w:val="9"/>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3"/>
    </w:lvl>
  </w:abstractNum>
  <w:abstractNum w:abstractNumId="23">
    <w:nsid w:val="440BADFC"/>
    <w:multiLevelType w:val="hybridMultilevel"/>
    <w:lvl w:ilvl="0">
      <w:lvlJc w:val="left"/>
      <w:lvlText w:val="%1."/>
      <w:numFmt w:val="decimal"/>
      <w:start w:val="3"/>
    </w:lvl>
  </w:abstractNum>
  <w:abstractNum w:abstractNumId="24">
    <w:nsid w:val="5072367"/>
    <w:multiLevelType w:val="hybridMultilevel"/>
    <w:lvl w:ilvl="0">
      <w:lvlJc w:val="left"/>
      <w:lvlText w:val="(%1)"/>
      <w:numFmt w:val="lowerLetter"/>
      <w:start w:val="2"/>
    </w:lvl>
  </w:abstractNum>
  <w:abstractNum w:abstractNumId="25">
    <w:nsid w:val="3804823E"/>
    <w:multiLevelType w:val="hybridMultilevel"/>
    <w:lvl w:ilvl="0">
      <w:lvlJc w:val="left"/>
      <w:lvlText w:val="%1."/>
      <w:numFmt w:val="decimal"/>
      <w:start w:val="4"/>
    </w:lvl>
  </w:abstractNum>
  <w:abstractNum w:abstractNumId="26">
    <w:nsid w:val="77465F01"/>
    <w:multiLevelType w:val="hybridMultilevel"/>
    <w:lvl w:ilvl="0">
      <w:lvlJc w:val="left"/>
      <w:lvlText w:val="%1."/>
      <w:numFmt w:val="decimal"/>
      <w:start w:val="5"/>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decimal"/>
      <w:start w:val="6"/>
    </w:lvl>
  </w:abstractNum>
  <w:abstractNum w:abstractNumId="29">
    <w:nsid w:val="2463B9EA"/>
    <w:multiLevelType w:val="hybridMultilevel"/>
    <w:lvl w:ilvl="0">
      <w:lvlJc w:val="left"/>
      <w:lvlText w:val="%1."/>
      <w:numFmt w:val="decimal"/>
      <w:start w:val="7"/>
    </w:lvl>
  </w:abstractNum>
  <w:abstractNum w:abstractNumId="30">
    <w:nsid w:val="5E884ADC"/>
    <w:multiLevelType w:val="hybridMultilevel"/>
    <w:lvl w:ilvl="0">
      <w:lvlJc w:val="left"/>
      <w:lvlText w:val="%1."/>
      <w:numFmt w:val="decimal"/>
      <w:start w:val="8"/>
    </w:lvl>
  </w:abstractNum>
  <w:abstractNum w:abstractNumId="31">
    <w:nsid w:val="51EAD36B"/>
    <w:multiLevelType w:val="hybridMultilevel"/>
    <w:lvl w:ilvl="0">
      <w:lvlJc w:val="left"/>
      <w:lvlText w:val="%1."/>
      <w:numFmt w:val="decimal"/>
      <w:start w:val="9"/>
    </w:lvl>
  </w:abstractNum>
  <w:abstractNum w:abstractNumId="32">
    <w:nsid w:val="2D517796"/>
    <w:multiLevelType w:val="hybridMultilevel"/>
    <w:lvl w:ilvl="0">
      <w:lvlJc w:val="left"/>
      <w:lvlText w:val="%1."/>
      <w:numFmt w:val="decimal"/>
      <w:start w:val="10"/>
    </w:lvl>
  </w:abstractNum>
  <w:abstractNum w:abstractNumId="33">
    <w:nsid w:val="580BD78F"/>
    <w:multiLevelType w:val="hybridMultilevel"/>
    <w:lvl w:ilvl="0">
      <w:lvlJc w:val="left"/>
      <w:lvlText w:val="%1."/>
      <w:numFmt w:val="decimal"/>
      <w:start w:val="11"/>
    </w:lvl>
  </w:abstractNum>
  <w:abstractNum w:abstractNumId="34">
    <w:nsid w:val="153EA438"/>
    <w:multiLevelType w:val="hybridMultilevel"/>
    <w:lvl w:ilvl="0">
      <w:lvlJc w:val="left"/>
      <w:lvlText w:val="%1."/>
      <w:numFmt w:val="decimal"/>
      <w:start w:val="12"/>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5"/>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Roman"/>
      <w:start w:val="1"/>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2023-10-26T16:23:07Z</dcterms:created>
  <dcterms:modified xsi:type="dcterms:W3CDTF">2023-10-26T16:23:07Z</dcterms:modified>
</cp:coreProperties>
</file>