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EAGLE MATERIALS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right="28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-3535045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-3088640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-2505710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-2059940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-1614170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306705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486410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529590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254635</wp:posOffset>
            </wp:positionV>
            <wp:extent cx="699770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342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1377950</wp:posOffset>
            </wp:positionV>
            <wp:extent cx="4656455" cy="1097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56455" cy="10979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340"/>
        <w:spacing w:after="0"/>
        <w:rPr>
          <w:sz w:val="20"/>
          <w:szCs w:val="20"/>
          <w:color w:val="auto"/>
        </w:rPr>
      </w:pPr>
      <w:r>
        <w:rPr>
          <w:rFonts w:ascii="Arial" w:cs="Arial" w:eastAsia="Arial" w:hAnsi="Arial"/>
          <w:sz w:val="129"/>
          <w:szCs w:val="129"/>
          <w:b w:val="1"/>
          <w:bCs w:val="1"/>
          <w:color w:val="auto"/>
        </w:rPr>
        <w:t>2019</w:t>
      </w:r>
    </w:p>
    <w:p>
      <w:pPr>
        <w:spacing w:after="0" w:line="200" w:lineRule="exact"/>
        <w:rPr>
          <w:sz w:val="20"/>
          <w:szCs w:val="20"/>
          <w:color w:val="auto"/>
        </w:rPr>
      </w:pPr>
    </w:p>
    <w:p>
      <w:pPr>
        <w:spacing w:after="0" w:line="347" w:lineRule="exact"/>
        <w:rPr>
          <w:sz w:val="20"/>
          <w:szCs w:val="20"/>
          <w:color w:val="auto"/>
        </w:rPr>
      </w:pPr>
    </w:p>
    <w:p>
      <w:pPr>
        <w:ind w:left="6520"/>
        <w:spacing w:after="0"/>
        <w:rPr>
          <w:sz w:val="20"/>
          <w:szCs w:val="20"/>
          <w:color w:val="auto"/>
        </w:rPr>
      </w:pPr>
      <w:r>
        <w:rPr>
          <w:rFonts w:ascii="Arial" w:cs="Arial" w:eastAsia="Arial" w:hAnsi="Arial"/>
          <w:sz w:val="32"/>
          <w:szCs w:val="32"/>
          <w:b w:val="1"/>
          <w:bCs w:val="1"/>
          <w:color w:val="auto"/>
        </w:rPr>
        <w:t>Proxy Statement and Notice of</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32"/>
          <w:szCs w:val="32"/>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193040</wp:posOffset>
            </wp:positionV>
            <wp:extent cx="699770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205740</wp:posOffset>
            </wp:positionV>
            <wp:extent cx="2967355" cy="69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735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5960 Berkshire Ln., Suite 900</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Dallas, Texas 75225</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June 27, 2019</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Dear Fellow Stockholder:</w:t>
      </w:r>
    </w:p>
    <w:p>
      <w:pPr>
        <w:spacing w:after="0" w:line="202" w:lineRule="exact"/>
        <w:rPr>
          <w:sz w:val="20"/>
          <w:szCs w:val="20"/>
          <w:color w:val="auto"/>
        </w:rPr>
      </w:pPr>
    </w:p>
    <w:p>
      <w:pPr>
        <w:ind w:left="640" w:right="120"/>
        <w:spacing w:after="0" w:line="231" w:lineRule="auto"/>
        <w:rPr>
          <w:sz w:val="20"/>
          <w:szCs w:val="20"/>
          <w:color w:val="auto"/>
        </w:rPr>
      </w:pPr>
      <w:r>
        <w:rPr>
          <w:rFonts w:ascii="Arial" w:cs="Arial" w:eastAsia="Arial" w:hAnsi="Arial"/>
          <w:sz w:val="20"/>
          <w:szCs w:val="20"/>
          <w:color w:val="auto"/>
        </w:rPr>
        <w:t>It is our pleasure to invite you to our Annual Meeting of Stockholders, which will be held on Tuesday, August 6, 2019, at Arlington Hall at Oak Lawn Park, 3333 Turtle Creek Blvd., Dallas, Texas 75219, at 8:00 a.m., local time. We hope that you will attend the meeting, but we encourage you to vote by proxy whether or not you plan to attend the meeting in person.</w:t>
      </w:r>
    </w:p>
    <w:p>
      <w:pPr>
        <w:spacing w:after="0" w:line="195" w:lineRule="exact"/>
        <w:rPr>
          <w:sz w:val="20"/>
          <w:szCs w:val="20"/>
          <w:color w:val="auto"/>
        </w:rPr>
      </w:pPr>
    </w:p>
    <w:p>
      <w:pPr>
        <w:ind w:left="640"/>
        <w:spacing w:after="0" w:line="228" w:lineRule="auto"/>
        <w:rPr>
          <w:sz w:val="20"/>
          <w:szCs w:val="20"/>
          <w:color w:val="auto"/>
        </w:rPr>
      </w:pPr>
      <w:r>
        <w:rPr>
          <w:rFonts w:ascii="Arial" w:cs="Arial" w:eastAsia="Arial" w:hAnsi="Arial"/>
          <w:sz w:val="20"/>
          <w:szCs w:val="20"/>
          <w:color w:val="auto"/>
        </w:rPr>
        <w:t>This year we are again taking advantage of the Securities and Exchange Commission rules that allow companies to furnish their proxy materials over the Internet. As a result, beginning on June 27, 2019, we are mailing to many of our stockholders a Notice Regarding the Availability of Proxy Materials, or Notice, instead of a paper copy of the materials for the Annual Meeting. The Notice contains instructions on how to access the proxy materials over the Internet and vote online, as well as how stockholders can elect to receive paper copies of the materials. We believe that this process expedites stockholders’ receipt of proxy materials and provides stockholders with the information they need, while also conserving natural resources and reducing the costs of printing and distributing our proxy materials.</w:t>
      </w:r>
    </w:p>
    <w:p>
      <w:pPr>
        <w:spacing w:after="0" w:line="199" w:lineRule="exact"/>
        <w:rPr>
          <w:sz w:val="20"/>
          <w:szCs w:val="20"/>
          <w:color w:val="auto"/>
        </w:rPr>
      </w:pPr>
    </w:p>
    <w:p>
      <w:pPr>
        <w:ind w:left="640" w:right="80"/>
        <w:spacing w:after="0" w:line="236" w:lineRule="auto"/>
        <w:rPr>
          <w:sz w:val="20"/>
          <w:szCs w:val="20"/>
          <w:color w:val="auto"/>
        </w:rPr>
      </w:pPr>
      <w:r>
        <w:rPr>
          <w:rFonts w:ascii="Arial" w:cs="Arial" w:eastAsia="Arial" w:hAnsi="Arial"/>
          <w:sz w:val="20"/>
          <w:szCs w:val="20"/>
          <w:color w:val="auto"/>
        </w:rPr>
        <w:t xml:space="preserve">If you attend the Annual Meeting and desire to vote your shares personally rather than by proxy, you may withdraw your proxy at any time before it is exercised. </w:t>
      </w:r>
      <w:r>
        <w:rPr>
          <w:rFonts w:ascii="Arial" w:cs="Arial" w:eastAsia="Arial" w:hAnsi="Arial"/>
          <w:sz w:val="20"/>
          <w:szCs w:val="20"/>
          <w:b w:val="1"/>
          <w:bCs w:val="1"/>
          <w:color w:val="auto"/>
        </w:rPr>
        <w:t>Your vote is very important, whether you own one share or many.</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Thank you for your continued support and interest in Eagle.</w:t>
      </w:r>
    </w:p>
    <w:p>
      <w:pPr>
        <w:spacing w:after="0" w:line="202"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18"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DAVID B. POWERS</w:t>
      </w:r>
    </w:p>
    <w:p>
      <w:pPr>
        <w:spacing w:after="0" w:line="182" w:lineRule="exact"/>
        <w:rPr>
          <w:sz w:val="20"/>
          <w:szCs w:val="20"/>
          <w:color w:val="auto"/>
        </w:rPr>
      </w:pPr>
    </w:p>
    <w:p>
      <w:pPr>
        <w:ind w:left="6060"/>
        <w:spacing w:after="0"/>
        <w:rPr>
          <w:sz w:val="20"/>
          <w:szCs w:val="20"/>
          <w:color w:val="auto"/>
        </w:rPr>
      </w:pPr>
      <w:r>
        <w:rPr>
          <w:rFonts w:ascii="Arial" w:cs="Arial" w:eastAsia="Arial" w:hAnsi="Arial"/>
          <w:sz w:val="20"/>
          <w:szCs w:val="20"/>
          <w:i w:val="1"/>
          <w:iCs w:val="1"/>
          <w:color w:val="auto"/>
        </w:rPr>
        <w:t>Chief Executive Officer</w:t>
      </w:r>
    </w:p>
    <w:p>
      <w:pPr>
        <w:spacing w:after="0" w:line="200" w:lineRule="exact"/>
        <w:rPr>
          <w:sz w:val="20"/>
          <w:szCs w:val="20"/>
          <w:color w:val="auto"/>
        </w:rPr>
      </w:pPr>
    </w:p>
    <w:p>
      <w:pPr>
        <w:spacing w:after="0" w:line="238"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MICHAEL R. HAACK</w:t>
      </w:r>
    </w:p>
    <w:p>
      <w:pPr>
        <w:spacing w:after="0" w:line="182" w:lineRule="exact"/>
        <w:rPr>
          <w:sz w:val="20"/>
          <w:szCs w:val="20"/>
          <w:color w:val="auto"/>
        </w:rPr>
      </w:pPr>
    </w:p>
    <w:p>
      <w:pPr>
        <w:ind w:left="6060"/>
        <w:spacing w:after="0"/>
        <w:rPr>
          <w:sz w:val="20"/>
          <w:szCs w:val="20"/>
          <w:color w:val="auto"/>
        </w:rPr>
      </w:pPr>
      <w:r>
        <w:rPr>
          <w:rFonts w:ascii="Arial" w:cs="Arial" w:eastAsia="Arial" w:hAnsi="Arial"/>
          <w:sz w:val="20"/>
          <w:szCs w:val="20"/>
          <w:i w:val="1"/>
          <w:iCs w:val="1"/>
          <w:color w:val="auto"/>
        </w:rPr>
        <w:t>President and Chief Operating Officer</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EAGLE MATERIALS INC.</w:t>
      </w:r>
    </w:p>
    <w:p>
      <w:pPr>
        <w:spacing w:after="0" w:line="3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5960 Berkshire Ln., Suite 900</w:t>
      </w:r>
    </w:p>
    <w:p>
      <w:pPr>
        <w:ind w:left="4880"/>
        <w:spacing w:after="0"/>
        <w:rPr>
          <w:sz w:val="20"/>
          <w:szCs w:val="20"/>
          <w:color w:val="auto"/>
        </w:rPr>
      </w:pPr>
      <w:r>
        <w:rPr>
          <w:rFonts w:ascii="Arial" w:cs="Arial" w:eastAsia="Arial" w:hAnsi="Arial"/>
          <w:sz w:val="18"/>
          <w:szCs w:val="18"/>
          <w:b w:val="1"/>
          <w:bCs w:val="1"/>
          <w:color w:val="auto"/>
        </w:rPr>
        <w:t>Dallas, Texas 75225</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To Be Held August 6, 2019</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234"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The annual meeting of stockholders of Eagle Materials Inc., which we refer to as the “Company,” will be held at Arlington Hall at Oak Lawn Park, 3333 Turtle Creek Blvd., Dallas, Texas 75219, at 8:00 a.m., local time, on Tuesday, August 6, 2019. At the meeting, stockholders will vote on:</w:t>
      </w:r>
    </w:p>
    <w:p>
      <w:pPr>
        <w:spacing w:after="0" w:line="230" w:lineRule="exact"/>
        <w:rPr>
          <w:sz w:val="20"/>
          <w:szCs w:val="20"/>
          <w:color w:val="auto"/>
        </w:rPr>
      </w:pPr>
    </w:p>
    <w:p>
      <w:pPr>
        <w:ind w:left="560" w:right="120" w:hanging="349"/>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three Class I directors identified in the accompanying proxy statement, each to hold office for three years.</w:t>
      </w:r>
    </w:p>
    <w:p>
      <w:pPr>
        <w:spacing w:after="0" w:line="229" w:lineRule="exact"/>
        <w:rPr>
          <w:rFonts w:ascii="Arial" w:cs="Arial" w:eastAsia="Arial" w:hAnsi="Arial"/>
          <w:sz w:val="18"/>
          <w:szCs w:val="18"/>
          <w:color w:val="auto"/>
        </w:rPr>
      </w:pPr>
    </w:p>
    <w:p>
      <w:pPr>
        <w:ind w:left="560" w:right="1060" w:hanging="349"/>
        <w:spacing w:after="0" w:line="246"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resolution regarding the compensation of our named executive officers.</w:t>
      </w:r>
    </w:p>
    <w:p>
      <w:pPr>
        <w:spacing w:after="0" w:line="223" w:lineRule="exact"/>
        <w:rPr>
          <w:rFonts w:ascii="Arial" w:cs="Arial" w:eastAsia="Arial" w:hAnsi="Arial"/>
          <w:sz w:val="18"/>
          <w:szCs w:val="18"/>
          <w:color w:val="auto"/>
        </w:rPr>
      </w:pPr>
    </w:p>
    <w:p>
      <w:pPr>
        <w:ind w:left="560" w:right="100" w:hanging="349"/>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expected appointment of Ernst &amp; Young LLP as the Company’s independent auditors for the fiscal year ending March 31, 2020.</w:t>
      </w:r>
    </w:p>
    <w:p>
      <w:pPr>
        <w:spacing w:after="0" w:line="229" w:lineRule="exact"/>
        <w:rPr>
          <w:rFonts w:ascii="Arial" w:cs="Arial" w:eastAsia="Arial" w:hAnsi="Arial"/>
          <w:sz w:val="18"/>
          <w:szCs w:val="18"/>
          <w:color w:val="auto"/>
        </w:rPr>
      </w:pPr>
    </w:p>
    <w:p>
      <w:pPr>
        <w:ind w:left="560" w:right="660" w:hanging="349"/>
        <w:spacing w:after="0" w:line="246"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matters properly brought before the annual meeting, or any adjournment thereof.</w:t>
      </w:r>
    </w:p>
    <w:p>
      <w:pPr>
        <w:spacing w:after="0" w:line="197"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Company’s Board of Directors has fixed the close of business on June 20, 2019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5960 Berkshire Ln., Suite 900, Dallas, Texas 75225.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8"/>
          <w:szCs w:val="18"/>
          <w:color w:val="auto"/>
        </w:rPr>
        <w:t>If you have questions about</w:t>
      </w:r>
      <w:r>
        <w:rPr>
          <w:rFonts w:ascii="Arial" w:cs="Arial" w:eastAsia="Arial" w:hAnsi="Arial"/>
          <w:sz w:val="18"/>
          <w:szCs w:val="18"/>
          <w:b w:val="1"/>
          <w:bCs w:val="1"/>
          <w:color w:val="auto"/>
        </w:rPr>
        <w:t xml:space="preserve"> </w:t>
      </w:r>
      <w:r>
        <w:rPr>
          <w:rFonts w:ascii="Arial" w:cs="Arial" w:eastAsia="Arial" w:hAnsi="Arial"/>
          <w:sz w:val="18"/>
          <w:szCs w:val="18"/>
          <w:color w:val="auto"/>
        </w:rPr>
        <w:t>these proposals or would like additional copies of the proxy statement, please contact: Eagle Materials Inc., Attention: James H. Graass, Secretary, 5960 Berkshire Ln., Suite 900, Dallas, Texas 75225 (telephone: (214) 432-2000).</w:t>
      </w:r>
    </w:p>
    <w:p>
      <w:pPr>
        <w:spacing w:after="0" w:line="2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2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JAMES H. GRAASS</w:t>
      </w:r>
    </w:p>
    <w:p>
      <w:pPr>
        <w:spacing w:after="0" w:line="194"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General Counsel and</w:t>
      </w:r>
    </w:p>
    <w:p>
      <w:pPr>
        <w:ind w:left="2040"/>
        <w:spacing w:after="0"/>
        <w:rPr>
          <w:sz w:val="20"/>
          <w:szCs w:val="20"/>
          <w:color w:val="auto"/>
        </w:rPr>
      </w:pPr>
      <w:r>
        <w:rPr>
          <w:rFonts w:ascii="Arial" w:cs="Arial" w:eastAsia="Arial" w:hAnsi="Arial"/>
          <w:sz w:val="18"/>
          <w:szCs w:val="18"/>
          <w:i w:val="1"/>
          <w:iCs w:val="1"/>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June 27, 2019</w:t>
      </w:r>
    </w:p>
    <w:p>
      <w:pPr>
        <w:spacing w:after="0" w:line="733"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ANNUAL MEETING OF STOCKHOLDERS TO BE HELD ON AUGUST 6, 2019.</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proxy statement and 2019 annual report to stockholders are available</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you on the Internet at www.proxyvote.com.</w:t>
      </w:r>
    </w:p>
    <w:p>
      <w:pPr>
        <w:sectPr>
          <w:pgSz w:w="11900" w:h="16838" w:orient="portrait"/>
          <w:cols w:equalWidth="0" w:num="1">
            <w:col w:w="1122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TABLE OF CONTENTS</w:t>
      </w:r>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980" w:type="dxa"/>
            <w:vAlign w:val="bottom"/>
            <w:gridSpan w:val="5"/>
            <w:vMerge w:val="restart"/>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Introduction</w:t>
              </w:r>
            </w:hyperlink>
          </w:p>
        </w:tc>
        <w:tc>
          <w:tcPr>
            <w:tcW w:w="3880" w:type="dxa"/>
            <w:vAlign w:val="bottom"/>
            <w:gridSpan w:val="32"/>
            <w:vMerge w:val="restart"/>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380" w:type="dxa"/>
            <w:vAlign w:val="bottom"/>
            <w:vMerge w:val="restart"/>
          </w:tcPr>
          <w:p>
            <w:pPr>
              <w:spacing w:after="0"/>
              <w:rPr>
                <w:sz w:val="15"/>
                <w:szCs w:val="15"/>
                <w:color w:val="auto"/>
              </w:rPr>
            </w:pPr>
          </w:p>
        </w:tc>
        <w:tc>
          <w:tcPr>
            <w:tcW w:w="5000" w:type="dxa"/>
            <w:vAlign w:val="bottom"/>
            <w:gridSpan w:val="30"/>
            <w:vMerge w:val="restart"/>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Executive Compensation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980" w:type="dxa"/>
            <w:vAlign w:val="bottom"/>
            <w:gridSpan w:val="5"/>
            <w:vMerge w:val="continue"/>
          </w:tcPr>
          <w:p>
            <w:pPr>
              <w:spacing w:after="0"/>
              <w:rPr>
                <w:sz w:val="13"/>
                <w:szCs w:val="13"/>
                <w:color w:val="auto"/>
              </w:rPr>
            </w:pPr>
          </w:p>
        </w:tc>
        <w:tc>
          <w:tcPr>
            <w:tcW w:w="3880" w:type="dxa"/>
            <w:vAlign w:val="bottom"/>
            <w:gridSpan w:val="32"/>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4F82BC"/>
              </w:rPr>
              <w:t>1</w:t>
            </w:r>
          </w:p>
        </w:tc>
        <w:tc>
          <w:tcPr>
            <w:tcW w:w="380" w:type="dxa"/>
            <w:vAlign w:val="bottom"/>
            <w:vMerge w:val="continue"/>
          </w:tcPr>
          <w:p>
            <w:pPr>
              <w:spacing w:after="0"/>
              <w:rPr>
                <w:sz w:val="13"/>
                <w:szCs w:val="13"/>
                <w:color w:val="auto"/>
              </w:rPr>
            </w:pPr>
          </w:p>
        </w:tc>
        <w:tc>
          <w:tcPr>
            <w:tcW w:w="5000" w:type="dxa"/>
            <w:vAlign w:val="bottom"/>
            <w:gridSpan w:val="30"/>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4F82BC"/>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5"/>
            <w:shd w:val="clear" w:color="auto" w:fill="0000EE"/>
          </w:tcPr>
          <w:p>
            <w:pPr>
              <w:spacing w:after="0" w:line="20" w:lineRule="exact"/>
              <w:rPr>
                <w:sz w:val="1"/>
                <w:szCs w:val="1"/>
                <w:color w:val="auto"/>
              </w:rPr>
            </w:pPr>
          </w:p>
        </w:tc>
        <w:tc>
          <w:tcPr>
            <w:tcW w:w="6760" w:type="dxa"/>
            <w:vAlign w:val="bottom"/>
            <w:tcBorders>
              <w:left w:val="single" w:sz="8" w:color="0000EE"/>
              <w:right w:val="single" w:sz="8" w:color="0000EE"/>
            </w:tcBorders>
            <w:gridSpan w:val="45"/>
          </w:tcPr>
          <w:p>
            <w:pPr>
              <w:spacing w:after="0" w:line="20" w:lineRule="exact"/>
              <w:rPr>
                <w:sz w:val="1"/>
                <w:szCs w:val="1"/>
                <w:color w:val="auto"/>
              </w:rPr>
            </w:pPr>
          </w:p>
        </w:tc>
        <w:tc>
          <w:tcPr>
            <w:tcW w:w="32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EE"/>
            </w:tcBorders>
            <w:gridSpan w:val="29"/>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Date, Time and Place of the Annual Meeting</w:t>
              </w:r>
            </w:hyperlink>
          </w:p>
        </w:tc>
        <w:tc>
          <w:tcPr>
            <w:tcW w:w="98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Summary Compensation Table</w:t>
              </w:r>
            </w:hyperlink>
          </w:p>
        </w:tc>
        <w:tc>
          <w:tcPr>
            <w:tcW w:w="216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gridSpan w:val="3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Purposes of the Annual Meeting and</w:t>
              </w:r>
            </w:hyperlink>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gridSpan w:val="29"/>
          </w:tcPr>
          <w:p>
            <w:pPr>
              <w:ind w:left="180"/>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Grants of Plan-Based Awards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980" w:type="dxa"/>
            <w:vAlign w:val="bottom"/>
            <w:gridSpan w:val="5"/>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220" w:type="dxa"/>
            <w:vAlign w:val="bottom"/>
            <w:tcBorders>
              <w:left w:val="single" w:sz="8" w:color="0000EE"/>
              <w:right w:val="single" w:sz="8" w:color="0000EE"/>
            </w:tcBorders>
            <w:gridSpan w:val="41"/>
            <w:shd w:val="clear" w:color="auto" w:fill="0000EE"/>
          </w:tcPr>
          <w:p>
            <w:pPr>
              <w:spacing w:after="0" w:line="20" w:lineRule="exact"/>
              <w:rPr>
                <w:sz w:val="1"/>
                <w:szCs w:val="1"/>
                <w:color w:val="auto"/>
              </w:rPr>
            </w:pPr>
          </w:p>
        </w:tc>
        <w:tc>
          <w:tcPr>
            <w:tcW w:w="3220" w:type="dxa"/>
            <w:vAlign w:val="bottom"/>
            <w:gridSpan w:val="21"/>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Recommendations of our Board of Directors</w:t>
              </w:r>
            </w:hyperlink>
          </w:p>
        </w:tc>
        <w:tc>
          <w:tcPr>
            <w:tcW w:w="820" w:type="dxa"/>
            <w:vAlign w:val="bottom"/>
            <w:gridSpan w:val="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0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Outstanding Equity Awards at Fiscal Year-End</w:t>
              </w:r>
            </w:hyperlink>
          </w:p>
        </w:tc>
        <w:tc>
          <w:tcPr>
            <w:tcW w:w="940" w:type="dxa"/>
            <w:vAlign w:val="bottom"/>
            <w:gridSpan w:val="7"/>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520" w:type="dxa"/>
            <w:vAlign w:val="bottom"/>
            <w:gridSpan w:val="3"/>
          </w:tcPr>
          <w:p>
            <w:pPr>
              <w:spacing w:after="0" w:line="182"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About</w:t>
              </w:r>
            </w:hyperlink>
          </w:p>
        </w:tc>
        <w:tc>
          <w:tcPr>
            <w:tcW w:w="1000" w:type="dxa"/>
            <w:vAlign w:val="bottom"/>
            <w:gridSpan w:val="6"/>
          </w:tcPr>
          <w:p>
            <w:pPr>
              <w:ind w:left="40"/>
              <w:spacing w:after="0" w:line="182" w:lineRule="exact"/>
              <w:rPr>
                <w:rFonts w:ascii="Arial" w:cs="Arial" w:eastAsia="Arial" w:hAnsi="Arial"/>
                <w:sz w:val="18"/>
                <w:szCs w:val="18"/>
                <w:b w:val="1"/>
                <w:bCs w:val="1"/>
                <w:color w:val="0000EE"/>
                <w:w w:val="91"/>
              </w:rPr>
            </w:pPr>
            <w:hyperlink w:anchor="page8">
              <w:r>
                <w:rPr>
                  <w:rFonts w:ascii="Arial" w:cs="Arial" w:eastAsia="Arial" w:hAnsi="Arial"/>
                  <w:sz w:val="18"/>
                  <w:szCs w:val="18"/>
                  <w:b w:val="1"/>
                  <w:bCs w:val="1"/>
                  <w:color w:val="0000EE"/>
                  <w:w w:val="91"/>
                </w:rPr>
                <w:t>the Meeting</w:t>
              </w:r>
            </w:hyperlink>
          </w:p>
        </w:tc>
        <w:tc>
          <w:tcPr>
            <w:tcW w:w="2520" w:type="dxa"/>
            <w:vAlign w:val="bottom"/>
            <w:gridSpan w:val="25"/>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4F82BC"/>
              </w:rPr>
              <w:t>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40" w:type="dxa"/>
            <w:vAlign w:val="bottom"/>
            <w:gridSpan w:val="28"/>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Option Exercises and Stock Vested</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98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220" w:type="dxa"/>
            <w:vAlign w:val="bottom"/>
            <w:tcBorders>
              <w:left w:val="single" w:sz="8" w:color="0000EE"/>
              <w:right w:val="single" w:sz="8" w:color="0000EE"/>
            </w:tcBorders>
            <w:gridSpan w:val="41"/>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620" w:type="dxa"/>
            <w:vAlign w:val="bottom"/>
            <w:tcBorders>
              <w:left w:val="single" w:sz="8" w:color="0000EE"/>
            </w:tcBorders>
            <w:gridSpan w:val="1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7"/>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Who Can Vote</w:t>
              </w:r>
            </w:hyperlink>
          </w:p>
        </w:tc>
        <w:tc>
          <w:tcPr>
            <w:tcW w:w="3340" w:type="dxa"/>
            <w:vAlign w:val="bottom"/>
            <w:gridSpan w:val="2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40" w:type="dxa"/>
            <w:vAlign w:val="bottom"/>
            <w:gridSpan w:val="28"/>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Nonqualified Deferred Compensation in FY 2018</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980" w:type="dxa"/>
            <w:vAlign w:val="bottom"/>
            <w:gridSpan w:val="5"/>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440" w:type="dxa"/>
            <w:vAlign w:val="bottom"/>
            <w:tcBorders>
              <w:left w:val="single" w:sz="8" w:color="0000EE"/>
              <w:right w:val="single" w:sz="8" w:color="0000EE"/>
            </w:tcBorders>
            <w:gridSpan w:val="4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520" w:type="dxa"/>
            <w:vAlign w:val="bottom"/>
            <w:tcBorders>
              <w:left w:val="single" w:sz="8" w:color="0000EE"/>
            </w:tcBorders>
            <w:gridSpan w:val="9"/>
            <w:shd w:val="clear" w:color="auto" w:fill="0000EE"/>
          </w:tcPr>
          <w:p>
            <w:pPr>
              <w:spacing w:after="0" w:line="20" w:lineRule="exact"/>
              <w:rPr>
                <w:sz w:val="1"/>
                <w:szCs w:val="1"/>
                <w:color w:val="auto"/>
              </w:rPr>
            </w:pPr>
          </w:p>
        </w:tc>
        <w:tc>
          <w:tcPr>
            <w:tcW w:w="140" w:type="dxa"/>
            <w:vAlign w:val="bottom"/>
            <w:gridSpan w:val="2"/>
            <w:vMerge w:val="restart"/>
          </w:tcPr>
          <w:p>
            <w:pPr>
              <w:spacing w:after="0" w:line="202" w:lineRule="exact"/>
              <w:rPr>
                <w:rFonts w:ascii="Arial" w:cs="Arial" w:eastAsia="Arial" w:hAnsi="Arial"/>
                <w:sz w:val="18"/>
                <w:szCs w:val="18"/>
                <w:b w:val="1"/>
                <w:bCs w:val="1"/>
                <w:color w:val="0000EE"/>
                <w:w w:val="74"/>
              </w:rPr>
            </w:pPr>
            <w:hyperlink w:anchor="page52">
              <w:r>
                <w:rPr>
                  <w:rFonts w:ascii="Arial" w:cs="Arial" w:eastAsia="Arial" w:hAnsi="Arial"/>
                  <w:sz w:val="18"/>
                  <w:szCs w:val="18"/>
                  <w:b w:val="1"/>
                  <w:bCs w:val="1"/>
                  <w:color w:val="0000EE"/>
                  <w:w w:val="74"/>
                </w:rPr>
                <w:t>in</w:t>
              </w:r>
            </w:hyperlink>
          </w:p>
        </w:tc>
        <w:tc>
          <w:tcPr>
            <w:tcW w:w="600" w:type="dxa"/>
            <w:vAlign w:val="bottom"/>
            <w:gridSpan w:val="4"/>
            <w:vMerge w:val="restart"/>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How Proxies Will be Voted</w:t>
              </w:r>
            </w:hyperlink>
          </w:p>
        </w:tc>
        <w:tc>
          <w:tcPr>
            <w:tcW w:w="2400" w:type="dxa"/>
            <w:vAlign w:val="bottom"/>
            <w:gridSpan w:val="1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380" w:type="dxa"/>
            <w:vAlign w:val="bottom"/>
          </w:tcPr>
          <w:p>
            <w:pPr>
              <w:spacing w:after="0"/>
              <w:rPr>
                <w:sz w:val="15"/>
                <w:szCs w:val="15"/>
                <w:color w:val="auto"/>
              </w:rPr>
            </w:pPr>
          </w:p>
        </w:tc>
        <w:tc>
          <w:tcPr>
            <w:tcW w:w="4260" w:type="dxa"/>
            <w:vAlign w:val="bottom"/>
            <w:tcBorders>
              <w:bottom w:val="single" w:sz="8" w:color="0000EE"/>
            </w:tcBorders>
            <w:gridSpan w:val="24"/>
          </w:tcPr>
          <w:p>
            <w:pPr>
              <w:spacing w:after="0" w:line="18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Potential Payments Upon Termination or Change</w:t>
              </w:r>
            </w:hyperlink>
          </w:p>
        </w:tc>
        <w:tc>
          <w:tcPr>
            <w:tcW w:w="140" w:type="dxa"/>
            <w:vAlign w:val="bottom"/>
            <w:tcBorders>
              <w:bottom w:val="single" w:sz="8" w:color="0000EE"/>
            </w:tcBorders>
            <w:gridSpan w:val="2"/>
            <w:vMerge w:val="continue"/>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F82BC"/>
              </w:rPr>
              <w:t>46</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17"/>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How to Revoke Your Proxy</w:t>
              </w:r>
            </w:hyperlink>
          </w:p>
        </w:tc>
        <w:tc>
          <w:tcPr>
            <w:tcW w:w="2360" w:type="dxa"/>
            <w:vAlign w:val="bottom"/>
            <w:gridSpan w:val="1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20" w:type="dxa"/>
            <w:vAlign w:val="bottom"/>
            <w:gridSpan w:val="25"/>
          </w:tcPr>
          <w:p>
            <w:pPr>
              <w:spacing w:after="0" w:line="18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Control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5"/>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440" w:type="dxa"/>
            <w:vAlign w:val="bottom"/>
            <w:tcBorders>
              <w:left w:val="single" w:sz="8" w:color="0000EE"/>
            </w:tcBorders>
            <w:gridSpan w:val="6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Quorum and Required Vote</w:t>
              </w:r>
            </w:hyperlink>
          </w:p>
        </w:tc>
        <w:tc>
          <w:tcPr>
            <w:tcW w:w="2320" w:type="dxa"/>
            <w:vAlign w:val="bottom"/>
            <w:gridSpan w:val="1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Payments Made Upon Any Termination</w:t>
              </w:r>
            </w:hyperlink>
          </w:p>
        </w:tc>
        <w:tc>
          <w:tcPr>
            <w:tcW w:w="1500" w:type="dxa"/>
            <w:vAlign w:val="bottom"/>
            <w:gridSpan w:val="10"/>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19"/>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Expenses of Soliciting Proxies</w:t>
              </w:r>
            </w:hyperlink>
          </w:p>
        </w:tc>
        <w:tc>
          <w:tcPr>
            <w:tcW w:w="2100" w:type="dxa"/>
            <w:vAlign w:val="bottom"/>
            <w:gridSpan w:val="1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5"/>
                <w:szCs w:val="15"/>
                <w:color w:val="auto"/>
              </w:rPr>
            </w:pPr>
          </w:p>
        </w:tc>
        <w:tc>
          <w:tcPr>
            <w:tcW w:w="360" w:type="dxa"/>
            <w:vAlign w:val="bottom"/>
            <w:gridSpan w:val="2"/>
          </w:tcPr>
          <w:p>
            <w:pPr>
              <w:spacing w:after="0" w:line="182" w:lineRule="exact"/>
              <w:rPr>
                <w:rFonts w:ascii="Arial" w:cs="Arial" w:eastAsia="Arial" w:hAnsi="Arial"/>
                <w:sz w:val="18"/>
                <w:szCs w:val="18"/>
                <w:b w:val="1"/>
                <w:bCs w:val="1"/>
                <w:color w:val="0000EE"/>
                <w:w w:val="87"/>
              </w:rPr>
            </w:pPr>
            <w:hyperlink w:anchor="page55">
              <w:r>
                <w:rPr>
                  <w:rFonts w:ascii="Arial" w:cs="Arial" w:eastAsia="Arial" w:hAnsi="Arial"/>
                  <w:sz w:val="18"/>
                  <w:szCs w:val="18"/>
                  <w:b w:val="1"/>
                  <w:bCs w:val="1"/>
                  <w:color w:val="0000EE"/>
                  <w:w w:val="87"/>
                </w:rPr>
                <w:t>CEO</w:t>
              </w:r>
            </w:hyperlink>
          </w:p>
        </w:tc>
        <w:tc>
          <w:tcPr>
            <w:tcW w:w="3140" w:type="dxa"/>
            <w:vAlign w:val="bottom"/>
            <w:gridSpan w:val="18"/>
          </w:tcPr>
          <w:p>
            <w:pPr>
              <w:ind w:left="80"/>
              <w:spacing w:after="0" w:line="182"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Pay Ratio</w:t>
              </w:r>
            </w:hyperlink>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4F82BC"/>
              </w:rPr>
              <w:t>49</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How You Can Vote</w:t>
              </w:r>
            </w:hyperlink>
          </w:p>
        </w:tc>
        <w:tc>
          <w:tcPr>
            <w:tcW w:w="900" w:type="dxa"/>
            <w:vAlign w:val="bottom"/>
            <w:tcBorders>
              <w:top w:val="single" w:sz="8" w:color="0000EE"/>
            </w:tcBorders>
            <w:gridSpan w:val="9"/>
          </w:tcPr>
          <w:p>
            <w:pPr>
              <w:spacing w:after="0"/>
              <w:rPr>
                <w:sz w:val="15"/>
                <w:szCs w:val="15"/>
                <w:color w:val="auto"/>
              </w:rPr>
            </w:pPr>
          </w:p>
        </w:tc>
        <w:tc>
          <w:tcPr>
            <w:tcW w:w="2100" w:type="dxa"/>
            <w:vAlign w:val="bottom"/>
            <w:gridSpan w:val="1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b w:val="1"/>
                <w:bCs w:val="1"/>
                <w:color w:val="0000EE"/>
                <w:w w:val="84"/>
              </w:rPr>
            </w:pPr>
            <w:hyperlink w:anchor="page56">
              <w:r>
                <w:rPr>
                  <w:rFonts w:ascii="Arial" w:cs="Arial" w:eastAsia="Arial" w:hAnsi="Arial"/>
                  <w:sz w:val="18"/>
                  <w:szCs w:val="18"/>
                  <w:b w:val="1"/>
                  <w:bCs w:val="1"/>
                  <w:color w:val="0000EE"/>
                  <w:w w:val="84"/>
                </w:rPr>
                <w:t>Stock Ownership</w:t>
              </w:r>
            </w:hyperlink>
          </w:p>
        </w:tc>
        <w:tc>
          <w:tcPr>
            <w:tcW w:w="16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spacing w:after="0"/>
              <w:rPr>
                <w:sz w:val="15"/>
                <w:szCs w:val="15"/>
                <w:color w:val="auto"/>
              </w:rPr>
            </w:pPr>
          </w:p>
        </w:tc>
        <w:tc>
          <w:tcPr>
            <w:tcW w:w="6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4F82BC"/>
              </w:rPr>
              <w:t>50</w:t>
            </w:r>
          </w:p>
        </w:tc>
        <w:tc>
          <w:tcPr>
            <w:tcW w:w="0" w:type="dxa"/>
            <w:vAlign w:val="bottom"/>
          </w:tcPr>
          <w:p>
            <w:pPr>
              <w:spacing w:after="0"/>
              <w:rPr>
                <w:sz w:val="1"/>
                <w:szCs w:val="1"/>
                <w:color w:val="auto"/>
              </w:rPr>
            </w:pPr>
          </w:p>
        </w:tc>
      </w:tr>
      <w:tr>
        <w:trPr>
          <w:trHeight w:val="183"/>
        </w:trPr>
        <w:tc>
          <w:tcPr>
            <w:tcW w:w="4240" w:type="dxa"/>
            <w:vAlign w:val="bottom"/>
            <w:gridSpan w:val="36"/>
          </w:tcPr>
          <w:p>
            <w:pPr>
              <w:spacing w:after="0" w:line="182" w:lineRule="exact"/>
              <w:rPr>
                <w:rFonts w:ascii="Arial" w:cs="Arial" w:eastAsia="Arial" w:hAnsi="Arial"/>
                <w:sz w:val="18"/>
                <w:szCs w:val="18"/>
                <w:b w:val="1"/>
                <w:bCs w:val="1"/>
                <w:color w:val="0000EE"/>
                <w:w w:val="99"/>
              </w:rPr>
            </w:pPr>
            <w:hyperlink w:anchor="page10">
              <w:r>
                <w:rPr>
                  <w:rFonts w:ascii="Arial" w:cs="Arial" w:eastAsia="Arial" w:hAnsi="Arial"/>
                  <w:sz w:val="18"/>
                  <w:szCs w:val="18"/>
                  <w:b w:val="1"/>
                  <w:bCs w:val="1"/>
                  <w:color w:val="0000EE"/>
                  <w:w w:val="99"/>
                </w:rPr>
                <w:t>Proposal No. 1: Election of Directors and Related</w:t>
              </w:r>
            </w:hyperlink>
          </w:p>
        </w:tc>
        <w:tc>
          <w:tcPr>
            <w:tcW w:w="62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4F82BC"/>
              </w:rPr>
              <w:t>4</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40" w:type="dxa"/>
            <w:vAlign w:val="bottom"/>
            <w:gridSpan w:val="28"/>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Management</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98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tcBorders>
              <w:left w:val="single" w:sz="8" w:color="0000EE"/>
              <w:right w:val="single" w:sz="8" w:color="0000EE"/>
            </w:tcBorders>
            <w:gridSpan w:val="27"/>
            <w:shd w:val="clear" w:color="auto" w:fill="0000EE"/>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574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080" w:type="dxa"/>
            <w:vAlign w:val="bottom"/>
            <w:gridSpan w:val="35"/>
          </w:tcPr>
          <w:p>
            <w:pPr>
              <w:spacing w:after="0" w:line="182"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Matters</w:t>
              </w:r>
            </w:hyperlink>
          </w:p>
        </w:tc>
        <w:tc>
          <w:tcPr>
            <w:tcW w:w="6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40" w:type="dxa"/>
            <w:vAlign w:val="bottom"/>
            <w:gridSpan w:val="28"/>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Certain Beneficial Owners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740" w:type="dxa"/>
            <w:vAlign w:val="bottom"/>
            <w:tcBorders>
              <w:right w:val="single" w:sz="8" w:color="0000EE"/>
            </w:tcBorders>
            <w:gridSpan w:val="50"/>
          </w:tcPr>
          <w:p>
            <w:pPr>
              <w:spacing w:after="0" w:line="20" w:lineRule="exact"/>
              <w:rPr>
                <w:sz w:val="1"/>
                <w:szCs w:val="1"/>
                <w:color w:val="auto"/>
              </w:rPr>
            </w:pPr>
          </w:p>
        </w:tc>
        <w:tc>
          <w:tcPr>
            <w:tcW w:w="3220" w:type="dxa"/>
            <w:vAlign w:val="bottom"/>
            <w:gridSpan w:val="21"/>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gridSpan w:val="35"/>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General</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gridSpan w:val="29"/>
          </w:tcPr>
          <w:p>
            <w:pPr>
              <w:ind w:left="180"/>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Related Party Transactions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740" w:type="dxa"/>
            <w:vAlign w:val="bottom"/>
            <w:tcBorders>
              <w:right w:val="single" w:sz="8" w:color="0000EE"/>
            </w:tcBorders>
            <w:gridSpan w:val="50"/>
          </w:tcPr>
          <w:p>
            <w:pPr>
              <w:spacing w:after="0" w:line="20" w:lineRule="exact"/>
              <w:rPr>
                <w:sz w:val="1"/>
                <w:szCs w:val="1"/>
                <w:color w:val="auto"/>
              </w:rPr>
            </w:pPr>
          </w:p>
        </w:tc>
        <w:tc>
          <w:tcPr>
            <w:tcW w:w="3220" w:type="dxa"/>
            <w:vAlign w:val="bottom"/>
            <w:gridSpan w:val="21"/>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gridSpan w:val="35"/>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Director Independence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gridSpan w:val="29"/>
          </w:tcPr>
          <w:p>
            <w:pPr>
              <w:ind w:left="180"/>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Section 16(a) Beneficial Ownership Reporting</w:t>
              </w:r>
            </w:hyperlink>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Nominees</w:t>
              </w:r>
            </w:hyperlink>
          </w:p>
        </w:tc>
        <w:tc>
          <w:tcPr>
            <w:tcW w:w="1000" w:type="dxa"/>
            <w:vAlign w:val="bottom"/>
            <w:tcBorders>
              <w:top w:val="single" w:sz="8" w:color="0000EE"/>
            </w:tcBorders>
            <w:gridSpan w:val="9"/>
          </w:tcPr>
          <w:p>
            <w:pPr>
              <w:spacing w:after="0"/>
              <w:rPr>
                <w:sz w:val="15"/>
                <w:szCs w:val="15"/>
                <w:color w:val="auto"/>
              </w:rPr>
            </w:pPr>
          </w:p>
        </w:tc>
        <w:tc>
          <w:tcPr>
            <w:tcW w:w="2700" w:type="dxa"/>
            <w:vAlign w:val="bottom"/>
            <w:gridSpan w:val="2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61">
              <w:r>
                <w:rPr>
                  <w:rFonts w:ascii="Arial" w:cs="Arial" w:eastAsia="Arial" w:hAnsi="Arial"/>
                  <w:sz w:val="18"/>
                  <w:szCs w:val="18"/>
                  <w:color w:val="0000EE"/>
                  <w:w w:val="98"/>
                </w:rPr>
                <w:t>Compliance</w:t>
              </w:r>
            </w:hyperlink>
          </w:p>
        </w:tc>
        <w:tc>
          <w:tcPr>
            <w:tcW w:w="2520" w:type="dxa"/>
            <w:vAlign w:val="bottom"/>
            <w:tcBorders>
              <w:top w:val="single" w:sz="8" w:color="0000EE"/>
            </w:tcBorders>
            <w:gridSpan w:val="13"/>
          </w:tcPr>
          <w:p>
            <w:pPr>
              <w:spacing w:after="0"/>
              <w:rPr>
                <w:sz w:val="15"/>
                <w:szCs w:val="15"/>
                <w:color w:val="auto"/>
              </w:rPr>
            </w:pPr>
          </w:p>
        </w:tc>
        <w:tc>
          <w:tcPr>
            <w:tcW w:w="980" w:type="dxa"/>
            <w:vAlign w:val="bottom"/>
            <w:gridSpan w:val="8"/>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gridSpan w:val="35"/>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Recommendation of the Board</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gridSpan w:val="29"/>
          </w:tcPr>
          <w:p>
            <w:pPr>
              <w:ind w:left="180"/>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Code of Conduct</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2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Director Qualifications</w:t>
              </w:r>
            </w:hyperlink>
          </w:p>
        </w:tc>
        <w:tc>
          <w:tcPr>
            <w:tcW w:w="2080" w:type="dxa"/>
            <w:vAlign w:val="bottom"/>
            <w:gridSpan w:val="1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5380" w:type="dxa"/>
            <w:vAlign w:val="bottom"/>
            <w:gridSpan w:val="31"/>
          </w:tcPr>
          <w:p>
            <w:pPr>
              <w:ind w:left="380"/>
              <w:spacing w:after="0" w:line="182"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Proposal No. 2: Advisory Vote on Compensation of</w:t>
              </w:r>
            </w:hyperlink>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F82BC"/>
              </w:rPr>
              <w:t>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9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gridSpan w:val="35"/>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Board Meetings and Attendance Records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380" w:type="dxa"/>
            <w:vAlign w:val="bottom"/>
            <w:vMerge w:val="continue"/>
          </w:tcPr>
          <w:p>
            <w:pPr>
              <w:spacing w:after="0"/>
              <w:rPr>
                <w:sz w:val="15"/>
                <w:szCs w:val="15"/>
                <w:color w:val="auto"/>
              </w:rPr>
            </w:pPr>
          </w:p>
        </w:tc>
        <w:tc>
          <w:tcPr>
            <w:tcW w:w="4420" w:type="dxa"/>
            <w:vAlign w:val="bottom"/>
            <w:gridSpan w:val="27"/>
          </w:tcPr>
          <w:p>
            <w:pPr>
              <w:ind w:left="180"/>
              <w:spacing w:after="0" w:line="182"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Our Named Executive Officers</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4F82BC"/>
              </w:rPr>
              <w:t>10</w:t>
            </w: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gridSpan w:val="28"/>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Board Compensation</w:t>
              </w:r>
            </w:hyperlink>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gridSpan w:val="29"/>
          </w:tcPr>
          <w:p>
            <w:pPr>
              <w:ind w:left="180"/>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Recommendation of the Board</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96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Non-Employee Director Compensation for Fiscal</w:t>
              </w:r>
            </w:hyperlink>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40" w:type="dxa"/>
            <w:vAlign w:val="bottom"/>
            <w:tcBorders>
              <w:bottom w:val="single" w:sz="8" w:color="0000EE"/>
            </w:tcBorders>
            <w:gridSpan w:val="28"/>
          </w:tcPr>
          <w:p>
            <w:pPr>
              <w:spacing w:after="0" w:line="18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No. 3: Approval of Expected Appointment</w:t>
              </w:r>
            </w:hyperlink>
          </w:p>
        </w:tc>
        <w:tc>
          <w:tcPr>
            <w:tcW w:w="560" w:type="dxa"/>
            <w:vAlign w:val="bottom"/>
            <w:gridSpan w:val="2"/>
          </w:tcPr>
          <w:p>
            <w:pPr>
              <w:spacing w:after="0"/>
              <w:rPr>
                <w:sz w:val="17"/>
                <w:szCs w:val="17"/>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F82BC"/>
              </w:rPr>
              <w:t>57</w:t>
            </w: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40" w:type="dxa"/>
            <w:vAlign w:val="bottom"/>
            <w:gridSpan w:val="34"/>
          </w:tcPr>
          <w:p>
            <w:pPr>
              <w:spacing w:after="0" w:line="163" w:lineRule="exact"/>
              <w:rPr>
                <w:rFonts w:ascii="Arial" w:cs="Arial" w:eastAsia="Arial" w:hAnsi="Arial"/>
                <w:sz w:val="18"/>
                <w:szCs w:val="18"/>
                <w:color w:val="0000EE"/>
              </w:rPr>
            </w:pPr>
            <w:hyperlink w:anchor="page17">
              <w:r>
                <w:rPr>
                  <w:rFonts w:ascii="Arial" w:cs="Arial" w:eastAsia="Arial" w:hAnsi="Arial"/>
                  <w:sz w:val="18"/>
                  <w:szCs w:val="18"/>
                  <w:color w:val="0000EE"/>
                </w:rPr>
                <w:t>Year 2019</w:t>
              </w:r>
            </w:hyperlink>
          </w:p>
        </w:tc>
        <w:tc>
          <w:tcPr>
            <w:tcW w:w="360" w:type="dxa"/>
            <w:vAlign w:val="bottom"/>
          </w:tcPr>
          <w:p>
            <w:pPr>
              <w:jc w:val="right"/>
              <w:spacing w:after="0" w:line="163" w:lineRule="exact"/>
              <w:rPr>
                <w:sz w:val="20"/>
                <w:szCs w:val="20"/>
                <w:color w:val="auto"/>
              </w:rPr>
            </w:pPr>
            <w:r>
              <w:rPr>
                <w:rFonts w:ascii="Arial" w:cs="Arial" w:eastAsia="Arial" w:hAnsi="Arial"/>
                <w:sz w:val="18"/>
                <w:szCs w:val="18"/>
                <w:color w:val="auto"/>
              </w:rPr>
              <w:t>11</w:t>
            </w:r>
          </w:p>
        </w:tc>
        <w:tc>
          <w:tcPr>
            <w:tcW w:w="380" w:type="dxa"/>
            <w:vAlign w:val="bottom"/>
          </w:tcPr>
          <w:p>
            <w:pPr>
              <w:spacing w:after="0"/>
              <w:rPr>
                <w:sz w:val="14"/>
                <w:szCs w:val="14"/>
                <w:color w:val="auto"/>
              </w:rPr>
            </w:pPr>
          </w:p>
        </w:tc>
        <w:tc>
          <w:tcPr>
            <w:tcW w:w="4440" w:type="dxa"/>
            <w:vAlign w:val="bottom"/>
            <w:gridSpan w:val="28"/>
          </w:tcPr>
          <w:p>
            <w:pPr>
              <w:ind w:left="180"/>
              <w:spacing w:after="0" w:line="163"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of Independent Auditors</w:t>
              </w:r>
            </w:hyperlink>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8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Board Leadership Structure and Role in Risk</w:t>
              </w:r>
            </w:hyperlink>
          </w:p>
        </w:tc>
        <w:tc>
          <w:tcPr>
            <w:tcW w:w="94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Recommendation of the Board</w:t>
              </w:r>
            </w:hyperlink>
          </w:p>
        </w:tc>
        <w:tc>
          <w:tcPr>
            <w:tcW w:w="2180" w:type="dxa"/>
            <w:vAlign w:val="bottom"/>
            <w:gridSpan w:val="14"/>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4"/>
          </w:tcPr>
          <w:p>
            <w:pPr>
              <w:spacing w:after="0" w:line="182"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Oversight</w:t>
              </w:r>
            </w:hyperlink>
          </w:p>
        </w:tc>
        <w:tc>
          <w:tcPr>
            <w:tcW w:w="3560" w:type="dxa"/>
            <w:vAlign w:val="bottom"/>
            <w:gridSpan w:val="30"/>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380" w:type="dxa"/>
            <w:vAlign w:val="bottom"/>
          </w:tcPr>
          <w:p>
            <w:pPr>
              <w:spacing w:after="0"/>
              <w:rPr>
                <w:sz w:val="15"/>
                <w:szCs w:val="15"/>
                <w:color w:val="auto"/>
              </w:rPr>
            </w:pPr>
          </w:p>
        </w:tc>
        <w:tc>
          <w:tcPr>
            <w:tcW w:w="5000" w:type="dxa"/>
            <w:vAlign w:val="bottom"/>
            <w:gridSpan w:val="30"/>
          </w:tcPr>
          <w:p>
            <w:pPr>
              <w:spacing w:after="0" w:line="18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Relationship with Independent Public Accountants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4F82BC"/>
              </w:rPr>
              <w:t>58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960" w:type="dxa"/>
            <w:vAlign w:val="bottom"/>
            <w:tcBorders>
              <w:right w:val="single" w:sz="8" w:color="0000EE"/>
            </w:tcBorders>
            <w:gridSpan w:val="6"/>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gridSpan w:val="4"/>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6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4F82BC"/>
              </w:rPr>
              <w:t>59</w:t>
            </w: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Board Committees</w:t>
              </w:r>
            </w:hyperlink>
          </w:p>
        </w:tc>
        <w:tc>
          <w:tcPr>
            <w:tcW w:w="3020" w:type="dxa"/>
            <w:vAlign w:val="bottom"/>
            <w:gridSpan w:val="2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380" w:type="dxa"/>
            <w:vAlign w:val="bottom"/>
            <w:vMerge w:val="continue"/>
          </w:tcPr>
          <w:p>
            <w:pPr>
              <w:spacing w:after="0"/>
              <w:rPr>
                <w:sz w:val="15"/>
                <w:szCs w:val="15"/>
                <w:color w:val="auto"/>
              </w:rPr>
            </w:pPr>
          </w:p>
        </w:tc>
        <w:tc>
          <w:tcPr>
            <w:tcW w:w="2140" w:type="dxa"/>
            <w:vAlign w:val="bottom"/>
            <w:tcBorders>
              <w:bottom w:val="single" w:sz="8" w:color="0000EE"/>
            </w:tcBorders>
            <w:gridSpan w:val="11"/>
          </w:tcPr>
          <w:p>
            <w:pPr>
              <w:spacing w:after="0" w:line="18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Audit Committee Report</w:t>
              </w:r>
            </w:hyperlink>
          </w:p>
        </w:tc>
        <w:tc>
          <w:tcPr>
            <w:tcW w:w="2200" w:type="dxa"/>
            <w:vAlign w:val="bottom"/>
            <w:gridSpan w:val="14"/>
          </w:tcPr>
          <w:p>
            <w:pPr>
              <w:spacing w:after="0"/>
              <w:rPr>
                <w:sz w:val="15"/>
                <w:szCs w:val="15"/>
                <w:color w:val="auto"/>
              </w:rPr>
            </w:pPr>
          </w:p>
        </w:tc>
        <w:tc>
          <w:tcPr>
            <w:tcW w:w="120" w:type="dxa"/>
            <w:vAlign w:val="bottom"/>
            <w:gridSpan w:val="4"/>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gridSpan w:val="33"/>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Compensation Committee Interlocks and Insider</w:t>
              </w:r>
            </w:hyperlink>
          </w:p>
        </w:tc>
        <w:tc>
          <w:tcPr>
            <w:tcW w:w="66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0" w:type="dxa"/>
            <w:vAlign w:val="bottom"/>
            <w:gridSpan w:val="30"/>
          </w:tcPr>
          <w:p>
            <w:pPr>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Matters Which May be Presented for Action at</w:t>
              </w:r>
            </w:hyperlink>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4F82BC"/>
              </w:rPr>
              <w:t>60</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gridSpan w:val="6"/>
          </w:tcPr>
          <w:p>
            <w:pPr>
              <w:spacing w:after="0" w:line="182"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Participation</w:t>
              </w:r>
            </w:hyperlink>
          </w:p>
        </w:tc>
        <w:tc>
          <w:tcPr>
            <w:tcW w:w="2680" w:type="dxa"/>
            <w:vAlign w:val="bottom"/>
            <w:tcBorders>
              <w:top w:val="single" w:sz="8" w:color="0000EE"/>
            </w:tcBorders>
            <w:gridSpan w:val="26"/>
          </w:tcPr>
          <w:p>
            <w:pPr>
              <w:spacing w:after="0"/>
              <w:rPr>
                <w:sz w:val="15"/>
                <w:szCs w:val="15"/>
                <w:color w:val="auto"/>
              </w:rPr>
            </w:pPr>
          </w:p>
        </w:tc>
        <w:tc>
          <w:tcPr>
            <w:tcW w:w="660" w:type="dxa"/>
            <w:vAlign w:val="bottom"/>
            <w:gridSpan w:val="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3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8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the Meeting</w:t>
              </w:r>
            </w:hyperlink>
          </w:p>
        </w:tc>
        <w:tc>
          <w:tcPr>
            <w:tcW w:w="5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200" w:type="dxa"/>
            <w:vAlign w:val="bottom"/>
            <w:gridSpan w:val="14"/>
            <w:vMerge w:val="restart"/>
          </w:tcPr>
          <w:p>
            <w:pPr>
              <w:spacing w:after="0" w:line="202" w:lineRule="exact"/>
              <w:rPr>
                <w:rFonts w:ascii="Arial" w:cs="Arial" w:eastAsia="Arial" w:hAnsi="Arial"/>
                <w:sz w:val="18"/>
                <w:szCs w:val="18"/>
                <w:b w:val="1"/>
                <w:bCs w:val="1"/>
                <w:color w:val="0000EE"/>
                <w:w w:val="91"/>
              </w:rPr>
            </w:pPr>
            <w:hyperlink w:anchor="page66">
              <w:r>
                <w:rPr>
                  <w:rFonts w:ascii="Arial" w:cs="Arial" w:eastAsia="Arial" w:hAnsi="Arial"/>
                  <w:sz w:val="18"/>
                  <w:szCs w:val="18"/>
                  <w:b w:val="1"/>
                  <w:bCs w:val="1"/>
                  <w:color w:val="0000EE"/>
                  <w:w w:val="91"/>
                </w:rPr>
                <w:t>Documents to Stockholders</w:t>
              </w:r>
            </w:hyperlink>
          </w:p>
        </w:tc>
        <w:tc>
          <w:tcPr>
            <w:tcW w:w="1620" w:type="dxa"/>
            <w:vAlign w:val="bottom"/>
            <w:gridSpan w:val="11"/>
            <w:vMerge w:val="restart"/>
          </w:tcPr>
          <w:p>
            <w:pPr>
              <w:spacing w:after="0" w:line="20" w:lineRule="exact"/>
              <w:rPr>
                <w:sz w:val="1"/>
                <w:szCs w:val="1"/>
                <w:color w:val="auto"/>
              </w:rPr>
            </w:pPr>
          </w:p>
        </w:tc>
        <w:tc>
          <w:tcPr>
            <w:tcW w:w="36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4F82BC"/>
              </w:rPr>
              <w:t>60</w:t>
            </w: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How to Contact Our Board</w:t>
              </w:r>
            </w:hyperlink>
          </w:p>
        </w:tc>
        <w:tc>
          <w:tcPr>
            <w:tcW w:w="2400" w:type="dxa"/>
            <w:vAlign w:val="bottom"/>
            <w:gridSpan w:val="1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380" w:type="dxa"/>
            <w:vAlign w:val="bottom"/>
          </w:tcPr>
          <w:p>
            <w:pPr>
              <w:spacing w:after="0"/>
              <w:rPr>
                <w:sz w:val="15"/>
                <w:szCs w:val="15"/>
                <w:color w:val="auto"/>
              </w:rPr>
            </w:pPr>
          </w:p>
        </w:tc>
        <w:tc>
          <w:tcPr>
            <w:tcW w:w="1180" w:type="dxa"/>
            <w:vAlign w:val="bottom"/>
            <w:tcBorders>
              <w:bottom w:val="single" w:sz="8" w:color="0000EE"/>
            </w:tcBorders>
            <w:gridSpan w:val="5"/>
          </w:tcPr>
          <w:p>
            <w:pPr>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Delivery of</w:t>
              </w:r>
            </w:hyperlink>
          </w:p>
        </w:tc>
        <w:tc>
          <w:tcPr>
            <w:tcW w:w="2200" w:type="dxa"/>
            <w:vAlign w:val="bottom"/>
            <w:tcBorders>
              <w:bottom w:val="single" w:sz="8" w:color="0000EE"/>
            </w:tcBorders>
            <w:gridSpan w:val="14"/>
            <w:vMerge w:val="continue"/>
          </w:tcPr>
          <w:p>
            <w:pPr>
              <w:spacing w:after="0"/>
              <w:rPr>
                <w:sz w:val="15"/>
                <w:szCs w:val="15"/>
                <w:color w:val="auto"/>
              </w:rPr>
            </w:pPr>
          </w:p>
        </w:tc>
        <w:tc>
          <w:tcPr>
            <w:tcW w:w="1620" w:type="dxa"/>
            <w:vAlign w:val="bottom"/>
            <w:gridSpan w:val="11"/>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60" w:type="dxa"/>
            <w:vAlign w:val="bottom"/>
            <w:gridSpan w:val="18"/>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Executive Officers Who Are</w:t>
              </w:r>
            </w:hyperlink>
          </w:p>
        </w:tc>
        <w:tc>
          <w:tcPr>
            <w:tcW w:w="2400" w:type="dxa"/>
            <w:vAlign w:val="bottom"/>
            <w:gridSpan w:val="19"/>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Not Directors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4F82BC"/>
              </w:rPr>
              <w:t>19</w:t>
            </w:r>
          </w:p>
        </w:tc>
        <w:tc>
          <w:tcPr>
            <w:tcW w:w="380" w:type="dxa"/>
            <w:vAlign w:val="bottom"/>
          </w:tcPr>
          <w:p>
            <w:pPr>
              <w:spacing w:after="0"/>
              <w:rPr>
                <w:sz w:val="15"/>
                <w:szCs w:val="15"/>
                <w:color w:val="auto"/>
              </w:rPr>
            </w:pPr>
          </w:p>
        </w:tc>
        <w:tc>
          <w:tcPr>
            <w:tcW w:w="5000" w:type="dxa"/>
            <w:vAlign w:val="bottom"/>
            <w:gridSpan w:val="30"/>
          </w:tcPr>
          <w:p>
            <w:pPr>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Deadline for Receipt of Stockholder Proposals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4F82BC"/>
              </w:rPr>
              <w:t>60</w:t>
            </w:r>
          </w:p>
        </w:tc>
        <w:tc>
          <w:tcPr>
            <w:tcW w:w="0" w:type="dxa"/>
            <w:vAlign w:val="bottom"/>
          </w:tcPr>
          <w:p>
            <w:pPr>
              <w:spacing w:after="0"/>
              <w:rPr>
                <w:sz w:val="1"/>
                <w:szCs w:val="1"/>
                <w:color w:val="auto"/>
              </w:rPr>
            </w:pPr>
          </w:p>
        </w:tc>
      </w:tr>
      <w:tr>
        <w:trPr>
          <w:trHeight w:val="183"/>
        </w:trPr>
        <w:tc>
          <w:tcPr>
            <w:tcW w:w="354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Compensation Committee Report</w:t>
              </w:r>
            </w:hyperlink>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860" w:type="dxa"/>
            <w:vAlign w:val="bottom"/>
            <w:gridSpan w:val="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4F82BC"/>
              </w:rPr>
              <w:t>20</w:t>
            </w:r>
          </w:p>
        </w:tc>
        <w:tc>
          <w:tcPr>
            <w:tcW w:w="3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4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Compensation Discussion and</w:t>
              </w:r>
            </w:hyperlink>
          </w:p>
        </w:tc>
        <w:tc>
          <w:tcPr>
            <w:tcW w:w="2020" w:type="dxa"/>
            <w:vAlign w:val="bottom"/>
            <w:gridSpan w:val="14"/>
          </w:tcPr>
          <w:p>
            <w:pPr>
              <w:spacing w:after="0" w:line="182"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Analysis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4F82BC"/>
              </w:rPr>
              <w:t>21</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5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Our Year in Review</w:t>
              </w:r>
            </w:hyperlink>
          </w:p>
        </w:tc>
        <w:tc>
          <w:tcPr>
            <w:tcW w:w="1500" w:type="dxa"/>
            <w:vAlign w:val="bottom"/>
            <w:tcBorders>
              <w:top w:val="single" w:sz="8" w:color="0000EE"/>
            </w:tcBorders>
            <w:gridSpan w:val="13"/>
          </w:tcPr>
          <w:p>
            <w:pPr>
              <w:spacing w:after="0"/>
              <w:rPr>
                <w:sz w:val="15"/>
                <w:szCs w:val="15"/>
                <w:color w:val="auto"/>
              </w:rPr>
            </w:pPr>
          </w:p>
        </w:tc>
        <w:tc>
          <w:tcPr>
            <w:tcW w:w="1460" w:type="dxa"/>
            <w:vAlign w:val="bottom"/>
            <w:gridSpan w:val="11"/>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gridSpan w:val="35"/>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Named Executive Officers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Compensation Philosophy</w:t>
              </w:r>
            </w:hyperlink>
          </w:p>
        </w:tc>
        <w:tc>
          <w:tcPr>
            <w:tcW w:w="2420" w:type="dxa"/>
            <w:vAlign w:val="bottom"/>
            <w:gridSpan w:val="20"/>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2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Determining Executive Compensation</w:t>
              </w:r>
            </w:hyperlink>
          </w:p>
        </w:tc>
        <w:tc>
          <w:tcPr>
            <w:tcW w:w="1500" w:type="dxa"/>
            <w:vAlign w:val="bottom"/>
            <w:gridSpan w:val="1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gridSpan w:val="35"/>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Primary Elements of Executive Compensation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Other Elements of Executive Compensation</w:t>
              </w:r>
            </w:hyperlink>
          </w:p>
        </w:tc>
        <w:tc>
          <w:tcPr>
            <w:tcW w:w="860" w:type="dxa"/>
            <w:vAlign w:val="bottom"/>
            <w:gridSpan w:val="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Other Compensation Policies and Practices</w:t>
              </w:r>
            </w:hyperlink>
          </w:p>
        </w:tc>
        <w:tc>
          <w:tcPr>
            <w:tcW w:w="1020" w:type="dxa"/>
            <w:vAlign w:val="bottom"/>
            <w:gridSpan w:val="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5"/>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440" w:type="dxa"/>
            <w:vAlign w:val="bottom"/>
            <w:tcBorders>
              <w:left w:val="single" w:sz="8" w:color="0000EE"/>
            </w:tcBorders>
            <w:gridSpan w:val="6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EAGLE MATERIALS INC.</w:t>
      </w:r>
    </w:p>
    <w:p>
      <w:pPr>
        <w:spacing w:after="0" w:line="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5960 Berkshire Ln., Suite 900</w:t>
      </w:r>
    </w:p>
    <w:p>
      <w:pPr>
        <w:jc w:val="center"/>
        <w:ind w:right="-219"/>
        <w:spacing w:after="0"/>
        <w:rPr>
          <w:sz w:val="20"/>
          <w:szCs w:val="20"/>
          <w:color w:val="auto"/>
        </w:rPr>
      </w:pPr>
      <w:r>
        <w:rPr>
          <w:rFonts w:ascii="Arial" w:cs="Arial" w:eastAsia="Arial" w:hAnsi="Arial"/>
          <w:sz w:val="18"/>
          <w:szCs w:val="18"/>
          <w:color w:val="auto"/>
        </w:rPr>
        <w:t>Dallas, Texas 75225</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PROXY STATEMENT</w:t>
      </w:r>
    </w:p>
    <w:p>
      <w:pPr>
        <w:sectPr>
          <w:pgSz w:w="11900" w:h="16838" w:orient="portrait"/>
          <w:cols w:equalWidth="0" w:num="1">
            <w:col w:w="11200"/>
          </w:cols>
          <w:pgMar w:left="240" w:top="459" w:right="459" w:bottom="1440" w:gutter="0" w:footer="0" w:header="0"/>
        </w:sectPr>
      </w:pPr>
    </w:p>
    <w:p>
      <w:pPr>
        <w:spacing w:after="0" w:line="307" w:lineRule="exact"/>
        <w:rPr>
          <w:sz w:val="20"/>
          <w:szCs w:val="20"/>
          <w:color w:val="auto"/>
        </w:rPr>
      </w:pPr>
    </w:p>
    <w:p>
      <w:pPr>
        <w:jc w:val="center"/>
        <w:ind w:left="220"/>
        <w:spacing w:after="0"/>
        <w:rPr>
          <w:sz w:val="20"/>
          <w:szCs w:val="20"/>
          <w:color w:val="auto"/>
        </w:rPr>
      </w:pPr>
      <w:r>
        <w:rPr>
          <w:rFonts w:ascii="Arial" w:cs="Arial" w:eastAsia="Arial" w:hAnsi="Arial"/>
          <w:sz w:val="25"/>
          <w:szCs w:val="25"/>
          <w:b w:val="1"/>
          <w:bCs w:val="1"/>
          <w:color w:val="4F82BC"/>
        </w:rPr>
        <w:t>INTRODUCTION</w:t>
      </w:r>
    </w:p>
    <w:p>
      <w:pPr>
        <w:spacing w:after="0" w:line="25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27, 2019.</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234"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The 2019 annual meeting of our stockholders will be held at Arlington Hall at Oak Lawn Park, 3333 Turtle Creek Blvd., Dallas, Texas 75219, at 8:00 a.m., local time, on Tuesday, August 6, 2019.</w:t>
      </w:r>
    </w:p>
    <w:p>
      <w:pPr>
        <w:spacing w:after="0" w:line="180"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221" w:lineRule="exact"/>
        <w:rPr>
          <w:sz w:val="20"/>
          <w:szCs w:val="20"/>
          <w:color w:val="auto"/>
        </w:rPr>
      </w:pPr>
    </w:p>
    <w:p>
      <w:pPr>
        <w:ind w:left="560" w:right="40" w:hanging="356"/>
        <w:spacing w:after="0" w:line="251"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Class I directors identified in this proxy statement, each to hold office for a term of three years.</w:t>
      </w:r>
    </w:p>
    <w:p>
      <w:pPr>
        <w:spacing w:after="0" w:line="170" w:lineRule="exact"/>
        <w:rPr>
          <w:rFonts w:ascii="Arial" w:cs="Arial" w:eastAsia="Arial" w:hAnsi="Arial"/>
          <w:sz w:val="18"/>
          <w:szCs w:val="18"/>
          <w:color w:val="auto"/>
        </w:rPr>
      </w:pPr>
    </w:p>
    <w:p>
      <w:pPr>
        <w:ind w:left="560" w:right="2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election of its three nominees for director named in this proxy statement.</w:t>
      </w:r>
    </w:p>
    <w:p>
      <w:pPr>
        <w:spacing w:after="0" w:line="200" w:lineRule="exact"/>
        <w:rPr>
          <w:rFonts w:ascii="Arial" w:cs="Arial" w:eastAsia="Arial" w:hAnsi="Arial"/>
          <w:sz w:val="18"/>
          <w:szCs w:val="18"/>
          <w:color w:val="auto"/>
        </w:rPr>
      </w:pPr>
    </w:p>
    <w:p>
      <w:pPr>
        <w:ind w:left="560" w:right="20" w:hanging="356"/>
        <w:spacing w:after="0" w:line="245"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Advisory Vote on Compensation of our Named Executive Officers. </w:t>
      </w:r>
      <w:r>
        <w:rPr>
          <w:rFonts w:ascii="Arial" w:cs="Arial" w:eastAsia="Arial" w:hAnsi="Arial"/>
          <w:sz w:val="18"/>
          <w:szCs w:val="18"/>
          <w:color w:val="auto"/>
        </w:rPr>
        <w:t>We are asking you to approve a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resolution regarding the compensation of our named executive officers as reported in this proxy statement.</w:t>
      </w:r>
    </w:p>
    <w:p>
      <w:pPr>
        <w:spacing w:after="0" w:line="177" w:lineRule="exact"/>
        <w:rPr>
          <w:rFonts w:ascii="Arial" w:cs="Arial" w:eastAsia="Arial" w:hAnsi="Arial"/>
          <w:sz w:val="18"/>
          <w:szCs w:val="18"/>
          <w:color w:val="auto"/>
        </w:rPr>
      </w:pPr>
    </w:p>
    <w:p>
      <w:pPr>
        <w:ind w:left="560" w:right="2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360" w:right="120" w:hanging="356"/>
        <w:spacing w:after="0" w:line="242"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We are asking you to approve the expected appointment by our Audit Committee of Ernst &amp; Young LLP as the Company’s independent auditors for the fiscal year ending March 31, 2020.</w:t>
      </w:r>
    </w:p>
    <w:p>
      <w:pPr>
        <w:spacing w:after="0" w:line="181" w:lineRule="exact"/>
        <w:rPr>
          <w:rFonts w:ascii="Arial" w:cs="Arial" w:eastAsia="Arial" w:hAnsi="Arial"/>
          <w:sz w:val="18"/>
          <w:szCs w:val="18"/>
          <w:color w:val="auto"/>
        </w:rPr>
      </w:pPr>
    </w:p>
    <w:p>
      <w:pPr>
        <w:ind w:left="360"/>
        <w:spacing w:after="0" w:line="247"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2020.</w:t>
      </w:r>
    </w:p>
    <w:p>
      <w:pPr>
        <w:spacing w:after="0" w:line="205" w:lineRule="exact"/>
        <w:rPr>
          <w:rFonts w:ascii="Arial" w:cs="Arial" w:eastAsia="Arial" w:hAnsi="Arial"/>
          <w:sz w:val="18"/>
          <w:szCs w:val="18"/>
          <w:color w:val="auto"/>
        </w:rPr>
      </w:pPr>
    </w:p>
    <w:p>
      <w:pPr>
        <w:ind w:left="360" w:right="80" w:hanging="356"/>
        <w:spacing w:after="0" w:line="251"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w:t>
      </w:r>
      <w:r>
        <w:rPr>
          <w:rFonts w:ascii="Arial" w:cs="Arial" w:eastAsia="Arial" w:hAnsi="Arial"/>
          <w:sz w:val="18"/>
          <w:szCs w:val="18"/>
          <w:i w:val="1"/>
          <w:iCs w:val="1"/>
          <w:color w:val="auto"/>
        </w:rPr>
        <w:t xml:space="preserve"> </w:t>
      </w:r>
      <w:r>
        <w:rPr>
          <w:rFonts w:ascii="Arial" w:cs="Arial" w:eastAsia="Arial" w:hAnsi="Arial"/>
          <w:sz w:val="18"/>
          <w:szCs w:val="18"/>
          <w:color w:val="auto"/>
        </w:rPr>
        <w:t>such other matters, if any, as properly come before the annual meeting, or any adjournment thereof.</w:t>
      </w:r>
    </w:p>
    <w:p>
      <w:pPr>
        <w:spacing w:after="0" w:line="192"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Our Board of Directors does not know of any matters to be acted upon at the meeting other than the matters set forth in items</w:t>
      </w:r>
    </w:p>
    <w:p>
      <w:pPr>
        <w:spacing w:after="0" w:line="1" w:lineRule="exact"/>
        <w:rPr>
          <w:sz w:val="20"/>
          <w:szCs w:val="20"/>
          <w:color w:val="auto"/>
        </w:rPr>
      </w:pPr>
    </w:p>
    <w:p>
      <w:pPr>
        <w:ind w:left="280" w:hanging="276"/>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(3) above.</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jc w:val="center"/>
        <w:ind w:left="440" w:right="220" w:hanging="187"/>
        <w:spacing w:after="0" w:line="262" w:lineRule="auto"/>
        <w:rPr>
          <w:rFonts w:ascii="Arial" w:cs="Arial" w:eastAsia="Arial" w:hAnsi="Arial"/>
          <w:sz w:val="18"/>
          <w:szCs w:val="18"/>
          <w:color w:val="auto"/>
        </w:rPr>
      </w:pPr>
      <w:r>
        <w:rPr>
          <w:rFonts w:ascii="Arial" w:cs="Arial" w:eastAsia="Arial" w:hAnsi="Arial"/>
          <w:sz w:val="17"/>
          <w:szCs w:val="17"/>
          <w:b w:val="1"/>
          <w:bCs w:val="1"/>
          <w:color w:val="auto"/>
        </w:rPr>
        <w:t>IMPORTANT NOTICE REGARDING THE AVAILABILITY OF PROXY MATERIALS FOR THE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3421380" cy="1123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1380" cy="1123315"/>
                    </a:xfrm>
                    <a:prstGeom prst="rect">
                      <a:avLst/>
                    </a:prstGeom>
                    <a:noFill/>
                  </pic:spPr>
                </pic:pic>
              </a:graphicData>
            </a:graphic>
          </wp:anchor>
        </w:drawing>
      </w:r>
    </w:p>
    <w:p>
      <w:pPr>
        <w:jc w:val="center"/>
        <w:ind w:right="-59"/>
        <w:spacing w:after="0" w:line="235" w:lineRule="auto"/>
        <w:rPr>
          <w:sz w:val="20"/>
          <w:szCs w:val="20"/>
          <w:color w:val="auto"/>
        </w:rPr>
      </w:pPr>
      <w:r>
        <w:rPr>
          <w:rFonts w:ascii="Arial" w:cs="Arial" w:eastAsia="Arial" w:hAnsi="Arial"/>
          <w:sz w:val="18"/>
          <w:szCs w:val="18"/>
          <w:b w:val="1"/>
          <w:bCs w:val="1"/>
          <w:color w:val="auto"/>
        </w:rPr>
        <w:t>STOCKHOLDERS TO BE HELD ON</w:t>
      </w:r>
    </w:p>
    <w:p>
      <w:pPr>
        <w:jc w:val="center"/>
        <w:ind w:right="-59"/>
        <w:spacing w:after="0"/>
        <w:rPr>
          <w:sz w:val="20"/>
          <w:szCs w:val="20"/>
          <w:color w:val="auto"/>
        </w:rPr>
      </w:pPr>
      <w:r>
        <w:rPr>
          <w:rFonts w:ascii="Arial" w:cs="Arial" w:eastAsia="Arial" w:hAnsi="Arial"/>
          <w:sz w:val="18"/>
          <w:szCs w:val="18"/>
          <w:b w:val="1"/>
          <w:bCs w:val="1"/>
          <w:color w:val="auto"/>
        </w:rPr>
        <w:t>AUGUST 6, 2019.</w:t>
      </w:r>
    </w:p>
    <w:p>
      <w:pPr>
        <w:spacing w:after="0" w:line="217" w:lineRule="exact"/>
        <w:rPr>
          <w:sz w:val="20"/>
          <w:szCs w:val="20"/>
          <w:color w:val="auto"/>
        </w:rPr>
      </w:pPr>
    </w:p>
    <w:p>
      <w:pPr>
        <w:jc w:val="center"/>
        <w:ind w:left="-39" w:right="80"/>
        <w:spacing w:after="0" w:line="271" w:lineRule="auto"/>
        <w:rPr>
          <w:sz w:val="20"/>
          <w:szCs w:val="20"/>
          <w:color w:val="auto"/>
        </w:rPr>
      </w:pPr>
      <w:r>
        <w:rPr>
          <w:rFonts w:ascii="Arial" w:cs="Arial" w:eastAsia="Arial" w:hAnsi="Arial"/>
          <w:sz w:val="18"/>
          <w:szCs w:val="18"/>
          <w:b w:val="1"/>
          <w:bCs w:val="1"/>
          <w:color w:val="auto"/>
        </w:rPr>
        <w:t>Our proxy statement and 2019 annual report to stockholders are available to you on the Internet at www.proxyvote.com.</w:t>
      </w:r>
    </w:p>
    <w:p>
      <w:pPr>
        <w:sectPr>
          <w:pgSz w:w="11900" w:h="16838" w:orient="portrait"/>
          <w:cols w:equalWidth="0" w:num="2">
            <w:col w:w="5480" w:space="340"/>
            <w:col w:w="5380"/>
          </w:cols>
          <w:pgMar w:left="240" w:top="459" w:right="4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4F82BC"/>
        </w:rPr>
        <w:t>ABOUT THE MEETING</w:t>
      </w:r>
    </w:p>
    <w:p>
      <w:pPr>
        <w:sectPr>
          <w:pgSz w:w="11900" w:h="16838" w:orient="portrait"/>
          <w:cols w:equalWidth="0" w:num="1">
            <w:col w:w="11180"/>
          </w:cols>
          <w:pgMar w:left="240" w:top="459" w:right="479" w:bottom="1440" w:gutter="0" w:footer="0" w:header="0"/>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Who Can Vote</w:t>
      </w:r>
    </w:p>
    <w:p>
      <w:pPr>
        <w:spacing w:after="0" w:line="234"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20, 2019. In this proxy statement, we refer to this date as the “record date.” As of the record date, there were 43,206,186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Proxies Will be Voted</w:t>
      </w:r>
    </w:p>
    <w:p>
      <w:pPr>
        <w:spacing w:after="0" w:line="234"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the accompanying form of proxy to vote the proxies held by them in accordance with their best judgment in such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5960 Berkshire Ln., Suite 900, Dallas, Texas 75225. No such revocation shall be effective, however, unless and until received by the Company at or prior to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pacing w:after="0" w:line="592" w:lineRule="exact"/>
        <w:rPr>
          <w:sz w:val="20"/>
          <w:szCs w:val="20"/>
          <w:color w:val="auto"/>
        </w:rPr>
      </w:pPr>
    </w:p>
    <w:p>
      <w:pPr>
        <w:sectPr>
          <w:pgSz w:w="11900" w:h="16838" w:orient="portrait"/>
          <w:cols w:equalWidth="0" w:num="2">
            <w:col w:w="5460" w:space="360"/>
            <w:col w:w="5360"/>
          </w:cols>
          <w:pgMar w:left="240" w:top="459" w:right="47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3583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8390" cy="342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Election of Directors</w:t>
      </w:r>
    </w:p>
    <w:p>
      <w:pPr>
        <w:spacing w:after="0" w:line="200" w:lineRule="exact"/>
        <w:rPr>
          <w:sz w:val="20"/>
          <w:szCs w:val="20"/>
          <w:color w:val="auto"/>
        </w:rPr>
      </w:pPr>
    </w:p>
    <w:p>
      <w:pPr>
        <w:spacing w:after="0" w:line="386" w:lineRule="exact"/>
        <w:rPr>
          <w:sz w:val="20"/>
          <w:szCs w:val="20"/>
          <w:color w:val="auto"/>
        </w:rPr>
      </w:pPr>
    </w:p>
    <w:p>
      <w:pPr>
        <w:ind w:left="540" w:right="220"/>
        <w:spacing w:after="0" w:line="260" w:lineRule="auto"/>
        <w:rPr>
          <w:sz w:val="20"/>
          <w:szCs w:val="20"/>
          <w:color w:val="auto"/>
        </w:rPr>
      </w:pPr>
      <w:r>
        <w:rPr>
          <w:rFonts w:ascii="Arial" w:cs="Arial" w:eastAsia="Arial" w:hAnsi="Arial"/>
          <w:sz w:val="16"/>
          <w:szCs w:val="16"/>
          <w:color w:val="auto"/>
        </w:rPr>
        <w:t>Advisory vote on compensation of our named executive officers</w:t>
      </w:r>
    </w:p>
    <w:p>
      <w:pPr>
        <w:spacing w:after="0" w:line="371"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auto"/>
        </w:rPr>
        <w:t>Approval of the expected appointment of Ernst &amp; Young LLP as our independent auditors for the fiscal year ending March 31, 2020</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rPr>
              <w:t>Effect of Abstentions and</w:t>
            </w:r>
          </w:p>
        </w:tc>
      </w:tr>
      <w:tr>
        <w:trPr>
          <w:trHeight w:val="255"/>
        </w:trPr>
        <w:tc>
          <w:tcPr>
            <w:tcW w:w="340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Required Vote</w:t>
            </w:r>
          </w:p>
        </w:tc>
        <w:tc>
          <w:tcPr>
            <w:tcW w:w="100" w:type="dxa"/>
            <w:vAlign w:val="bottom"/>
          </w:tcPr>
          <w:p>
            <w:pPr>
              <w:spacing w:after="0"/>
              <w:rPr>
                <w:sz w:val="22"/>
                <w:szCs w:val="22"/>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542"/>
        </w:trPr>
        <w:tc>
          <w:tcPr>
            <w:tcW w:w="3400" w:type="dxa"/>
            <w:vAlign w:val="bottom"/>
          </w:tcPr>
          <w:p>
            <w:pPr>
              <w:ind w:left="120"/>
              <w:spacing w:after="0"/>
              <w:rPr>
                <w:sz w:val="20"/>
                <w:szCs w:val="20"/>
                <w:color w:val="auto"/>
              </w:rPr>
            </w:pPr>
            <w:r>
              <w:rPr>
                <w:rFonts w:ascii="Arial" w:cs="Arial" w:eastAsia="Arial" w:hAnsi="Arial"/>
                <w:sz w:val="16"/>
                <w:szCs w:val="16"/>
                <w:color w:val="auto"/>
              </w:rPr>
              <w:t>Majority of votes cast by the shares present</w:t>
            </w:r>
          </w:p>
        </w:tc>
        <w:tc>
          <w:tcPr>
            <w:tcW w:w="100" w:type="dxa"/>
            <w:vAlign w:val="bottom"/>
          </w:tcPr>
          <w:p>
            <w:pPr>
              <w:spacing w:after="0"/>
              <w:rPr>
                <w:sz w:val="24"/>
                <w:szCs w:val="24"/>
                <w:color w:val="auto"/>
              </w:rPr>
            </w:pPr>
          </w:p>
        </w:tc>
        <w:tc>
          <w:tcPr>
            <w:tcW w:w="3260" w:type="dxa"/>
            <w:vAlign w:val="bottom"/>
          </w:tcPr>
          <w:p>
            <w:pPr>
              <w:ind w:left="100"/>
              <w:spacing w:after="0"/>
              <w:rPr>
                <w:sz w:val="20"/>
                <w:szCs w:val="20"/>
                <w:color w:val="auto"/>
              </w:rPr>
            </w:pPr>
            <w:r>
              <w:rPr>
                <w:rFonts w:ascii="Arial" w:cs="Arial" w:eastAsia="Arial" w:hAnsi="Arial"/>
                <w:sz w:val="16"/>
                <w:szCs w:val="16"/>
                <w:color w:val="auto"/>
              </w:rPr>
              <w:t>No effect on outcome of vote</w:t>
            </w:r>
          </w:p>
        </w:tc>
      </w:tr>
      <w:tr>
        <w:trPr>
          <w:trHeight w:val="189"/>
        </w:trPr>
        <w:tc>
          <w:tcPr>
            <w:tcW w:w="3400" w:type="dxa"/>
            <w:vAlign w:val="bottom"/>
          </w:tcPr>
          <w:p>
            <w:pPr>
              <w:ind w:left="120"/>
              <w:spacing w:after="0"/>
              <w:rPr>
                <w:sz w:val="20"/>
                <w:szCs w:val="20"/>
                <w:color w:val="auto"/>
              </w:rPr>
            </w:pPr>
            <w:r>
              <w:rPr>
                <w:rFonts w:ascii="Arial" w:cs="Arial" w:eastAsia="Arial" w:hAnsi="Arial"/>
                <w:sz w:val="16"/>
                <w:szCs w:val="16"/>
                <w:color w:val="auto"/>
              </w:rPr>
              <w:t>in person or represented by proxy at the</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95"/>
        </w:trPr>
        <w:tc>
          <w:tcPr>
            <w:tcW w:w="3400" w:type="dxa"/>
            <w:vAlign w:val="bottom"/>
          </w:tcPr>
          <w:p>
            <w:pPr>
              <w:ind w:left="120"/>
              <w:spacing w:after="0"/>
              <w:rPr>
                <w:sz w:val="20"/>
                <w:szCs w:val="20"/>
                <w:color w:val="auto"/>
              </w:rPr>
            </w:pPr>
            <w:r>
              <w:rPr>
                <w:rFonts w:ascii="Arial" w:cs="Arial" w:eastAsia="Arial" w:hAnsi="Arial"/>
                <w:sz w:val="16"/>
                <w:szCs w:val="16"/>
                <w:color w:val="auto"/>
              </w:rPr>
              <w:t>meeting</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386"/>
        </w:trPr>
        <w:tc>
          <w:tcPr>
            <w:tcW w:w="3400" w:type="dxa"/>
            <w:vAlign w:val="bottom"/>
          </w:tcPr>
          <w:p>
            <w:pPr>
              <w:ind w:left="120"/>
              <w:spacing w:after="0"/>
              <w:rPr>
                <w:sz w:val="20"/>
                <w:szCs w:val="20"/>
                <w:color w:val="auto"/>
              </w:rPr>
            </w:pPr>
            <w:r>
              <w:rPr>
                <w:rFonts w:ascii="Arial" w:cs="Arial" w:eastAsia="Arial" w:hAnsi="Arial"/>
                <w:sz w:val="16"/>
                <w:szCs w:val="16"/>
                <w:color w:val="auto"/>
              </w:rPr>
              <w:t>Majority of votes cast by the shares present</w:t>
            </w:r>
          </w:p>
        </w:tc>
        <w:tc>
          <w:tcPr>
            <w:tcW w:w="100" w:type="dxa"/>
            <w:vAlign w:val="bottom"/>
          </w:tcPr>
          <w:p>
            <w:pPr>
              <w:spacing w:after="0"/>
              <w:rPr>
                <w:sz w:val="24"/>
                <w:szCs w:val="24"/>
                <w:color w:val="auto"/>
              </w:rPr>
            </w:pPr>
          </w:p>
        </w:tc>
        <w:tc>
          <w:tcPr>
            <w:tcW w:w="3260" w:type="dxa"/>
            <w:vAlign w:val="bottom"/>
          </w:tcPr>
          <w:p>
            <w:pPr>
              <w:ind w:left="100"/>
              <w:spacing w:after="0"/>
              <w:rPr>
                <w:sz w:val="20"/>
                <w:szCs w:val="20"/>
                <w:color w:val="auto"/>
              </w:rPr>
            </w:pPr>
            <w:r>
              <w:rPr>
                <w:rFonts w:ascii="Arial" w:cs="Arial" w:eastAsia="Arial" w:hAnsi="Arial"/>
                <w:sz w:val="16"/>
                <w:szCs w:val="16"/>
                <w:color w:val="auto"/>
              </w:rPr>
              <w:t>No effect on outcome of vote</w:t>
            </w:r>
          </w:p>
        </w:tc>
      </w:tr>
      <w:tr>
        <w:trPr>
          <w:trHeight w:val="189"/>
        </w:trPr>
        <w:tc>
          <w:tcPr>
            <w:tcW w:w="3400" w:type="dxa"/>
            <w:vAlign w:val="bottom"/>
          </w:tcPr>
          <w:p>
            <w:pPr>
              <w:ind w:left="120"/>
              <w:spacing w:after="0"/>
              <w:rPr>
                <w:sz w:val="20"/>
                <w:szCs w:val="20"/>
                <w:color w:val="auto"/>
              </w:rPr>
            </w:pPr>
            <w:r>
              <w:rPr>
                <w:rFonts w:ascii="Arial" w:cs="Arial" w:eastAsia="Arial" w:hAnsi="Arial"/>
                <w:sz w:val="16"/>
                <w:szCs w:val="16"/>
                <w:color w:val="auto"/>
              </w:rPr>
              <w:t>in person or represented by proxy at the</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95"/>
        </w:trPr>
        <w:tc>
          <w:tcPr>
            <w:tcW w:w="3400" w:type="dxa"/>
            <w:vAlign w:val="bottom"/>
          </w:tcPr>
          <w:p>
            <w:pPr>
              <w:ind w:left="120"/>
              <w:spacing w:after="0"/>
              <w:rPr>
                <w:sz w:val="20"/>
                <w:szCs w:val="20"/>
                <w:color w:val="auto"/>
              </w:rPr>
            </w:pPr>
            <w:r>
              <w:rPr>
                <w:rFonts w:ascii="Arial" w:cs="Arial" w:eastAsia="Arial" w:hAnsi="Arial"/>
                <w:sz w:val="16"/>
                <w:szCs w:val="16"/>
                <w:color w:val="auto"/>
              </w:rPr>
              <w:t>meeting</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386"/>
        </w:trPr>
        <w:tc>
          <w:tcPr>
            <w:tcW w:w="3400" w:type="dxa"/>
            <w:vAlign w:val="bottom"/>
          </w:tcPr>
          <w:p>
            <w:pPr>
              <w:ind w:left="120"/>
              <w:spacing w:after="0"/>
              <w:rPr>
                <w:sz w:val="20"/>
                <w:szCs w:val="20"/>
                <w:color w:val="auto"/>
              </w:rPr>
            </w:pPr>
            <w:r>
              <w:rPr>
                <w:rFonts w:ascii="Arial" w:cs="Arial" w:eastAsia="Arial" w:hAnsi="Arial"/>
                <w:sz w:val="16"/>
                <w:szCs w:val="16"/>
                <w:color w:val="auto"/>
              </w:rPr>
              <w:t>Affirmative vote of a majority of the shares</w:t>
            </w:r>
          </w:p>
        </w:tc>
        <w:tc>
          <w:tcPr>
            <w:tcW w:w="100" w:type="dxa"/>
            <w:vAlign w:val="bottom"/>
          </w:tcPr>
          <w:p>
            <w:pPr>
              <w:spacing w:after="0"/>
              <w:rPr>
                <w:sz w:val="24"/>
                <w:szCs w:val="24"/>
                <w:color w:val="auto"/>
              </w:rPr>
            </w:pPr>
          </w:p>
        </w:tc>
        <w:tc>
          <w:tcPr>
            <w:tcW w:w="3260" w:type="dxa"/>
            <w:vAlign w:val="bottom"/>
          </w:tcPr>
          <w:p>
            <w:pPr>
              <w:ind w:left="100"/>
              <w:spacing w:after="0"/>
              <w:rPr>
                <w:sz w:val="20"/>
                <w:szCs w:val="20"/>
                <w:color w:val="auto"/>
              </w:rPr>
            </w:pPr>
            <w:r>
              <w:rPr>
                <w:rFonts w:ascii="Arial" w:cs="Arial" w:eastAsia="Arial" w:hAnsi="Arial"/>
                <w:sz w:val="16"/>
                <w:szCs w:val="16"/>
                <w:color w:val="auto"/>
              </w:rPr>
              <w:t>Same effect as votes against proposal</w:t>
            </w:r>
          </w:p>
        </w:tc>
      </w:tr>
      <w:tr>
        <w:trPr>
          <w:trHeight w:val="189"/>
        </w:trPr>
        <w:tc>
          <w:tcPr>
            <w:tcW w:w="3400" w:type="dxa"/>
            <w:vAlign w:val="bottom"/>
          </w:tcPr>
          <w:p>
            <w:pPr>
              <w:ind w:left="120"/>
              <w:spacing w:after="0"/>
              <w:rPr>
                <w:sz w:val="20"/>
                <w:szCs w:val="20"/>
                <w:color w:val="auto"/>
              </w:rPr>
            </w:pPr>
            <w:r>
              <w:rPr>
                <w:rFonts w:ascii="Arial" w:cs="Arial" w:eastAsia="Arial" w:hAnsi="Arial"/>
                <w:sz w:val="16"/>
                <w:szCs w:val="16"/>
                <w:color w:val="auto"/>
              </w:rPr>
              <w:t>present in person or represented by proxy at</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95"/>
        </w:trPr>
        <w:tc>
          <w:tcPr>
            <w:tcW w:w="3400" w:type="dxa"/>
            <w:vAlign w:val="bottom"/>
          </w:tcPr>
          <w:p>
            <w:pPr>
              <w:ind w:left="120"/>
              <w:spacing w:after="0"/>
              <w:rPr>
                <w:sz w:val="20"/>
                <w:szCs w:val="20"/>
                <w:color w:val="auto"/>
              </w:rPr>
            </w:pPr>
            <w:r>
              <w:rPr>
                <w:rFonts w:ascii="Arial" w:cs="Arial" w:eastAsia="Arial" w:hAnsi="Arial"/>
                <w:sz w:val="16"/>
                <w:szCs w:val="16"/>
                <w:color w:val="auto"/>
              </w:rPr>
              <w:t>the meeting</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bl>
    <w:p>
      <w:pPr>
        <w:spacing w:after="0" w:line="154" w:lineRule="exact"/>
        <w:rPr>
          <w:sz w:val="20"/>
          <w:szCs w:val="20"/>
          <w:color w:val="auto"/>
        </w:rPr>
      </w:pPr>
    </w:p>
    <w:p>
      <w:pPr>
        <w:sectPr>
          <w:pgSz w:w="11900" w:h="16838" w:orient="portrait"/>
          <w:cols w:equalWidth="0" w:num="2">
            <w:col w:w="4020" w:space="220"/>
            <w:col w:w="694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80"/>
          </w:cols>
          <w:pgMar w:left="240" w:top="459" w:right="47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240" w:top="459" w:right="519" w:bottom="1440" w:gutter="0" w:footer="0" w:header="0"/>
        </w:sectPr>
      </w:pPr>
    </w:p>
    <w:p>
      <w:pPr>
        <w:spacing w:after="0" w:line="400"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is also not considered “routine,” and brokers may not vote your shares with respect to such matter without instructions from you.</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Expenses of Soliciting Proxies</w:t>
      </w:r>
    </w:p>
    <w:p>
      <w:pPr>
        <w:spacing w:after="0" w:line="234"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Innisfree M&amp;A Incorporated, which will receive a fee of approximately $20,000, in addition to the reimbursement of out-of-pocket expenses.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You Can Vote</w:t>
      </w:r>
    </w:p>
    <w:p>
      <w:pPr>
        <w:spacing w:after="0" w:line="234"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You can vote your shares at the meeting, by telephone, over the Internet or by completing, signing, dating and returning your proxy in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480" w:space="180"/>
            <w:col w:w="5480"/>
          </w:cols>
          <w:pgMar w:left="240" w:top="459" w:right="5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right"/>
        <w:ind w:right="1180"/>
        <w:spacing w:after="0"/>
        <w:rPr>
          <w:sz w:val="20"/>
          <w:szCs w:val="20"/>
          <w:color w:val="auto"/>
        </w:rPr>
      </w:pPr>
      <w:r>
        <w:rPr>
          <w:rFonts w:ascii="Arial" w:cs="Arial" w:eastAsia="Arial" w:hAnsi="Arial"/>
          <w:sz w:val="25"/>
          <w:szCs w:val="25"/>
          <w:b w:val="1"/>
          <w:bCs w:val="1"/>
          <w:color w:val="4F82BC"/>
        </w:rPr>
        <w:t>PROPOSAL NO. 1: ELECTION OF DIRECTORS AND RELATED MATTERS</w:t>
      </w:r>
    </w:p>
    <w:p>
      <w:pPr>
        <w:sectPr>
          <w:pgSz w:w="11900" w:h="16838" w:orient="portrait"/>
          <w:cols w:equalWidth="0" w:num="1">
            <w:col w:w="11220"/>
          </w:cols>
          <w:pgMar w:left="240" w:top="459" w:right="439" w:bottom="1440" w:gutter="0" w:footer="0" w:header="0"/>
        </w:sect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230" w:lineRule="exact"/>
        <w:rPr>
          <w:sz w:val="20"/>
          <w:szCs w:val="20"/>
          <w:color w:val="auto"/>
        </w:rPr>
      </w:pPr>
    </w:p>
    <w:p>
      <w:pPr>
        <w:ind w:left="520" w:right="340" w:hanging="316"/>
        <w:spacing w:after="0" w:line="27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selection, compensation and evaluation of our Chief Executive Officer and oversight over succession planning;</w:t>
      </w:r>
    </w:p>
    <w:p>
      <w:pPr>
        <w:spacing w:after="0" w:line="78" w:lineRule="exact"/>
        <w:rPr>
          <w:rFonts w:ascii="Arial" w:cs="Arial" w:eastAsia="Arial" w:hAnsi="Arial"/>
          <w:sz w:val="17"/>
          <w:szCs w:val="17"/>
          <w:color w:val="auto"/>
        </w:rPr>
      </w:pPr>
    </w:p>
    <w:p>
      <w:pPr>
        <w:ind w:left="520" w:hanging="316"/>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130" w:lineRule="exact"/>
        <w:rPr>
          <w:rFonts w:ascii="Arial" w:cs="Arial" w:eastAsia="Arial" w:hAnsi="Arial"/>
          <w:sz w:val="18"/>
          <w:szCs w:val="18"/>
          <w:color w:val="auto"/>
        </w:rPr>
      </w:pPr>
    </w:p>
    <w:p>
      <w:pPr>
        <w:ind w:left="520" w:hanging="316"/>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130" w:lineRule="exact"/>
        <w:rPr>
          <w:rFonts w:ascii="Arial" w:cs="Arial" w:eastAsia="Arial" w:hAnsi="Arial"/>
          <w:sz w:val="18"/>
          <w:szCs w:val="18"/>
          <w:color w:val="auto"/>
        </w:rPr>
      </w:pPr>
    </w:p>
    <w:p>
      <w:pPr>
        <w:ind w:left="520" w:right="240" w:hanging="316"/>
        <w:spacing w:after="0" w:line="27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oversight of processes that are in place to promote compliance with law and high standards of business ethics;</w:t>
      </w:r>
    </w:p>
    <w:p>
      <w:pPr>
        <w:spacing w:after="0" w:line="78" w:lineRule="exact"/>
        <w:rPr>
          <w:rFonts w:ascii="Arial" w:cs="Arial" w:eastAsia="Arial" w:hAnsi="Arial"/>
          <w:sz w:val="17"/>
          <w:szCs w:val="17"/>
          <w:color w:val="auto"/>
        </w:rPr>
      </w:pPr>
    </w:p>
    <w:p>
      <w:pPr>
        <w:ind w:left="520" w:hanging="316"/>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130" w:lineRule="exact"/>
        <w:rPr>
          <w:rFonts w:ascii="Arial" w:cs="Arial" w:eastAsia="Arial" w:hAnsi="Arial"/>
          <w:sz w:val="18"/>
          <w:szCs w:val="18"/>
          <w:color w:val="auto"/>
        </w:rPr>
      </w:pPr>
    </w:p>
    <w:p>
      <w:pPr>
        <w:ind w:left="520" w:right="140" w:hanging="316"/>
        <w:spacing w:after="0" w:line="27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evaluating the performance of the Board and its committees, and making appropriate changes where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left="220"/>
        <w:spacing w:after="0" w:line="252" w:lineRule="auto"/>
        <w:rPr>
          <w:sz w:val="20"/>
          <w:szCs w:val="20"/>
          <w:color w:val="auto"/>
        </w:rPr>
      </w:pPr>
      <w:r>
        <w:rPr>
          <w:rFonts w:ascii="Arial" w:cs="Arial" w:eastAsia="Arial" w:hAnsi="Arial"/>
          <w:sz w:val="17"/>
          <w:szCs w:val="17"/>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Powers, are “independent” within the meaning of the specific provisions of the Securities Exchange Act of 1934, as amended, which we refer</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 present, each class has three directors, except for class III, which has four directors. The following table shows the composition of our Board after the annual meeting, assuming the election of the proposed slate of Class I director nominees:</w:t>
      </w:r>
    </w:p>
    <w:p>
      <w:pPr>
        <w:spacing w:after="0" w:line="20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9"/>
              </w:rPr>
              <w:t>Class</w:t>
            </w:r>
          </w:p>
        </w:tc>
        <w:tc>
          <w:tcPr>
            <w:tcW w:w="5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Term Expires</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r>
      <w:tr>
        <w:trPr>
          <w:trHeight w:val="20"/>
        </w:trPr>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480" w:type="dxa"/>
            <w:vAlign w:val="bottom"/>
          </w:tcPr>
          <w:p>
            <w:pPr>
              <w:jc w:val="center"/>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260" w:type="dxa"/>
            <w:vAlign w:val="bottom"/>
          </w:tcPr>
          <w:p>
            <w:pPr>
              <w:spacing w:after="0"/>
              <w:rPr>
                <w:sz w:val="24"/>
                <w:szCs w:val="24"/>
                <w:color w:val="auto"/>
              </w:rPr>
            </w:pPr>
          </w:p>
        </w:tc>
        <w:tc>
          <w:tcPr>
            <w:tcW w:w="1800" w:type="dxa"/>
            <w:vAlign w:val="bottom"/>
            <w:gridSpan w:val="3"/>
          </w:tcPr>
          <w:p>
            <w:pPr>
              <w:ind w:left="280"/>
              <w:spacing w:after="0"/>
              <w:rPr>
                <w:sz w:val="20"/>
                <w:szCs w:val="20"/>
                <w:color w:val="auto"/>
              </w:rPr>
            </w:pPr>
            <w:r>
              <w:rPr>
                <w:rFonts w:ascii="Arial" w:cs="Arial" w:eastAsia="Arial" w:hAnsi="Arial"/>
                <w:sz w:val="18"/>
                <w:szCs w:val="18"/>
                <w:color w:val="auto"/>
              </w:rPr>
              <w:t>George J. Damiris</w:t>
            </w:r>
          </w:p>
        </w:tc>
      </w:tr>
      <w:tr>
        <w:trPr>
          <w:trHeight w:val="203"/>
        </w:trPr>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Martin M. Ellen</w:t>
            </w:r>
          </w:p>
        </w:tc>
      </w:tr>
      <w:tr>
        <w:trPr>
          <w:trHeight w:val="217"/>
        </w:trPr>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ind w:left="280"/>
              <w:spacing w:after="0"/>
              <w:rPr>
                <w:sz w:val="20"/>
                <w:szCs w:val="20"/>
                <w:color w:val="auto"/>
              </w:rPr>
            </w:pPr>
            <w:r>
              <w:rPr>
                <w:rFonts w:ascii="Arial" w:cs="Arial" w:eastAsia="Arial" w:hAnsi="Arial"/>
                <w:sz w:val="18"/>
                <w:szCs w:val="18"/>
                <w:color w:val="auto"/>
              </w:rPr>
              <w:t>David B. Powers</w:t>
            </w:r>
          </w:p>
        </w:tc>
      </w:tr>
      <w:tr>
        <w:trPr>
          <w:trHeight w:val="310"/>
        </w:trPr>
        <w:tc>
          <w:tcPr>
            <w:tcW w:w="480" w:type="dxa"/>
            <w:vAlign w:val="bottom"/>
          </w:tcPr>
          <w:p>
            <w:pPr>
              <w:jc w:val="center"/>
              <w:spacing w:after="0"/>
              <w:rPr>
                <w:sz w:val="20"/>
                <w:szCs w:val="20"/>
                <w:color w:val="auto"/>
              </w:rPr>
            </w:pPr>
            <w:r>
              <w:rPr>
                <w:rFonts w:ascii="Arial" w:cs="Arial" w:eastAsia="Arial" w:hAnsi="Arial"/>
                <w:sz w:val="18"/>
                <w:szCs w:val="18"/>
                <w:color w:val="auto"/>
                <w:w w:val="99"/>
              </w:rPr>
              <w:t>II</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2020</w:t>
            </w:r>
          </w:p>
        </w:tc>
        <w:tc>
          <w:tcPr>
            <w:tcW w:w="260" w:type="dxa"/>
            <w:vAlign w:val="bottom"/>
          </w:tcPr>
          <w:p>
            <w:pPr>
              <w:spacing w:after="0"/>
              <w:rPr>
                <w:sz w:val="24"/>
                <w:szCs w:val="24"/>
                <w:color w:val="auto"/>
              </w:rPr>
            </w:pPr>
          </w:p>
        </w:tc>
        <w:tc>
          <w:tcPr>
            <w:tcW w:w="1800" w:type="dxa"/>
            <w:vAlign w:val="bottom"/>
            <w:gridSpan w:val="3"/>
          </w:tcPr>
          <w:p>
            <w:pPr>
              <w:ind w:left="280"/>
              <w:spacing w:after="0"/>
              <w:rPr>
                <w:sz w:val="20"/>
                <w:szCs w:val="20"/>
                <w:color w:val="auto"/>
              </w:rPr>
            </w:pPr>
            <w:r>
              <w:rPr>
                <w:rFonts w:ascii="Arial" w:cs="Arial" w:eastAsia="Arial" w:hAnsi="Arial"/>
                <w:sz w:val="18"/>
                <w:szCs w:val="18"/>
                <w:color w:val="auto"/>
              </w:rPr>
              <w:t>Margot L. Carter</w:t>
            </w:r>
          </w:p>
        </w:tc>
      </w:tr>
      <w:tr>
        <w:trPr>
          <w:trHeight w:val="203"/>
        </w:trPr>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ind w:left="280"/>
              <w:spacing w:after="0" w:line="202" w:lineRule="exact"/>
              <w:rPr>
                <w:sz w:val="20"/>
                <w:szCs w:val="20"/>
                <w:color w:val="auto"/>
              </w:rPr>
            </w:pPr>
            <w:r>
              <w:rPr>
                <w:rFonts w:ascii="Arial" w:cs="Arial" w:eastAsia="Arial" w:hAnsi="Arial"/>
                <w:sz w:val="18"/>
                <w:szCs w:val="18"/>
                <w:color w:val="auto"/>
                <w:w w:val="97"/>
              </w:rPr>
              <w:t>Michael R. Nicolais</w:t>
            </w:r>
          </w:p>
        </w:tc>
      </w:tr>
      <w:tr>
        <w:trPr>
          <w:trHeight w:val="217"/>
        </w:trPr>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ind w:left="280"/>
              <w:spacing w:after="0"/>
              <w:rPr>
                <w:sz w:val="20"/>
                <w:szCs w:val="20"/>
                <w:color w:val="auto"/>
              </w:rPr>
            </w:pPr>
            <w:r>
              <w:rPr>
                <w:rFonts w:ascii="Arial" w:cs="Arial" w:eastAsia="Arial" w:hAnsi="Arial"/>
                <w:sz w:val="18"/>
                <w:szCs w:val="18"/>
                <w:color w:val="auto"/>
                <w:w w:val="99"/>
              </w:rPr>
              <w:t>Richard R. Stewart</w:t>
            </w:r>
          </w:p>
        </w:tc>
      </w:tr>
      <w:tr>
        <w:trPr>
          <w:trHeight w:val="310"/>
        </w:trPr>
        <w:tc>
          <w:tcPr>
            <w:tcW w:w="480" w:type="dxa"/>
            <w:vAlign w:val="bottom"/>
          </w:tcPr>
          <w:p>
            <w:pPr>
              <w:jc w:val="center"/>
              <w:spacing w:after="0"/>
              <w:rPr>
                <w:sz w:val="20"/>
                <w:szCs w:val="20"/>
                <w:color w:val="auto"/>
              </w:rPr>
            </w:pPr>
            <w:r>
              <w:rPr>
                <w:rFonts w:ascii="Arial" w:cs="Arial" w:eastAsia="Arial" w:hAnsi="Arial"/>
                <w:sz w:val="18"/>
                <w:szCs w:val="18"/>
                <w:color w:val="auto"/>
                <w:w w:val="92"/>
              </w:rPr>
              <w:t>III</w:t>
            </w:r>
          </w:p>
        </w:tc>
        <w:tc>
          <w:tcPr>
            <w:tcW w:w="168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2021</w:t>
            </w:r>
          </w:p>
        </w:tc>
        <w:tc>
          <w:tcPr>
            <w:tcW w:w="260" w:type="dxa"/>
            <w:vAlign w:val="bottom"/>
          </w:tcPr>
          <w:p>
            <w:pPr>
              <w:spacing w:after="0"/>
              <w:rPr>
                <w:sz w:val="24"/>
                <w:szCs w:val="24"/>
                <w:color w:val="auto"/>
              </w:rPr>
            </w:pPr>
          </w:p>
        </w:tc>
        <w:tc>
          <w:tcPr>
            <w:tcW w:w="1800" w:type="dxa"/>
            <w:vAlign w:val="bottom"/>
            <w:gridSpan w:val="3"/>
          </w:tcPr>
          <w:p>
            <w:pPr>
              <w:ind w:left="280"/>
              <w:spacing w:after="0"/>
              <w:rPr>
                <w:sz w:val="20"/>
                <w:szCs w:val="20"/>
                <w:color w:val="auto"/>
              </w:rPr>
            </w:pPr>
            <w:r>
              <w:rPr>
                <w:rFonts w:ascii="Arial" w:cs="Arial" w:eastAsia="Arial" w:hAnsi="Arial"/>
                <w:sz w:val="18"/>
                <w:szCs w:val="18"/>
                <w:color w:val="auto"/>
              </w:rPr>
              <w:t>F. William Barnett</w:t>
            </w:r>
          </w:p>
        </w:tc>
      </w:tr>
      <w:tr>
        <w:trPr>
          <w:trHeight w:val="203"/>
        </w:trPr>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Richard Beckwitt</w:t>
            </w:r>
          </w:p>
        </w:tc>
      </w:tr>
    </w:tbl>
    <w:p>
      <w:pPr>
        <w:ind w:left="2880"/>
        <w:spacing w:after="0" w:line="234" w:lineRule="auto"/>
        <w:rPr>
          <w:sz w:val="20"/>
          <w:szCs w:val="20"/>
          <w:color w:val="auto"/>
        </w:rPr>
      </w:pPr>
      <w:r>
        <w:rPr>
          <w:rFonts w:ascii="Arial" w:cs="Arial" w:eastAsia="Arial" w:hAnsi="Arial"/>
          <w:sz w:val="18"/>
          <w:szCs w:val="18"/>
          <w:color w:val="auto"/>
        </w:rPr>
        <w:t>Ed H. Bowman</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177800</wp:posOffset>
            </wp:positionV>
            <wp:extent cx="3095625" cy="1844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9562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to as the “Exchange Act,” and the corporate governance rules of the NYSE.</w:t>
      </w:r>
    </w:p>
    <w:p>
      <w:pPr>
        <w:spacing w:after="0" w:line="1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determining that eight of our ten directors are “independent,” our Board of Directors considered that Ms. Margot L. Carter and Messrs. F. William Barnett, Richard Beckwitt, Ed H. Bowman, George J. Damiris, Martin M. Ellen, Michael R. Nicolais and Richard R. Stewart have no relationship with the Company that potentially affects their independence.</w:t>
      </w:r>
    </w:p>
    <w:p>
      <w:pPr>
        <w:spacing w:after="0" w:line="413"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7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60"/>
        <w:spacing w:after="0" w:line="246" w:lineRule="auto"/>
        <w:rPr>
          <w:sz w:val="20"/>
          <w:szCs w:val="20"/>
          <w:color w:val="auto"/>
        </w:rPr>
      </w:pPr>
      <w:r>
        <w:rPr>
          <w:rFonts w:ascii="Arial" w:cs="Arial" w:eastAsia="Arial" w:hAnsi="Arial"/>
          <w:sz w:val="18"/>
          <w:szCs w:val="18"/>
          <w:color w:val="auto"/>
        </w:rPr>
        <w:t>Our Board includes a diverse group of leaders in their respective fields. The diagram below illustrates some of the key skills and qualifications that our directors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89885" cy="2924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9885" cy="29241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Nominees</w:t>
      </w:r>
    </w:p>
    <w:p>
      <w:pPr>
        <w:spacing w:after="0" w:line="234"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Each of the nominees listed below is currently a member of our Board of Directors. Each of these nominees has been recommended for nomination by our Governance Committee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w:t>
      </w:r>
    </w:p>
    <w:p>
      <w:pPr>
        <w:spacing w:after="0" w:line="208"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then publicly disclose its decision regarding the resignation and the rationale behind the decision.</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Corporate Governance Guidelines generally require directors to retire at the first annual meeting that occurs after the director’s 72nd birthday unless the Board (other than the affected director) waives the requirement upon the recommendation of the Governance Committee. The Board has approved such a waiver for two years for Messrs. Barnett and Bowman, who otherwise would be required to retire at the Annual Meeting. Messrs. Barnett and Bowman would therefore be required to retire at our 2021 Annual Meeting, assuming their continued service as directors until that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three nominees listed below to serve as Class I directors for a three-year term ending at our 2022 annual meeting of stockholders: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George J. Damiris</w:t>
      </w:r>
    </w:p>
    <w:p>
      <w:pPr>
        <w:ind w:left="720"/>
        <w:spacing w:after="0" w:line="234" w:lineRule="auto"/>
        <w:rPr>
          <w:sz w:val="20"/>
          <w:szCs w:val="20"/>
          <w:color w:val="auto"/>
        </w:rPr>
      </w:pPr>
      <w:r>
        <w:rPr>
          <w:rFonts w:ascii="Arial" w:cs="Arial" w:eastAsia="Arial" w:hAnsi="Arial"/>
          <w:sz w:val="18"/>
          <w:szCs w:val="18"/>
          <w:color w:val="auto"/>
        </w:rPr>
        <w:t>Martin M. Ellen</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David B. Powers</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4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Qualifications</w:t>
      </w:r>
    </w:p>
    <w:p>
      <w:pPr>
        <w:spacing w:after="0" w:line="23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Set forth below is information about the nominees standing for election at our 2019 annual meeting, as well as our continuing directors whose terms of office do not expire at such annual meeting. The biographical information appearing below regarding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nominees for director and continuing directors has been furnished to us by the respective nominees and directors. Also included below is a brief description of how each individual’s experience qualifies him or her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-1224915</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2">
            <w:col w:w="5400" w:space="420"/>
            <w:col w:w="5360"/>
          </w:cols>
          <w:pgMar w:left="240" w:top="459" w:right="479" w:bottom="1440" w:gutter="0" w:footer="0" w:header="0"/>
        </w:sectPr>
      </w:pPr>
    </w:p>
    <w:p>
      <w:pPr>
        <w:spacing w:after="0" w:line="146"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Nominees Whose Terms Expire at our 2019 Annual Meeting</w:t>
      </w:r>
    </w:p>
    <w:p>
      <w:pPr>
        <w:spacing w:after="0" w:line="2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168275</wp:posOffset>
            </wp:positionV>
            <wp:extent cx="3355975" cy="10833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5975" cy="108331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George J. Damiris</w:t>
      </w:r>
    </w:p>
    <w:p>
      <w:pPr>
        <w:spacing w:after="0" w:line="216" w:lineRule="exact"/>
        <w:rPr>
          <w:sz w:val="20"/>
          <w:szCs w:val="20"/>
          <w:color w:val="auto"/>
        </w:rPr>
      </w:pPr>
    </w:p>
    <w:p>
      <w:pPr>
        <w:ind w:left="340"/>
        <w:spacing w:after="0"/>
        <w:tabs>
          <w:tab w:leader="none" w:pos="2580" w:val="left"/>
        </w:tabs>
        <w:rPr>
          <w:sz w:val="20"/>
          <w:szCs w:val="20"/>
          <w:color w:val="auto"/>
        </w:rPr>
      </w:pPr>
      <w:r>
        <w:rPr>
          <w:rFonts w:ascii="Arial" w:cs="Arial" w:eastAsia="Arial" w:hAnsi="Arial"/>
          <w:sz w:val="18"/>
          <w:szCs w:val="18"/>
          <w:b w:val="1"/>
          <w:bCs w:val="1"/>
          <w:color w:val="auto"/>
        </w:rPr>
        <w:t>Director Since:</w:t>
      </w:r>
      <w:r>
        <w:rPr>
          <w:sz w:val="20"/>
          <w:szCs w:val="20"/>
          <w:color w:val="auto"/>
        </w:rPr>
        <w:tab/>
      </w:r>
      <w:r>
        <w:rPr>
          <w:rFonts w:ascii="Arial" w:cs="Arial" w:eastAsia="Arial" w:hAnsi="Arial"/>
          <w:sz w:val="17"/>
          <w:szCs w:val="17"/>
          <w:color w:val="auto"/>
        </w:rPr>
        <w:t>2016</w:t>
      </w:r>
    </w:p>
    <w:p>
      <w:pPr>
        <w:spacing w:after="0" w:line="27" w:lineRule="exact"/>
        <w:rPr>
          <w:sz w:val="20"/>
          <w:szCs w:val="20"/>
          <w:color w:val="auto"/>
        </w:rPr>
      </w:pPr>
    </w:p>
    <w:p>
      <w:pPr>
        <w:ind w:left="340"/>
        <w:spacing w:after="0"/>
        <w:tabs>
          <w:tab w:leader="none" w:pos="258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color w:val="auto"/>
        </w:rPr>
        <w:t>59</w:t>
      </w:r>
    </w:p>
    <w:p>
      <w:pPr>
        <w:ind w:left="340"/>
        <w:spacing w:after="0" w:line="234" w:lineRule="auto"/>
        <w:tabs>
          <w:tab w:leader="none" w:pos="2580" w:val="left"/>
        </w:tabs>
        <w:rPr>
          <w:sz w:val="20"/>
          <w:szCs w:val="20"/>
          <w:color w:val="auto"/>
        </w:rPr>
      </w:pPr>
      <w:r>
        <w:rPr>
          <w:rFonts w:ascii="Arial" w:cs="Arial" w:eastAsia="Arial" w:hAnsi="Arial"/>
          <w:sz w:val="18"/>
          <w:szCs w:val="18"/>
          <w:b w:val="1"/>
          <w:bCs w:val="1"/>
          <w:color w:val="auto"/>
        </w:rPr>
        <w:t>Committees:</w:t>
      </w:r>
      <w:r>
        <w:rPr>
          <w:sz w:val="20"/>
          <w:szCs w:val="20"/>
          <w:color w:val="auto"/>
        </w:rPr>
        <w:tab/>
      </w:r>
      <w:r>
        <w:rPr>
          <w:rFonts w:ascii="Arial" w:cs="Arial" w:eastAsia="Arial" w:hAnsi="Arial"/>
          <w:sz w:val="18"/>
          <w:szCs w:val="18"/>
          <w:color w:val="auto"/>
        </w:rPr>
        <w:t>Compensation</w:t>
      </w:r>
    </w:p>
    <w:p>
      <w:pPr>
        <w:ind w:left="340"/>
        <w:spacing w:after="0"/>
        <w:tabs>
          <w:tab w:leader="none" w:pos="2580" w:val="left"/>
        </w:tabs>
        <w:rPr>
          <w:sz w:val="20"/>
          <w:szCs w:val="20"/>
          <w:color w:val="auto"/>
        </w:rPr>
      </w:pPr>
      <w:r>
        <w:rPr>
          <w:rFonts w:ascii="Arial" w:cs="Arial" w:eastAsia="Arial" w:hAnsi="Arial"/>
          <w:sz w:val="18"/>
          <w:szCs w:val="18"/>
          <w:b w:val="1"/>
          <w:bCs w:val="1"/>
          <w:color w:val="auto"/>
        </w:rPr>
        <w:t>Other Public Boards:</w:t>
      </w:r>
      <w:r>
        <w:rPr>
          <w:sz w:val="20"/>
          <w:szCs w:val="20"/>
          <w:color w:val="auto"/>
        </w:rPr>
        <w:tab/>
      </w:r>
      <w:r>
        <w:rPr>
          <w:rFonts w:ascii="Arial" w:cs="Arial" w:eastAsia="Arial" w:hAnsi="Arial"/>
          <w:sz w:val="17"/>
          <w:szCs w:val="17"/>
          <w:color w:val="auto"/>
        </w:rPr>
        <w:t>HollyFrontier Corporation</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Holly Energy Partners, L.P.</w:t>
      </w:r>
    </w:p>
    <w:p>
      <w:pPr>
        <w:spacing w:after="0" w:line="24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Damiris has served as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President of HollyFrontier Corporation since January 2016 and as a director since December 2015. He previously served as Executive Vice President and Chief Operating Officer from September 2014 to January 2016 and as Senior Vice President, Supply and Marketing from January 2008 until September 2014. Mr. Damiris has also served as a director of Holly Logistics Services, L.L.C., the general partner of the general partner of Holly Energy Partners, L.P., since February 2016, as CEO since November 2016 and as President since February 2017.</w:t>
      </w:r>
    </w:p>
    <w:p>
      <w:pPr>
        <w:spacing w:after="0" w:line="187"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Damiris brings to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his extensive management and operational experience gained from his time as a senior executive at a large, public industrial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140970</wp:posOffset>
            </wp:positionV>
            <wp:extent cx="3355975" cy="817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5975" cy="817245"/>
                    </a:xfrm>
                    <a:prstGeom prst="rect">
                      <a:avLst/>
                    </a:prstGeom>
                    <a:noFill/>
                  </pic:spPr>
                </pic:pic>
              </a:graphicData>
            </a:graphic>
          </wp:anchor>
        </w:drawing>
      </w:r>
    </w:p>
    <w:p>
      <w:pPr>
        <w:spacing w:after="0" w:line="22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Martin M. Ellen</w:t>
      </w:r>
    </w:p>
    <w:p>
      <w:pPr>
        <w:spacing w:after="0" w:line="211"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b w:val="1"/>
                <w:bCs w:val="1"/>
                <w:color w:val="auto"/>
              </w:rPr>
              <w:t>Director Since:</w:t>
            </w:r>
          </w:p>
        </w:tc>
        <w:tc>
          <w:tcPr>
            <w:tcW w:w="128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203"/>
        </w:trPr>
        <w:tc>
          <w:tcPr>
            <w:tcW w:w="1560" w:type="dxa"/>
            <w:vAlign w:val="bottom"/>
          </w:tcPr>
          <w:p>
            <w:pPr>
              <w:spacing w:after="0" w:line="202" w:lineRule="exact"/>
              <w:rPr>
                <w:sz w:val="20"/>
                <w:szCs w:val="20"/>
                <w:color w:val="auto"/>
              </w:rPr>
            </w:pPr>
            <w:r>
              <w:rPr>
                <w:rFonts w:ascii="Arial" w:cs="Arial" w:eastAsia="Arial" w:hAnsi="Arial"/>
                <w:sz w:val="18"/>
                <w:szCs w:val="18"/>
                <w:b w:val="1"/>
                <w:bCs w:val="1"/>
                <w:color w:val="auto"/>
              </w:rPr>
              <w:t>Age:</w:t>
            </w:r>
          </w:p>
        </w:tc>
        <w:tc>
          <w:tcPr>
            <w:tcW w:w="1280" w:type="dxa"/>
            <w:vAlign w:val="bottom"/>
          </w:tcPr>
          <w:p>
            <w:pPr>
              <w:ind w:left="260"/>
              <w:spacing w:after="0" w:line="202" w:lineRule="exact"/>
              <w:rPr>
                <w:sz w:val="20"/>
                <w:szCs w:val="20"/>
                <w:color w:val="auto"/>
              </w:rPr>
            </w:pPr>
            <w:r>
              <w:rPr>
                <w:rFonts w:ascii="Arial" w:cs="Arial" w:eastAsia="Arial" w:hAnsi="Arial"/>
                <w:sz w:val="18"/>
                <w:szCs w:val="18"/>
                <w:color w:val="auto"/>
              </w:rPr>
              <w:t>65</w:t>
            </w:r>
          </w:p>
        </w:tc>
      </w:tr>
      <w:tr>
        <w:trPr>
          <w:trHeight w:val="239"/>
        </w:trPr>
        <w:tc>
          <w:tcPr>
            <w:tcW w:w="156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1280" w:type="dxa"/>
            <w:vAlign w:val="bottom"/>
          </w:tcPr>
          <w:p>
            <w:pPr>
              <w:ind w:left="260"/>
              <w:spacing w:after="0"/>
              <w:rPr>
                <w:sz w:val="20"/>
                <w:szCs w:val="20"/>
                <w:color w:val="auto"/>
              </w:rPr>
            </w:pPr>
            <w:r>
              <w:rPr>
                <w:rFonts w:ascii="Arial" w:cs="Arial" w:eastAsia="Arial" w:hAnsi="Arial"/>
                <w:sz w:val="18"/>
                <w:szCs w:val="18"/>
                <w:color w:val="auto"/>
                <w:w w:val="98"/>
              </w:rPr>
              <w:t>Audit (Chair)</w:t>
            </w: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Vice President - Finance of Snap-on Inc. from November 2002 to March 2010.</w:t>
      </w:r>
    </w:p>
    <w:p>
      <w:pPr>
        <w:spacing w:after="0" w:line="17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Ellen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Audit Committee his extensive management, finance and audit experience gained from over 25 years serving as chief financial officer with public and private companies and prior experience with a major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3424555" cy="817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4555" cy="817245"/>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David B. Powers</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b w:val="1"/>
                <w:bCs w:val="1"/>
                <w:color w:val="auto"/>
              </w:rPr>
              <w:t>Director Since:</w:t>
            </w:r>
          </w:p>
        </w:tc>
        <w:tc>
          <w:tcPr>
            <w:tcW w:w="1000" w:type="dxa"/>
            <w:vAlign w:val="bottom"/>
          </w:tcPr>
          <w:p>
            <w:pPr>
              <w:ind w:left="220"/>
              <w:spacing w:after="0"/>
              <w:rPr>
                <w:sz w:val="20"/>
                <w:szCs w:val="20"/>
                <w:color w:val="auto"/>
              </w:rPr>
            </w:pPr>
            <w:r>
              <w:rPr>
                <w:rFonts w:ascii="Arial" w:cs="Arial" w:eastAsia="Arial" w:hAnsi="Arial"/>
                <w:sz w:val="18"/>
                <w:szCs w:val="18"/>
                <w:color w:val="auto"/>
              </w:rPr>
              <w:t>2016</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b w:val="1"/>
                <w:bCs w:val="1"/>
                <w:color w:val="auto"/>
              </w:rPr>
              <w:t>Age:</w:t>
            </w:r>
          </w:p>
        </w:tc>
        <w:tc>
          <w:tcPr>
            <w:tcW w:w="1000" w:type="dxa"/>
            <w:vAlign w:val="bottom"/>
          </w:tcPr>
          <w:p>
            <w:pPr>
              <w:ind w:left="220"/>
              <w:spacing w:after="0" w:line="202" w:lineRule="exact"/>
              <w:rPr>
                <w:sz w:val="20"/>
                <w:szCs w:val="20"/>
                <w:color w:val="auto"/>
              </w:rPr>
            </w:pPr>
            <w:r>
              <w:rPr>
                <w:rFonts w:ascii="Arial" w:cs="Arial" w:eastAsia="Arial" w:hAnsi="Arial"/>
                <w:sz w:val="18"/>
                <w:szCs w:val="18"/>
                <w:color w:val="auto"/>
              </w:rPr>
              <w:t>69</w:t>
            </w:r>
          </w:p>
        </w:tc>
      </w:tr>
      <w:tr>
        <w:trPr>
          <w:trHeight w:val="239"/>
        </w:trPr>
        <w:tc>
          <w:tcPr>
            <w:tcW w:w="148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1000" w:type="dxa"/>
            <w:vAlign w:val="bottom"/>
          </w:tcPr>
          <w:p>
            <w:pPr>
              <w:ind w:left="220"/>
              <w:spacing w:after="0"/>
              <w:rPr>
                <w:sz w:val="20"/>
                <w:szCs w:val="20"/>
                <w:color w:val="auto"/>
              </w:rPr>
            </w:pPr>
            <w:r>
              <w:rPr>
                <w:rFonts w:ascii="Arial" w:cs="Arial" w:eastAsia="Arial" w:hAnsi="Arial"/>
                <w:sz w:val="18"/>
                <w:szCs w:val="18"/>
                <w:color w:val="auto"/>
                <w:w w:val="97"/>
              </w:rPr>
              <w:t>Executive</w:t>
            </w:r>
          </w:p>
        </w:tc>
      </w:tr>
    </w:tbl>
    <w:p>
      <w:pPr>
        <w:spacing w:after="0" w:line="34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Powers was appointed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Executive Officer on March 31, 2016, at which time he was also appointed to the Board. Prior to his promotion to President and Chief Executive Officer of the Company, Mr. Powers served as Executive Vice President – Gypsum of the Company and as President of American Gypsum Company LLC, a subsidiary of the Company (“American Gypsum”), since January 2005.</w:t>
      </w:r>
    </w:p>
    <w:p>
      <w:pPr>
        <w:spacing w:after="0" w:line="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Mr. Powers previously served as Executive Vice President – Marketing, Sales and Distribution of American Gypsum, beginning in June 2002. Mr. Powers is expected to retire from his position as an executive at the Company on July 1, 2019.</w:t>
      </w:r>
    </w:p>
    <w:p>
      <w:pPr>
        <w:spacing w:after="0" w:line="18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Powers brings to the Board his</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executive and operations experience in the construction products industry, including over 35 years of experience in the gypsum industry.</w:t>
      </w:r>
    </w:p>
    <w:p>
      <w:pPr>
        <w:spacing w:after="0" w:line="93" w:lineRule="exact"/>
        <w:rPr>
          <w:sz w:val="20"/>
          <w:szCs w:val="20"/>
          <w:color w:val="auto"/>
        </w:rPr>
      </w:pPr>
    </w:p>
    <w:p>
      <w:pPr>
        <w:sectPr>
          <w:pgSz w:w="11900" w:h="16838" w:orient="portrait"/>
          <w:cols w:equalWidth="0" w:num="2">
            <w:col w:w="5440" w:space="380"/>
            <w:col w:w="536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Ellen retired as Chief Financial Officer and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Executive Vice President at Dr Pepper Snapple Group, Inc. in July</w:t>
      </w:r>
    </w:p>
    <w:p>
      <w:pPr>
        <w:ind w:left="200"/>
        <w:spacing w:after="0" w:line="234" w:lineRule="auto"/>
        <w:rPr>
          <w:sz w:val="20"/>
          <w:szCs w:val="20"/>
          <w:color w:val="auto"/>
        </w:rPr>
      </w:pPr>
      <w:r>
        <w:rPr>
          <w:rFonts w:ascii="Arial" w:cs="Arial" w:eastAsia="Arial" w:hAnsi="Arial"/>
          <w:sz w:val="18"/>
          <w:szCs w:val="18"/>
          <w:color w:val="auto"/>
        </w:rPr>
        <w:t>2018, having served in that capacity since April 2010. Mr. Ellen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also served as the Chief Financial Officer and Senior</w:t>
      </w: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80"/>
          </w:cols>
          <w:pgMar w:left="240" w:top="459" w:right="4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Directors Whose Terms Expire at our 2020 Annual Meeting</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185420</wp:posOffset>
            </wp:positionV>
            <wp:extent cx="3355975" cy="1365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5975" cy="13658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5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Margot L. Carter</w:t>
      </w: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Arial" w:cs="Arial" w:eastAsia="Arial" w:hAnsi="Arial"/>
                <w:sz w:val="18"/>
                <w:szCs w:val="18"/>
                <w:b w:val="1"/>
                <w:bCs w:val="1"/>
                <w:color w:val="auto"/>
              </w:rPr>
              <w:t>Director Since:</w:t>
            </w:r>
          </w:p>
        </w:tc>
        <w:tc>
          <w:tcPr>
            <w:tcW w:w="1640" w:type="dxa"/>
            <w:vAlign w:val="bottom"/>
          </w:tcPr>
          <w:p>
            <w:pPr>
              <w:ind w:left="28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b w:val="1"/>
                <w:bCs w:val="1"/>
                <w:color w:val="auto"/>
              </w:rPr>
              <w:t>Age:</w:t>
            </w:r>
          </w:p>
        </w:tc>
        <w:tc>
          <w:tcPr>
            <w:tcW w:w="1640" w:type="dxa"/>
            <w:vAlign w:val="bottom"/>
          </w:tcPr>
          <w:p>
            <w:pPr>
              <w:ind w:left="28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206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1640" w:type="dxa"/>
            <w:vAlign w:val="bottom"/>
          </w:tcPr>
          <w:p>
            <w:pPr>
              <w:ind w:left="280"/>
              <w:spacing w:after="0"/>
              <w:rPr>
                <w:sz w:val="20"/>
                <w:szCs w:val="20"/>
                <w:color w:val="auto"/>
              </w:rPr>
            </w:pPr>
            <w:r>
              <w:rPr>
                <w:rFonts w:ascii="Arial" w:cs="Arial" w:eastAsia="Arial" w:hAnsi="Arial"/>
                <w:sz w:val="18"/>
                <w:szCs w:val="18"/>
                <w:color w:val="auto"/>
              </w:rPr>
              <w:t>Audit</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640" w:type="dxa"/>
            <w:vAlign w:val="bottom"/>
          </w:tcPr>
          <w:p>
            <w:pPr>
              <w:ind w:left="280"/>
              <w:spacing w:after="0" w:line="202"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16"/>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Other Public Boards:</w:t>
            </w:r>
          </w:p>
        </w:tc>
        <w:tc>
          <w:tcPr>
            <w:tcW w:w="1640" w:type="dxa"/>
            <w:vAlign w:val="bottom"/>
          </w:tcPr>
          <w:p>
            <w:pPr>
              <w:ind w:left="280"/>
              <w:spacing w:after="0"/>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1640" w:type="dxa"/>
            <w:vAlign w:val="bottom"/>
          </w:tcPr>
          <w:p>
            <w:pPr>
              <w:ind w:left="280"/>
              <w:spacing w:after="0" w:line="202" w:lineRule="exact"/>
              <w:rPr>
                <w:sz w:val="20"/>
                <w:szCs w:val="20"/>
                <w:color w:val="auto"/>
              </w:rPr>
            </w:pPr>
            <w:r>
              <w:rPr>
                <w:rFonts w:ascii="Arial" w:cs="Arial" w:eastAsia="Arial" w:hAnsi="Arial"/>
                <w:sz w:val="18"/>
                <w:szCs w:val="18"/>
                <w:color w:val="auto"/>
                <w:w w:val="98"/>
              </w:rPr>
              <w:t>Installed Building</w:t>
            </w:r>
          </w:p>
        </w:tc>
        <w:tc>
          <w:tcPr>
            <w:tcW w:w="0" w:type="dxa"/>
            <w:vAlign w:val="bottom"/>
          </w:tcPr>
          <w:p>
            <w:pPr>
              <w:spacing w:after="0"/>
              <w:rPr>
                <w:sz w:val="1"/>
                <w:szCs w:val="1"/>
                <w:color w:val="auto"/>
              </w:rPr>
            </w:pPr>
          </w:p>
        </w:tc>
      </w:tr>
      <w:tr>
        <w:trPr>
          <w:trHeight w:val="217"/>
        </w:trPr>
        <w:tc>
          <w:tcPr>
            <w:tcW w:w="2060" w:type="dxa"/>
            <w:vAlign w:val="bottom"/>
          </w:tcPr>
          <w:p>
            <w:pPr>
              <w:spacing w:after="0"/>
              <w:rPr>
                <w:sz w:val="18"/>
                <w:szCs w:val="18"/>
                <w:color w:val="auto"/>
              </w:rPr>
            </w:pPr>
          </w:p>
        </w:tc>
        <w:tc>
          <w:tcPr>
            <w:tcW w:w="1640" w:type="dxa"/>
            <w:vAlign w:val="bottom"/>
          </w:tcPr>
          <w:p>
            <w:pPr>
              <w:ind w:left="480"/>
              <w:spacing w:after="0"/>
              <w:rPr>
                <w:sz w:val="20"/>
                <w:szCs w:val="20"/>
                <w:color w:val="auto"/>
              </w:rPr>
            </w:pPr>
            <w:r>
              <w:rPr>
                <w:rFonts w:ascii="Arial" w:cs="Arial" w:eastAsia="Arial" w:hAnsi="Arial"/>
                <w:sz w:val="18"/>
                <w:szCs w:val="18"/>
                <w:color w:val="auto"/>
              </w:rPr>
              <w:t>Products, Inc.</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Ms. Carter has been a director of Installed</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Products, Inc., an installer of insulation and complementary building products, since 2014. She serves as IBP’s lead independent director, the Chair of its Nominating and Governance Committee and a member of the Audit Committee. From 2010 to 2015, Ms. Carter served as Executive Vice President, Chief Legal Officer and Secretary for RealPage, Inc. Since 1998, Ms. Carter has served as the President and founder of Living Mountain Capital, L.L.C., a business advisory firm. She also sits on the executive board of NACD North Texas.</w:t>
      </w:r>
    </w:p>
    <w:p>
      <w:pPr>
        <w:spacing w:after="0" w:line="181"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Ms. Carter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she serves her proven leadership and business experience gained as a general counsel and director at other public companies. Ms. Carter also brings strategy, business development, M&amp;A experience and corporate governance and finance knowledge gained from over 20 years of executive and board experience at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66675</wp:posOffset>
            </wp:positionV>
            <wp:extent cx="3355975" cy="1134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5975" cy="1134745"/>
                    </a:xfrm>
                    <a:prstGeom prst="rect">
                      <a:avLst/>
                    </a:prstGeom>
                    <a:noFill/>
                  </pic:spPr>
                </pic:pic>
              </a:graphicData>
            </a:graphic>
          </wp:anchor>
        </w:drawing>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Michael R. Nicolais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(Chairman of the Board)</w:t>
      </w:r>
    </w:p>
    <w:p>
      <w:pPr>
        <w:spacing w:after="0" w:line="203" w:lineRule="exact"/>
        <w:rPr>
          <w:sz w:val="20"/>
          <w:szCs w:val="20"/>
          <w:color w:val="auto"/>
        </w:rPr>
      </w:pPr>
    </w:p>
    <w:p>
      <w:pPr>
        <w:ind w:left="380"/>
        <w:spacing w:after="0"/>
        <w:tabs>
          <w:tab w:leader="none" w:pos="2100" w:val="left"/>
        </w:tabs>
        <w:rPr>
          <w:sz w:val="20"/>
          <w:szCs w:val="20"/>
          <w:color w:val="auto"/>
        </w:rPr>
      </w:pPr>
      <w:r>
        <w:rPr>
          <w:rFonts w:ascii="Arial" w:cs="Arial" w:eastAsia="Arial" w:hAnsi="Arial"/>
          <w:sz w:val="18"/>
          <w:szCs w:val="18"/>
          <w:b w:val="1"/>
          <w:bCs w:val="1"/>
          <w:color w:val="auto"/>
        </w:rPr>
        <w:t>Director Since:</w:t>
      </w:r>
      <w:r>
        <w:rPr>
          <w:sz w:val="20"/>
          <w:szCs w:val="20"/>
          <w:color w:val="auto"/>
        </w:rPr>
        <w:tab/>
      </w:r>
      <w:r>
        <w:rPr>
          <w:rFonts w:ascii="Arial" w:cs="Arial" w:eastAsia="Arial" w:hAnsi="Arial"/>
          <w:sz w:val="17"/>
          <w:szCs w:val="17"/>
          <w:color w:val="auto"/>
        </w:rPr>
        <w:t>2001</w:t>
      </w:r>
    </w:p>
    <w:p>
      <w:pPr>
        <w:spacing w:after="0" w:line="31" w:lineRule="exact"/>
        <w:rPr>
          <w:sz w:val="20"/>
          <w:szCs w:val="20"/>
          <w:color w:val="auto"/>
        </w:rPr>
      </w:pPr>
    </w:p>
    <w:p>
      <w:pPr>
        <w:ind w:left="380"/>
        <w:spacing w:after="0"/>
        <w:tabs>
          <w:tab w:leader="none" w:pos="210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color w:val="auto"/>
        </w:rPr>
        <w:t>61</w:t>
      </w:r>
    </w:p>
    <w:p>
      <w:pPr>
        <w:spacing w:after="0" w:line="9" w:lineRule="exact"/>
        <w:rPr>
          <w:sz w:val="20"/>
          <w:szCs w:val="20"/>
          <w:color w:val="auto"/>
        </w:rPr>
      </w:pPr>
    </w:p>
    <w:p>
      <w:pPr>
        <w:ind w:left="380"/>
        <w:spacing w:after="0"/>
        <w:tabs>
          <w:tab w:leader="none" w:pos="2100" w:val="left"/>
        </w:tabs>
        <w:rPr>
          <w:sz w:val="20"/>
          <w:szCs w:val="20"/>
          <w:color w:val="auto"/>
        </w:rPr>
      </w:pPr>
      <w:r>
        <w:rPr>
          <w:rFonts w:ascii="Arial" w:cs="Arial" w:eastAsia="Arial" w:hAnsi="Arial"/>
          <w:sz w:val="18"/>
          <w:szCs w:val="18"/>
          <w:b w:val="1"/>
          <w:bCs w:val="1"/>
          <w:color w:val="auto"/>
        </w:rPr>
        <w:t>Committees:</w:t>
      </w:r>
      <w:r>
        <w:rPr>
          <w:sz w:val="20"/>
          <w:szCs w:val="20"/>
          <w:color w:val="auto"/>
        </w:rPr>
        <w:tab/>
      </w:r>
      <w:r>
        <w:rPr>
          <w:rFonts w:ascii="Arial" w:cs="Arial" w:eastAsia="Arial" w:hAnsi="Arial"/>
          <w:sz w:val="18"/>
          <w:szCs w:val="18"/>
          <w:color w:val="auto"/>
        </w:rPr>
        <w:t>Executive</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Compensation</w:t>
      </w:r>
    </w:p>
    <w:p>
      <w:pPr>
        <w:spacing w:after="0" w:line="244"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In January 2017, Mr. Nicolais became Vice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and Chief Executive Officer of Highlander Partners L.P., an investment partnership. From April 2004 through December 2016, Mr. Nicolais served as President of Highlander Partners, L.P. From August 2002 until March 2004, Mr. Nicolais served as Managing Director of Stephens, Inc., an investment banking firm. Prior to joining</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Stephens, Inc., he was a partner in the private investment firm of Olivhan Investments, L.P. from March 2001 until August 2002. From August 1986 to December 2000, he was employed by Donaldson, Lufkin &amp; Jenrette Securities Corporation’s Investment Banking Division, most recently in the position of Managing Director and co-head of that firm’s Dallas office.</w:t>
      </w:r>
    </w:p>
    <w:p>
      <w:pPr>
        <w:spacing w:after="0" w:line="18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Nicolais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he serves his extensive knowledge of capital markets, mergers and acquisitions and financial analysis and financial oversight experience gained through his work as an investment banker and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3424555" cy="971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4555" cy="971550"/>
                    </a:xfrm>
                    <a:prstGeom prst="rect">
                      <a:avLst/>
                    </a:prstGeom>
                    <a:noFill/>
                  </pic:spPr>
                </pic:pic>
              </a:graphicData>
            </a:graphic>
          </wp:anchor>
        </w:drawing>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Richard R. Stewart</w:t>
      </w:r>
    </w:p>
    <w:p>
      <w:pPr>
        <w:spacing w:after="0" w:line="216" w:lineRule="exact"/>
        <w:rPr>
          <w:sz w:val="20"/>
          <w:szCs w:val="20"/>
          <w:color w:val="auto"/>
        </w:rPr>
      </w:pPr>
    </w:p>
    <w:p>
      <w:pPr>
        <w:ind w:left="160"/>
        <w:spacing w:after="0"/>
        <w:tabs>
          <w:tab w:leader="none" w:pos="2320" w:val="left"/>
        </w:tabs>
        <w:rPr>
          <w:sz w:val="20"/>
          <w:szCs w:val="20"/>
          <w:color w:val="auto"/>
        </w:rPr>
      </w:pPr>
      <w:r>
        <w:rPr>
          <w:rFonts w:ascii="Arial" w:cs="Arial" w:eastAsia="Arial" w:hAnsi="Arial"/>
          <w:sz w:val="18"/>
          <w:szCs w:val="18"/>
          <w:b w:val="1"/>
          <w:bCs w:val="1"/>
          <w:color w:val="auto"/>
        </w:rPr>
        <w:t>Director Since:</w:t>
      </w:r>
      <w:r>
        <w:rPr>
          <w:sz w:val="20"/>
          <w:szCs w:val="20"/>
          <w:color w:val="auto"/>
        </w:rPr>
        <w:tab/>
      </w:r>
      <w:r>
        <w:rPr>
          <w:rFonts w:ascii="Arial" w:cs="Arial" w:eastAsia="Arial" w:hAnsi="Arial"/>
          <w:sz w:val="17"/>
          <w:szCs w:val="17"/>
          <w:color w:val="auto"/>
        </w:rPr>
        <w:t>2006</w:t>
      </w:r>
    </w:p>
    <w:p>
      <w:pPr>
        <w:spacing w:after="0" w:line="13" w:lineRule="exact"/>
        <w:rPr>
          <w:sz w:val="20"/>
          <w:szCs w:val="20"/>
          <w:color w:val="auto"/>
        </w:rPr>
      </w:pPr>
    </w:p>
    <w:p>
      <w:pPr>
        <w:ind w:left="160"/>
        <w:spacing w:after="0"/>
        <w:tabs>
          <w:tab w:leader="none" w:pos="232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color w:val="auto"/>
        </w:rPr>
        <w:t>69</w:t>
      </w:r>
    </w:p>
    <w:p>
      <w:pPr>
        <w:ind w:left="160"/>
        <w:spacing w:after="0" w:line="234" w:lineRule="auto"/>
        <w:tabs>
          <w:tab w:leader="none" w:pos="2320" w:val="left"/>
        </w:tabs>
        <w:rPr>
          <w:sz w:val="20"/>
          <w:szCs w:val="20"/>
          <w:color w:val="auto"/>
        </w:rPr>
      </w:pPr>
      <w:r>
        <w:rPr>
          <w:rFonts w:ascii="Arial" w:cs="Arial" w:eastAsia="Arial" w:hAnsi="Arial"/>
          <w:sz w:val="18"/>
          <w:szCs w:val="18"/>
          <w:b w:val="1"/>
          <w:bCs w:val="1"/>
          <w:color w:val="auto"/>
        </w:rPr>
        <w:t>Committees:</w:t>
      </w:r>
      <w:r>
        <w:rPr>
          <w:sz w:val="20"/>
          <w:szCs w:val="20"/>
          <w:color w:val="auto"/>
        </w:rPr>
        <w:tab/>
      </w:r>
      <w:r>
        <w:rPr>
          <w:rFonts w:ascii="Arial" w:cs="Arial" w:eastAsia="Arial" w:hAnsi="Arial"/>
          <w:sz w:val="18"/>
          <w:szCs w:val="18"/>
          <w:color w:val="auto"/>
        </w:rPr>
        <w:t>Executive</w:t>
      </w:r>
    </w:p>
    <w:p>
      <w:pPr>
        <w:spacing w:after="0" w:line="1" w:lineRule="exact"/>
        <w:rPr>
          <w:sz w:val="20"/>
          <w:szCs w:val="20"/>
          <w:color w:val="auto"/>
        </w:rPr>
      </w:pPr>
    </w:p>
    <w:p>
      <w:pPr>
        <w:ind w:left="160"/>
        <w:spacing w:after="0"/>
        <w:tabs>
          <w:tab w:leader="none" w:pos="2320" w:val="left"/>
        </w:tabs>
        <w:rPr>
          <w:sz w:val="20"/>
          <w:szCs w:val="20"/>
          <w:color w:val="auto"/>
        </w:rPr>
      </w:pPr>
      <w:r>
        <w:rPr>
          <w:rFonts w:ascii="Arial" w:cs="Arial" w:eastAsia="Arial" w:hAnsi="Arial"/>
          <w:sz w:val="18"/>
          <w:szCs w:val="18"/>
          <w:b w:val="1"/>
          <w:bCs w:val="1"/>
          <w:color w:val="auto"/>
        </w:rPr>
        <w:t>Other Public Boards:</w:t>
      </w:r>
      <w:r>
        <w:rPr>
          <w:sz w:val="20"/>
          <w:szCs w:val="20"/>
          <w:color w:val="auto"/>
        </w:rPr>
        <w:tab/>
      </w:r>
      <w:r>
        <w:rPr>
          <w:rFonts w:ascii="Arial" w:cs="Arial" w:eastAsia="Arial" w:hAnsi="Arial"/>
          <w:sz w:val="17"/>
          <w:szCs w:val="17"/>
          <w:color w:val="auto"/>
        </w:rPr>
        <w:t>Kirby Corporation</w:t>
      </w:r>
    </w:p>
    <w:p>
      <w:pPr>
        <w:spacing w:after="0" w:line="244" w:lineRule="exact"/>
        <w:rPr>
          <w:sz w:val="20"/>
          <w:szCs w:val="20"/>
          <w:color w:val="auto"/>
        </w:rPr>
      </w:pPr>
    </w:p>
    <w:p>
      <w:pPr>
        <w:jc w:val="both"/>
        <w:ind w:right="300"/>
        <w:spacing w:after="0" w:line="243"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From 1998 until 2006 Mr. Stewart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CEO of GE Aero Energy, a division of GE Power Systems and as an officer of General Electric Company.</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Stewart retired from General Electric in 2006. Mr. 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of 2006. Mr. Stewart was a director of Lufkin Industries, Inc. from 2009 until its acquisition by GE Oil &amp; Gas in 2013 and served a director of Exterran Corp. from 2015 to 2018.</w:t>
      </w:r>
    </w:p>
    <w:p>
      <w:pPr>
        <w:spacing w:after="0" w:line="184"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 Mr. Stewart brings to the Board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on which he serves his proven leadership and business experience as the former CEO of a manufacturing company.</w:t>
      </w:r>
    </w:p>
    <w:p>
      <w:pPr>
        <w:spacing w:after="0" w:line="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Mr. Stewart also brings corporate governance experience gained from membership on the boards of other public companies and as an officer with General Electric.</w:t>
      </w:r>
    </w:p>
    <w:p>
      <w:pPr>
        <w:spacing w:after="0" w:line="1079"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8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Continuing Directors Whose Terms Expire at our 2021 Annual Meeting</w:t>
      </w:r>
    </w:p>
    <w:p>
      <w:pPr>
        <w:spacing w:after="0" w:line="2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(Class III Directors)</w:t>
      </w:r>
    </w:p>
    <w:p>
      <w:pPr>
        <w:sectPr>
          <w:pgSz w:w="11900" w:h="16838" w:orient="portrait"/>
          <w:cols w:equalWidth="0" w:num="1">
            <w:col w:w="11180"/>
          </w:cols>
          <w:pgMar w:left="240" w:top="459" w:right="479" w:bottom="1440" w:gutter="0" w:footer="0" w:header="0"/>
        </w:sectPr>
      </w:pPr>
    </w:p>
    <w:p>
      <w:pPr>
        <w:spacing w:after="0" w:line="221"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F. William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-192405</wp:posOffset>
            </wp:positionV>
            <wp:extent cx="3355975" cy="885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5975" cy="885825"/>
                    </a:xfrm>
                    <a:prstGeom prst="rect">
                      <a:avLst/>
                    </a:prstGeom>
                    <a:noFill/>
                  </pic:spPr>
                </pic:pic>
              </a:graphicData>
            </a:graphic>
          </wp:anchor>
        </w:drawing>
      </w:r>
    </w:p>
    <w:p>
      <w:pPr>
        <w:spacing w:after="0" w:line="191"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Director Since:</w:t>
            </w:r>
          </w:p>
        </w:tc>
        <w:tc>
          <w:tcPr>
            <w:tcW w:w="1860" w:type="dxa"/>
            <w:vAlign w:val="bottom"/>
          </w:tcPr>
          <w:p>
            <w:pPr>
              <w:ind w:left="280"/>
              <w:spacing w:after="0"/>
              <w:rPr>
                <w:sz w:val="20"/>
                <w:szCs w:val="20"/>
                <w:color w:val="auto"/>
              </w:rPr>
            </w:pPr>
            <w:r>
              <w:rPr>
                <w:rFonts w:ascii="Arial" w:cs="Arial" w:eastAsia="Arial" w:hAnsi="Arial"/>
                <w:sz w:val="18"/>
                <w:szCs w:val="18"/>
                <w:color w:val="auto"/>
              </w:rPr>
              <w:t>2003</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auto"/>
              </w:rPr>
              <w:t>Age:</w:t>
            </w:r>
          </w:p>
        </w:tc>
        <w:tc>
          <w:tcPr>
            <w:tcW w:w="1860" w:type="dxa"/>
            <w:vAlign w:val="bottom"/>
          </w:tcPr>
          <w:p>
            <w:pPr>
              <w:ind w:left="280"/>
              <w:spacing w:after="0" w:line="202" w:lineRule="exact"/>
              <w:rPr>
                <w:sz w:val="20"/>
                <w:szCs w:val="20"/>
                <w:color w:val="auto"/>
              </w:rPr>
            </w:pPr>
            <w:r>
              <w:rPr>
                <w:rFonts w:ascii="Arial" w:cs="Arial" w:eastAsia="Arial" w:hAnsi="Arial"/>
                <w:sz w:val="18"/>
                <w:szCs w:val="18"/>
                <w:color w:val="auto"/>
              </w:rPr>
              <w:t>72</w:t>
            </w:r>
          </w:p>
        </w:tc>
      </w:tr>
      <w:tr>
        <w:trPr>
          <w:trHeight w:val="239"/>
        </w:trPr>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Committees:</w:t>
            </w:r>
          </w:p>
        </w:tc>
        <w:tc>
          <w:tcPr>
            <w:tcW w:w="1860" w:type="dxa"/>
            <w:vAlign w:val="bottom"/>
          </w:tcPr>
          <w:p>
            <w:pPr>
              <w:ind w:left="280"/>
              <w:spacing w:after="0"/>
              <w:rPr>
                <w:sz w:val="20"/>
                <w:szCs w:val="20"/>
                <w:color w:val="auto"/>
              </w:rPr>
            </w:pPr>
            <w:r>
              <w:rPr>
                <w:rFonts w:ascii="Arial" w:cs="Arial" w:eastAsia="Arial" w:hAnsi="Arial"/>
                <w:sz w:val="18"/>
                <w:szCs w:val="18"/>
                <w:color w:val="auto"/>
                <w:w w:val="98"/>
              </w:rPr>
              <w:t>Governance (Chair)</w:t>
            </w:r>
          </w:p>
        </w:tc>
      </w:tr>
    </w:tbl>
    <w:p>
      <w:pPr>
        <w:spacing w:after="0" w:line="200" w:lineRule="exact"/>
        <w:rPr>
          <w:sz w:val="20"/>
          <w:szCs w:val="20"/>
          <w:color w:val="auto"/>
        </w:rPr>
      </w:pPr>
    </w:p>
    <w:p>
      <w:pPr>
        <w:spacing w:after="0" w:line="223" w:lineRule="exact"/>
        <w:rPr>
          <w:sz w:val="20"/>
          <w:szCs w:val="20"/>
          <w:color w:val="auto"/>
        </w:rPr>
      </w:pPr>
    </w:p>
    <w:p>
      <w:pPr>
        <w:ind w:left="480" w:right="100"/>
        <w:spacing w:after="0" w:line="239"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Barnett retired in 2003 from 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position as a Director in the Dallas office of McKinsey &amp; Company, Inc., an international consulting firm, after 23 years of employment, where he led the firm’s Strategy Practice. Mr. Barnett has taught MBA students at the Yale School of Management and the Jesse H. Jones Graduate School of Business at Rice University. Mr. Barnett’s book, </w:t>
      </w:r>
      <w:r>
        <w:rPr>
          <w:rFonts w:ascii="Arial" w:cs="Arial" w:eastAsia="Arial" w:hAnsi="Arial"/>
          <w:sz w:val="18"/>
          <w:szCs w:val="18"/>
          <w:i w:val="1"/>
          <w:iCs w:val="1"/>
          <w:color w:val="auto"/>
        </w:rPr>
        <w:t>The Strategic</w:t>
      </w:r>
      <w:r>
        <w:rPr>
          <w:rFonts w:ascii="Arial" w:cs="Arial" w:eastAsia="Arial" w:hAnsi="Arial"/>
          <w:sz w:val="18"/>
          <w:szCs w:val="18"/>
          <w:color w:val="auto"/>
        </w:rPr>
        <w:t xml:space="preserve"> </w:t>
      </w:r>
      <w:r>
        <w:rPr>
          <w:rFonts w:ascii="Arial" w:cs="Arial" w:eastAsia="Arial" w:hAnsi="Arial"/>
          <w:sz w:val="18"/>
          <w:szCs w:val="18"/>
          <w:i w:val="1"/>
          <w:iCs w:val="1"/>
          <w:color w:val="auto"/>
        </w:rPr>
        <w:t>Career: Let Business Principles Guide You</w:t>
      </w:r>
      <w:r>
        <w:rPr>
          <w:rFonts w:ascii="Arial" w:cs="Arial" w:eastAsia="Arial" w:hAnsi="Arial"/>
          <w:sz w:val="18"/>
          <w:szCs w:val="18"/>
          <w:color w:val="auto"/>
        </w:rPr>
        <w:t>,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2015.</w:t>
      </w:r>
    </w:p>
    <w:p>
      <w:pPr>
        <w:spacing w:after="0" w:line="184" w:lineRule="exact"/>
        <w:rPr>
          <w:sz w:val="20"/>
          <w:szCs w:val="20"/>
          <w:color w:val="auto"/>
        </w:rPr>
      </w:pPr>
    </w:p>
    <w:p>
      <w:pPr>
        <w:ind w:left="480"/>
        <w:spacing w:after="0" w:line="266" w:lineRule="auto"/>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 Mr. Barnett brings to the Board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committees on which he serves his corporate governance and strategy development and implementation experience gained from his long career in management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132080</wp:posOffset>
            </wp:positionV>
            <wp:extent cx="3355975" cy="1280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5975" cy="1280160"/>
                    </a:xfrm>
                    <a:prstGeom prst="rect">
                      <a:avLst/>
                    </a:prstGeom>
                    <a:noFill/>
                  </pic:spPr>
                </pic:pic>
              </a:graphicData>
            </a:graphic>
          </wp:anchor>
        </w:drawing>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Richard Beckwitt</w:t>
      </w:r>
    </w:p>
    <w:p>
      <w:pPr>
        <w:spacing w:after="0" w:line="216" w:lineRule="exact"/>
        <w:rPr>
          <w:sz w:val="20"/>
          <w:szCs w:val="20"/>
          <w:color w:val="auto"/>
        </w:rPr>
      </w:pPr>
    </w:p>
    <w:p>
      <w:pPr>
        <w:ind w:left="440"/>
        <w:spacing w:after="0"/>
        <w:tabs>
          <w:tab w:leader="none" w:pos="2480" w:val="left"/>
        </w:tabs>
        <w:rPr>
          <w:sz w:val="20"/>
          <w:szCs w:val="20"/>
          <w:color w:val="auto"/>
        </w:rPr>
      </w:pPr>
      <w:r>
        <w:rPr>
          <w:rFonts w:ascii="Arial" w:cs="Arial" w:eastAsia="Arial" w:hAnsi="Arial"/>
          <w:sz w:val="18"/>
          <w:szCs w:val="18"/>
          <w:b w:val="1"/>
          <w:bCs w:val="1"/>
          <w:color w:val="auto"/>
        </w:rPr>
        <w:t>Director Since:</w:t>
      </w:r>
      <w:r>
        <w:rPr>
          <w:sz w:val="20"/>
          <w:szCs w:val="20"/>
          <w:color w:val="auto"/>
        </w:rPr>
        <w:tab/>
      </w:r>
      <w:r>
        <w:rPr>
          <w:rFonts w:ascii="Arial" w:cs="Arial" w:eastAsia="Arial" w:hAnsi="Arial"/>
          <w:sz w:val="17"/>
          <w:szCs w:val="17"/>
          <w:color w:val="auto"/>
        </w:rPr>
        <w:t>2014</w:t>
      </w:r>
    </w:p>
    <w:p>
      <w:pPr>
        <w:spacing w:after="0" w:line="13" w:lineRule="exact"/>
        <w:rPr>
          <w:sz w:val="20"/>
          <w:szCs w:val="20"/>
          <w:color w:val="auto"/>
        </w:rPr>
      </w:pPr>
    </w:p>
    <w:p>
      <w:pPr>
        <w:ind w:left="420"/>
        <w:spacing w:after="0"/>
        <w:tabs>
          <w:tab w:leader="none" w:pos="248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color w:val="auto"/>
        </w:rPr>
        <w:t>60</w:t>
      </w:r>
    </w:p>
    <w:p>
      <w:pPr>
        <w:ind w:left="440"/>
        <w:spacing w:after="0" w:line="234" w:lineRule="auto"/>
        <w:tabs>
          <w:tab w:leader="none" w:pos="2480" w:val="left"/>
        </w:tabs>
        <w:rPr>
          <w:sz w:val="20"/>
          <w:szCs w:val="20"/>
          <w:color w:val="auto"/>
        </w:rPr>
      </w:pPr>
      <w:r>
        <w:rPr>
          <w:rFonts w:ascii="Arial" w:cs="Arial" w:eastAsia="Arial" w:hAnsi="Arial"/>
          <w:sz w:val="18"/>
          <w:szCs w:val="18"/>
          <w:b w:val="1"/>
          <w:bCs w:val="1"/>
          <w:color w:val="auto"/>
        </w:rPr>
        <w:t>Committees:</w:t>
      </w:r>
      <w:r>
        <w:rPr>
          <w:sz w:val="20"/>
          <w:szCs w:val="20"/>
          <w:color w:val="auto"/>
        </w:rPr>
        <w:tab/>
      </w:r>
      <w:r>
        <w:rPr>
          <w:rFonts w:ascii="Arial" w:cs="Arial" w:eastAsia="Arial" w:hAnsi="Arial"/>
          <w:sz w:val="18"/>
          <w:szCs w:val="18"/>
          <w:color w:val="auto"/>
        </w:rPr>
        <w:t>Audit</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60" w:right="20"/>
        <w:spacing w:after="0" w:line="242"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Beckwitt brings to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committees on which he serves his extensive executive experience gained through his service as the President and executive officer of public companies within the homebuilding industry, as well as finance-related experience with a major investment banking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221615</wp:posOffset>
            </wp:positionV>
            <wp:extent cx="3424555" cy="885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4555" cy="88582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Ed H. Bowman</w:t>
      </w:r>
    </w:p>
    <w:p>
      <w:pPr>
        <w:spacing w:after="0" w:line="216"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8"/>
          <w:szCs w:val="18"/>
          <w:b w:val="1"/>
          <w:bCs w:val="1"/>
          <w:color w:val="auto"/>
        </w:rPr>
        <w:t>Director Since:</w:t>
      </w:r>
      <w:r>
        <w:rPr>
          <w:sz w:val="20"/>
          <w:szCs w:val="20"/>
          <w:color w:val="auto"/>
        </w:rPr>
        <w:tab/>
      </w:r>
      <w:r>
        <w:rPr>
          <w:rFonts w:ascii="Arial" w:cs="Arial" w:eastAsia="Arial" w:hAnsi="Arial"/>
          <w:sz w:val="17"/>
          <w:szCs w:val="17"/>
          <w:color w:val="auto"/>
        </w:rPr>
        <w:t>2011</w:t>
      </w:r>
    </w:p>
    <w:p>
      <w:pPr>
        <w:spacing w:after="0" w:line="1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color w:val="auto"/>
        </w:rPr>
        <w:t>72</w:t>
      </w:r>
    </w:p>
    <w:p>
      <w:pPr>
        <w:ind w:left="20"/>
        <w:spacing w:after="0"/>
        <w:tabs>
          <w:tab w:leader="none" w:pos="1680" w:val="left"/>
        </w:tabs>
        <w:rPr>
          <w:sz w:val="20"/>
          <w:szCs w:val="20"/>
          <w:color w:val="auto"/>
        </w:rPr>
      </w:pPr>
      <w:r>
        <w:rPr>
          <w:rFonts w:ascii="Arial" w:cs="Arial" w:eastAsia="Arial" w:hAnsi="Arial"/>
          <w:sz w:val="18"/>
          <w:szCs w:val="18"/>
          <w:b w:val="1"/>
          <w:bCs w:val="1"/>
          <w:color w:val="auto"/>
        </w:rPr>
        <w:t>Committees:</w:t>
      </w:r>
      <w:r>
        <w:rPr>
          <w:sz w:val="20"/>
          <w:szCs w:val="20"/>
          <w:color w:val="auto"/>
        </w:rPr>
        <w:tab/>
      </w:r>
      <w:r>
        <w:rPr>
          <w:rFonts w:ascii="Arial" w:cs="Arial" w:eastAsia="Arial" w:hAnsi="Arial"/>
          <w:sz w:val="18"/>
          <w:szCs w:val="18"/>
          <w:color w:val="auto"/>
        </w:rPr>
        <w:t>Compensation (Chair)</w:t>
      </w:r>
    </w:p>
    <w:p>
      <w:pPr>
        <w:spacing w:after="0" w:line="200" w:lineRule="exact"/>
        <w:rPr>
          <w:sz w:val="20"/>
          <w:szCs w:val="20"/>
          <w:color w:val="auto"/>
        </w:rPr>
      </w:pPr>
    </w:p>
    <w:p>
      <w:pPr>
        <w:spacing w:after="0" w:line="233" w:lineRule="exact"/>
        <w:rPr>
          <w:sz w:val="20"/>
          <w:szCs w:val="20"/>
          <w:color w:val="auto"/>
        </w:rPr>
      </w:pPr>
    </w:p>
    <w:p>
      <w:pPr>
        <w:ind w:left="60"/>
        <w:spacing w:after="0" w:line="244"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Bowman served as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President and a director of SOURCECORP from 1996 until 2011. Prior to 1996, Mr. Bowman was a senior executive at First Data Corporation. Mr. Bowman serves as an Executive Partner with Teakwood Capital and on the board of iiPay, LTD.</w:t>
      </w:r>
    </w:p>
    <w:p>
      <w:pPr>
        <w:spacing w:after="0" w:line="177" w:lineRule="exact"/>
        <w:rPr>
          <w:sz w:val="20"/>
          <w:szCs w:val="20"/>
          <w:color w:val="auto"/>
        </w:rPr>
      </w:pPr>
    </w:p>
    <w:p>
      <w:pPr>
        <w:ind w:left="60" w:right="220"/>
        <w:spacing w:after="0" w:line="242" w:lineRule="auto"/>
        <w:rPr>
          <w:sz w:val="20"/>
          <w:szCs w:val="20"/>
          <w:color w:val="auto"/>
        </w:rPr>
      </w:pPr>
      <w:r>
        <w:rPr>
          <w:rFonts w:ascii="Arial" w:cs="Arial" w:eastAsia="Arial" w:hAnsi="Arial"/>
          <w:sz w:val="18"/>
          <w:szCs w:val="18"/>
          <w:b w:val="1"/>
          <w:bCs w:val="1"/>
          <w:color w:val="auto"/>
        </w:rPr>
        <w:t>Skills and Experience</w:t>
      </w:r>
      <w:r>
        <w:rPr>
          <w:rFonts w:ascii="Arial" w:cs="Arial" w:eastAsia="Arial" w:hAnsi="Arial"/>
          <w:sz w:val="18"/>
          <w:szCs w:val="18"/>
          <w:color w:val="auto"/>
        </w:rPr>
        <w:t>: Mr. Bowman brings to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his proven leadership and business experience as the retired CEO of an expanding company. Mr. Bowman also brings corporate governance, finance and compensation knowledge gained from his experience at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221615</wp:posOffset>
            </wp:positionV>
            <wp:extent cx="3424555" cy="885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4555" cy="88582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5460" w:space="580"/>
            <w:col w:w="5140"/>
          </w:cols>
          <w:pgMar w:left="240" w:top="459" w:right="479" w:bottom="1440" w:gutter="0" w:footer="0" w:header="0"/>
          <w:type w:val="continuous"/>
        </w:sectPr>
      </w:pPr>
    </w:p>
    <w:p>
      <w:pPr>
        <w:ind w:left="440"/>
        <w:spacing w:after="0"/>
        <w:tabs>
          <w:tab w:leader="none" w:pos="2480" w:val="left"/>
        </w:tabs>
        <w:rPr>
          <w:sz w:val="20"/>
          <w:szCs w:val="20"/>
          <w:color w:val="auto"/>
        </w:rPr>
      </w:pPr>
      <w:r>
        <w:rPr>
          <w:rFonts w:ascii="Arial" w:cs="Arial" w:eastAsia="Arial" w:hAnsi="Arial"/>
          <w:sz w:val="18"/>
          <w:szCs w:val="18"/>
          <w:b w:val="1"/>
          <w:bCs w:val="1"/>
          <w:color w:val="auto"/>
        </w:rPr>
        <w:t>Other Public Boards:</w:t>
      </w:r>
      <w:r>
        <w:rPr>
          <w:sz w:val="20"/>
          <w:szCs w:val="20"/>
          <w:color w:val="auto"/>
        </w:rPr>
        <w:tab/>
      </w:r>
      <w:r>
        <w:rPr>
          <w:rFonts w:ascii="Arial" w:cs="Arial" w:eastAsia="Arial" w:hAnsi="Arial"/>
          <w:sz w:val="17"/>
          <w:szCs w:val="17"/>
          <w:color w:val="auto"/>
        </w:rPr>
        <w:t>Lennar Corporation</w:t>
      </w:r>
    </w:p>
    <w:p>
      <w:pPr>
        <w:ind w:left="2500"/>
        <w:spacing w:after="0"/>
        <w:rPr>
          <w:sz w:val="20"/>
          <w:szCs w:val="20"/>
          <w:color w:val="auto"/>
        </w:rPr>
      </w:pPr>
      <w:r>
        <w:rPr>
          <w:rFonts w:ascii="Arial" w:cs="Arial" w:eastAsia="Arial" w:hAnsi="Arial"/>
          <w:sz w:val="18"/>
          <w:szCs w:val="18"/>
          <w:color w:val="auto"/>
        </w:rPr>
        <w:t>Five Point Holdings LLC</w:t>
      </w:r>
    </w:p>
    <w:p>
      <w:pPr>
        <w:spacing w:after="0" w:line="200" w:lineRule="exact"/>
        <w:rPr>
          <w:sz w:val="20"/>
          <w:szCs w:val="20"/>
          <w:color w:val="auto"/>
        </w:rPr>
      </w:pPr>
    </w:p>
    <w:p>
      <w:pPr>
        <w:spacing w:after="0" w:line="233" w:lineRule="exact"/>
        <w:rPr>
          <w:sz w:val="20"/>
          <w:szCs w:val="20"/>
          <w:color w:val="auto"/>
        </w:rPr>
      </w:pPr>
    </w:p>
    <w:p>
      <w:pPr>
        <w:ind w:left="480"/>
        <w:spacing w:after="0" w:line="237"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Beckwitt is the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Lennar Corporation. He also serves on the Lennar Board of Directors. He joined Lennar in March 2006 as an Executive Vice President, became President in April 2011 and was promoted to CEO in April 2018. Mr. Beckwitt served on the Board of Directors of D.R. Horton, Inc. from 1993 to November 2003. From 1993 to March 2000, he held various executive officer positions at D.R. Horton, including President of the Company. From March 2000 to April 2003, Mr. Beckwitt was the owner and principal of EVP Capital, L.P., a venture capital and real estate advisory company. From 1986 to 1993,</w:t>
      </w:r>
    </w:p>
    <w:p>
      <w:pPr>
        <w:spacing w:after="0" w:line="2" w:lineRule="exact"/>
        <w:rPr>
          <w:sz w:val="20"/>
          <w:szCs w:val="20"/>
          <w:color w:val="auto"/>
        </w:rPr>
      </w:pPr>
    </w:p>
    <w:p>
      <w:pPr>
        <w:ind w:left="480" w:right="480"/>
        <w:spacing w:after="0" w:line="275" w:lineRule="auto"/>
        <w:rPr>
          <w:sz w:val="20"/>
          <w:szCs w:val="20"/>
          <w:color w:val="auto"/>
        </w:rPr>
      </w:pPr>
      <w:r>
        <w:rPr>
          <w:rFonts w:ascii="Arial" w:cs="Arial" w:eastAsia="Arial" w:hAnsi="Arial"/>
          <w:sz w:val="17"/>
          <w:szCs w:val="17"/>
          <w:color w:val="auto"/>
        </w:rPr>
        <w:t>Mr. Beckwitt worked in the Mergers and Acquisitions and Corporate Finance Departments at Lehman Brothers.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Michael R. Haack</w:t>
      </w:r>
    </w:p>
    <w:p>
      <w:pPr>
        <w:spacing w:after="0" w:line="198"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8"/>
          <w:szCs w:val="18"/>
          <w:b w:val="1"/>
          <w:bCs w:val="1"/>
          <w:color w:val="auto"/>
        </w:rPr>
        <w:t>Director Since:</w:t>
      </w:r>
      <w:r>
        <w:rPr>
          <w:sz w:val="20"/>
          <w:szCs w:val="20"/>
          <w:color w:val="auto"/>
        </w:rPr>
        <w:tab/>
      </w:r>
      <w:r>
        <w:rPr>
          <w:rFonts w:ascii="Arial" w:cs="Arial" w:eastAsia="Arial" w:hAnsi="Arial"/>
          <w:sz w:val="17"/>
          <w:szCs w:val="17"/>
          <w:color w:val="auto"/>
        </w:rPr>
        <w:t>2019</w:t>
      </w:r>
    </w:p>
    <w:p>
      <w:pPr>
        <w:spacing w:after="0" w:line="1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color w:val="auto"/>
        </w:rPr>
        <w:t>46</w:t>
      </w:r>
    </w:p>
    <w:p>
      <w:pPr>
        <w:ind w:left="20"/>
        <w:spacing w:after="0"/>
        <w:tabs>
          <w:tab w:leader="none" w:pos="1680" w:val="left"/>
        </w:tabs>
        <w:rPr>
          <w:sz w:val="20"/>
          <w:szCs w:val="20"/>
          <w:color w:val="auto"/>
        </w:rPr>
      </w:pPr>
      <w:r>
        <w:rPr>
          <w:rFonts w:ascii="Arial" w:cs="Arial" w:eastAsia="Arial" w:hAnsi="Arial"/>
          <w:sz w:val="18"/>
          <w:szCs w:val="18"/>
          <w:b w:val="1"/>
          <w:bCs w:val="1"/>
          <w:color w:val="auto"/>
        </w:rPr>
        <w:t>Committees:</w:t>
      </w:r>
      <w:r>
        <w:rPr>
          <w:sz w:val="20"/>
          <w:szCs w:val="20"/>
          <w:color w:val="auto"/>
        </w:rPr>
        <w:tab/>
      </w:r>
      <w:r>
        <w:rPr>
          <w:rFonts w:ascii="Arial" w:cs="Arial" w:eastAsia="Arial" w:hAnsi="Arial"/>
          <w:sz w:val="18"/>
          <w:szCs w:val="18"/>
          <w:color w:val="auto"/>
        </w:rPr>
        <w:t>Executive</w:t>
      </w:r>
    </w:p>
    <w:p>
      <w:pPr>
        <w:spacing w:after="0" w:line="325" w:lineRule="exact"/>
        <w:rPr>
          <w:sz w:val="20"/>
          <w:szCs w:val="20"/>
          <w:color w:val="auto"/>
        </w:rPr>
      </w:pPr>
    </w:p>
    <w:p>
      <w:pPr>
        <w:ind w:left="60" w:right="60"/>
        <w:spacing w:after="0" w:line="239"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Haack has been appointed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President and Chief Executive Officer effective July 1, 2019. Prior to that time, he has served as President and Chief Operating Officer since August 2018 and was Executive Vice President and Chief Operating Officer from December 2014 through August 2018. Mr. Haack was employed at Halliburton Energy Services for the 17 years prior to joining the Company, most recently as Global Operations Manager at Halliburton’s Sperry Drilling division).</w:t>
      </w:r>
    </w:p>
    <w:p>
      <w:pPr>
        <w:spacing w:after="0" w:line="476" w:lineRule="exact"/>
        <w:rPr>
          <w:sz w:val="20"/>
          <w:szCs w:val="20"/>
          <w:color w:val="auto"/>
        </w:rPr>
      </w:pPr>
    </w:p>
    <w:p>
      <w:pPr>
        <w:sectPr>
          <w:pgSz w:w="11900" w:h="16838" w:orient="portrait"/>
          <w:cols w:equalWidth="0" w:num="2">
            <w:col w:w="5460" w:space="580"/>
            <w:col w:w="5140"/>
          </w:cols>
          <w:pgMar w:left="240" w:top="459" w:right="479" w:bottom="1440" w:gutter="0" w:footer="0" w:header="0"/>
          <w:type w:val="continuous"/>
        </w:sectPr>
      </w:pPr>
    </w:p>
    <w:p>
      <w:pPr>
        <w:spacing w:after="0" w:line="5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80"/>
          </w:cols>
          <w:pgMar w:left="240" w:top="459" w:right="4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Haack brings to the Board his</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knowledge of the Company’s operations, as well as his executive and operations experience gained in heavy industry over the previous 20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-690880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4"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During the Company’s fiscal year ended March 31, 2019, our Board of Directors held four regularly scheduled meetings and one special meeting. During such fiscal year, all of the incumbent directors attended at least 75% of the meetings of the Board and the committees of the Board on which they served. In accordance with our informal policy, we anticipate that all continuing directors and nominees will attend our 2019 annual stockholders meeting. All of our then-current directors attended our 2018 annual meeting. We strongly encourage all directors to attend our stockholder meetings. Our non-employee directors (which currently constitute all our directors, except for Messrs. Powers and Haack) meet immediately after all Board meetings without management present. The Chairman presides at all executive sessions of the non-employee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380" w:space="280"/>
            <w:col w:w="554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4F82BC"/>
        </w:rPr>
        <w:t>BOARD COMPENSATION</w:t>
      </w:r>
    </w:p>
    <w:p>
      <w:pPr>
        <w:sectPr>
          <w:pgSz w:w="11900" w:h="16838" w:orient="portrait"/>
          <w:cols w:equalWidth="0" w:num="1">
            <w:col w:w="11200"/>
          </w:cols>
          <w:pgMar w:left="240" w:top="459" w:right="459" w:bottom="1440" w:gutter="0" w:footer="0" w:header="0"/>
        </w:sectPr>
      </w:pPr>
    </w:p>
    <w:p>
      <w:pPr>
        <w:spacing w:after="0" w:line="215"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Board compensation for the 12-month period from August 2018 through July 2019 was approved by our Board of Directors in August 2018. The Board adopted a director compensation structure in which directors who are not employees of the Company or any of our subsidiaries received compensation for their services during the 12-month period from August 2018 through July 2019 by electing one of the following two compensation package alternatives:</w:t>
      </w:r>
    </w:p>
    <w:p>
      <w:pPr>
        <w:spacing w:after="0" w:line="235" w:lineRule="exact"/>
        <w:rPr>
          <w:sz w:val="20"/>
          <w:szCs w:val="20"/>
          <w:color w:val="auto"/>
        </w:rPr>
      </w:pPr>
    </w:p>
    <w:p>
      <w:pPr>
        <w:jc w:val="both"/>
        <w:ind w:left="560" w:right="140" w:hanging="356"/>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compensation valued at $193,500, of which $93,500 is paid in cash and the remainder is provided in the form of an equity grant valued at $100,000; or</w:t>
      </w:r>
    </w:p>
    <w:p>
      <w:pPr>
        <w:spacing w:after="0" w:line="229" w:lineRule="exact"/>
        <w:rPr>
          <w:rFonts w:ascii="Arial" w:cs="Arial" w:eastAsia="Arial" w:hAnsi="Arial"/>
          <w:sz w:val="18"/>
          <w:szCs w:val="18"/>
          <w:color w:val="auto"/>
        </w:rPr>
      </w:pPr>
    </w:p>
    <w:p>
      <w:pPr>
        <w:ind w:left="560" w:hanging="356"/>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equity grant valued at $221,500.</w:t>
      </w:r>
    </w:p>
    <w:p>
      <w:pPr>
        <w:spacing w:after="0" w:line="212"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grant date value of the equity grant under either alternative is allocated between restricted stock and options to purchase Common Stock (based upon the recommendation of the Compensation Committee) with respect to each non-employee director.</w:t>
      </w:r>
    </w:p>
    <w:p>
      <w:pPr>
        <w:spacing w:after="0" w:line="2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accordance with the terms of the Eagle Materials Inc. Amended and Restated Incentive Plan, which we refer to as our “Incentive Plan,” the exercise price of stock options is set at the closing price of the Common Stock on the NYSE on the date of grant. The number of option shares granted is determined as of the date of grant by using the Black-Scholes method. All the options granted to directors in August 2018 were fully exercisable when granted and have a ten-year term.</w:t>
      </w:r>
    </w:p>
    <w:p>
      <w:pPr>
        <w:spacing w:after="0" w:line="208"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The number of shares of restricted stock is determined as of the date of grant using the closing price of the Common Stock on the NYSE on the date of grant. The restricted stock granted to directors in August 2018 was earned at the time of grant; however, the shares did not become fully vested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(unrestricted) until the earliest to occur of (i) February 2, 2019; (ii) the recipient’s retirement from the Board in accordance with the Company’s director retirement policy, or under such circumstances as are approved by the Compensation Committee; or (iii) the recipient’s death. During the restriction period the director will have the right to vote the shares. In addition, the director will also be entitled to cash dividends as and when the Company issues a cash dividend on the Common Stock.</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Non-employee directors who chair committees of the Board of Directors receive additional annual compensation. The Governance Committee Chair receives a fee of $15,000 per year. The chairs of the Audit Committee and the Compensation Committee each receive a fee of $20,000 per year. The Vice Chairman of the Board receives a fee of $50,000 per year, and the Chairman of the Board receives a fee of $125,000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204"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If non-employee directors hold unvested restricted stock units, which we refer to as “RSUs,” granted as part of director compensation in prior fiscal years (which currently includes</w:t>
      </w:r>
    </w:p>
    <w:p>
      <w:pPr>
        <w:spacing w:after="0" w:line="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Mr. Nicolais), these directors will receive dividend equivalent units as and when the Company pays a cash dividend on the Common Stock in accordance with the terms of the RSUs.</w:t>
      </w:r>
    </w:p>
    <w:p>
      <w:pPr>
        <w:spacing w:after="0" w:line="203"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color w:val="auto"/>
        </w:rPr>
        <w:t>All directors are reimbursed for reasonable expenses of attending meetings.</w:t>
      </w:r>
    </w:p>
    <w:p>
      <w:pPr>
        <w:spacing w:after="0" w:line="883" w:lineRule="exact"/>
        <w:rPr>
          <w:sz w:val="20"/>
          <w:szCs w:val="20"/>
          <w:color w:val="auto"/>
        </w:rPr>
      </w:pPr>
    </w:p>
    <w:p>
      <w:pPr>
        <w:sectPr>
          <w:pgSz w:w="11900" w:h="16838" w:orient="portrait"/>
          <w:cols w:equalWidth="0" w:num="2">
            <w:col w:w="5460" w:space="360"/>
            <w:col w:w="5380"/>
          </w:cols>
          <w:pgMar w:left="240" w:top="459" w:right="459" w:bottom="1440" w:gutter="0" w:footer="0" w:header="0"/>
          <w:type w:val="continuous"/>
        </w:sectPr>
      </w:pPr>
    </w:p>
    <w:p>
      <w:pPr>
        <w:spacing w:after="0" w:line="8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Non-Employee Director Compensation for Fiscal Year 2019</w:t>
      </w:r>
    </w:p>
    <w:p>
      <w:pPr>
        <w:spacing w:after="0" w:line="207" w:lineRule="exact"/>
        <w:rPr>
          <w:sz w:val="20"/>
          <w:szCs w:val="20"/>
          <w:color w:val="auto"/>
        </w:rPr>
      </w:pPr>
    </w:p>
    <w:p>
      <w:pPr>
        <w:ind w:left="200" w:right="440" w:firstLine="661"/>
        <w:spacing w:after="0" w:line="246" w:lineRule="auto"/>
        <w:rPr>
          <w:sz w:val="20"/>
          <w:szCs w:val="20"/>
          <w:color w:val="auto"/>
        </w:rPr>
      </w:pPr>
      <w:r>
        <w:rPr>
          <w:rFonts w:ascii="Arial" w:cs="Arial" w:eastAsia="Arial" w:hAnsi="Arial"/>
          <w:sz w:val="18"/>
          <w:szCs w:val="18"/>
          <w:color w:val="auto"/>
        </w:rPr>
        <w:t>The table below summarizes the compensation paid by the Company to our non-employee directors for the fiscal year ended March 31, 2019.</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Change in Pension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7"/>
              </w:rPr>
              <w:t>Value and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Nonqualified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Fees Earned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Non-Equity</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Deferred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332"/>
              <w:spacing w:after="0"/>
              <w:rPr>
                <w:sz w:val="20"/>
                <w:szCs w:val="20"/>
                <w:color w:val="auto"/>
              </w:rPr>
            </w:pPr>
            <w:r>
              <w:rPr>
                <w:rFonts w:ascii="Arial" w:cs="Arial" w:eastAsia="Arial" w:hAnsi="Arial"/>
                <w:sz w:val="16"/>
                <w:szCs w:val="16"/>
                <w:b w:val="1"/>
                <w:bCs w:val="1"/>
                <w:color w:val="auto"/>
              </w:rPr>
              <w:t>or</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Option</w:t>
            </w: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Incentive Plan</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rPr>
              <w:t>All Other</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20" w:type="dxa"/>
            <w:vAlign w:val="bottom"/>
            <w:vMerge w:val="restart"/>
          </w:tcPr>
          <w:p>
            <w:pPr>
              <w:ind w:left="780"/>
              <w:spacing w:after="0"/>
              <w:rPr>
                <w:sz w:val="20"/>
                <w:szCs w:val="20"/>
                <w:color w:val="auto"/>
              </w:rPr>
            </w:pPr>
            <w:r>
              <w:rPr>
                <w:rFonts w:ascii="Arial" w:cs="Arial" w:eastAsia="Arial" w:hAnsi="Arial"/>
                <w:sz w:val="16"/>
                <w:szCs w:val="16"/>
                <w:b w:val="1"/>
                <w:bCs w:val="1"/>
                <w:color w:val="auto"/>
              </w:rPr>
              <w:t>Name</w:t>
            </w:r>
          </w:p>
        </w:tc>
        <w:tc>
          <w:tcPr>
            <w:tcW w:w="1200" w:type="dxa"/>
            <w:vAlign w:val="bottom"/>
            <w:gridSpan w:val="3"/>
          </w:tcPr>
          <w:p>
            <w:pPr>
              <w:ind w:left="220"/>
              <w:spacing w:after="0"/>
              <w:rPr>
                <w:sz w:val="20"/>
                <w:szCs w:val="20"/>
                <w:color w:val="auto"/>
              </w:rPr>
            </w:pPr>
            <w:r>
              <w:rPr>
                <w:rFonts w:ascii="Arial" w:cs="Arial" w:eastAsia="Arial" w:hAnsi="Arial"/>
                <w:sz w:val="16"/>
                <w:szCs w:val="16"/>
                <w:b w:val="1"/>
                <w:bCs w:val="1"/>
                <w:color w:val="auto"/>
                <w:w w:val="99"/>
              </w:rPr>
              <w:t>Paid in Cash</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26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Awards</w:t>
            </w:r>
          </w:p>
        </w:tc>
        <w:tc>
          <w:tcPr>
            <w:tcW w:w="1400" w:type="dxa"/>
            <w:vAlign w:val="bottom"/>
            <w:gridSpan w:val="2"/>
          </w:tcPr>
          <w:p>
            <w:pPr>
              <w:jc w:val="center"/>
              <w:ind w:left="179"/>
              <w:spacing w:after="0"/>
              <w:rPr>
                <w:sz w:val="20"/>
                <w:szCs w:val="20"/>
                <w:color w:val="auto"/>
              </w:rPr>
            </w:pPr>
            <w:r>
              <w:rPr>
                <w:rFonts w:ascii="Arial" w:cs="Arial" w:eastAsia="Arial" w:hAnsi="Arial"/>
                <w:sz w:val="16"/>
                <w:szCs w:val="16"/>
                <w:b w:val="1"/>
                <w:bCs w:val="1"/>
                <w:color w:val="auto"/>
              </w:rPr>
              <w:t>Compensation</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Earnings</w:t>
            </w:r>
          </w:p>
        </w:tc>
        <w:tc>
          <w:tcPr>
            <w:tcW w:w="1340" w:type="dxa"/>
            <w:vAlign w:val="bottom"/>
            <w:gridSpan w:val="3"/>
          </w:tcPr>
          <w:p>
            <w:pPr>
              <w:jc w:val="center"/>
              <w:ind w:left="114"/>
              <w:spacing w:after="0"/>
              <w:rPr>
                <w:sz w:val="20"/>
                <w:szCs w:val="20"/>
                <w:color w:val="auto"/>
              </w:rPr>
            </w:pPr>
            <w:r>
              <w:rPr>
                <w:rFonts w:ascii="Arial" w:cs="Arial" w:eastAsia="Arial" w:hAnsi="Arial"/>
                <w:sz w:val="16"/>
                <w:szCs w:val="16"/>
                <w:b w:val="1"/>
                <w:bCs w:val="1"/>
                <w:color w:val="auto"/>
              </w:rPr>
              <w:t>Compensation</w:t>
            </w:r>
          </w:p>
        </w:tc>
        <w:tc>
          <w:tcPr>
            <w:tcW w:w="280" w:type="dxa"/>
            <w:vAlign w:val="bottom"/>
          </w:tcPr>
          <w:p>
            <w:pPr>
              <w:spacing w:after="0"/>
              <w:rPr>
                <w:sz w:val="16"/>
                <w:szCs w:val="16"/>
                <w:color w:val="auto"/>
              </w:rPr>
            </w:pPr>
          </w:p>
        </w:tc>
        <w:tc>
          <w:tcPr>
            <w:tcW w:w="92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jc w:val="center"/>
              <w:ind w:left="152"/>
              <w:spacing w:after="0" w:line="209" w:lineRule="exact"/>
              <w:rPr>
                <w:sz w:val="20"/>
                <w:szCs w:val="20"/>
                <w:color w:val="auto"/>
              </w:rPr>
            </w:pPr>
            <w:r>
              <w:rPr>
                <w:rFonts w:ascii="Arial" w:cs="Arial" w:eastAsia="Arial" w:hAnsi="Arial"/>
                <w:sz w:val="15"/>
                <w:szCs w:val="15"/>
                <w:b w:val="1"/>
                <w:bCs w:val="1"/>
                <w:color w:val="auto"/>
                <w:w w:val="94"/>
              </w:rPr>
              <w:t>($)</w:t>
            </w:r>
            <w:r>
              <w:rPr>
                <w:rFonts w:ascii="Arial" w:cs="Arial" w:eastAsia="Arial" w:hAnsi="Arial"/>
                <w:sz w:val="24"/>
                <w:szCs w:val="24"/>
                <w:b w:val="1"/>
                <w:bCs w:val="1"/>
                <w:color w:val="auto"/>
                <w:w w:val="94"/>
                <w:vertAlign w:val="superscript"/>
              </w:rPr>
              <w:t>(1)</w:t>
            </w:r>
          </w:p>
        </w:tc>
        <w:tc>
          <w:tcPr>
            <w:tcW w:w="1040" w:type="dxa"/>
            <w:vAlign w:val="bottom"/>
            <w:gridSpan w:val="2"/>
          </w:tcPr>
          <w:p>
            <w:pPr>
              <w:jc w:val="center"/>
              <w:ind w:right="92"/>
              <w:spacing w:after="0" w:line="209"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(2)</w:t>
            </w:r>
          </w:p>
        </w:tc>
        <w:tc>
          <w:tcPr>
            <w:tcW w:w="1400" w:type="dxa"/>
            <w:vAlign w:val="bottom"/>
            <w:gridSpan w:val="2"/>
          </w:tcPr>
          <w:p>
            <w:pPr>
              <w:jc w:val="center"/>
              <w:ind w:left="179"/>
              <w:spacing w:after="0"/>
              <w:rPr>
                <w:sz w:val="20"/>
                <w:szCs w:val="20"/>
                <w:color w:val="auto"/>
              </w:rPr>
            </w:pPr>
            <w:r>
              <w:rPr>
                <w:rFonts w:ascii="Arial" w:cs="Arial" w:eastAsia="Arial" w:hAnsi="Arial"/>
                <w:sz w:val="16"/>
                <w:szCs w:val="16"/>
                <w:b w:val="1"/>
                <w:bCs w:val="1"/>
                <w:color w:val="auto"/>
                <w:w w:val="91"/>
              </w:rPr>
              <w:t>($)</w:t>
            </w:r>
          </w:p>
        </w:tc>
        <w:tc>
          <w:tcPr>
            <w:tcW w:w="170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91"/>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line="209"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(3)</w:t>
            </w:r>
          </w:p>
        </w:tc>
        <w:tc>
          <w:tcPr>
            <w:tcW w:w="11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0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 William Barnett</w:t>
            </w:r>
            <w:r>
              <w:rPr>
                <w:rFonts w:ascii="Arial" w:cs="Arial" w:eastAsia="Arial" w:hAnsi="Arial"/>
                <w:sz w:val="15"/>
                <w:szCs w:val="15"/>
                <w:color w:val="auto"/>
              </w:rPr>
              <w:t>(4)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$ 241,171</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125,931</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$ 367,102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color w:val="auto"/>
              </w:rPr>
              <w:t>Richard Beckwitt</w:t>
            </w:r>
            <w:r>
              <w:rPr>
                <w:rFonts w:ascii="Arial" w:cs="Arial" w:eastAsia="Arial" w:hAnsi="Arial"/>
                <w:sz w:val="15"/>
                <w:szCs w:val="15"/>
                <w:color w:val="auto"/>
              </w:rPr>
              <w:t>(5)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221,596</w:t>
            </w:r>
          </w:p>
        </w:tc>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223,804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 H. Bowman</w:t>
            </w:r>
            <w:r>
              <w:rPr>
                <w:rFonts w:ascii="Arial" w:cs="Arial" w:eastAsia="Arial" w:hAnsi="Arial"/>
                <w:sz w:val="15"/>
                <w:szCs w:val="15"/>
                <w:color w:val="auto"/>
              </w:rPr>
              <w:t>(6)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247,631</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4,693</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252,324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color w:val="auto"/>
              </w:rPr>
              <w:t>Margot L. Carter</w:t>
            </w:r>
            <w:r>
              <w:rPr>
                <w:rFonts w:ascii="Arial" w:cs="Arial" w:eastAsia="Arial" w:hAnsi="Arial"/>
                <w:sz w:val="15"/>
                <w:szCs w:val="15"/>
                <w:color w:val="auto"/>
              </w:rPr>
              <w:t>(5)(7)</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62,334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221,596</w:t>
            </w:r>
          </w:p>
        </w:tc>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284,376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George J. Damiris</w:t>
            </w:r>
            <w:r>
              <w:rPr>
                <w:rFonts w:ascii="Arial" w:cs="Arial" w:eastAsia="Arial" w:hAnsi="Arial"/>
                <w:sz w:val="15"/>
                <w:szCs w:val="15"/>
                <w:color w:val="auto"/>
              </w:rPr>
              <w:t>(5)(7)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31,167</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221,596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253,209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5"/>
                <w:szCs w:val="15"/>
                <w:color w:val="auto"/>
              </w:rPr>
              <w:t>(7)(8)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100,066</w:t>
            </w:r>
          </w:p>
        </w:tc>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214,509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231,234</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$ 55,398</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2,613</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289,245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(7)(10)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100,066</w:t>
            </w:r>
          </w:p>
        </w:tc>
        <w:tc>
          <w:tcPr>
            <w:tcW w:w="2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320,188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137160</wp:posOffset>
            </wp:positionV>
            <wp:extent cx="1955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60" w:hanging="356"/>
        <w:spacing w:after="0" w:line="236"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directors in the fiscal year ended March 31, 2019 and are consistent with the grant date fair value of the award computed in accordance with FASB ASC Topic 718. For assumptions used in determining these values, refer to footnote (I) to the Company’s audited financial statements for the fiscal year ended March 31, 2019 included in the Company’s Annual Report on Form 10-K filed with the SEC on May 23, 2019, or “Fiscal 2019 Form 10-K.”</w:t>
      </w:r>
    </w:p>
    <w:p>
      <w:pPr>
        <w:spacing w:after="0" w:line="72" w:lineRule="exact"/>
        <w:rPr>
          <w:rFonts w:ascii="Arial" w:cs="Arial" w:eastAsia="Arial" w:hAnsi="Arial"/>
          <w:sz w:val="18"/>
          <w:szCs w:val="18"/>
          <w:color w:val="auto"/>
        </w:rPr>
      </w:pPr>
    </w:p>
    <w:p>
      <w:pPr>
        <w:ind w:left="560" w:right="20" w:hanging="356"/>
        <w:spacing w:after="0" w:line="236"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this column reflect the value of option awards made to the directors in the fiscal year ended March 31, 2019 and are consistent with the grant date fair value of the award computed in accordance with FASB ASC Topic 718. For assumptions used in determining these values, refer to footnote (I) to the Company’s audited financial statements for the fiscal year ended March 31, 2019 included in the Fiscal 2019 Form 10-K.</w:t>
      </w:r>
    </w:p>
    <w:p>
      <w:pPr>
        <w:spacing w:after="0" w:line="73" w:lineRule="exact"/>
        <w:rPr>
          <w:rFonts w:ascii="Arial" w:cs="Arial" w:eastAsia="Arial" w:hAnsi="Arial"/>
          <w:sz w:val="18"/>
          <w:szCs w:val="18"/>
          <w:color w:val="auto"/>
        </w:rPr>
      </w:pPr>
    </w:p>
    <w:p>
      <w:pPr>
        <w:ind w:left="560" w:right="20" w:hanging="356"/>
        <w:spacing w:after="0" w:line="23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this column represent dividend payments made in fiscal 2019 to the directors with respect to restricted stock held by such directors. With respect to Mr. Barnett, this amount also includes the value of Common Stock paid during the fiscal year for dividend equivalent units accruing under RSUs. Dividend equivalent units are credited as additional RSUs to holders of our earned RSUs at any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56" w:right="60"/>
        <w:spacing w:after="0" w:line="237" w:lineRule="auto"/>
        <w:rPr>
          <w:sz w:val="20"/>
          <w:szCs w:val="20"/>
          <w:color w:val="auto"/>
        </w:rPr>
      </w:pPr>
      <w:r>
        <w:rPr>
          <w:rFonts w:ascii="Arial" w:cs="Arial" w:eastAsia="Arial" w:hAnsi="Arial"/>
          <w:sz w:val="18"/>
          <w:szCs w:val="18"/>
          <w:color w:val="auto"/>
        </w:rPr>
        <w:t>time we pay a cash dividend on our Common Stock. In fiscal 2019, Mr. Barnett was paid Common Stock for dividend equivalent units valued at $121,283. Dividend equivalent units credited to other directors in fiscal 2019 in additional RSUs are included in the amounts reflected in the “RSU” column of the chart immediately below.</w:t>
      </w:r>
    </w:p>
    <w:p>
      <w:pPr>
        <w:spacing w:after="0" w:line="70" w:lineRule="exact"/>
        <w:rPr>
          <w:sz w:val="20"/>
          <w:szCs w:val="20"/>
          <w:color w:val="auto"/>
        </w:rPr>
      </w:pPr>
    </w:p>
    <w:p>
      <w:pPr>
        <w:ind w:left="356" w:right="340" w:hanging="356"/>
        <w:spacing w:after="0"/>
        <w:tabs>
          <w:tab w:leader="none" w:pos="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Barnett is the Chair of the Governance Committee. He elected to receive 100% of his director compensation in the form of equity (including his chairperson fee).</w:t>
      </w:r>
    </w:p>
    <w:p>
      <w:pPr>
        <w:spacing w:after="0" w:line="67" w:lineRule="exact"/>
        <w:rPr>
          <w:rFonts w:ascii="Arial" w:cs="Arial" w:eastAsia="Arial" w:hAnsi="Arial"/>
          <w:sz w:val="18"/>
          <w:szCs w:val="18"/>
          <w:color w:val="auto"/>
        </w:rPr>
      </w:pPr>
    </w:p>
    <w:p>
      <w:pPr>
        <w:ind w:left="356" w:right="440" w:hanging="356"/>
        <w:spacing w:after="0"/>
        <w:tabs>
          <w:tab w:leader="none" w:pos="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Carter and Messrs. Beckwitt and Damiris elected to receive 100% of their director compensation in the form of equity.</w:t>
      </w:r>
    </w:p>
    <w:p>
      <w:pPr>
        <w:spacing w:after="0" w:line="67" w:lineRule="exact"/>
        <w:rPr>
          <w:rFonts w:ascii="Arial" w:cs="Arial" w:eastAsia="Arial" w:hAnsi="Arial"/>
          <w:sz w:val="18"/>
          <w:szCs w:val="18"/>
          <w:color w:val="auto"/>
        </w:rPr>
      </w:pPr>
    </w:p>
    <w:p>
      <w:pPr>
        <w:ind w:left="356" w:right="120" w:hanging="356"/>
        <w:spacing w:after="0"/>
        <w:tabs>
          <w:tab w:leader="none" w:pos="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Bowman is the Chair of the Compensation Committee. He elected to receive 100% of his director compensation in the form of equity (including his chairperson fee).</w:t>
      </w:r>
    </w:p>
    <w:p>
      <w:pPr>
        <w:spacing w:after="0" w:line="67" w:lineRule="exact"/>
        <w:rPr>
          <w:rFonts w:ascii="Arial" w:cs="Arial" w:eastAsia="Arial" w:hAnsi="Arial"/>
          <w:sz w:val="18"/>
          <w:szCs w:val="18"/>
          <w:color w:val="auto"/>
        </w:rPr>
      </w:pPr>
    </w:p>
    <w:p>
      <w:pPr>
        <w:ind w:left="356" w:right="60" w:hanging="356"/>
        <w:spacing w:after="0"/>
        <w:tabs>
          <w:tab w:leader="none" w:pos="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portion of the cash received by Ms. Carter and Messrs. Damiris, Ellen and Stewart relates to director compensation for the prior board year ended July 2018.</w:t>
      </w:r>
    </w:p>
    <w:p>
      <w:pPr>
        <w:spacing w:after="0" w:line="67" w:lineRule="exact"/>
        <w:rPr>
          <w:rFonts w:ascii="Arial" w:cs="Arial" w:eastAsia="Arial" w:hAnsi="Arial"/>
          <w:sz w:val="18"/>
          <w:szCs w:val="18"/>
          <w:color w:val="auto"/>
        </w:rPr>
      </w:pPr>
    </w:p>
    <w:p>
      <w:pPr>
        <w:ind w:left="356" w:right="360" w:hanging="356"/>
        <w:spacing w:after="0" w:line="239" w:lineRule="auto"/>
        <w:tabs>
          <w:tab w:leader="none" w:pos="3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Ellen is Chair of the Audit Committee. He selected the compensation package where he receives a portion of his director compensation in the form of equity and a portion in cash. Mr. Ellen received his chairperson fee in cash.</w:t>
      </w:r>
    </w:p>
    <w:p>
      <w:pPr>
        <w:spacing w:after="0" w:line="360" w:lineRule="exact"/>
        <w:rPr>
          <w:sz w:val="20"/>
          <w:szCs w:val="20"/>
          <w:color w:val="auto"/>
        </w:rPr>
      </w:pPr>
    </w:p>
    <w:p>
      <w:pPr>
        <w:sectPr>
          <w:pgSz w:w="11900" w:h="16838" w:orient="portrait"/>
          <w:cols w:equalWidth="0" w:num="2">
            <w:col w:w="5480" w:space="344"/>
            <w:col w:w="5416"/>
          </w:cols>
          <w:pgMar w:left="240" w:top="459" w:right="419" w:bottom="1440" w:gutter="0" w:footer="0" w:header="0"/>
          <w:type w:val="continuous"/>
        </w:sectPr>
      </w:pP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240" w:top="459" w:right="41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240" w:top="459" w:right="519" w:bottom="1440" w:gutter="0" w:footer="0" w:header="0"/>
        </w:sectPr>
      </w:pPr>
    </w:p>
    <w:p>
      <w:pPr>
        <w:spacing w:after="0" w:line="400" w:lineRule="exact"/>
        <w:rPr>
          <w:sz w:val="20"/>
          <w:szCs w:val="20"/>
          <w:color w:val="auto"/>
        </w:rPr>
      </w:pPr>
    </w:p>
    <w:p>
      <w:pPr>
        <w:ind w:left="560" w:hanging="356"/>
        <w:spacing w:after="0" w:line="239"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Nicolais served as Vice Chairman of the Board during fiscal 2019. He elected to receive 100% of his director compensation in the form of equity (including his chairperson fee).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56" w:right="120" w:hanging="356"/>
        <w:spacing w:after="0" w:line="238" w:lineRule="auto"/>
        <w:tabs>
          <w:tab w:leader="none" w:pos="3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Stewart served as Chairman of the Board during fiscal 2019. He selected the compensation package where he receives a portion of his director compensation in the form of equity and a portion in cash. Mr. Stewart received his chairperson fee in cash.</w:t>
      </w:r>
    </w:p>
    <w:p>
      <w:pPr>
        <w:spacing w:after="0" w:line="200" w:lineRule="exact"/>
        <w:rPr>
          <w:sz w:val="20"/>
          <w:szCs w:val="20"/>
          <w:color w:val="auto"/>
        </w:rPr>
      </w:pPr>
    </w:p>
    <w:p>
      <w:pPr>
        <w:sectPr>
          <w:pgSz w:w="11900" w:h="16838" w:orient="portrait"/>
          <w:cols w:equalWidth="0" w:num="2">
            <w:col w:w="5420" w:space="404"/>
            <w:col w:w="5316"/>
          </w:cols>
          <w:pgMar w:left="240" w:top="459" w:right="519" w:bottom="1440" w:gutter="0" w:footer="0" w:header="0"/>
          <w:type w:val="continuous"/>
        </w:sectPr>
      </w:pPr>
    </w:p>
    <w:p>
      <w:pPr>
        <w:spacing w:after="0" w:line="178"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The following chart shows the number of outstanding stock options, RSUs and shares of restricted stock held by each non-employee director as of March 31, 2019.</w:t>
      </w:r>
    </w:p>
    <w:p>
      <w:pPr>
        <w:spacing w:after="0" w:line="76" w:lineRule="exact"/>
        <w:rPr>
          <w:sz w:val="20"/>
          <w:szCs w:val="20"/>
          <w:color w:val="auto"/>
        </w:rPr>
      </w:pPr>
    </w:p>
    <w:tbl>
      <w:tblPr>
        <w:tblLayout w:type="fixed"/>
        <w:tblInd w:w="2140" w:type="dxa"/>
        <w:tblCellMar>
          <w:top w:w="0" w:type="dxa"/>
          <w:left w:w="0" w:type="dxa"/>
          <w:bottom w:w="0" w:type="dxa"/>
          <w:right w:w="0" w:type="dxa"/>
        </w:tblCellMar>
      </w:tblPr>
      <w:tr>
        <w:trPr>
          <w:trHeight w:val="310"/>
        </w:trPr>
        <w:tc>
          <w:tcPr>
            <w:tcW w:w="2160" w:type="dxa"/>
            <w:vAlign w:val="bottom"/>
            <w:gridSpan w:val="3"/>
          </w:tcPr>
          <w:p>
            <w:pPr>
              <w:ind w:left="620"/>
              <w:spacing w:after="0"/>
              <w:rPr>
                <w:sz w:val="20"/>
                <w:szCs w:val="20"/>
                <w:color w:val="auto"/>
              </w:rPr>
            </w:pPr>
            <w:r>
              <w:rPr>
                <w:rFonts w:ascii="Arial" w:cs="Arial" w:eastAsia="Arial" w:hAnsi="Arial"/>
                <w:sz w:val="16"/>
                <w:szCs w:val="16"/>
                <w:b w:val="1"/>
                <w:bCs w:val="1"/>
                <w:color w:val="auto"/>
              </w:rPr>
              <w:t>Name</w:t>
            </w:r>
          </w:p>
        </w:tc>
        <w:tc>
          <w:tcPr>
            <w:tcW w:w="2300" w:type="dxa"/>
            <w:vAlign w:val="bottom"/>
            <w:gridSpan w:val="3"/>
          </w:tcPr>
          <w:p>
            <w:pPr>
              <w:ind w:left="800"/>
              <w:spacing w:after="0"/>
              <w:rPr>
                <w:sz w:val="20"/>
                <w:szCs w:val="20"/>
                <w:color w:val="auto"/>
              </w:rPr>
            </w:pPr>
            <w:r>
              <w:rPr>
                <w:rFonts w:ascii="Arial" w:cs="Arial" w:eastAsia="Arial" w:hAnsi="Arial"/>
                <w:sz w:val="16"/>
                <w:szCs w:val="16"/>
                <w:b w:val="1"/>
                <w:bCs w:val="1"/>
                <w:color w:val="auto"/>
              </w:rPr>
              <w:t>Stock Options</w:t>
            </w:r>
            <w:r>
              <w:rPr>
                <w:rFonts w:ascii="Arial" w:cs="Arial" w:eastAsia="Arial" w:hAnsi="Arial"/>
                <w:sz w:val="27"/>
                <w:szCs w:val="27"/>
                <w:b w:val="1"/>
                <w:bCs w:val="1"/>
                <w:color w:val="auto"/>
                <w:vertAlign w:val="superscript"/>
              </w:rPr>
              <w:t>(1)</w:t>
            </w:r>
          </w:p>
        </w:tc>
        <w:tc>
          <w:tcPr>
            <w:tcW w:w="10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RSUs</w:t>
            </w:r>
            <w:r>
              <w:rPr>
                <w:rFonts w:ascii="Arial" w:cs="Arial" w:eastAsia="Arial" w:hAnsi="Arial"/>
                <w:sz w:val="27"/>
                <w:szCs w:val="27"/>
                <w:b w:val="1"/>
                <w:bCs w:val="1"/>
                <w:color w:val="auto"/>
                <w:vertAlign w:val="superscript"/>
              </w:rPr>
              <w:t>(2)</w:t>
            </w:r>
          </w:p>
        </w:tc>
        <w:tc>
          <w:tcPr>
            <w:tcW w:w="1700" w:type="dxa"/>
            <w:vAlign w:val="bottom"/>
            <w:gridSpan w:val="3"/>
          </w:tcPr>
          <w:p>
            <w:pPr>
              <w:ind w:left="180"/>
              <w:spacing w:after="0"/>
              <w:rPr>
                <w:sz w:val="20"/>
                <w:szCs w:val="20"/>
                <w:color w:val="auto"/>
              </w:rPr>
            </w:pPr>
            <w:r>
              <w:rPr>
                <w:rFonts w:ascii="Arial" w:cs="Arial" w:eastAsia="Arial" w:hAnsi="Arial"/>
                <w:sz w:val="16"/>
                <w:szCs w:val="16"/>
                <w:b w:val="1"/>
                <w:bCs w:val="1"/>
                <w:color w:val="auto"/>
              </w:rPr>
              <w:t>Restricted Stock</w:t>
            </w:r>
            <w:r>
              <w:rPr>
                <w:rFonts w:ascii="Arial" w:cs="Arial" w:eastAsia="Arial" w:hAnsi="Arial"/>
                <w:sz w:val="27"/>
                <w:szCs w:val="27"/>
                <w:b w:val="1"/>
                <w:bCs w:val="1"/>
                <w:color w:val="auto"/>
                <w:vertAlign w:val="superscript"/>
              </w:rPr>
              <w:t>(3)</w:t>
            </w:r>
          </w:p>
        </w:tc>
      </w:tr>
      <w:tr>
        <w:trPr>
          <w:trHeight w:val="115"/>
        </w:trPr>
        <w:tc>
          <w:tcPr>
            <w:tcW w:w="6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189"/>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 William Barnett</w:t>
            </w:r>
          </w:p>
        </w:tc>
        <w:tc>
          <w:tcPr>
            <w:tcW w:w="19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33,821</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10,405</w:t>
            </w:r>
          </w:p>
        </w:tc>
        <w:tc>
          <w:tcPr>
            <w:tcW w:w="240" w:type="dxa"/>
            <w:vAlign w:val="bottom"/>
            <w:shd w:val="clear" w:color="auto" w:fill="CCEEFF"/>
          </w:tcPr>
          <w:p>
            <w:pPr>
              <w:spacing w:after="0"/>
              <w:rPr>
                <w:sz w:val="16"/>
                <w:szCs w:val="16"/>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Richard Beckwitt</w:t>
            </w:r>
          </w:p>
        </w:tc>
        <w:tc>
          <w:tcPr>
            <w:tcW w:w="1900" w:type="dxa"/>
            <w:vAlign w:val="bottom"/>
            <w:gridSpan w:val="2"/>
          </w:tcPr>
          <w:p>
            <w:pPr>
              <w:jc w:val="right"/>
              <w:ind w:right="199"/>
              <w:spacing w:after="0"/>
              <w:rPr>
                <w:sz w:val="20"/>
                <w:szCs w:val="20"/>
                <w:color w:val="auto"/>
              </w:rPr>
            </w:pPr>
            <w:r>
              <w:rPr>
                <w:rFonts w:ascii="Arial" w:cs="Arial" w:eastAsia="Arial" w:hAnsi="Arial"/>
                <w:sz w:val="16"/>
                <w:szCs w:val="16"/>
                <w:color w:val="auto"/>
              </w:rPr>
              <w:t>2,070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99"/>
              <w:spacing w:after="0"/>
              <w:rPr>
                <w:sz w:val="20"/>
                <w:szCs w:val="20"/>
                <w:color w:val="auto"/>
              </w:rPr>
            </w:pPr>
            <w:r>
              <w:rPr>
                <w:rFonts w:ascii="Arial" w:cs="Arial" w:eastAsia="Arial" w:hAnsi="Arial"/>
                <w:sz w:val="16"/>
                <w:szCs w:val="16"/>
                <w:color w:val="auto"/>
              </w:rPr>
              <w:t>4,405</w:t>
            </w:r>
          </w:p>
        </w:tc>
        <w:tc>
          <w:tcPr>
            <w:tcW w:w="240" w:type="dxa"/>
            <w:vAlign w:val="bottom"/>
          </w:tcPr>
          <w:p>
            <w:pPr>
              <w:spacing w:after="0"/>
              <w:rPr>
                <w:sz w:val="21"/>
                <w:szCs w:val="21"/>
                <w:color w:val="auto"/>
              </w:rPr>
            </w:pPr>
          </w:p>
        </w:tc>
      </w:tr>
      <w:tr>
        <w:trPr>
          <w:trHeight w:val="47"/>
        </w:trPr>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89"/>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Ed H. Bowman</w:t>
            </w:r>
          </w:p>
        </w:tc>
        <w:tc>
          <w:tcPr>
            <w:tcW w:w="19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6,293</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10,485</w:t>
            </w:r>
          </w:p>
        </w:tc>
        <w:tc>
          <w:tcPr>
            <w:tcW w:w="240" w:type="dxa"/>
            <w:vAlign w:val="bottom"/>
            <w:shd w:val="clear" w:color="auto" w:fill="CCEEFF"/>
          </w:tcPr>
          <w:p>
            <w:pPr>
              <w:spacing w:after="0"/>
              <w:rPr>
                <w:sz w:val="16"/>
                <w:szCs w:val="16"/>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Margot L. Carter</w:t>
            </w:r>
          </w:p>
        </w:tc>
        <w:tc>
          <w:tcPr>
            <w:tcW w:w="800" w:type="dxa"/>
            <w:vAlign w:val="bottom"/>
          </w:tcPr>
          <w:p>
            <w:pPr>
              <w:spacing w:after="0"/>
              <w:rPr>
                <w:sz w:val="21"/>
                <w:szCs w:val="21"/>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r>
      <w:tr>
        <w:trPr>
          <w:trHeight w:val="47"/>
        </w:trPr>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89"/>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George J. Damiris</w:t>
            </w:r>
          </w:p>
        </w:tc>
        <w:tc>
          <w:tcPr>
            <w:tcW w:w="8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Martin M. Ellen</w:t>
            </w:r>
          </w:p>
        </w:tc>
        <w:tc>
          <w:tcPr>
            <w:tcW w:w="1900" w:type="dxa"/>
            <w:vAlign w:val="bottom"/>
            <w:gridSpan w:val="2"/>
          </w:tcPr>
          <w:p>
            <w:pPr>
              <w:jc w:val="right"/>
              <w:ind w:right="199"/>
              <w:spacing w:after="0"/>
              <w:rPr>
                <w:sz w:val="20"/>
                <w:szCs w:val="20"/>
                <w:color w:val="auto"/>
              </w:rPr>
            </w:pPr>
            <w:r>
              <w:rPr>
                <w:rFonts w:ascii="Arial" w:cs="Arial" w:eastAsia="Arial" w:hAnsi="Arial"/>
                <w:sz w:val="16"/>
                <w:szCs w:val="16"/>
                <w:color w:val="auto"/>
              </w:rPr>
              <w:t>6,917</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99"/>
              <w:spacing w:after="0"/>
              <w:rPr>
                <w:sz w:val="20"/>
                <w:szCs w:val="20"/>
                <w:color w:val="auto"/>
              </w:rPr>
            </w:pPr>
            <w:r>
              <w:rPr>
                <w:rFonts w:ascii="Arial" w:cs="Arial" w:eastAsia="Arial" w:hAnsi="Arial"/>
                <w:sz w:val="16"/>
                <w:szCs w:val="16"/>
                <w:color w:val="auto"/>
              </w:rPr>
              <w:t>1,852</w:t>
            </w:r>
          </w:p>
        </w:tc>
        <w:tc>
          <w:tcPr>
            <w:tcW w:w="240" w:type="dxa"/>
            <w:vAlign w:val="bottom"/>
          </w:tcPr>
          <w:p>
            <w:pPr>
              <w:spacing w:after="0"/>
              <w:rPr>
                <w:sz w:val="21"/>
                <w:szCs w:val="21"/>
                <w:color w:val="auto"/>
              </w:rPr>
            </w:pPr>
          </w:p>
        </w:tc>
      </w:tr>
      <w:tr>
        <w:trPr>
          <w:trHeight w:val="47"/>
        </w:trPr>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89"/>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R. Nicolais</w:t>
            </w:r>
          </w:p>
        </w:tc>
        <w:tc>
          <w:tcPr>
            <w:tcW w:w="19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17,267</w:t>
            </w:r>
          </w:p>
        </w:tc>
        <w:tc>
          <w:tcPr>
            <w:tcW w:w="4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3,864</w:t>
            </w:r>
          </w:p>
        </w:tc>
        <w:tc>
          <w:tcPr>
            <w:tcW w:w="14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5,368</w:t>
            </w:r>
          </w:p>
        </w:tc>
        <w:tc>
          <w:tcPr>
            <w:tcW w:w="240" w:type="dxa"/>
            <w:vAlign w:val="bottom"/>
            <w:shd w:val="clear" w:color="auto" w:fill="CCEEFF"/>
          </w:tcPr>
          <w:p>
            <w:pPr>
              <w:spacing w:after="0"/>
              <w:rPr>
                <w:sz w:val="16"/>
                <w:szCs w:val="16"/>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Richard R. Stewart</w:t>
            </w:r>
          </w:p>
        </w:tc>
        <w:tc>
          <w:tcPr>
            <w:tcW w:w="1900" w:type="dxa"/>
            <w:vAlign w:val="bottom"/>
            <w:gridSpan w:val="2"/>
          </w:tcPr>
          <w:p>
            <w:pPr>
              <w:jc w:val="right"/>
              <w:ind w:right="199"/>
              <w:spacing w:after="0"/>
              <w:rPr>
                <w:sz w:val="20"/>
                <w:szCs w:val="20"/>
                <w:color w:val="auto"/>
              </w:rPr>
            </w:pPr>
            <w:r>
              <w:rPr>
                <w:rFonts w:ascii="Arial" w:cs="Arial" w:eastAsia="Arial" w:hAnsi="Arial"/>
                <w:sz w:val="16"/>
                <w:szCs w:val="16"/>
                <w:color w:val="auto"/>
              </w:rPr>
              <w:t>9,942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99"/>
              <w:spacing w:after="0"/>
              <w:rPr>
                <w:sz w:val="20"/>
                <w:szCs w:val="20"/>
                <w:color w:val="auto"/>
              </w:rPr>
            </w:pPr>
            <w:r>
              <w:rPr>
                <w:rFonts w:ascii="Arial" w:cs="Arial" w:eastAsia="Arial" w:hAnsi="Arial"/>
                <w:sz w:val="16"/>
                <w:szCs w:val="16"/>
                <w:color w:val="auto"/>
              </w:rPr>
              <w:t>3,550</w:t>
            </w:r>
          </w:p>
        </w:tc>
        <w:tc>
          <w:tcPr>
            <w:tcW w:w="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140970</wp:posOffset>
            </wp:positionV>
            <wp:extent cx="18180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560" w:right="600" w:hanging="356"/>
        <w:spacing w:after="0" w:line="246"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these stock options were fully exercisable as of March 31, 2019.</w:t>
      </w:r>
    </w:p>
    <w:p>
      <w:pPr>
        <w:spacing w:after="0" w:line="61" w:lineRule="exact"/>
        <w:rPr>
          <w:rFonts w:ascii="Arial" w:cs="Arial" w:eastAsia="Arial" w:hAnsi="Arial"/>
          <w:sz w:val="18"/>
          <w:szCs w:val="18"/>
          <w:color w:val="auto"/>
        </w:rPr>
      </w:pPr>
    </w:p>
    <w:p>
      <w:pPr>
        <w:ind w:left="560" w:hanging="356"/>
        <w:spacing w:after="0" w:line="236"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RSUs granted to non-employee directors (and any accrued dividend equivalent RSUs)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356" w:right="280"/>
        <w:spacing w:after="0" w:line="246" w:lineRule="auto"/>
        <w:rPr>
          <w:sz w:val="20"/>
          <w:szCs w:val="20"/>
          <w:color w:val="auto"/>
        </w:rPr>
      </w:pPr>
      <w:r>
        <w:rPr>
          <w:rFonts w:ascii="Arial" w:cs="Arial" w:eastAsia="Arial" w:hAnsi="Arial"/>
          <w:sz w:val="18"/>
          <w:szCs w:val="18"/>
          <w:color w:val="auto"/>
        </w:rPr>
        <w:t>RSUs at any time we pay a cash dividend on our Common Stock: Mr. Nicolais – 564 RSUs.</w:t>
      </w:r>
    </w:p>
    <w:p>
      <w:pPr>
        <w:spacing w:after="0" w:line="62" w:lineRule="exact"/>
        <w:rPr>
          <w:sz w:val="20"/>
          <w:szCs w:val="20"/>
          <w:color w:val="auto"/>
        </w:rPr>
      </w:pPr>
    </w:p>
    <w:p>
      <w:pPr>
        <w:ind w:left="356" w:hanging="356"/>
        <w:spacing w:after="0" w:line="236" w:lineRule="auto"/>
        <w:tabs>
          <w:tab w:leader="none" w:pos="3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restrictions on these restricted stock awards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p>
      <w:pPr>
        <w:spacing w:after="0" w:line="200" w:lineRule="exact"/>
        <w:rPr>
          <w:sz w:val="20"/>
          <w:szCs w:val="20"/>
          <w:color w:val="auto"/>
        </w:rPr>
      </w:pPr>
    </w:p>
    <w:p>
      <w:pPr>
        <w:sectPr>
          <w:pgSz w:w="11900" w:h="16838" w:orient="portrait"/>
          <w:cols w:equalWidth="0" w:num="2">
            <w:col w:w="5380" w:space="444"/>
            <w:col w:w="5316"/>
          </w:cols>
          <w:pgMar w:left="240" w:top="459" w:right="519" w:bottom="1440" w:gutter="0" w:footer="0" w:header="0"/>
          <w:type w:val="continuous"/>
        </w:sectPr>
      </w:pPr>
    </w:p>
    <w:p>
      <w:pPr>
        <w:spacing w:after="0" w:line="8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140"/>
          </w:cols>
          <w:pgMar w:left="240" w:top="459" w:right="5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positions of Chairman of the Board and CEO are performed by two different persons. Mr. Powers, our CEO, focuses on the day-to-day operation of the Company’s businesses and participates in both operational and long-term strategy and development. It is expected that Mr. Haack will fill a similar role upon assuming the CEO position on July 1, 2019. Mr. Nicolais, our Chairman, oversees the Company’s general strategic direction and leads and manages the Board.</w:t>
      </w:r>
    </w:p>
    <w:p>
      <w:pPr>
        <w:spacing w:after="0" w:line="208"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 Assessment in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-693420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1203"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20"/>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w:t>
      </w:r>
    </w:p>
    <w:p>
      <w:pPr>
        <w:spacing w:after="0" w:line="356" w:lineRule="exact"/>
        <w:rPr>
          <w:sz w:val="20"/>
          <w:szCs w:val="20"/>
          <w:color w:val="auto"/>
        </w:rPr>
      </w:pPr>
    </w:p>
    <w:p>
      <w:pPr>
        <w:ind w:left="1020"/>
        <w:spacing w:after="0"/>
        <w:tabs>
          <w:tab w:leader="none" w:pos="46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Audit</w:t>
      </w:r>
    </w:p>
    <w:p>
      <w:pPr>
        <w:spacing w:after="0" w:line="19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 William Barnett</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Richard Beckwitt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Executive Committee. The following table lists the chairperson and members of each committee as of March 31, 2019, and the number of meetings held by each committee during the fiscal year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-1096645</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40"/>
        <w:spacing w:after="0"/>
        <w:tabs>
          <w:tab w:leader="none" w:pos="2160" w:val="left"/>
          <w:tab w:leader="none" w:pos="4000" w:val="left"/>
        </w:tabs>
        <w:rPr>
          <w:sz w:val="20"/>
          <w:szCs w:val="20"/>
          <w:color w:val="auto"/>
        </w:rPr>
      </w:pPr>
      <w:r>
        <w:rPr>
          <w:rFonts w:ascii="Arial" w:cs="Arial" w:eastAsia="Arial" w:hAnsi="Arial"/>
          <w:sz w:val="18"/>
          <w:szCs w:val="18"/>
          <w:b w:val="1"/>
          <w:bCs w:val="1"/>
          <w:color w:val="auto"/>
        </w:rPr>
        <w:t>Compensation</w:t>
      </w:r>
      <w:r>
        <w:rPr>
          <w:sz w:val="20"/>
          <w:szCs w:val="20"/>
          <w:color w:val="auto"/>
        </w:rPr>
        <w:tab/>
      </w:r>
      <w:r>
        <w:rPr>
          <w:rFonts w:ascii="Arial" w:cs="Arial" w:eastAsia="Arial" w:hAnsi="Arial"/>
          <w:sz w:val="18"/>
          <w:szCs w:val="18"/>
          <w:b w:val="1"/>
          <w:bCs w:val="1"/>
          <w:color w:val="auto"/>
        </w:rPr>
        <w:t>Governance</w:t>
      </w:r>
      <w:r>
        <w:rPr>
          <w:sz w:val="20"/>
          <w:szCs w:val="20"/>
          <w:color w:val="auto"/>
        </w:rPr>
        <w:tab/>
      </w:r>
      <w:r>
        <w:rPr>
          <w:rFonts w:ascii="Arial" w:cs="Arial" w:eastAsia="Arial" w:hAnsi="Arial"/>
          <w:sz w:val="17"/>
          <w:szCs w:val="17"/>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71755</wp:posOffset>
            </wp:positionV>
            <wp:extent cx="657796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77965" cy="240030"/>
                    </a:xfrm>
                    <a:prstGeom prst="rect">
                      <a:avLst/>
                    </a:prstGeom>
                    <a:noFill/>
                  </pic:spPr>
                </pic:pic>
              </a:graphicData>
            </a:graphic>
          </wp:anchor>
        </w:drawing>
      </w:r>
    </w:p>
    <w:p>
      <w:pPr>
        <w:spacing w:after="0" w:line="17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Chair</w:t>
      </w:r>
    </w:p>
    <w:p>
      <w:pPr>
        <w:spacing w:after="0" w:line="469" w:lineRule="exact"/>
        <w:rPr>
          <w:sz w:val="20"/>
          <w:szCs w:val="20"/>
          <w:color w:val="auto"/>
        </w:rPr>
      </w:pPr>
    </w:p>
    <w:p>
      <w:pPr>
        <w:sectPr>
          <w:pgSz w:w="11900" w:h="16838" w:orient="portrait"/>
          <w:cols w:equalWidth="0" w:num="2">
            <w:col w:w="5400" w:space="420"/>
            <w:col w:w="5420"/>
          </w:cols>
          <w:pgMar w:left="240" w:top="459" w:right="419" w:bottom="1440" w:gutter="0" w:footer="0" w:header="0"/>
        </w:sectPr>
      </w:pPr>
    </w:p>
    <w:tbl>
      <w:tblPr>
        <w:tblLayout w:type="fixed"/>
        <w:tblInd w:w="880" w:type="dxa"/>
        <w:tblCellMar>
          <w:top w:w="0" w:type="dxa"/>
          <w:left w:w="0" w:type="dxa"/>
          <w:bottom w:w="0" w:type="dxa"/>
          <w:right w:w="0" w:type="dxa"/>
        </w:tblCellMar>
      </w:tblPr>
      <w:tr>
        <w:trPr>
          <w:trHeight w:val="297"/>
        </w:trPr>
        <w:tc>
          <w:tcPr>
            <w:tcW w:w="3320" w:type="dxa"/>
            <w:vAlign w:val="bottom"/>
            <w:shd w:val="clear" w:color="auto" w:fill="DAE4F0"/>
          </w:tcPr>
          <w:p>
            <w:pPr>
              <w:ind w:left="80"/>
              <w:spacing w:after="0"/>
              <w:rPr>
                <w:sz w:val="20"/>
                <w:szCs w:val="20"/>
                <w:color w:val="auto"/>
              </w:rPr>
            </w:pPr>
            <w:r>
              <w:rPr>
                <w:rFonts w:ascii="Arial" w:cs="Arial" w:eastAsia="Arial" w:hAnsi="Arial"/>
                <w:sz w:val="18"/>
                <w:szCs w:val="18"/>
                <w:color w:val="auto"/>
              </w:rPr>
              <w:t>Ed H. Bowman</w:t>
            </w:r>
          </w:p>
        </w:tc>
        <w:tc>
          <w:tcPr>
            <w:tcW w:w="1620" w:type="dxa"/>
            <w:vAlign w:val="bottom"/>
            <w:shd w:val="clear" w:color="auto" w:fill="DAE4F0"/>
          </w:tcPr>
          <w:p>
            <w:pPr>
              <w:spacing w:after="0"/>
              <w:rPr>
                <w:sz w:val="24"/>
                <w:szCs w:val="24"/>
                <w:color w:val="auto"/>
              </w:rPr>
            </w:pPr>
          </w:p>
        </w:tc>
        <w:tc>
          <w:tcPr>
            <w:tcW w:w="1920" w:type="dxa"/>
            <w:vAlign w:val="bottom"/>
            <w:shd w:val="clear" w:color="auto" w:fill="DAE4F0"/>
          </w:tcPr>
          <w:p>
            <w:pPr>
              <w:jc w:val="center"/>
              <w:spacing w:after="0"/>
              <w:rPr>
                <w:sz w:val="20"/>
                <w:szCs w:val="20"/>
                <w:color w:val="auto"/>
              </w:rPr>
            </w:pPr>
            <w:r>
              <w:rPr>
                <w:rFonts w:ascii="Arial" w:cs="Arial" w:eastAsia="Arial" w:hAnsi="Arial"/>
                <w:sz w:val="18"/>
                <w:szCs w:val="18"/>
                <w:color w:val="auto"/>
                <w:w w:val="97"/>
              </w:rPr>
              <w:t>Chair</w:t>
            </w:r>
          </w:p>
        </w:tc>
        <w:tc>
          <w:tcPr>
            <w:tcW w:w="1580" w:type="dxa"/>
            <w:vAlign w:val="bottom"/>
            <w:shd w:val="clear" w:color="auto" w:fill="DAE4F0"/>
          </w:tcPr>
          <w:p>
            <w:pPr>
              <w:spacing w:after="0"/>
              <w:rPr>
                <w:sz w:val="24"/>
                <w:szCs w:val="24"/>
                <w:color w:val="auto"/>
              </w:rPr>
            </w:pPr>
          </w:p>
        </w:tc>
        <w:tc>
          <w:tcPr>
            <w:tcW w:w="1920" w:type="dxa"/>
            <w:vAlign w:val="bottom"/>
            <w:shd w:val="clear" w:color="auto" w:fill="DAE4F0"/>
          </w:tcPr>
          <w:p>
            <w:pPr>
              <w:spacing w:after="0"/>
              <w:rPr>
                <w:sz w:val="24"/>
                <w:szCs w:val="24"/>
                <w:color w:val="auto"/>
              </w:rPr>
            </w:pPr>
          </w:p>
        </w:tc>
      </w:tr>
      <w:tr>
        <w:trPr>
          <w:trHeight w:val="81"/>
        </w:trPr>
        <w:tc>
          <w:tcPr>
            <w:tcW w:w="3320" w:type="dxa"/>
            <w:vAlign w:val="bottom"/>
            <w:shd w:val="clear" w:color="auto" w:fill="DAE4F0"/>
          </w:tcPr>
          <w:p>
            <w:pPr>
              <w:spacing w:after="0"/>
              <w:rPr>
                <w:sz w:val="7"/>
                <w:szCs w:val="7"/>
                <w:color w:val="auto"/>
              </w:rPr>
            </w:pPr>
          </w:p>
        </w:tc>
        <w:tc>
          <w:tcPr>
            <w:tcW w:w="1620" w:type="dxa"/>
            <w:vAlign w:val="bottom"/>
            <w:shd w:val="clear" w:color="auto" w:fill="DAE4F0"/>
          </w:tcPr>
          <w:p>
            <w:pPr>
              <w:spacing w:after="0"/>
              <w:rPr>
                <w:sz w:val="7"/>
                <w:szCs w:val="7"/>
                <w:color w:val="auto"/>
              </w:rPr>
            </w:pPr>
          </w:p>
        </w:tc>
        <w:tc>
          <w:tcPr>
            <w:tcW w:w="1920" w:type="dxa"/>
            <w:vAlign w:val="bottom"/>
            <w:shd w:val="clear" w:color="auto" w:fill="DAE4F0"/>
          </w:tcPr>
          <w:p>
            <w:pPr>
              <w:spacing w:after="0"/>
              <w:rPr>
                <w:sz w:val="7"/>
                <w:szCs w:val="7"/>
                <w:color w:val="auto"/>
              </w:rPr>
            </w:pPr>
          </w:p>
        </w:tc>
        <w:tc>
          <w:tcPr>
            <w:tcW w:w="1580" w:type="dxa"/>
            <w:vAlign w:val="bottom"/>
            <w:shd w:val="clear" w:color="auto" w:fill="DAE4F0"/>
          </w:tcPr>
          <w:p>
            <w:pPr>
              <w:spacing w:after="0"/>
              <w:rPr>
                <w:sz w:val="7"/>
                <w:szCs w:val="7"/>
                <w:color w:val="auto"/>
              </w:rPr>
            </w:pPr>
          </w:p>
        </w:tc>
        <w:tc>
          <w:tcPr>
            <w:tcW w:w="1920" w:type="dxa"/>
            <w:vAlign w:val="bottom"/>
            <w:shd w:val="clear" w:color="auto" w:fill="DAE4F0"/>
          </w:tcPr>
          <w:p>
            <w:pPr>
              <w:spacing w:after="0"/>
              <w:rPr>
                <w:sz w:val="7"/>
                <w:szCs w:val="7"/>
                <w:color w:val="auto"/>
              </w:rPr>
            </w:pPr>
          </w:p>
        </w:tc>
      </w:tr>
      <w:tr>
        <w:trPr>
          <w:trHeight w:val="297"/>
        </w:trPr>
        <w:tc>
          <w:tcPr>
            <w:tcW w:w="3320" w:type="dxa"/>
            <w:vAlign w:val="bottom"/>
          </w:tcPr>
          <w:p>
            <w:pPr>
              <w:ind w:left="80"/>
              <w:spacing w:after="0"/>
              <w:rPr>
                <w:sz w:val="20"/>
                <w:szCs w:val="20"/>
                <w:color w:val="auto"/>
              </w:rPr>
            </w:pPr>
            <w:r>
              <w:rPr>
                <w:rFonts w:ascii="Arial" w:cs="Arial" w:eastAsia="Arial" w:hAnsi="Arial"/>
                <w:sz w:val="18"/>
                <w:szCs w:val="18"/>
                <w:color w:val="auto"/>
              </w:rPr>
              <w:t>Margot L. Carter</w:t>
            </w:r>
          </w:p>
        </w:tc>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81"/>
        </w:trPr>
        <w:tc>
          <w:tcPr>
            <w:tcW w:w="3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97"/>
        </w:trPr>
        <w:tc>
          <w:tcPr>
            <w:tcW w:w="3320" w:type="dxa"/>
            <w:vAlign w:val="bottom"/>
            <w:shd w:val="clear" w:color="auto" w:fill="DAE4F0"/>
          </w:tcPr>
          <w:p>
            <w:pPr>
              <w:ind w:left="80"/>
              <w:spacing w:after="0"/>
              <w:rPr>
                <w:sz w:val="20"/>
                <w:szCs w:val="20"/>
                <w:color w:val="auto"/>
              </w:rPr>
            </w:pPr>
            <w:r>
              <w:rPr>
                <w:rFonts w:ascii="Arial" w:cs="Arial" w:eastAsia="Arial" w:hAnsi="Arial"/>
                <w:sz w:val="18"/>
                <w:szCs w:val="18"/>
                <w:color w:val="auto"/>
              </w:rPr>
              <w:t>George J. Damiris</w:t>
            </w:r>
          </w:p>
        </w:tc>
        <w:tc>
          <w:tcPr>
            <w:tcW w:w="1620" w:type="dxa"/>
            <w:vAlign w:val="bottom"/>
            <w:shd w:val="clear" w:color="auto" w:fill="DAE4F0"/>
          </w:tcPr>
          <w:p>
            <w:pPr>
              <w:spacing w:after="0"/>
              <w:rPr>
                <w:sz w:val="24"/>
                <w:szCs w:val="24"/>
                <w:color w:val="auto"/>
              </w:rPr>
            </w:pPr>
          </w:p>
        </w:tc>
        <w:tc>
          <w:tcPr>
            <w:tcW w:w="1920" w:type="dxa"/>
            <w:vAlign w:val="bottom"/>
            <w:shd w:val="clear" w:color="auto" w:fill="DAE4F0"/>
          </w:tcPr>
          <w:p>
            <w:pPr>
              <w:spacing w:after="0"/>
              <w:rPr>
                <w:sz w:val="24"/>
                <w:szCs w:val="24"/>
                <w:color w:val="auto"/>
              </w:rPr>
            </w:pPr>
          </w:p>
        </w:tc>
        <w:tc>
          <w:tcPr>
            <w:tcW w:w="1580" w:type="dxa"/>
            <w:vAlign w:val="bottom"/>
            <w:shd w:val="clear" w:color="auto" w:fill="DAE4F0"/>
          </w:tcPr>
          <w:p>
            <w:pPr>
              <w:spacing w:after="0"/>
              <w:rPr>
                <w:sz w:val="24"/>
                <w:szCs w:val="24"/>
                <w:color w:val="auto"/>
              </w:rPr>
            </w:pPr>
          </w:p>
        </w:tc>
        <w:tc>
          <w:tcPr>
            <w:tcW w:w="1920" w:type="dxa"/>
            <w:vAlign w:val="bottom"/>
            <w:shd w:val="clear" w:color="auto" w:fill="DAE4F0"/>
          </w:tcPr>
          <w:p>
            <w:pPr>
              <w:spacing w:after="0"/>
              <w:rPr>
                <w:sz w:val="24"/>
                <w:szCs w:val="24"/>
                <w:color w:val="auto"/>
              </w:rPr>
            </w:pPr>
          </w:p>
        </w:tc>
      </w:tr>
      <w:tr>
        <w:trPr>
          <w:trHeight w:val="81"/>
        </w:trPr>
        <w:tc>
          <w:tcPr>
            <w:tcW w:w="3320" w:type="dxa"/>
            <w:vAlign w:val="bottom"/>
            <w:shd w:val="clear" w:color="auto" w:fill="DAE4F0"/>
          </w:tcPr>
          <w:p>
            <w:pPr>
              <w:spacing w:after="0"/>
              <w:rPr>
                <w:sz w:val="7"/>
                <w:szCs w:val="7"/>
                <w:color w:val="auto"/>
              </w:rPr>
            </w:pPr>
          </w:p>
        </w:tc>
        <w:tc>
          <w:tcPr>
            <w:tcW w:w="1620" w:type="dxa"/>
            <w:vAlign w:val="bottom"/>
            <w:shd w:val="clear" w:color="auto" w:fill="DAE4F0"/>
          </w:tcPr>
          <w:p>
            <w:pPr>
              <w:spacing w:after="0"/>
              <w:rPr>
                <w:sz w:val="7"/>
                <w:szCs w:val="7"/>
                <w:color w:val="auto"/>
              </w:rPr>
            </w:pPr>
          </w:p>
        </w:tc>
        <w:tc>
          <w:tcPr>
            <w:tcW w:w="1920" w:type="dxa"/>
            <w:vAlign w:val="bottom"/>
            <w:shd w:val="clear" w:color="auto" w:fill="DAE4F0"/>
          </w:tcPr>
          <w:p>
            <w:pPr>
              <w:spacing w:after="0"/>
              <w:rPr>
                <w:sz w:val="7"/>
                <w:szCs w:val="7"/>
                <w:color w:val="auto"/>
              </w:rPr>
            </w:pPr>
          </w:p>
        </w:tc>
        <w:tc>
          <w:tcPr>
            <w:tcW w:w="1580" w:type="dxa"/>
            <w:vAlign w:val="bottom"/>
            <w:shd w:val="clear" w:color="auto" w:fill="DAE4F0"/>
          </w:tcPr>
          <w:p>
            <w:pPr>
              <w:spacing w:after="0"/>
              <w:rPr>
                <w:sz w:val="7"/>
                <w:szCs w:val="7"/>
                <w:color w:val="auto"/>
              </w:rPr>
            </w:pPr>
          </w:p>
        </w:tc>
        <w:tc>
          <w:tcPr>
            <w:tcW w:w="1920" w:type="dxa"/>
            <w:vAlign w:val="bottom"/>
            <w:shd w:val="clear" w:color="auto" w:fill="DAE4F0"/>
          </w:tcPr>
          <w:p>
            <w:pPr>
              <w:spacing w:after="0"/>
              <w:rPr>
                <w:sz w:val="7"/>
                <w:szCs w:val="7"/>
                <w:color w:val="auto"/>
              </w:rPr>
            </w:pPr>
          </w:p>
        </w:tc>
      </w:tr>
      <w:tr>
        <w:trPr>
          <w:trHeight w:val="297"/>
        </w:trPr>
        <w:tc>
          <w:tcPr>
            <w:tcW w:w="3320" w:type="dxa"/>
            <w:vAlign w:val="bottom"/>
          </w:tcPr>
          <w:p>
            <w:pPr>
              <w:ind w:left="80"/>
              <w:spacing w:after="0"/>
              <w:rPr>
                <w:sz w:val="20"/>
                <w:szCs w:val="20"/>
                <w:color w:val="auto"/>
              </w:rPr>
            </w:pPr>
            <w:r>
              <w:rPr>
                <w:rFonts w:ascii="Arial" w:cs="Arial" w:eastAsia="Arial" w:hAnsi="Arial"/>
                <w:sz w:val="18"/>
                <w:szCs w:val="18"/>
                <w:color w:val="auto"/>
              </w:rPr>
              <w:t>Martin M. Ellen</w:t>
            </w:r>
          </w:p>
        </w:tc>
        <w:tc>
          <w:tcPr>
            <w:tcW w:w="1620" w:type="dxa"/>
            <w:vAlign w:val="bottom"/>
          </w:tcPr>
          <w:p>
            <w:pPr>
              <w:jc w:val="center"/>
              <w:ind w:right="210"/>
              <w:spacing w:after="0"/>
              <w:rPr>
                <w:sz w:val="20"/>
                <w:szCs w:val="20"/>
                <w:color w:val="auto"/>
              </w:rPr>
            </w:pPr>
            <w:r>
              <w:rPr>
                <w:rFonts w:ascii="Arial" w:cs="Arial" w:eastAsia="Arial" w:hAnsi="Arial"/>
                <w:sz w:val="18"/>
                <w:szCs w:val="18"/>
                <w:color w:val="auto"/>
              </w:rPr>
              <w:t>Chair</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81"/>
        </w:trPr>
        <w:tc>
          <w:tcPr>
            <w:tcW w:w="3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97"/>
        </w:trPr>
        <w:tc>
          <w:tcPr>
            <w:tcW w:w="3320" w:type="dxa"/>
            <w:vAlign w:val="bottom"/>
            <w:shd w:val="clear" w:color="auto" w:fill="DAE4F0"/>
          </w:tcPr>
          <w:p>
            <w:pPr>
              <w:ind w:left="80"/>
              <w:spacing w:after="0"/>
              <w:rPr>
                <w:sz w:val="20"/>
                <w:szCs w:val="20"/>
                <w:color w:val="auto"/>
              </w:rPr>
            </w:pPr>
            <w:r>
              <w:rPr>
                <w:rFonts w:ascii="Arial" w:cs="Arial" w:eastAsia="Arial" w:hAnsi="Arial"/>
                <w:sz w:val="18"/>
                <w:szCs w:val="18"/>
                <w:color w:val="auto"/>
              </w:rPr>
              <w:t>Michael R. Nicolais</w:t>
            </w:r>
          </w:p>
        </w:tc>
        <w:tc>
          <w:tcPr>
            <w:tcW w:w="1620" w:type="dxa"/>
            <w:vAlign w:val="bottom"/>
            <w:shd w:val="clear" w:color="auto" w:fill="DAE4F0"/>
          </w:tcPr>
          <w:p>
            <w:pPr>
              <w:spacing w:after="0"/>
              <w:rPr>
                <w:sz w:val="24"/>
                <w:szCs w:val="24"/>
                <w:color w:val="auto"/>
              </w:rPr>
            </w:pPr>
          </w:p>
        </w:tc>
        <w:tc>
          <w:tcPr>
            <w:tcW w:w="1920" w:type="dxa"/>
            <w:vAlign w:val="bottom"/>
            <w:shd w:val="clear" w:color="auto" w:fill="DAE4F0"/>
          </w:tcPr>
          <w:p>
            <w:pPr>
              <w:spacing w:after="0"/>
              <w:rPr>
                <w:sz w:val="24"/>
                <w:szCs w:val="24"/>
                <w:color w:val="auto"/>
              </w:rPr>
            </w:pPr>
          </w:p>
        </w:tc>
        <w:tc>
          <w:tcPr>
            <w:tcW w:w="1580" w:type="dxa"/>
            <w:vAlign w:val="bottom"/>
            <w:shd w:val="clear" w:color="auto" w:fill="DAE4F0"/>
          </w:tcPr>
          <w:p>
            <w:pPr>
              <w:spacing w:after="0"/>
              <w:rPr>
                <w:sz w:val="24"/>
                <w:szCs w:val="24"/>
                <w:color w:val="auto"/>
              </w:rPr>
            </w:pPr>
          </w:p>
        </w:tc>
        <w:tc>
          <w:tcPr>
            <w:tcW w:w="1920" w:type="dxa"/>
            <w:vAlign w:val="bottom"/>
            <w:shd w:val="clear" w:color="auto" w:fill="DAE4F0"/>
          </w:tcPr>
          <w:p>
            <w:pPr>
              <w:spacing w:after="0"/>
              <w:rPr>
                <w:sz w:val="24"/>
                <w:szCs w:val="24"/>
                <w:color w:val="auto"/>
              </w:rPr>
            </w:pPr>
          </w:p>
        </w:tc>
      </w:tr>
      <w:tr>
        <w:trPr>
          <w:trHeight w:val="81"/>
        </w:trPr>
        <w:tc>
          <w:tcPr>
            <w:tcW w:w="3320" w:type="dxa"/>
            <w:vAlign w:val="bottom"/>
            <w:shd w:val="clear" w:color="auto" w:fill="DAE4F0"/>
          </w:tcPr>
          <w:p>
            <w:pPr>
              <w:spacing w:after="0"/>
              <w:rPr>
                <w:sz w:val="7"/>
                <w:szCs w:val="7"/>
                <w:color w:val="auto"/>
              </w:rPr>
            </w:pPr>
          </w:p>
        </w:tc>
        <w:tc>
          <w:tcPr>
            <w:tcW w:w="1620" w:type="dxa"/>
            <w:vAlign w:val="bottom"/>
            <w:shd w:val="clear" w:color="auto" w:fill="DAE4F0"/>
          </w:tcPr>
          <w:p>
            <w:pPr>
              <w:spacing w:after="0"/>
              <w:rPr>
                <w:sz w:val="7"/>
                <w:szCs w:val="7"/>
                <w:color w:val="auto"/>
              </w:rPr>
            </w:pPr>
          </w:p>
        </w:tc>
        <w:tc>
          <w:tcPr>
            <w:tcW w:w="1920" w:type="dxa"/>
            <w:vAlign w:val="bottom"/>
            <w:shd w:val="clear" w:color="auto" w:fill="DAE4F0"/>
          </w:tcPr>
          <w:p>
            <w:pPr>
              <w:spacing w:after="0"/>
              <w:rPr>
                <w:sz w:val="7"/>
                <w:szCs w:val="7"/>
                <w:color w:val="auto"/>
              </w:rPr>
            </w:pPr>
          </w:p>
        </w:tc>
        <w:tc>
          <w:tcPr>
            <w:tcW w:w="1580" w:type="dxa"/>
            <w:vAlign w:val="bottom"/>
            <w:shd w:val="clear" w:color="auto" w:fill="DAE4F0"/>
          </w:tcPr>
          <w:p>
            <w:pPr>
              <w:spacing w:after="0"/>
              <w:rPr>
                <w:sz w:val="7"/>
                <w:szCs w:val="7"/>
                <w:color w:val="auto"/>
              </w:rPr>
            </w:pPr>
          </w:p>
        </w:tc>
        <w:tc>
          <w:tcPr>
            <w:tcW w:w="1920" w:type="dxa"/>
            <w:vAlign w:val="bottom"/>
            <w:shd w:val="clear" w:color="auto" w:fill="DAE4F0"/>
          </w:tcPr>
          <w:p>
            <w:pPr>
              <w:spacing w:after="0"/>
              <w:rPr>
                <w:sz w:val="7"/>
                <w:szCs w:val="7"/>
                <w:color w:val="auto"/>
              </w:rPr>
            </w:pPr>
          </w:p>
        </w:tc>
      </w:tr>
      <w:tr>
        <w:trPr>
          <w:trHeight w:val="297"/>
        </w:trPr>
        <w:tc>
          <w:tcPr>
            <w:tcW w:w="3320" w:type="dxa"/>
            <w:vAlign w:val="bottom"/>
          </w:tcPr>
          <w:p>
            <w:pPr>
              <w:ind w:left="80"/>
              <w:spacing w:after="0"/>
              <w:rPr>
                <w:sz w:val="20"/>
                <w:szCs w:val="20"/>
                <w:color w:val="auto"/>
              </w:rPr>
            </w:pPr>
            <w:r>
              <w:rPr>
                <w:rFonts w:ascii="Arial" w:cs="Arial" w:eastAsia="Arial" w:hAnsi="Arial"/>
                <w:sz w:val="18"/>
                <w:szCs w:val="18"/>
                <w:color w:val="auto"/>
              </w:rPr>
              <w:t>David B. Powers</w:t>
            </w:r>
          </w:p>
        </w:tc>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81"/>
        </w:trPr>
        <w:tc>
          <w:tcPr>
            <w:tcW w:w="3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97"/>
        </w:trPr>
        <w:tc>
          <w:tcPr>
            <w:tcW w:w="3320" w:type="dxa"/>
            <w:vAlign w:val="bottom"/>
            <w:shd w:val="clear" w:color="auto" w:fill="DAE4F0"/>
          </w:tcPr>
          <w:p>
            <w:pPr>
              <w:ind w:left="80"/>
              <w:spacing w:after="0"/>
              <w:rPr>
                <w:sz w:val="20"/>
                <w:szCs w:val="20"/>
                <w:color w:val="auto"/>
              </w:rPr>
            </w:pPr>
            <w:r>
              <w:rPr>
                <w:rFonts w:ascii="Arial" w:cs="Arial" w:eastAsia="Arial" w:hAnsi="Arial"/>
                <w:sz w:val="18"/>
                <w:szCs w:val="18"/>
                <w:color w:val="auto"/>
              </w:rPr>
              <w:t>Richard R. Stewart</w:t>
            </w:r>
          </w:p>
        </w:tc>
        <w:tc>
          <w:tcPr>
            <w:tcW w:w="1620" w:type="dxa"/>
            <w:vAlign w:val="bottom"/>
            <w:shd w:val="clear" w:color="auto" w:fill="DAE4F0"/>
          </w:tcPr>
          <w:p>
            <w:pPr>
              <w:spacing w:after="0"/>
              <w:rPr>
                <w:sz w:val="24"/>
                <w:szCs w:val="24"/>
                <w:color w:val="auto"/>
              </w:rPr>
            </w:pPr>
          </w:p>
        </w:tc>
        <w:tc>
          <w:tcPr>
            <w:tcW w:w="1920" w:type="dxa"/>
            <w:vAlign w:val="bottom"/>
            <w:shd w:val="clear" w:color="auto" w:fill="DAE4F0"/>
          </w:tcPr>
          <w:p>
            <w:pPr>
              <w:spacing w:after="0"/>
              <w:rPr>
                <w:sz w:val="24"/>
                <w:szCs w:val="24"/>
                <w:color w:val="auto"/>
              </w:rPr>
            </w:pPr>
          </w:p>
        </w:tc>
        <w:tc>
          <w:tcPr>
            <w:tcW w:w="1580" w:type="dxa"/>
            <w:vAlign w:val="bottom"/>
            <w:shd w:val="clear" w:color="auto" w:fill="DAE4F0"/>
          </w:tcPr>
          <w:p>
            <w:pPr>
              <w:spacing w:after="0"/>
              <w:rPr>
                <w:sz w:val="24"/>
                <w:szCs w:val="24"/>
                <w:color w:val="auto"/>
              </w:rPr>
            </w:pPr>
          </w:p>
        </w:tc>
        <w:tc>
          <w:tcPr>
            <w:tcW w:w="1920" w:type="dxa"/>
            <w:vAlign w:val="bottom"/>
            <w:shd w:val="clear" w:color="auto" w:fill="DAE4F0"/>
          </w:tcPr>
          <w:p>
            <w:pPr>
              <w:jc w:val="center"/>
              <w:spacing w:after="0"/>
              <w:rPr>
                <w:sz w:val="20"/>
                <w:szCs w:val="20"/>
                <w:color w:val="auto"/>
              </w:rPr>
            </w:pPr>
            <w:r>
              <w:rPr>
                <w:rFonts w:ascii="Arial" w:cs="Arial" w:eastAsia="Arial" w:hAnsi="Arial"/>
                <w:sz w:val="18"/>
                <w:szCs w:val="18"/>
                <w:color w:val="auto"/>
                <w:w w:val="97"/>
              </w:rPr>
              <w:t>Chair</w:t>
            </w:r>
          </w:p>
        </w:tc>
      </w:tr>
      <w:tr>
        <w:trPr>
          <w:trHeight w:val="81"/>
        </w:trPr>
        <w:tc>
          <w:tcPr>
            <w:tcW w:w="3320" w:type="dxa"/>
            <w:vAlign w:val="bottom"/>
            <w:shd w:val="clear" w:color="auto" w:fill="DAE4F0"/>
          </w:tcPr>
          <w:p>
            <w:pPr>
              <w:spacing w:after="0"/>
              <w:rPr>
                <w:sz w:val="7"/>
                <w:szCs w:val="7"/>
                <w:color w:val="auto"/>
              </w:rPr>
            </w:pPr>
          </w:p>
        </w:tc>
        <w:tc>
          <w:tcPr>
            <w:tcW w:w="1620" w:type="dxa"/>
            <w:vAlign w:val="bottom"/>
            <w:shd w:val="clear" w:color="auto" w:fill="DAE4F0"/>
          </w:tcPr>
          <w:p>
            <w:pPr>
              <w:spacing w:after="0"/>
              <w:rPr>
                <w:sz w:val="7"/>
                <w:szCs w:val="7"/>
                <w:color w:val="auto"/>
              </w:rPr>
            </w:pPr>
          </w:p>
        </w:tc>
        <w:tc>
          <w:tcPr>
            <w:tcW w:w="1920" w:type="dxa"/>
            <w:vAlign w:val="bottom"/>
            <w:shd w:val="clear" w:color="auto" w:fill="DAE4F0"/>
          </w:tcPr>
          <w:p>
            <w:pPr>
              <w:spacing w:after="0"/>
              <w:rPr>
                <w:sz w:val="7"/>
                <w:szCs w:val="7"/>
                <w:color w:val="auto"/>
              </w:rPr>
            </w:pPr>
          </w:p>
        </w:tc>
        <w:tc>
          <w:tcPr>
            <w:tcW w:w="1580" w:type="dxa"/>
            <w:vAlign w:val="bottom"/>
            <w:shd w:val="clear" w:color="auto" w:fill="DAE4F0"/>
          </w:tcPr>
          <w:p>
            <w:pPr>
              <w:spacing w:after="0"/>
              <w:rPr>
                <w:sz w:val="7"/>
                <w:szCs w:val="7"/>
                <w:color w:val="auto"/>
              </w:rPr>
            </w:pPr>
          </w:p>
        </w:tc>
        <w:tc>
          <w:tcPr>
            <w:tcW w:w="1920" w:type="dxa"/>
            <w:vAlign w:val="bottom"/>
            <w:shd w:val="clear" w:color="auto" w:fill="DAE4F0"/>
          </w:tcPr>
          <w:p>
            <w:pPr>
              <w:spacing w:after="0"/>
              <w:rPr>
                <w:sz w:val="7"/>
                <w:szCs w:val="7"/>
                <w:color w:val="auto"/>
              </w:rPr>
            </w:pPr>
          </w:p>
        </w:tc>
      </w:tr>
      <w:tr>
        <w:trPr>
          <w:trHeight w:val="432"/>
        </w:trPr>
        <w:tc>
          <w:tcPr>
            <w:tcW w:w="3320" w:type="dxa"/>
            <w:vAlign w:val="bottom"/>
          </w:tcPr>
          <w:p>
            <w:pPr>
              <w:ind w:left="80"/>
              <w:spacing w:after="0"/>
              <w:rPr>
                <w:sz w:val="20"/>
                <w:szCs w:val="20"/>
                <w:color w:val="auto"/>
              </w:rPr>
            </w:pPr>
            <w:r>
              <w:rPr>
                <w:rFonts w:ascii="Arial" w:cs="Arial" w:eastAsia="Arial" w:hAnsi="Arial"/>
                <w:sz w:val="18"/>
                <w:szCs w:val="18"/>
                <w:color w:val="auto"/>
              </w:rPr>
              <w:t>Number of Meetings in Fiscal 2019</w:t>
            </w:r>
          </w:p>
        </w:tc>
        <w:tc>
          <w:tcPr>
            <w:tcW w:w="1620" w:type="dxa"/>
            <w:vAlign w:val="bottom"/>
          </w:tcPr>
          <w:p>
            <w:pPr>
              <w:jc w:val="right"/>
              <w:ind w:right="830"/>
              <w:spacing w:after="0"/>
              <w:rPr>
                <w:sz w:val="20"/>
                <w:szCs w:val="20"/>
                <w:color w:val="auto"/>
              </w:rPr>
            </w:pPr>
            <w:r>
              <w:rPr>
                <w:rFonts w:ascii="Arial" w:cs="Arial" w:eastAsia="Arial" w:hAnsi="Arial"/>
                <w:sz w:val="18"/>
                <w:szCs w:val="18"/>
                <w:color w:val="auto"/>
              </w:rPr>
              <w:t>8</w:t>
            </w:r>
          </w:p>
        </w:tc>
        <w:tc>
          <w:tcPr>
            <w:tcW w:w="192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4</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3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234"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and appointment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will be provided free of charge upon written request to our Secretary at our principal executive office.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00" w:right="720"/>
        <w:spacing w:after="0" w:line="248" w:lineRule="auto"/>
        <w:rPr>
          <w:sz w:val="20"/>
          <w:szCs w:val="20"/>
          <w:color w:val="auto"/>
        </w:rPr>
      </w:pPr>
      <w:r>
        <w:rPr>
          <w:rFonts w:ascii="Arial" w:cs="Arial" w:eastAsia="Arial" w:hAnsi="Arial"/>
          <w:sz w:val="17"/>
          <w:szCs w:val="17"/>
          <w:color w:val="auto"/>
        </w:rPr>
        <w:t>Our Board has determined that each member of our Audit Committee is independent within the meaning of applicable</w:t>
      </w:r>
    </w:p>
    <w:p>
      <w:pPr>
        <w:spacing w:after="0" w:line="1" w:lineRule="exact"/>
        <w:rPr>
          <w:sz w:val="20"/>
          <w:szCs w:val="20"/>
          <w:color w:val="auto"/>
        </w:rPr>
      </w:pPr>
    </w:p>
    <w:p>
      <w:pPr>
        <w:ind w:left="200" w:right="140" w:firstLine="9"/>
        <w:spacing w:after="0" w:line="236" w:lineRule="auto"/>
        <w:tabs>
          <w:tab w:leader="none" w:pos="4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Mr. Ellen is an “audit committee financial expert” within the meaning of the rules of the SEC.</w:t>
      </w:r>
    </w:p>
    <w:p>
      <w:pPr>
        <w:spacing w:after="0" w:line="207" w:lineRule="exact"/>
        <w:rPr>
          <w:sz w:val="20"/>
          <w:szCs w:val="20"/>
          <w:color w:val="auto"/>
        </w:rPr>
      </w:pPr>
    </w:p>
    <w:p>
      <w:pPr>
        <w:jc w:val="both"/>
        <w:ind w:left="200" w:right="40"/>
        <w:spacing w:after="0"/>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480" w:space="140"/>
            <w:col w:w="5620"/>
          </w:cols>
          <w:pgMar w:left="240" w:top="459" w:right="41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400"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Certain key functions and responsibilities of our Audit Committee are to:</w:t>
      </w:r>
    </w:p>
    <w:p>
      <w:pPr>
        <w:spacing w:after="0" w:line="224" w:lineRule="exact"/>
        <w:rPr>
          <w:sz w:val="20"/>
          <w:szCs w:val="20"/>
          <w:color w:val="auto"/>
        </w:rPr>
      </w:pPr>
    </w:p>
    <w:p>
      <w:pPr>
        <w:ind w:left="600" w:hanging="396"/>
        <w:spacing w:after="0" w:line="239"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228" w:lineRule="exact"/>
        <w:rPr>
          <w:rFonts w:ascii="Arial" w:cs="Arial" w:eastAsia="Arial" w:hAnsi="Arial"/>
          <w:sz w:val="18"/>
          <w:szCs w:val="18"/>
          <w:color w:val="auto"/>
        </w:rPr>
      </w:pPr>
    </w:p>
    <w:p>
      <w:pPr>
        <w:ind w:left="600" w:right="80" w:hanging="396"/>
        <w:spacing w:after="0" w:line="236"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235" w:lineRule="exact"/>
        <w:rPr>
          <w:rFonts w:ascii="Arial" w:cs="Arial" w:eastAsia="Arial" w:hAnsi="Arial"/>
          <w:sz w:val="18"/>
          <w:szCs w:val="18"/>
          <w:color w:val="auto"/>
        </w:rPr>
      </w:pPr>
    </w:p>
    <w:p>
      <w:pPr>
        <w:ind w:left="600" w:right="240" w:hanging="396"/>
        <w:spacing w:after="0" w:line="238"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229" w:lineRule="exact"/>
        <w:rPr>
          <w:rFonts w:ascii="Arial" w:cs="Arial" w:eastAsia="Arial" w:hAnsi="Arial"/>
          <w:sz w:val="18"/>
          <w:szCs w:val="18"/>
          <w:color w:val="auto"/>
        </w:rPr>
      </w:pPr>
    </w:p>
    <w:p>
      <w:pPr>
        <w:ind w:left="600" w:right="40" w:hanging="396"/>
        <w:spacing w:after="0" w:line="23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232" w:lineRule="exact"/>
        <w:rPr>
          <w:rFonts w:ascii="Arial" w:cs="Arial" w:eastAsia="Arial" w:hAnsi="Arial"/>
          <w:sz w:val="18"/>
          <w:szCs w:val="18"/>
          <w:color w:val="auto"/>
        </w:rPr>
      </w:pPr>
    </w:p>
    <w:p>
      <w:pPr>
        <w:ind w:left="600" w:hanging="39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our annual audited financial statements, quarterly financial statements and other significant financial disclosures with management and our independent auditors;</w:t>
      </w:r>
    </w:p>
    <w:p>
      <w:pPr>
        <w:spacing w:after="0" w:line="229" w:lineRule="exact"/>
        <w:rPr>
          <w:rFonts w:ascii="Arial" w:cs="Arial" w:eastAsia="Arial" w:hAnsi="Arial"/>
          <w:sz w:val="18"/>
          <w:szCs w:val="18"/>
          <w:color w:val="auto"/>
        </w:rPr>
      </w:pPr>
    </w:p>
    <w:p>
      <w:pPr>
        <w:ind w:left="600" w:right="60" w:hanging="396"/>
        <w:spacing w:after="0" w:line="238"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229" w:lineRule="exact"/>
        <w:rPr>
          <w:rFonts w:ascii="Arial" w:cs="Arial" w:eastAsia="Arial" w:hAnsi="Arial"/>
          <w:sz w:val="18"/>
          <w:szCs w:val="18"/>
          <w:color w:val="auto"/>
        </w:rPr>
      </w:pPr>
    </w:p>
    <w:p>
      <w:pPr>
        <w:ind w:left="600" w:right="280" w:hanging="396"/>
        <w:spacing w:after="0" w:line="246"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223" w:lineRule="exact"/>
        <w:rPr>
          <w:rFonts w:ascii="Arial" w:cs="Arial" w:eastAsia="Arial" w:hAnsi="Arial"/>
          <w:sz w:val="18"/>
          <w:szCs w:val="18"/>
          <w:color w:val="auto"/>
        </w:rPr>
      </w:pPr>
    </w:p>
    <w:p>
      <w:pPr>
        <w:ind w:left="600" w:right="320" w:hanging="396"/>
        <w:spacing w:after="0" w:line="246"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and</w:t>
      </w:r>
    </w:p>
    <w:p>
      <w:pPr>
        <w:spacing w:after="0" w:line="223" w:lineRule="exact"/>
        <w:rPr>
          <w:rFonts w:ascii="Arial" w:cs="Arial" w:eastAsia="Arial" w:hAnsi="Arial"/>
          <w:sz w:val="18"/>
          <w:szCs w:val="18"/>
          <w:color w:val="auto"/>
        </w:rPr>
      </w:pPr>
    </w:p>
    <w:p>
      <w:pPr>
        <w:ind w:left="600" w:right="460" w:hanging="39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prepare the report that is required to be included in our annual proxy statement regarding review of financial statements and auditor independence.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left="200" w:right="300"/>
        <w:spacing w:after="0"/>
        <w:rPr>
          <w:sz w:val="20"/>
          <w:szCs w:val="20"/>
          <w:color w:val="auto"/>
        </w:rPr>
      </w:pPr>
      <w:r>
        <w:rPr>
          <w:rFonts w:ascii="Arial" w:cs="Arial" w:eastAsia="Arial" w:hAnsi="Arial"/>
          <w:sz w:val="18"/>
          <w:szCs w:val="18"/>
          <w:color w:val="auto"/>
        </w:rPr>
        <w:t>Our Audit Committee’s report on our financial statements for the fiscal year ended March 31, 2019 is presented below under the heading “Audit Committee Report.”</w:t>
      </w:r>
    </w:p>
    <w:p>
      <w:pPr>
        <w:spacing w:after="0" w:line="203"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Compensation Committee</w:t>
      </w:r>
    </w:p>
    <w:p>
      <w:pPr>
        <w:spacing w:after="0" w:line="23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Our Board’s Compensation Committee is composed of independent directors who meet the corporate governance standards of the NYSE including the enhanced NYSE independence requirements for directors serving on compensation committees, qualify as “non-employee directors” within the meaning of Rule 16b-3(b)(3) of the Exchange Act and as “outside directors” within the meaning of the Internal Revenue Code.</w:t>
      </w:r>
    </w:p>
    <w:p>
      <w:pPr>
        <w:spacing w:after="0" w:line="2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 xml:space="preserve">Under its amended and restated charter, which you may review on our web 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w:t>
      </w:r>
    </w:p>
    <w:p>
      <w:pPr>
        <w:spacing w:after="0" w:line="207" w:lineRule="exact"/>
        <w:rPr>
          <w:sz w:val="20"/>
          <w:szCs w:val="20"/>
          <w:color w:val="auto"/>
        </w:rPr>
      </w:pPr>
    </w:p>
    <w:p>
      <w:pPr>
        <w:ind w:left="200" w:right="160"/>
        <w:spacing w:after="0" w:line="253" w:lineRule="auto"/>
        <w:rPr>
          <w:sz w:val="20"/>
          <w:szCs w:val="20"/>
          <w:color w:val="auto"/>
        </w:rPr>
      </w:pPr>
      <w:r>
        <w:rPr>
          <w:rFonts w:ascii="Arial" w:cs="Arial" w:eastAsia="Arial" w:hAnsi="Arial"/>
          <w:sz w:val="17"/>
          <w:szCs w:val="17"/>
          <w:color w:val="auto"/>
        </w:rPr>
        <w:t>The Compensation Committee is authorized to hire outside advisers after taking into account all factors relevant to the adviser’s independence from management. For additional information regarding outside advisers engaged by the Compensation Committee, please see “Compensation Discussion and Analysis” beginning on page 21 of this proxy statement.</w:t>
      </w:r>
    </w:p>
    <w:p>
      <w:pPr>
        <w:spacing w:after="0" w:line="195"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Certain key functions and responsibilities of our Compensation Committee are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5420" w:space="200"/>
            <w:col w:w="5600"/>
          </w:cols>
          <w:pgMar w:left="240" w:top="459" w:right="4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400" w:lineRule="exact"/>
        <w:rPr>
          <w:sz w:val="20"/>
          <w:szCs w:val="20"/>
          <w:color w:val="auto"/>
        </w:rPr>
      </w:pPr>
    </w:p>
    <w:p>
      <w:pPr>
        <w:ind w:left="520" w:right="100" w:hanging="309"/>
        <w:spacing w:after="0" w:line="23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205" w:lineRule="exact"/>
        <w:rPr>
          <w:rFonts w:ascii="Arial" w:cs="Arial" w:eastAsia="Arial" w:hAnsi="Arial"/>
          <w:sz w:val="18"/>
          <w:szCs w:val="18"/>
          <w:color w:val="auto"/>
        </w:rPr>
      </w:pPr>
    </w:p>
    <w:p>
      <w:pPr>
        <w:ind w:left="520" w:right="40" w:hanging="309"/>
        <w:spacing w:after="0" w:line="23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205" w:lineRule="exact"/>
        <w:rPr>
          <w:rFonts w:ascii="Arial" w:cs="Arial" w:eastAsia="Arial" w:hAnsi="Arial"/>
          <w:sz w:val="18"/>
          <w:szCs w:val="18"/>
          <w:color w:val="auto"/>
        </w:rPr>
      </w:pPr>
    </w:p>
    <w:p>
      <w:pPr>
        <w:ind w:left="520" w:hanging="309"/>
        <w:spacing w:after="0" w:line="238"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202" w:lineRule="exact"/>
        <w:rPr>
          <w:rFonts w:ascii="Arial" w:cs="Arial" w:eastAsia="Arial" w:hAnsi="Arial"/>
          <w:sz w:val="18"/>
          <w:szCs w:val="18"/>
          <w:color w:val="auto"/>
        </w:rPr>
      </w:pPr>
    </w:p>
    <w:p>
      <w:pPr>
        <w:ind w:left="520" w:right="100" w:hanging="309"/>
        <w:spacing w:after="0" w:line="246"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administer the Company’s compensation plans for which it is named as plan administrator, including our Incentive Plan;</w:t>
      </w:r>
    </w:p>
    <w:p>
      <w:pPr>
        <w:spacing w:after="0" w:line="196" w:lineRule="exact"/>
        <w:rPr>
          <w:rFonts w:ascii="Arial" w:cs="Arial" w:eastAsia="Arial" w:hAnsi="Arial"/>
          <w:sz w:val="18"/>
          <w:szCs w:val="18"/>
          <w:color w:val="auto"/>
        </w:rPr>
      </w:pPr>
    </w:p>
    <w:p>
      <w:pPr>
        <w:ind w:left="520" w:right="60" w:hanging="309"/>
        <w:spacing w:after="0" w:line="246"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w:t>
      </w:r>
    </w:p>
    <w:p>
      <w:pPr>
        <w:spacing w:after="0" w:line="196" w:lineRule="exact"/>
        <w:rPr>
          <w:rFonts w:ascii="Arial" w:cs="Arial" w:eastAsia="Arial" w:hAnsi="Arial"/>
          <w:sz w:val="18"/>
          <w:szCs w:val="18"/>
          <w:color w:val="auto"/>
        </w:rPr>
      </w:pPr>
    </w:p>
    <w:p>
      <w:pPr>
        <w:ind w:left="520" w:right="360" w:hanging="309"/>
        <w:spacing w:after="0" w:line="246"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non-employee directors;</w:t>
      </w:r>
    </w:p>
    <w:p>
      <w:pPr>
        <w:spacing w:after="0" w:line="196" w:lineRule="exact"/>
        <w:rPr>
          <w:rFonts w:ascii="Arial" w:cs="Arial" w:eastAsia="Arial" w:hAnsi="Arial"/>
          <w:sz w:val="18"/>
          <w:szCs w:val="18"/>
          <w:color w:val="auto"/>
        </w:rPr>
      </w:pPr>
    </w:p>
    <w:p>
      <w:pPr>
        <w:ind w:left="520" w:right="780" w:hanging="309"/>
        <w:spacing w:after="0" w:line="246"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stock ownership guidelines and monitor compliance therewith; and</w:t>
      </w:r>
    </w:p>
    <w:p>
      <w:pPr>
        <w:spacing w:after="0" w:line="196" w:lineRule="exact"/>
        <w:rPr>
          <w:rFonts w:ascii="Arial" w:cs="Arial" w:eastAsia="Arial" w:hAnsi="Arial"/>
          <w:sz w:val="18"/>
          <w:szCs w:val="18"/>
          <w:color w:val="auto"/>
        </w:rPr>
      </w:pPr>
    </w:p>
    <w:p>
      <w:pPr>
        <w:ind w:left="520" w:right="380" w:hanging="309"/>
        <w:spacing w:after="0" w:line="261"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 and assess the performance of the Compensation Committee and the adequacy of its charter annually and recommend any proposed changes to the Board.</w:t>
      </w:r>
    </w:p>
    <w:p>
      <w:pPr>
        <w:spacing w:after="0" w:line="159"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In accordance with the terms of our Incentive Plan, the Compensation Committee has delegated to the Special Situation Stock Option Committee (whose sole member is our CEO) the authority to grant time -vesting stock options in special circumstances. Under this authorization, the Special Situation Stock Option Committee may grant stock options to newly-hired employees and newly-promoted employees, under terms set by the Compensation Committee. This authority for fiscal 2020, which expires on May 31, 2020, is limited to an aggregate of 60,000 option shares, no one individual may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receive more than 15,000 option shares, and Section 16 reporting persons may not receive awards pursuant to this authority. Stock options granted under this delegation of authority vest 20% per year commencing on the first anniversary of the grant date. During fiscal 2019, no stock options were granted to employees under this authority out of a maximum of 60,000.</w:t>
      </w:r>
    </w:p>
    <w:p>
      <w:pPr>
        <w:spacing w:after="0" w:line="178"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Our Compensation Committee’s report for the fiscal year ended March 31, 2019 is presented below under the heading “Compensation Committee Report” beginning on page 20 of this proxy statement.</w:t>
      </w:r>
    </w:p>
    <w:p>
      <w:pPr>
        <w:spacing w:after="0" w:line="161" w:lineRule="exact"/>
        <w:rPr>
          <w:sz w:val="20"/>
          <w:szCs w:val="20"/>
          <w:color w:val="auto"/>
        </w:rPr>
      </w:pPr>
    </w:p>
    <w:p>
      <w:pPr>
        <w:ind w:left="200" w:right="720"/>
        <w:spacing w:after="0" w:line="246" w:lineRule="auto"/>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Governance Committee</w:t>
      </w:r>
    </w:p>
    <w:p>
      <w:pPr>
        <w:spacing w:after="0" w:line="20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w:t>
      </w:r>
    </w:p>
    <w:p>
      <w:pPr>
        <w:spacing w:after="0" w:line="168"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 xml:space="preserve">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8"/>
          <w:szCs w:val="18"/>
          <w:i w:val="1"/>
          <w:iCs w:val="1"/>
          <w:color w:val="auto"/>
        </w:rPr>
        <w:t xml:space="preserve">www.eaglematerials.com </w:t>
      </w:r>
      <w:r>
        <w:rPr>
          <w:rFonts w:ascii="Arial" w:cs="Arial" w:eastAsia="Arial" w:hAnsi="Arial"/>
          <w:sz w:val="18"/>
          <w:szCs w:val="18"/>
          <w:color w:val="auto"/>
        </w:rPr>
        <w:t>and will be provided free of charge upon</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request to our Secretary at our principal executive office.</w:t>
      </w:r>
    </w:p>
    <w:p>
      <w:pPr>
        <w:spacing w:after="0" w:line="165"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Certain key functions and responsibilities of our Governance Committee are to:</w:t>
      </w:r>
    </w:p>
    <w:p>
      <w:pPr>
        <w:spacing w:after="0" w:line="197" w:lineRule="exact"/>
        <w:rPr>
          <w:sz w:val="20"/>
          <w:szCs w:val="20"/>
          <w:color w:val="auto"/>
        </w:rPr>
      </w:pPr>
    </w:p>
    <w:p>
      <w:pPr>
        <w:ind w:left="520" w:right="40" w:hanging="311"/>
        <w:spacing w:after="0" w:line="275"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 periodically review and recommend a set of corporate governance guidelines for the Company to the Board;</w:t>
      </w:r>
    </w:p>
    <w:p>
      <w:pPr>
        <w:spacing w:after="0" w:line="173" w:lineRule="exact"/>
        <w:rPr>
          <w:rFonts w:ascii="Arial" w:cs="Arial" w:eastAsia="Arial" w:hAnsi="Arial"/>
          <w:sz w:val="17"/>
          <w:szCs w:val="17"/>
          <w:color w:val="auto"/>
        </w:rPr>
      </w:pPr>
    </w:p>
    <w:p>
      <w:pPr>
        <w:ind w:left="520" w:hanging="311"/>
        <w:spacing w:after="0" w:line="246"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periodically review corporate governance matters generally and recommend action to the Board where appropriate;</w:t>
      </w:r>
    </w:p>
    <w:p>
      <w:pPr>
        <w:spacing w:after="0" w:line="196" w:lineRule="exact"/>
        <w:rPr>
          <w:rFonts w:ascii="Arial" w:cs="Arial" w:eastAsia="Arial" w:hAnsi="Arial"/>
          <w:sz w:val="18"/>
          <w:szCs w:val="18"/>
          <w:color w:val="auto"/>
        </w:rPr>
      </w:pPr>
    </w:p>
    <w:p>
      <w:pPr>
        <w:ind w:left="520" w:right="140" w:hanging="311"/>
        <w:spacing w:after="0" w:line="275"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 and assess the adequacy of its charter annually and recommend any proposed changes to our Board for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5440" w:space="180"/>
            <w:col w:w="5560"/>
          </w:cols>
          <w:pgMar w:left="240" w:top="459" w:right="47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400" w:lineRule="exact"/>
        <w:rPr>
          <w:sz w:val="20"/>
          <w:szCs w:val="20"/>
          <w:color w:val="auto"/>
        </w:rPr>
      </w:pPr>
    </w:p>
    <w:p>
      <w:pPr>
        <w:ind w:left="520" w:right="100" w:hanging="316"/>
        <w:spacing w:after="0" w:line="24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196" w:lineRule="exact"/>
        <w:rPr>
          <w:rFonts w:ascii="Arial" w:cs="Arial" w:eastAsia="Arial" w:hAnsi="Arial"/>
          <w:sz w:val="18"/>
          <w:szCs w:val="18"/>
          <w:color w:val="auto"/>
        </w:rPr>
      </w:pPr>
    </w:p>
    <w:p>
      <w:pPr>
        <w:ind w:left="520" w:right="440" w:hanging="316"/>
        <w:spacing w:after="0" w:line="261"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actively seek, recruit, screen, and interview individuals qualified to become members of the Board, and consider management’s recommendations for director candidates;</w:t>
      </w:r>
    </w:p>
    <w:p>
      <w:pPr>
        <w:spacing w:after="0" w:line="186" w:lineRule="exact"/>
        <w:rPr>
          <w:rFonts w:ascii="Arial" w:cs="Arial" w:eastAsia="Arial" w:hAnsi="Arial"/>
          <w:sz w:val="17"/>
          <w:szCs w:val="17"/>
          <w:color w:val="auto"/>
        </w:rPr>
      </w:pPr>
    </w:p>
    <w:p>
      <w:pPr>
        <w:ind w:left="520" w:right="420" w:hanging="316"/>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 the qualifications and performance of incumbent directors and determine whether to recommend them for re-election to the Board;</w:t>
      </w:r>
    </w:p>
    <w:p>
      <w:pPr>
        <w:spacing w:after="0" w:line="202" w:lineRule="exact"/>
        <w:rPr>
          <w:rFonts w:ascii="Arial" w:cs="Arial" w:eastAsia="Arial" w:hAnsi="Arial"/>
          <w:sz w:val="18"/>
          <w:szCs w:val="18"/>
          <w:color w:val="auto"/>
        </w:rPr>
      </w:pPr>
    </w:p>
    <w:p>
      <w:pPr>
        <w:ind w:left="520" w:right="640" w:hanging="316"/>
        <w:spacing w:after="0" w:line="24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periodically re-evaluate criteria for Board membership;</w:t>
      </w:r>
    </w:p>
    <w:p>
      <w:pPr>
        <w:spacing w:after="0" w:line="196" w:lineRule="exact"/>
        <w:rPr>
          <w:rFonts w:ascii="Arial" w:cs="Arial" w:eastAsia="Arial" w:hAnsi="Arial"/>
          <w:sz w:val="18"/>
          <w:szCs w:val="18"/>
          <w:color w:val="auto"/>
        </w:rPr>
      </w:pPr>
    </w:p>
    <w:p>
      <w:pPr>
        <w:ind w:left="520" w:right="520" w:hanging="316"/>
        <w:spacing w:after="0" w:line="24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196" w:lineRule="exact"/>
        <w:rPr>
          <w:rFonts w:ascii="Arial" w:cs="Arial" w:eastAsia="Arial" w:hAnsi="Arial"/>
          <w:sz w:val="18"/>
          <w:szCs w:val="18"/>
          <w:color w:val="auto"/>
        </w:rPr>
      </w:pPr>
    </w:p>
    <w:p>
      <w:pPr>
        <w:ind w:left="520" w:right="100" w:hanging="316"/>
        <w:spacing w:after="0" w:line="24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to the Board nominees for each committee of the Board.</w:t>
      </w:r>
    </w:p>
    <w:p>
      <w:pPr>
        <w:spacing w:after="0" w:line="17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anonymous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6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giving due consideration to diversity in perspectives, backgrounds, business experiences, professional expertise, gender and ethnic background. Subject to its fiduciary duties and applicable laws and regulations, when searching for new directors, the Governance Committee is charged with endeavoring to identify highly qualified diverse candidates, including women and individuals from minority groups, to include in the pool of candidates from which director nominees are chosen.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8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5960 Berkshire Ln., Suite 900, Dallas, Texas 75225.</w:t>
      </w:r>
    </w:p>
    <w:p>
      <w:pPr>
        <w:spacing w:after="0" w:line="16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Bylaws provide that, to be considered at the 2020 annual meeting, stockholder nominations for the Board of Directors must be submitted in writing and received by our Secretary at the executive offices of the Company during the period beginning on February 7, 2020 and ending May 7, 2020,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67" w:lineRule="exact"/>
        <w:rPr>
          <w:sz w:val="20"/>
          <w:szCs w:val="20"/>
          <w:color w:val="auto"/>
        </w:rPr>
      </w:pPr>
    </w:p>
    <w:p>
      <w:pPr>
        <w:ind w:left="200" w:right="100"/>
        <w:spacing w:after="0" w:line="261" w:lineRule="auto"/>
        <w:rPr>
          <w:sz w:val="20"/>
          <w:szCs w:val="20"/>
          <w:color w:val="auto"/>
        </w:rPr>
      </w:pPr>
      <w:r>
        <w:rPr>
          <w:rFonts w:ascii="Arial" w:cs="Arial" w:eastAsia="Arial" w:hAnsi="Arial"/>
          <w:sz w:val="17"/>
          <w:szCs w:val="17"/>
          <w:color w:val="auto"/>
        </w:rPr>
        <w:t>No nominees for election to the Board at our 2019 annual meeting of stockholders were submitted by stockholders or groups of stockholders owning more than 5% of our Common Stock.</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Executive Committee</w:t>
      </w:r>
    </w:p>
    <w:p>
      <w:pPr>
        <w:spacing w:after="0" w:line="193"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5500" w:space="120"/>
            <w:col w:w="5560"/>
          </w:cols>
          <w:pgMar w:left="240" w:top="459"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45"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No member of our Compensation Committee had a relationship during the fiscal year ended March 31, 2019 that requires disclosure as a Compensation Committee interlock.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to Contact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-690880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5960 Berkshire Ln., Suite 900, Dallas, Texas 75225,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5480" w:space="140"/>
            <w:col w:w="560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4F82BC"/>
        </w:rPr>
        <w:t>EXECUTIVE OFFICERS WHO ARE NOT DIRECTORS</w:t>
      </w:r>
    </w:p>
    <w:p>
      <w:pPr>
        <w:sectPr>
          <w:pgSz w:w="11900" w:h="16838" w:orient="portrait"/>
          <w:cols w:equalWidth="0" w:num="1">
            <w:col w:w="11200"/>
          </w:cols>
          <w:pgMar w:left="240" w:top="459" w:right="459" w:bottom="1440" w:gutter="0" w:footer="0" w:header="0"/>
        </w:sectPr>
      </w:pPr>
    </w:p>
    <w:p>
      <w:pPr>
        <w:spacing w:after="0" w:line="336"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The following list sets forth the names, ages as of the date of this proxy statement and principal occupations of each person who was an executive officer of the Company during the fiscal year ended March 31, 2019 and who is not also a member of our Board. All of these persons have been elected to serve until the next annual meeting of our Board or until their earlier resignation or removal.</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D. Craig Kesler</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43</w:t>
      </w:r>
    </w:p>
    <w:p>
      <w:pPr>
        <w:ind w:left="220" w:right="60"/>
        <w:spacing w:after="0" w:line="237"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Executive Vice President – Finance and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Chief Financial Officer (has held current office since August 2009; Vice President – Investor Relations and Corporate Development from March 2005 through August 2009; Audit Manager with Ernst &amp; Young LLP from April 2002 through September 2004).</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Robert S. Stewart</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65</w:t>
      </w:r>
    </w:p>
    <w:p>
      <w:pPr>
        <w:ind w:left="220" w:right="60"/>
        <w:spacing w:after="0" w:line="239"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Executive Vice President – Strategy,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Communications (has held current office since August 2009; Senior Vice President of Centex from 2000 through August 2009).</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Keith W. Metcalf</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61</w:t>
      </w:r>
    </w:p>
    <w:p>
      <w:pPr>
        <w:ind w:left="220"/>
        <w:spacing w:after="0" w:line="239"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President – American Gypsum Company LLC (has held</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office since April 2016; Executive Vice President of Sales &amp; Marketing from January 2016 through March 2016; Senior Vice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President of Sales &amp; Marketing from July 2009 through December 2015; and Vice President of Sales, Marketing &amp; Distribution from May 2001 through June 2009).</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Gerald J. Essl</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69</w:t>
      </w:r>
    </w:p>
    <w:p>
      <w:pPr>
        <w:ind w:right="340"/>
        <w:spacing w:after="0" w:line="238"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Executive Vice President – Cement (has held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office since April 2016; Executive Vice President – Cement/Aggregates and Concrete from January 2003 through March 2016; President of Texas Lehigh Cement Company from 1985 through December 2002).</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James H. Graass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61</w:t>
      </w:r>
    </w:p>
    <w:p>
      <w:pPr>
        <w:spacing w:after="0" w:line="239"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Executive Vice President, General Counsel and</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(Executive Vice President and General Counsel since November 2000; Mr. Graass was named Secretary of the Company in July 2001).</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William R. Devlin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53</w:t>
      </w:r>
    </w:p>
    <w:p>
      <w:pPr>
        <w:ind w:right="40"/>
        <w:spacing w:after="0" w:line="237"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Senior Vice President, Controller and Chief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(has held current office since August 2009; Vice President and Controller from October 2005 through August 2009; Director of Internal Audit from September 2004 through September 2005; Senior Manager with PricewaterhouseCoopers LLP from July 1999 through August 2004).</w:t>
      </w:r>
    </w:p>
    <w:p>
      <w:pPr>
        <w:spacing w:after="0" w:line="810" w:lineRule="exact"/>
        <w:rPr>
          <w:sz w:val="20"/>
          <w:szCs w:val="20"/>
          <w:color w:val="auto"/>
        </w:rPr>
      </w:pPr>
    </w:p>
    <w:p>
      <w:pPr>
        <w:sectPr>
          <w:pgSz w:w="11900" w:h="16838" w:orient="portrait"/>
          <w:cols w:equalWidth="0" w:num="2">
            <w:col w:w="5440" w:space="380"/>
            <w:col w:w="5380"/>
          </w:cols>
          <w:pgMar w:left="240" w:top="459" w:right="459" w:bottom="1440" w:gutter="0" w:footer="0" w:header="0"/>
          <w:type w:val="continuous"/>
        </w:sectPr>
      </w:pP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00"/>
          </w:cols>
          <w:pgMar w:left="24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4F82BC"/>
        </w:rPr>
        <w:t>COMPENSATION COMMITTEE REPORT</w:t>
      </w:r>
    </w:p>
    <w:p>
      <w:pPr>
        <w:spacing w:after="0" w:line="255" w:lineRule="exact"/>
        <w:rPr>
          <w:sz w:val="20"/>
          <w:szCs w:val="20"/>
          <w:color w:val="auto"/>
        </w:rPr>
      </w:pPr>
    </w:p>
    <w:p>
      <w:pPr>
        <w:ind w:left="200" w:firstLine="661"/>
        <w:spacing w:after="0" w:line="239" w:lineRule="auto"/>
        <w:rPr>
          <w:sz w:val="20"/>
          <w:szCs w:val="20"/>
          <w:color w:val="auto"/>
        </w:rPr>
      </w:pPr>
      <w:r>
        <w:rPr>
          <w:rFonts w:ascii="Arial" w:cs="Arial" w:eastAsia="Arial" w:hAnsi="Arial"/>
          <w:sz w:val="18"/>
          <w:szCs w:val="18"/>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Ed H. Bowman, </w:t>
      </w:r>
      <w:r>
        <w:rPr>
          <w:rFonts w:ascii="Arial" w:cs="Arial" w:eastAsia="Arial" w:hAnsi="Arial"/>
          <w:sz w:val="18"/>
          <w:szCs w:val="18"/>
          <w:i w:val="1"/>
          <w:iCs w:val="1"/>
          <w:color w:val="auto"/>
        </w:rPr>
        <w:t>Chairman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Margot L. Carter</w:t>
      </w:r>
    </w:p>
    <w:p>
      <w:pPr>
        <w:ind w:left="200"/>
        <w:spacing w:after="0" w:line="234" w:lineRule="auto"/>
        <w:rPr>
          <w:sz w:val="20"/>
          <w:szCs w:val="20"/>
          <w:color w:val="auto"/>
        </w:rPr>
      </w:pPr>
      <w:r>
        <w:rPr>
          <w:rFonts w:ascii="Arial" w:cs="Arial" w:eastAsia="Arial" w:hAnsi="Arial"/>
          <w:sz w:val="18"/>
          <w:szCs w:val="18"/>
          <w:color w:val="auto"/>
        </w:rPr>
        <w:t>George J. Damiris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Michael R. Nicolais</w:t>
      </w:r>
    </w:p>
    <w:p>
      <w:pPr>
        <w:spacing w:after="0" w:line="190" w:lineRule="exact"/>
        <w:rPr>
          <w:sz w:val="20"/>
          <w:szCs w:val="20"/>
          <w:color w:val="auto"/>
        </w:rPr>
      </w:pPr>
    </w:p>
    <w:p>
      <w:pPr>
        <w:ind w:left="200" w:right="80"/>
        <w:spacing w:after="0" w:line="247" w:lineRule="auto"/>
        <w:rPr>
          <w:sz w:val="20"/>
          <w:szCs w:val="20"/>
          <w:color w:val="auto"/>
        </w:rPr>
      </w:pPr>
      <w:r>
        <w:rPr>
          <w:rFonts w:ascii="Arial" w:cs="Arial" w:eastAsia="Arial" w:hAnsi="Arial"/>
          <w:sz w:val="18"/>
          <w:szCs w:val="18"/>
          <w:b w:val="1"/>
          <w:bCs w:val="1"/>
          <w:color w:val="auto"/>
        </w:rPr>
        <w:t>This report of the Compensation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491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2145" cy="74910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right"/>
        <w:ind w:right="2520"/>
        <w:spacing w:after="0"/>
        <w:rPr>
          <w:sz w:val="20"/>
          <w:szCs w:val="20"/>
          <w:color w:val="auto"/>
        </w:rPr>
      </w:pPr>
      <w:r>
        <w:rPr>
          <w:rFonts w:ascii="Arial" w:cs="Arial" w:eastAsia="Arial" w:hAnsi="Arial"/>
          <w:sz w:val="25"/>
          <w:szCs w:val="25"/>
          <w:b w:val="1"/>
          <w:bCs w:val="1"/>
          <w:color w:val="4F82BC"/>
        </w:rPr>
        <w:t>COMPENSATION DISCUSSION AND ANALYSIS</w:t>
      </w:r>
    </w:p>
    <w:p>
      <w:pPr>
        <w:sectPr>
          <w:pgSz w:w="11900" w:h="16838" w:orient="portrait"/>
          <w:cols w:equalWidth="0" w:num="1">
            <w:col w:w="11040"/>
          </w:cols>
          <w:pgMar w:left="240" w:top="459" w:right="619" w:bottom="1440" w:gutter="0" w:footer="0" w:header="0"/>
        </w:sectPr>
      </w:pPr>
    </w:p>
    <w:p>
      <w:pPr>
        <w:spacing w:after="0" w:line="305" w:lineRule="exact"/>
        <w:rPr>
          <w:sz w:val="20"/>
          <w:szCs w:val="20"/>
          <w:color w:val="auto"/>
        </w:rPr>
      </w:pPr>
    </w:p>
    <w:p>
      <w:pPr>
        <w:ind w:left="380"/>
        <w:spacing w:after="0"/>
        <w:rPr>
          <w:sz w:val="20"/>
          <w:szCs w:val="20"/>
          <w:color w:val="auto"/>
        </w:rPr>
      </w:pPr>
      <w:r>
        <w:rPr>
          <w:rFonts w:ascii="Arial" w:cs="Arial" w:eastAsia="Arial" w:hAnsi="Arial"/>
          <w:sz w:val="22"/>
          <w:szCs w:val="22"/>
          <w:b w:val="1"/>
          <w:bCs w:val="1"/>
          <w:i w:val="1"/>
          <w:iCs w:val="1"/>
          <w:color w:val="auto"/>
        </w:rPr>
        <w:t>Our Year in Review</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Strong Performance</w:t>
      </w:r>
    </w:p>
    <w:p>
      <w:pPr>
        <w:spacing w:after="0" w:line="234" w:lineRule="exact"/>
        <w:rPr>
          <w:sz w:val="20"/>
          <w:szCs w:val="20"/>
          <w:color w:val="auto"/>
        </w:rPr>
      </w:pPr>
    </w:p>
    <w:p>
      <w:pPr>
        <w:ind w:left="380" w:right="20"/>
        <w:spacing w:after="0" w:line="236" w:lineRule="auto"/>
        <w:rPr>
          <w:sz w:val="20"/>
          <w:szCs w:val="20"/>
          <w:color w:val="auto"/>
        </w:rPr>
      </w:pPr>
      <w:r>
        <w:rPr>
          <w:rFonts w:ascii="Arial" w:cs="Arial" w:eastAsia="Arial" w:hAnsi="Arial"/>
          <w:sz w:val="18"/>
          <w:szCs w:val="18"/>
          <w:color w:val="auto"/>
        </w:rPr>
        <w:t>In fiscal 2019, our businesses continued to generate strong earnings and cash flow, despite challenging weather trends that depressed sales opportunities throughout much of our fiscal year. Importantly, we continued to improve our already low-cost position throughout the year, making meaningful investments to further improve our operational efficiency, while continuing to repurchase shares in line with our capital allocation strategy. In fiscal 2019, we purchased more than 3.3 million shares, or 7% of our outstanding shares, and we returned nearly $300 million to stockholders, through a combination of share repurchases and dividends.</w:t>
      </w:r>
    </w:p>
    <w:p>
      <w:pPr>
        <w:spacing w:after="0" w:line="206" w:lineRule="exact"/>
        <w:rPr>
          <w:sz w:val="20"/>
          <w:szCs w:val="20"/>
          <w:color w:val="auto"/>
        </w:rPr>
      </w:pPr>
    </w:p>
    <w:p>
      <w:pPr>
        <w:ind w:left="380" w:right="100"/>
        <w:spacing w:after="0" w:line="239" w:lineRule="auto"/>
        <w:rPr>
          <w:sz w:val="20"/>
          <w:szCs w:val="20"/>
          <w:color w:val="auto"/>
        </w:rPr>
      </w:pPr>
      <w:r>
        <w:rPr>
          <w:rFonts w:ascii="Arial" w:cs="Arial" w:eastAsia="Arial" w:hAnsi="Arial"/>
          <w:sz w:val="18"/>
          <w:szCs w:val="18"/>
          <w:color w:val="auto"/>
        </w:rPr>
        <w:t>Our executive compensation program is designed to reward performance and reflects the importance of our executive officers executing our business plans while focusing on key measures of profitability and the creation of shareholder value.</w:t>
      </w:r>
    </w:p>
    <w:p>
      <w:pPr>
        <w:spacing w:after="0" w:line="202" w:lineRule="exact"/>
        <w:rPr>
          <w:sz w:val="20"/>
          <w:szCs w:val="20"/>
          <w:color w:val="auto"/>
        </w:rPr>
      </w:pPr>
    </w:p>
    <w:p>
      <w:pPr>
        <w:ind w:left="380" w:right="60"/>
        <w:spacing w:after="0" w:line="239" w:lineRule="auto"/>
        <w:rPr>
          <w:sz w:val="20"/>
          <w:szCs w:val="20"/>
          <w:color w:val="auto"/>
        </w:rPr>
      </w:pPr>
      <w:r>
        <w:rPr>
          <w:rFonts w:ascii="Arial" w:cs="Arial" w:eastAsia="Arial" w:hAnsi="Arial"/>
          <w:sz w:val="18"/>
          <w:szCs w:val="18"/>
          <w:color w:val="auto"/>
        </w:rPr>
        <w:t>At Eagle Materials, we do not view our employees as “merely an expense” of the Company. Instead, we strive to invest in our people and their futures as a means of delivering more long-term value to our stockholders and customers.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2"/>
          <w:szCs w:val="22"/>
          <w:b w:val="1"/>
          <w:bCs w:val="1"/>
          <w:i w:val="1"/>
          <w:iCs w:val="1"/>
          <w:color w:val="auto"/>
        </w:rPr>
        <w:t>Named Executive Officers</w:t>
      </w:r>
    </w:p>
    <w:p>
      <w:pPr>
        <w:spacing w:after="0" w:line="238" w:lineRule="exact"/>
        <w:rPr>
          <w:sz w:val="20"/>
          <w:szCs w:val="20"/>
          <w:color w:val="auto"/>
        </w:rPr>
      </w:pPr>
    </w:p>
    <w:p>
      <w:pPr>
        <w:ind w:left="380" w:right="60"/>
        <w:spacing w:after="0" w:line="238" w:lineRule="auto"/>
        <w:rPr>
          <w:sz w:val="20"/>
          <w:szCs w:val="20"/>
          <w:color w:val="auto"/>
        </w:rPr>
      </w:pPr>
      <w:r>
        <w:rPr>
          <w:rFonts w:ascii="Arial" w:cs="Arial" w:eastAsia="Arial" w:hAnsi="Arial"/>
          <w:sz w:val="18"/>
          <w:szCs w:val="18"/>
          <w:color w:val="auto"/>
        </w:rPr>
        <w:t>This Compensation Discussion and Analysis is intended to provide investors with a more complete understanding of our compensation policies and decisions during fiscal 2019 for the following persons who were “Named Executive Officers” during such fiscal year:</w:t>
      </w:r>
    </w:p>
    <w:p>
      <w:pPr>
        <w:spacing w:after="0" w:line="230" w:lineRule="exact"/>
        <w:rPr>
          <w:sz w:val="20"/>
          <w:szCs w:val="20"/>
          <w:color w:val="auto"/>
        </w:rPr>
      </w:pPr>
    </w:p>
    <w:p>
      <w:pPr>
        <w:ind w:left="400"/>
        <w:spacing w:after="0"/>
        <w:tabs>
          <w:tab w:leader="none" w:pos="2780" w:val="left"/>
        </w:tabs>
        <w:rPr>
          <w:sz w:val="20"/>
          <w:szCs w:val="20"/>
          <w:color w:val="auto"/>
        </w:rPr>
      </w:pPr>
      <w:r>
        <w:rPr>
          <w:rFonts w:ascii="Arial" w:cs="Arial" w:eastAsia="Arial" w:hAnsi="Arial"/>
          <w:sz w:val="18"/>
          <w:szCs w:val="18"/>
          <w:color w:val="auto"/>
        </w:rPr>
        <w:t>David B. Powers</w:t>
      </w:r>
      <w:r>
        <w:rPr>
          <w:sz w:val="20"/>
          <w:szCs w:val="20"/>
          <w:color w:val="auto"/>
        </w:rPr>
        <w:tab/>
      </w:r>
      <w:r>
        <w:rPr>
          <w:rFonts w:ascii="Arial" w:cs="Arial" w:eastAsia="Arial" w:hAnsi="Arial"/>
          <w:sz w:val="17"/>
          <w:szCs w:val="17"/>
          <w:color w:val="auto"/>
        </w:rPr>
        <w:t>Chief Executive Officer</w:t>
      </w:r>
    </w:p>
    <w:p>
      <w:pPr>
        <w:spacing w:after="0" w:line="99" w:lineRule="exact"/>
        <w:rPr>
          <w:sz w:val="20"/>
          <w:szCs w:val="20"/>
          <w:color w:val="auto"/>
        </w:rPr>
      </w:pPr>
    </w:p>
    <w:p>
      <w:pPr>
        <w:ind w:left="400"/>
        <w:spacing w:after="0"/>
        <w:tabs>
          <w:tab w:leader="none" w:pos="2780" w:val="left"/>
        </w:tabs>
        <w:rPr>
          <w:sz w:val="20"/>
          <w:szCs w:val="20"/>
          <w:color w:val="auto"/>
        </w:rPr>
      </w:pPr>
      <w:r>
        <w:rPr>
          <w:rFonts w:ascii="Arial" w:cs="Arial" w:eastAsia="Arial" w:hAnsi="Arial"/>
          <w:sz w:val="18"/>
          <w:szCs w:val="18"/>
          <w:color w:val="auto"/>
        </w:rPr>
        <w:t>D. Craig Kesler</w:t>
      </w:r>
      <w:r>
        <w:rPr>
          <w:sz w:val="20"/>
          <w:szCs w:val="20"/>
          <w:color w:val="auto"/>
        </w:rPr>
        <w:tab/>
      </w:r>
      <w:r>
        <w:rPr>
          <w:rFonts w:ascii="Arial" w:cs="Arial" w:eastAsia="Arial" w:hAnsi="Arial"/>
          <w:sz w:val="17"/>
          <w:szCs w:val="17"/>
          <w:color w:val="auto"/>
        </w:rPr>
        <w:t>Executive Vice President –</w:t>
      </w:r>
    </w:p>
    <w:p>
      <w:pPr>
        <w:ind w:left="2800"/>
        <w:spacing w:after="0" w:line="234" w:lineRule="auto"/>
        <w:rPr>
          <w:sz w:val="20"/>
          <w:szCs w:val="20"/>
          <w:color w:val="auto"/>
        </w:rPr>
      </w:pPr>
      <w:r>
        <w:rPr>
          <w:rFonts w:ascii="Arial" w:cs="Arial" w:eastAsia="Arial" w:hAnsi="Arial"/>
          <w:sz w:val="18"/>
          <w:szCs w:val="18"/>
          <w:color w:val="auto"/>
        </w:rPr>
        <w:t>Finance and Administration and</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Chief Financial Officer</w:t>
      </w:r>
    </w:p>
    <w:p>
      <w:pPr>
        <w:spacing w:after="0" w:line="99" w:lineRule="exact"/>
        <w:rPr>
          <w:sz w:val="20"/>
          <w:szCs w:val="20"/>
          <w:color w:val="auto"/>
        </w:rPr>
      </w:pPr>
    </w:p>
    <w:p>
      <w:pPr>
        <w:ind w:left="400"/>
        <w:spacing w:after="0"/>
        <w:tabs>
          <w:tab w:leader="none" w:pos="2780" w:val="left"/>
        </w:tabs>
        <w:rPr>
          <w:sz w:val="20"/>
          <w:szCs w:val="20"/>
          <w:color w:val="auto"/>
        </w:rPr>
      </w:pPr>
      <w:r>
        <w:rPr>
          <w:rFonts w:ascii="Arial" w:cs="Arial" w:eastAsia="Arial" w:hAnsi="Arial"/>
          <w:sz w:val="18"/>
          <w:szCs w:val="18"/>
          <w:color w:val="auto"/>
        </w:rPr>
        <w:t>Michael Haack</w:t>
      </w:r>
      <w:r>
        <w:rPr>
          <w:sz w:val="20"/>
          <w:szCs w:val="20"/>
          <w:color w:val="auto"/>
        </w:rPr>
        <w:tab/>
      </w:r>
      <w:r>
        <w:rPr>
          <w:rFonts w:ascii="Arial" w:cs="Arial" w:eastAsia="Arial" w:hAnsi="Arial"/>
          <w:sz w:val="17"/>
          <w:szCs w:val="17"/>
          <w:color w:val="auto"/>
        </w:rPr>
        <w:t>President and Chief Operating</w:t>
      </w:r>
    </w:p>
    <w:p>
      <w:pPr>
        <w:ind w:left="2800"/>
        <w:spacing w:after="0"/>
        <w:rPr>
          <w:sz w:val="20"/>
          <w:szCs w:val="20"/>
          <w:color w:val="auto"/>
        </w:rPr>
      </w:pPr>
      <w:r>
        <w:rPr>
          <w:rFonts w:ascii="Arial" w:cs="Arial" w:eastAsia="Arial" w:hAnsi="Arial"/>
          <w:sz w:val="18"/>
          <w:szCs w:val="18"/>
          <w:color w:val="auto"/>
        </w:rPr>
        <w:t>Officer</w:t>
      </w:r>
    </w:p>
    <w:p>
      <w:pPr>
        <w:spacing w:after="0" w:line="99" w:lineRule="exact"/>
        <w:rPr>
          <w:sz w:val="20"/>
          <w:szCs w:val="20"/>
          <w:color w:val="auto"/>
        </w:rPr>
      </w:pPr>
    </w:p>
    <w:p>
      <w:pPr>
        <w:ind w:left="400"/>
        <w:spacing w:after="0"/>
        <w:tabs>
          <w:tab w:leader="none" w:pos="2780" w:val="left"/>
        </w:tabs>
        <w:rPr>
          <w:sz w:val="20"/>
          <w:szCs w:val="20"/>
          <w:color w:val="auto"/>
        </w:rPr>
      </w:pPr>
      <w:r>
        <w:rPr>
          <w:rFonts w:ascii="Arial" w:cs="Arial" w:eastAsia="Arial" w:hAnsi="Arial"/>
          <w:sz w:val="18"/>
          <w:szCs w:val="18"/>
          <w:color w:val="auto"/>
        </w:rPr>
        <w:t>Robert S. Stewart</w:t>
      </w:r>
      <w:r>
        <w:rPr>
          <w:sz w:val="20"/>
          <w:szCs w:val="20"/>
          <w:color w:val="auto"/>
        </w:rPr>
        <w:tab/>
      </w:r>
      <w:r>
        <w:rPr>
          <w:rFonts w:ascii="Arial" w:cs="Arial" w:eastAsia="Arial" w:hAnsi="Arial"/>
          <w:sz w:val="17"/>
          <w:szCs w:val="17"/>
          <w:color w:val="auto"/>
        </w:rPr>
        <w:t>Executive Vice President –</w:t>
      </w:r>
    </w:p>
    <w:p>
      <w:pPr>
        <w:ind w:left="2800"/>
        <w:spacing w:after="0"/>
        <w:rPr>
          <w:sz w:val="20"/>
          <w:szCs w:val="20"/>
          <w:color w:val="auto"/>
        </w:rPr>
      </w:pPr>
      <w:r>
        <w:rPr>
          <w:rFonts w:ascii="Arial" w:cs="Arial" w:eastAsia="Arial" w:hAnsi="Arial"/>
          <w:sz w:val="17"/>
          <w:szCs w:val="17"/>
          <w:color w:val="auto"/>
        </w:rPr>
        <w:t>Strategy, Corporate Development</w:t>
      </w:r>
    </w:p>
    <w:p>
      <w:pPr>
        <w:spacing w:after="0" w:line="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and Communications</w:t>
      </w:r>
    </w:p>
    <w:p>
      <w:pPr>
        <w:spacing w:after="0" w:line="99" w:lineRule="exact"/>
        <w:rPr>
          <w:sz w:val="20"/>
          <w:szCs w:val="20"/>
          <w:color w:val="auto"/>
        </w:rPr>
      </w:pPr>
    </w:p>
    <w:p>
      <w:pPr>
        <w:ind w:left="400"/>
        <w:spacing w:after="0"/>
        <w:tabs>
          <w:tab w:leader="none" w:pos="2780" w:val="left"/>
        </w:tabs>
        <w:rPr>
          <w:sz w:val="20"/>
          <w:szCs w:val="20"/>
          <w:color w:val="auto"/>
        </w:rPr>
      </w:pPr>
      <w:r>
        <w:rPr>
          <w:rFonts w:ascii="Arial" w:cs="Arial" w:eastAsia="Arial" w:hAnsi="Arial"/>
          <w:sz w:val="18"/>
          <w:szCs w:val="18"/>
          <w:color w:val="auto"/>
        </w:rPr>
        <w:t>Keith W. Metcalf</w:t>
      </w:r>
      <w:r>
        <w:rPr>
          <w:sz w:val="20"/>
          <w:szCs w:val="20"/>
          <w:color w:val="auto"/>
        </w:rPr>
        <w:tab/>
      </w:r>
      <w:r>
        <w:rPr>
          <w:rFonts w:ascii="Arial" w:cs="Arial" w:eastAsia="Arial" w:hAnsi="Arial"/>
          <w:sz w:val="17"/>
          <w:szCs w:val="17"/>
          <w:color w:val="auto"/>
        </w:rPr>
        <w:t>President, American Gypsum</w:t>
      </w:r>
    </w:p>
    <w:p>
      <w:pPr>
        <w:ind w:left="2800"/>
        <w:spacing w:after="0"/>
        <w:rPr>
          <w:sz w:val="20"/>
          <w:szCs w:val="20"/>
          <w:color w:val="auto"/>
        </w:rPr>
      </w:pPr>
      <w:r>
        <w:rPr>
          <w:rFonts w:ascii="Arial" w:cs="Arial" w:eastAsia="Arial" w:hAnsi="Arial"/>
          <w:sz w:val="18"/>
          <w:szCs w:val="18"/>
          <w:color w:val="auto"/>
        </w:rPr>
        <w:t>Company LLC</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Philosophy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Tenet: Pay for Performance</w:t>
      </w:r>
    </w:p>
    <w:p>
      <w:pPr>
        <w:spacing w:after="0" w:line="23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224" w:lineRule="exact"/>
        <w:rPr>
          <w:sz w:val="20"/>
          <w:szCs w:val="20"/>
          <w:color w:val="auto"/>
        </w:rPr>
      </w:pPr>
    </w:p>
    <w:p>
      <w:pPr>
        <w:ind w:left="320" w:right="700" w:hanging="320"/>
        <w:spacing w:after="0" w:line="246"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223" w:lineRule="exact"/>
        <w:rPr>
          <w:rFonts w:ascii="Arial" w:cs="Arial" w:eastAsia="Arial" w:hAnsi="Arial"/>
          <w:sz w:val="18"/>
          <w:szCs w:val="18"/>
          <w:color w:val="auto"/>
        </w:rPr>
      </w:pPr>
    </w:p>
    <w:p>
      <w:pPr>
        <w:ind w:left="320" w:right="900" w:hanging="320"/>
        <w:spacing w:after="0" w:line="246"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223" w:lineRule="exact"/>
        <w:rPr>
          <w:rFonts w:ascii="Arial" w:cs="Arial" w:eastAsia="Arial" w:hAnsi="Arial"/>
          <w:sz w:val="18"/>
          <w:szCs w:val="18"/>
          <w:color w:val="auto"/>
        </w:rPr>
      </w:pPr>
    </w:p>
    <w:p>
      <w:pPr>
        <w:ind w:left="320" w:right="60" w:hanging="320"/>
        <w:spacing w:after="0" w:line="246"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223" w:lineRule="exact"/>
        <w:rPr>
          <w:rFonts w:ascii="Arial" w:cs="Arial" w:eastAsia="Arial" w:hAnsi="Arial"/>
          <w:sz w:val="18"/>
          <w:szCs w:val="18"/>
          <w:color w:val="auto"/>
        </w:rPr>
      </w:pPr>
    </w:p>
    <w:p>
      <w:pPr>
        <w:ind w:left="320" w:right="620" w:hanging="32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Reward performance by both our executives and the Company relative to our peers’ performance in light of business conditions, and</w:t>
      </w:r>
    </w:p>
    <w:p>
      <w:pPr>
        <w:spacing w:after="0" w:line="229" w:lineRule="exact"/>
        <w:rPr>
          <w:rFonts w:ascii="Arial" w:cs="Arial" w:eastAsia="Arial" w:hAnsi="Arial"/>
          <w:sz w:val="18"/>
          <w:szCs w:val="18"/>
          <w:color w:val="auto"/>
        </w:rPr>
      </w:pPr>
    </w:p>
    <w:p>
      <w:pPr>
        <w:ind w:left="320" w:right="280" w:hanging="320"/>
        <w:spacing w:after="0" w:line="246"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 over time.</w:t>
      </w:r>
    </w:p>
    <w:p>
      <w:pPr>
        <w:spacing w:after="0" w:line="1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performance-based compensation philosophy is evidenced by the charts below showing that 50% of our Chief Executive Officer’s target compensation opportunity for fiscal 2019 and 56% of our other Named Executive Officers’ target compensation opportunity for fiscal 2019 was performance-based or at-risk.</w:t>
      </w:r>
    </w:p>
    <w:p>
      <w:pPr>
        <w:spacing w:after="0" w:line="3985" w:lineRule="exact"/>
        <w:rPr>
          <w:sz w:val="20"/>
          <w:szCs w:val="20"/>
          <w:color w:val="auto"/>
        </w:rPr>
      </w:pPr>
    </w:p>
    <w:p>
      <w:pPr>
        <w:sectPr>
          <w:pgSz w:w="11900" w:h="16838" w:orient="portrait"/>
          <w:cols w:equalWidth="0" w:num="2">
            <w:col w:w="5460" w:space="360"/>
            <w:col w:w="5220"/>
          </w:cols>
          <w:pgMar w:left="240" w:top="459"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040"/>
          </w:cols>
          <w:pgMar w:left="240" w:top="459" w:right="61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7756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7756525"/>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right="60"/>
        <w:spacing w:after="0" w:line="238" w:lineRule="auto"/>
        <w:rPr>
          <w:sz w:val="20"/>
          <w:szCs w:val="20"/>
          <w:color w:val="auto"/>
        </w:rPr>
      </w:pPr>
      <w:r>
        <w:rPr>
          <w:rFonts w:ascii="Arial" w:cs="Arial" w:eastAsia="Arial" w:hAnsi="Arial"/>
          <w:sz w:val="18"/>
          <w:szCs w:val="18"/>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230" w:lineRule="exact"/>
        <w:rPr>
          <w:sz w:val="20"/>
          <w:szCs w:val="20"/>
          <w:color w:val="auto"/>
        </w:rPr>
      </w:pPr>
    </w:p>
    <w:p>
      <w:pPr>
        <w:ind w:left="760" w:right="160" w:hanging="374"/>
        <w:spacing w:after="0" w:line="246"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223" w:lineRule="exact"/>
        <w:rPr>
          <w:rFonts w:ascii="Arial" w:cs="Arial" w:eastAsia="Arial" w:hAnsi="Arial"/>
          <w:sz w:val="18"/>
          <w:szCs w:val="18"/>
          <w:color w:val="auto"/>
        </w:rPr>
      </w:pPr>
    </w:p>
    <w:p>
      <w:pPr>
        <w:jc w:val="both"/>
        <w:ind w:left="1060" w:right="440" w:hanging="309"/>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Creating a direct and substantial link between the executive’s annual cash incentive bonus and our annual operating earnings,</w:t>
      </w:r>
    </w:p>
    <w:p>
      <w:pPr>
        <w:spacing w:after="0" w:line="229" w:lineRule="exact"/>
        <w:rPr>
          <w:rFonts w:ascii="Arial" w:cs="Arial" w:eastAsia="Arial" w:hAnsi="Arial"/>
          <w:sz w:val="18"/>
          <w:szCs w:val="18"/>
          <w:color w:val="auto"/>
        </w:rPr>
      </w:pPr>
    </w:p>
    <w:p>
      <w:pPr>
        <w:ind w:left="1060" w:right="80" w:hanging="309"/>
        <w:spacing w:after="0" w:line="239"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Structuring long-term compensation as equity awards, so that executives have an appropriate incentive to contribute to the creation of long-term stockholder value, and</w:t>
      </w:r>
    </w:p>
    <w:p>
      <w:pPr>
        <w:spacing w:after="0" w:line="228" w:lineRule="exact"/>
        <w:rPr>
          <w:rFonts w:ascii="Arial" w:cs="Arial" w:eastAsia="Arial" w:hAnsi="Arial"/>
          <w:sz w:val="18"/>
          <w:szCs w:val="18"/>
          <w:color w:val="auto"/>
        </w:rPr>
      </w:pPr>
    </w:p>
    <w:p>
      <w:pPr>
        <w:ind w:left="1060" w:right="200" w:hanging="309"/>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229" w:lineRule="exact"/>
        <w:rPr>
          <w:rFonts w:ascii="Arial" w:cs="Arial" w:eastAsia="Arial" w:hAnsi="Arial"/>
          <w:sz w:val="18"/>
          <w:szCs w:val="18"/>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238" w:lineRule="exact"/>
        <w:rPr>
          <w:rFonts w:ascii="Arial" w:cs="Arial" w:eastAsia="Arial" w:hAnsi="Arial"/>
          <w:sz w:val="18"/>
          <w:szCs w:val="18"/>
          <w:color w:val="auto"/>
        </w:rPr>
      </w:pPr>
    </w:p>
    <w:p>
      <w:pPr>
        <w:ind w:left="1060" w:hanging="309"/>
        <w:spacing w:after="0" w:line="239"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Establishing our annual incentive bonus maximums based on our operating earnings, with the ability for the Committee to reduce the bonus based on individual performance goals, and</w:t>
      </w:r>
    </w:p>
    <w:p>
      <w:pPr>
        <w:spacing w:after="0" w:line="228" w:lineRule="exact"/>
        <w:rPr>
          <w:rFonts w:ascii="Arial" w:cs="Arial" w:eastAsia="Arial" w:hAnsi="Arial"/>
          <w:sz w:val="18"/>
          <w:szCs w:val="18"/>
          <w:color w:val="auto"/>
        </w:rPr>
      </w:pPr>
    </w:p>
    <w:p>
      <w:pPr>
        <w:ind w:left="1060" w:right="240" w:hanging="309"/>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Tying the ability to earn a substantial portion of our equity-based awards to the achievement of financial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achieve our compensation objectives for fiscal 2019, our executive compensation program used a combination of short-term and long-term elements: (1) annual salary, (2) annual incentive bonus, and (3) long-term incentive compensation in the form of stock options and restricted stock, both time and performance vesting awards. Each element of long-term and short-term compensation is discussed more fully below under the heading “Primary Elements of Executive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Practices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Things We Don’t Do</w:t>
      </w:r>
    </w:p>
    <w:p>
      <w:pPr>
        <w:spacing w:after="0" w:line="239" w:lineRule="exact"/>
        <w:rPr>
          <w:sz w:val="20"/>
          <w:szCs w:val="20"/>
          <w:color w:val="auto"/>
        </w:rPr>
      </w:pPr>
    </w:p>
    <w:p>
      <w:pPr>
        <w:ind w:left="320" w:right="520" w:hanging="320"/>
        <w:spacing w:after="0" w:line="246"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employment agreements currently in effect with our executives.</w:t>
      </w:r>
    </w:p>
    <w:p>
      <w:pPr>
        <w:spacing w:after="0" w:line="223" w:lineRule="exact"/>
        <w:rPr>
          <w:rFonts w:ascii="Arial" w:cs="Arial" w:eastAsia="Arial" w:hAnsi="Arial"/>
          <w:sz w:val="18"/>
          <w:szCs w:val="18"/>
          <w:color w:val="auto"/>
        </w:rPr>
      </w:pPr>
    </w:p>
    <w:p>
      <w:pPr>
        <w:ind w:left="320" w:hanging="320"/>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tax gross-up agreements with our executives.</w:t>
      </w:r>
    </w:p>
    <w:p>
      <w:pPr>
        <w:spacing w:after="0" w:line="252" w:lineRule="exact"/>
        <w:rPr>
          <w:rFonts w:ascii="Arial" w:cs="Arial" w:eastAsia="Arial" w:hAnsi="Arial"/>
          <w:sz w:val="18"/>
          <w:szCs w:val="18"/>
          <w:color w:val="auto"/>
        </w:rPr>
      </w:pPr>
    </w:p>
    <w:p>
      <w:pPr>
        <w:ind w:left="320" w:hanging="320"/>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defined benefit plans are provided to our executives.</w:t>
      </w:r>
    </w:p>
    <w:p>
      <w:pPr>
        <w:spacing w:after="0" w:line="252" w:lineRule="exact"/>
        <w:rPr>
          <w:rFonts w:ascii="Arial" w:cs="Arial" w:eastAsia="Arial" w:hAnsi="Arial"/>
          <w:sz w:val="18"/>
          <w:szCs w:val="18"/>
          <w:color w:val="auto"/>
        </w:rPr>
      </w:pPr>
    </w:p>
    <w:p>
      <w:pPr>
        <w:ind w:left="320" w:hanging="320"/>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incentive plan prohibits the re-pricing of options.</w:t>
      </w:r>
    </w:p>
    <w:p>
      <w:pPr>
        <w:spacing w:after="0" w:line="252" w:lineRule="exact"/>
        <w:rPr>
          <w:rFonts w:ascii="Arial" w:cs="Arial" w:eastAsia="Arial" w:hAnsi="Arial"/>
          <w:sz w:val="18"/>
          <w:szCs w:val="18"/>
          <w:color w:val="auto"/>
        </w:rPr>
      </w:pPr>
    </w:p>
    <w:p>
      <w:pPr>
        <w:ind w:left="320" w:right="80" w:hanging="320"/>
        <w:spacing w:after="0" w:line="261"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Under our insider trading policy, employees and executives are prohibited from speculating in our securities or engaging in transactions designed to hedge their ownership interests.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Things We Do</w:t>
      </w:r>
    </w:p>
    <w:p>
      <w:pPr>
        <w:spacing w:after="0" w:line="239" w:lineRule="exact"/>
        <w:rPr>
          <w:sz w:val="20"/>
          <w:szCs w:val="20"/>
          <w:color w:val="auto"/>
        </w:rPr>
      </w:pPr>
    </w:p>
    <w:p>
      <w:pPr>
        <w:ind w:left="320" w:right="160" w:hanging="320"/>
        <w:spacing w:after="0" w:line="246"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substantial portion of our annual long-term compensation awards are performance-based.</w:t>
      </w:r>
    </w:p>
    <w:p>
      <w:pPr>
        <w:spacing w:after="0" w:line="223" w:lineRule="exact"/>
        <w:rPr>
          <w:rFonts w:ascii="Arial" w:cs="Arial" w:eastAsia="Arial" w:hAnsi="Arial"/>
          <w:sz w:val="18"/>
          <w:szCs w:val="18"/>
          <w:color w:val="auto"/>
        </w:rPr>
      </w:pPr>
    </w:p>
    <w:p>
      <w:pPr>
        <w:ind w:left="320" w:hanging="320"/>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252" w:lineRule="exact"/>
        <w:rPr>
          <w:rFonts w:ascii="Arial" w:cs="Arial" w:eastAsia="Arial" w:hAnsi="Arial"/>
          <w:sz w:val="18"/>
          <w:szCs w:val="18"/>
          <w:color w:val="auto"/>
        </w:rPr>
      </w:pPr>
    </w:p>
    <w:p>
      <w:pPr>
        <w:jc w:val="both"/>
        <w:ind w:left="320" w:right="280" w:hanging="320"/>
        <w:spacing w:after="0" w:line="261" w:lineRule="auto"/>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benefits provided to our executives under the defined contribution Retirement Plan are determined on the same basis as the benefits provided to all salaried employees.</w:t>
      </w:r>
    </w:p>
    <w:p>
      <w:pPr>
        <w:spacing w:after="0" w:line="213" w:lineRule="exact"/>
        <w:rPr>
          <w:rFonts w:ascii="Arial" w:cs="Arial" w:eastAsia="Arial" w:hAnsi="Arial"/>
          <w:sz w:val="17"/>
          <w:szCs w:val="17"/>
          <w:color w:val="auto"/>
        </w:rPr>
      </w:pPr>
    </w:p>
    <w:p>
      <w:pPr>
        <w:ind w:left="320" w:right="20" w:hanging="320"/>
        <w:spacing w:after="0" w:line="246"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stock ownership guidelines require management to align their long-term interests with those of our stockholders.</w:t>
      </w:r>
    </w:p>
    <w:p>
      <w:pPr>
        <w:spacing w:after="0" w:line="2165" w:lineRule="exact"/>
        <w:rPr>
          <w:sz w:val="20"/>
          <w:szCs w:val="20"/>
          <w:color w:val="auto"/>
        </w:rPr>
      </w:pPr>
    </w:p>
    <w:p>
      <w:pPr>
        <w:sectPr>
          <w:pgSz w:w="11900" w:h="16838" w:orient="portrait"/>
          <w:cols w:equalWidth="0" w:num="2">
            <w:col w:w="5440" w:space="380"/>
            <w:col w:w="5180"/>
          </w:cols>
          <w:pgMar w:left="240" w:top="459" w:right="65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000"/>
          </w:cols>
          <w:pgMar w:left="240" w:top="459" w:right="6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auto"/>
        </w:rPr>
        <w:t>Determining Executive Compensation</w:t>
      </w:r>
    </w:p>
    <w:p>
      <w:pPr>
        <w:spacing w:after="0" w:line="216" w:lineRule="exact"/>
        <w:rPr>
          <w:sz w:val="20"/>
          <w:szCs w:val="20"/>
          <w:color w:val="auto"/>
        </w:rPr>
      </w:pPr>
    </w:p>
    <w:p>
      <w:pPr>
        <w:ind w:left="220" w:right="240"/>
        <w:spacing w:after="0" w:line="271" w:lineRule="auto"/>
        <w:rPr>
          <w:sz w:val="20"/>
          <w:szCs w:val="20"/>
          <w:color w:val="auto"/>
        </w:rPr>
      </w:pPr>
      <w:r>
        <w:rPr>
          <w:rFonts w:ascii="Arial" w:cs="Arial" w:eastAsia="Arial" w:hAnsi="Arial"/>
          <w:sz w:val="18"/>
          <w:szCs w:val="18"/>
          <w:b w:val="1"/>
          <w:bCs w:val="1"/>
          <w:color w:val="auto"/>
        </w:rPr>
        <w:t>Advisory Vote on Executive Compensation; Central Role of Stockholder Engagement</w:t>
      </w:r>
    </w:p>
    <w:p>
      <w:pPr>
        <w:spacing w:after="0" w:line="176" w:lineRule="exact"/>
        <w:rPr>
          <w:sz w:val="20"/>
          <w:szCs w:val="20"/>
          <w:color w:val="auto"/>
        </w:rPr>
      </w:pPr>
    </w:p>
    <w:p>
      <w:pPr>
        <w:ind w:left="220" w:right="20"/>
        <w:spacing w:after="0" w:line="255" w:lineRule="auto"/>
        <w:rPr>
          <w:sz w:val="20"/>
          <w:szCs w:val="20"/>
          <w:color w:val="auto"/>
        </w:rPr>
      </w:pPr>
      <w:r>
        <w:rPr>
          <w:rFonts w:ascii="Arial" w:cs="Arial" w:eastAsia="Arial" w:hAnsi="Arial"/>
          <w:sz w:val="17"/>
          <w:szCs w:val="17"/>
          <w:color w:val="auto"/>
        </w:rPr>
        <w:t>We value feedback from our stockholders and regularly engage in a dialogue with a significant portion of our stockholders throughout the fiscal year to better understand their opinions on our business strategy and objectives and to obtain feedback regarding other matters of investor interest, such as executive compensation.</w:t>
      </w:r>
    </w:p>
    <w:p>
      <w:pPr>
        <w:spacing w:after="0" w:line="191"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At the 2018 Annual Meeting of Stockholders, the Company’s stockholders voted to approve a non-binding advisory resolution approving the compensation paid to our Named Executive Officers as disclosed in the proxy statement for the 2018 Annual Meeting of Stockholders. This “say-on-pay” proposal received the approval of over 78% of the votes cast.</w:t>
      </w:r>
    </w:p>
    <w:p>
      <w:pPr>
        <w:spacing w:after="0" w:line="205" w:lineRule="exact"/>
        <w:rPr>
          <w:sz w:val="20"/>
          <w:szCs w:val="20"/>
          <w:color w:val="auto"/>
        </w:rPr>
      </w:pPr>
    </w:p>
    <w:p>
      <w:pPr>
        <w:jc w:val="both"/>
        <w:ind w:left="220" w:right="140"/>
        <w:spacing w:after="0" w:line="239" w:lineRule="auto"/>
        <w:rPr>
          <w:sz w:val="20"/>
          <w:szCs w:val="20"/>
          <w:color w:val="auto"/>
        </w:rPr>
      </w:pPr>
      <w:r>
        <w:rPr>
          <w:rFonts w:ascii="Arial" w:cs="Arial" w:eastAsia="Arial" w:hAnsi="Arial"/>
          <w:sz w:val="18"/>
          <w:szCs w:val="18"/>
          <w:color w:val="auto"/>
        </w:rPr>
        <w:t>In light of the stockholder support of the executive compensation program (reflected through the 2018 say-on-pay vote results), no substantive changes were made to the executive compensation program for fiscal 2019.</w:t>
      </w:r>
    </w:p>
    <w:p>
      <w:pPr>
        <w:spacing w:after="0" w:line="202"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The Compensation Committee is firmly committed to providing our executives with compensation opportunities that are tied to Company performance and stockholder value creation. We encourage our stockholders to review the complete description of the Company’s executive compensation program prior to casting a vote on this year’s say-on-pay advisory vote proposal (Proposal No. 2).</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Authority of the Compensation Committee</w:t>
      </w:r>
    </w:p>
    <w:p>
      <w:pPr>
        <w:spacing w:after="0" w:line="234"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Our Compensation Committee meet regularly (six times in fiscal 2019) to oversee and administer the compensation program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230" w:lineRule="exact"/>
        <w:rPr>
          <w:sz w:val="20"/>
          <w:szCs w:val="20"/>
          <w:color w:val="auto"/>
        </w:rPr>
      </w:pPr>
    </w:p>
    <w:p>
      <w:pPr>
        <w:ind w:left="600" w:right="200" w:hanging="315"/>
        <w:spacing w:after="0" w:line="246"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400" w:right="180" w:hanging="315"/>
        <w:spacing w:after="0" w:line="246"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223" w:lineRule="exact"/>
        <w:rPr>
          <w:rFonts w:ascii="Arial" w:cs="Arial" w:eastAsia="Arial" w:hAnsi="Arial"/>
          <w:sz w:val="18"/>
          <w:szCs w:val="18"/>
          <w:color w:val="auto"/>
        </w:rPr>
      </w:pPr>
    </w:p>
    <w:p>
      <w:pPr>
        <w:ind w:left="400" w:right="320" w:hanging="315"/>
        <w:spacing w:after="0" w:line="246"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 our CEO’s performance in light of such goals and objectives,</w:t>
      </w:r>
    </w:p>
    <w:p>
      <w:pPr>
        <w:spacing w:after="0" w:line="223" w:lineRule="exact"/>
        <w:rPr>
          <w:rFonts w:ascii="Arial" w:cs="Arial" w:eastAsia="Arial" w:hAnsi="Arial"/>
          <w:sz w:val="18"/>
          <w:szCs w:val="18"/>
          <w:color w:val="auto"/>
        </w:rPr>
      </w:pPr>
    </w:p>
    <w:p>
      <w:pPr>
        <w:ind w:left="400" w:right="20" w:hanging="315"/>
        <w:spacing w:after="0" w:line="246"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223" w:lineRule="exact"/>
        <w:rPr>
          <w:rFonts w:ascii="Arial" w:cs="Arial" w:eastAsia="Arial" w:hAnsi="Arial"/>
          <w:sz w:val="18"/>
          <w:szCs w:val="18"/>
          <w:color w:val="auto"/>
        </w:rPr>
      </w:pPr>
    </w:p>
    <w:p>
      <w:pPr>
        <w:ind w:left="400" w:right="360" w:hanging="315"/>
        <w:spacing w:after="0" w:line="246"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223" w:lineRule="exact"/>
        <w:rPr>
          <w:rFonts w:ascii="Arial" w:cs="Arial" w:eastAsia="Arial" w:hAnsi="Arial"/>
          <w:sz w:val="18"/>
          <w:szCs w:val="18"/>
          <w:color w:val="auto"/>
        </w:rPr>
      </w:pPr>
    </w:p>
    <w:p>
      <w:pPr>
        <w:ind w:left="400" w:right="420" w:hanging="315"/>
        <w:spacing w:after="0" w:line="246"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223" w:lineRule="exact"/>
        <w:rPr>
          <w:rFonts w:ascii="Arial" w:cs="Arial" w:eastAsia="Arial" w:hAnsi="Arial"/>
          <w:sz w:val="18"/>
          <w:szCs w:val="18"/>
          <w:color w:val="auto"/>
        </w:rPr>
      </w:pPr>
    </w:p>
    <w:p>
      <w:pPr>
        <w:ind w:left="400" w:hanging="315"/>
        <w:spacing w:after="0" w:line="238"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229" w:lineRule="exact"/>
        <w:rPr>
          <w:rFonts w:ascii="Arial" w:cs="Arial" w:eastAsia="Arial" w:hAnsi="Arial"/>
          <w:sz w:val="18"/>
          <w:szCs w:val="18"/>
          <w:color w:val="auto"/>
        </w:rPr>
      </w:pPr>
    </w:p>
    <w:p>
      <w:pPr>
        <w:ind w:left="400" w:right="40" w:hanging="315"/>
        <w:spacing w:after="0" w:line="246"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223" w:lineRule="exact"/>
        <w:rPr>
          <w:rFonts w:ascii="Arial" w:cs="Arial" w:eastAsia="Arial" w:hAnsi="Arial"/>
          <w:sz w:val="18"/>
          <w:szCs w:val="18"/>
          <w:color w:val="auto"/>
        </w:rPr>
      </w:pPr>
    </w:p>
    <w:p>
      <w:pPr>
        <w:ind w:left="400" w:right="160" w:hanging="315"/>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 and non-employee directors and monitor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-4234815</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Compensation Committee consists solely of directors who are independent under the NYSE listing standards (including the enhanced independence requirements for compensation committee members)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8"/>
          <w:szCs w:val="18"/>
          <w:i w:val="1"/>
          <w:iCs w:val="1"/>
          <w:color w:val="auto"/>
        </w:rPr>
        <w:t>www.eaglematerials.com</w:t>
      </w:r>
      <w:r>
        <w:rPr>
          <w:rFonts w:ascii="Arial" w:cs="Arial" w:eastAsia="Arial" w:hAnsi="Arial"/>
          <w:sz w:val="18"/>
          <w:szCs w:val="18"/>
          <w:color w:val="auto"/>
        </w:rPr>
        <w:t>.</w:t>
      </w:r>
    </w:p>
    <w:p>
      <w:pPr>
        <w:spacing w:after="0" w:line="207"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early as practicable after the beginning of each fiscal year, the</w:t>
      </w:r>
    </w:p>
    <w:p>
      <w:pPr>
        <w:spacing w:after="0"/>
        <w:rPr>
          <w:sz w:val="20"/>
          <w:szCs w:val="20"/>
          <w:color w:val="auto"/>
        </w:rPr>
      </w:pPr>
      <w:r>
        <w:rPr>
          <w:rFonts w:ascii="Arial" w:cs="Arial" w:eastAsia="Arial" w:hAnsi="Arial"/>
          <w:sz w:val="18"/>
          <w:szCs w:val="18"/>
          <w:color w:val="auto"/>
        </w:rPr>
        <w:t>Compensation Committee determines:</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sect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400" w:lineRule="exact"/>
        <w:rPr>
          <w:sz w:val="20"/>
          <w:szCs w:val="20"/>
          <w:color w:val="auto"/>
        </w:rPr>
      </w:pPr>
    </w:p>
    <w:p>
      <w:pPr>
        <w:ind w:left="560" w:right="300" w:hanging="356"/>
        <w:spacing w:after="0" w:line="246"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salary of each Named Executive Officer for such fiscal year,</w:t>
      </w:r>
    </w:p>
    <w:p>
      <w:pPr>
        <w:spacing w:after="0" w:line="102" w:lineRule="exact"/>
        <w:rPr>
          <w:rFonts w:ascii="Arial" w:cs="Arial" w:eastAsia="Arial" w:hAnsi="Arial"/>
          <w:sz w:val="18"/>
          <w:szCs w:val="18"/>
          <w:color w:val="auto"/>
        </w:rPr>
      </w:pPr>
    </w:p>
    <w:p>
      <w:pPr>
        <w:ind w:left="560" w:right="40" w:hanging="356"/>
        <w:spacing w:after="0" w:line="23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overall size of the annual incentive bonus pools based on a percentage of our operating earnings in which the Named Executive Officers will have the opportunity to participate during such year and the percentage of the pool assigned to each Named Executive Officer,</w:t>
      </w:r>
    </w:p>
    <w:p>
      <w:pPr>
        <w:spacing w:after="0" w:line="108" w:lineRule="exact"/>
        <w:rPr>
          <w:rFonts w:ascii="Arial" w:cs="Arial" w:eastAsia="Arial" w:hAnsi="Arial"/>
          <w:sz w:val="18"/>
          <w:szCs w:val="18"/>
          <w:color w:val="auto"/>
        </w:rPr>
      </w:pPr>
    </w:p>
    <w:p>
      <w:pPr>
        <w:ind w:left="560" w:right="260" w:hanging="356"/>
        <w:spacing w:after="0" w:line="246"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Compensation Committee will make any long-term incentive compensation awards in such fiscal year,</w:t>
      </w:r>
    </w:p>
    <w:p>
      <w:pPr>
        <w:spacing w:after="0" w:line="102" w:lineRule="exact"/>
        <w:rPr>
          <w:rFonts w:ascii="Arial" w:cs="Arial" w:eastAsia="Arial" w:hAnsi="Arial"/>
          <w:sz w:val="18"/>
          <w:szCs w:val="18"/>
          <w:color w:val="auto"/>
        </w:rPr>
      </w:pPr>
    </w:p>
    <w:p>
      <w:pPr>
        <w:ind w:left="560" w:hanging="356"/>
        <w:spacing w:after="0" w:line="236"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Compensation Committee decides to make long-term compensation awards for such fiscal year, the amount, nature of and terms applicable to such awards, including the form any such awards will take (e.g., options, restricted stock, restricted stock units and/or cash), the individual grant date fair value for awards to be made to each Named Executive Officer, the performance- or time-vesting criteria (or both) that will apply to any such awards, and the exercisability or payment schedules that will apply to any such awards if the performance criteria are satisfied, and</w:t>
      </w:r>
    </w:p>
    <w:p>
      <w:pPr>
        <w:spacing w:after="0" w:line="111" w:lineRule="exact"/>
        <w:rPr>
          <w:rFonts w:ascii="Arial" w:cs="Arial" w:eastAsia="Arial" w:hAnsi="Arial"/>
          <w:sz w:val="18"/>
          <w:szCs w:val="18"/>
          <w:color w:val="auto"/>
        </w:rPr>
      </w:pPr>
    </w:p>
    <w:p>
      <w:pPr>
        <w:ind w:left="560" w:right="80" w:hanging="356"/>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Eagle Materials Special Situation Program for such fiscal year and the overall funding levels for such program based on operating earnings.</w:t>
      </w:r>
    </w:p>
    <w:p>
      <w:pPr>
        <w:spacing w:after="0" w:line="203"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For fiscal 2019, the Compensation Committee made these determinations at two meetings held in May 2018.</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After the end of the fiscal year, the Compensation Committee:</w:t>
      </w:r>
    </w:p>
    <w:p>
      <w:pPr>
        <w:spacing w:after="0" w:line="117" w:lineRule="exact"/>
        <w:rPr>
          <w:sz w:val="20"/>
          <w:szCs w:val="20"/>
          <w:color w:val="auto"/>
        </w:rPr>
      </w:pPr>
    </w:p>
    <w:p>
      <w:pPr>
        <w:ind w:left="560" w:hanging="356"/>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reviews and approves the annual incentive bonus pools,</w:t>
      </w:r>
    </w:p>
    <w:p>
      <w:pPr>
        <w:spacing w:after="0" w:line="117" w:lineRule="exact"/>
        <w:rPr>
          <w:rFonts w:ascii="Arial" w:cs="Arial" w:eastAsia="Arial" w:hAnsi="Arial"/>
          <w:sz w:val="18"/>
          <w:szCs w:val="18"/>
          <w:color w:val="auto"/>
        </w:rPr>
      </w:pPr>
    </w:p>
    <w:p>
      <w:pPr>
        <w:ind w:left="560" w:right="260" w:hanging="356"/>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determines the extent to which the performance criteria for the prior fiscal year applicable to any long-term incentive awards were satisfied,</w:t>
      </w:r>
    </w:p>
    <w:p>
      <w:pPr>
        <w:spacing w:after="0" w:line="108" w:lineRule="exact"/>
        <w:rPr>
          <w:rFonts w:ascii="Arial" w:cs="Arial" w:eastAsia="Arial" w:hAnsi="Arial"/>
          <w:sz w:val="18"/>
          <w:szCs w:val="18"/>
          <w:color w:val="auto"/>
        </w:rPr>
      </w:pPr>
    </w:p>
    <w:p>
      <w:pPr>
        <w:ind w:left="560" w:hanging="356"/>
        <w:spacing w:after="0" w:line="239"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determines the amount of the downward adjustment, if any, to be made to the annual incentive bonus payment to each Named Executive Officer based on individual performance, and</w:t>
      </w:r>
    </w:p>
    <w:p>
      <w:pPr>
        <w:spacing w:after="0" w:line="107" w:lineRule="exact"/>
        <w:rPr>
          <w:rFonts w:ascii="Arial" w:cs="Arial" w:eastAsia="Arial" w:hAnsi="Arial"/>
          <w:sz w:val="18"/>
          <w:szCs w:val="18"/>
          <w:color w:val="auto"/>
        </w:rPr>
      </w:pPr>
    </w:p>
    <w:p>
      <w:pPr>
        <w:ind w:left="560" w:right="600" w:hanging="356"/>
        <w:spacing w:after="0" w:line="246"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makes awards under the Eagle Materials Special Situation Program.</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Compensation Committee made these determinations for fiscal 2019 at two meetings held in May 2019.</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Managemen</w:t>
      </w:r>
      <w:r>
        <w:rPr>
          <w:rFonts w:ascii="Arial" w:cs="Arial" w:eastAsia="Arial" w:hAnsi="Arial"/>
          <w:sz w:val="18"/>
          <w:szCs w:val="18"/>
          <w:color w:val="auto"/>
        </w:rPr>
        <w:t>t</w:t>
      </w:r>
    </w:p>
    <w:p>
      <w:pPr>
        <w:spacing w:after="0" w:line="23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Our CEO participates to a limited extent in the administration of our compensation program for Named Executive Officers, other than himself. At the end of each fiscal year, the CEO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compensation consultants or otherwise available to it, in making its final compensation decisions with respect to the Named Executive Officers.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Engagement of an Independent Compensation Consultant</w:t>
      </w:r>
    </w:p>
    <w:p>
      <w:pPr>
        <w:spacing w:after="0" w:line="234"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Late in fiscal 2018 (January 2018), the Compensation Committee again retained Longnecker &amp; Associates (“L&amp;A”), an independent compensation consulting firm based in Houston, Texas, to review levels and incentive components of our executives’ compensation in an effort to align the compensation of our officers competitively with the market for fiscal 2019.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The Compensation Committee has assessed the independence of L&amp;A pursuant to SEC and NYSE rules and concluded that no conflict of interest exists that would prevent L&amp;A from independently advising the Compensation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5480" w:space="140"/>
            <w:col w:w="5580"/>
          </w:cols>
          <w:pgMar w:left="24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Peers</w:t>
      </w:r>
    </w:p>
    <w:p>
      <w:pPr>
        <w:spacing w:after="0" w:line="234" w:lineRule="exact"/>
        <w:rPr>
          <w:sz w:val="20"/>
          <w:szCs w:val="20"/>
          <w:color w:val="auto"/>
        </w:rPr>
      </w:pPr>
    </w:p>
    <w:p>
      <w:pPr>
        <w:ind w:left="220"/>
        <w:spacing w:after="0" w:line="234" w:lineRule="auto"/>
        <w:rPr>
          <w:sz w:val="20"/>
          <w:szCs w:val="20"/>
          <w:color w:val="auto"/>
        </w:rPr>
      </w:pPr>
      <w:r>
        <w:rPr>
          <w:rFonts w:ascii="Arial" w:cs="Arial" w:eastAsia="Arial" w:hAnsi="Arial"/>
          <w:sz w:val="18"/>
          <w:szCs w:val="18"/>
          <w:color w:val="auto"/>
        </w:rPr>
        <w:t>The data used by L&amp;A in its survey of compensation, which we refer to as the “compensation study,” was weighted so that 50% was from published surveys from Economic Research Institute, Mercer, Pay Factors, Kenexa and WorldatWork and 50% was from disclosure in compensation peer group proxy statements. At the beginning of fiscal 2019 (spring 2018), L&amp;A reviewed the Company’s current peer group for appropriateness and provided the Compensation Committee with recommendations for any additional peers to be included. L&amp;A analyzed the Company’s peer group and potential modifications based on (1) other similar companies within similar industries, (2) revenue, (3) market capitalization, (4) enterprise value, (5) asset size (6) net income,</w:t>
      </w:r>
    </w:p>
    <w:p>
      <w:pPr>
        <w:spacing w:after="0" w:line="9" w:lineRule="exact"/>
        <w:rPr>
          <w:sz w:val="20"/>
          <w:szCs w:val="20"/>
          <w:color w:val="auto"/>
        </w:rPr>
      </w:pPr>
    </w:p>
    <w:p>
      <w:pPr>
        <w:ind w:left="220" w:right="500" w:hanging="9"/>
        <w:spacing w:after="0" w:line="246" w:lineRule="auto"/>
        <w:tabs>
          <w:tab w:leader="none" w:pos="4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EBITDA and (8) one-year, three-year and five-year total shareholder return (“TSR”).</w:t>
      </w:r>
    </w:p>
    <w:p>
      <w:pPr>
        <w:spacing w:after="0" w:line="197"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Based on this analysis, L&amp;A recommended removal of one peer used in fiscal 2018: Headwaters Incorporated, which had been acquired. L&amp;A recommended the addition of one company to the peer group: Masonite International Corporation. Based on L&amp;A’s recommendation, the Compensation Committee utilized the following 15-company peer group in analyzing fiscal 2019 compensation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145415</wp:posOffset>
            </wp:positionV>
            <wp:extent cx="3353435" cy="2052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53435" cy="2052320"/>
                    </a:xfrm>
                    <a:prstGeom prst="rect">
                      <a:avLst/>
                    </a:prstGeom>
                    <a:noFill/>
                  </pic:spPr>
                </pic:pic>
              </a:graphicData>
            </a:graphic>
          </wp:anchor>
        </w:drawing>
      </w:r>
    </w:p>
    <w:p>
      <w:pPr>
        <w:spacing w:after="0" w:line="35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Armstrong Worldwide Industries, Inc.</w:t>
      </w:r>
    </w:p>
    <w:p>
      <w:pPr>
        <w:jc w:val="center"/>
        <w:ind w:left="300"/>
        <w:spacing w:after="0" w:line="234" w:lineRule="auto"/>
        <w:rPr>
          <w:sz w:val="20"/>
          <w:szCs w:val="20"/>
          <w:color w:val="auto"/>
        </w:rPr>
      </w:pPr>
      <w:r>
        <w:rPr>
          <w:rFonts w:ascii="Arial" w:cs="Arial" w:eastAsia="Arial" w:hAnsi="Arial"/>
          <w:sz w:val="18"/>
          <w:szCs w:val="18"/>
          <w:color w:val="auto"/>
        </w:rPr>
        <w:t>Continental Building Products, Inc.</w:t>
      </w:r>
    </w:p>
    <w:p>
      <w:pPr>
        <w:jc w:val="center"/>
        <w:ind w:left="300"/>
        <w:spacing w:after="0" w:line="235" w:lineRule="auto"/>
        <w:rPr>
          <w:sz w:val="20"/>
          <w:szCs w:val="20"/>
          <w:color w:val="auto"/>
        </w:rPr>
      </w:pPr>
      <w:r>
        <w:rPr>
          <w:rFonts w:ascii="Arial" w:cs="Arial" w:eastAsia="Arial" w:hAnsi="Arial"/>
          <w:sz w:val="18"/>
          <w:szCs w:val="18"/>
          <w:color w:val="auto"/>
        </w:rPr>
        <w:t>EnPro Industries, Inc.</w:t>
      </w:r>
    </w:p>
    <w:p>
      <w:pPr>
        <w:jc w:val="center"/>
        <w:ind w:left="300"/>
        <w:spacing w:after="0" w:line="235" w:lineRule="auto"/>
        <w:rPr>
          <w:sz w:val="20"/>
          <w:szCs w:val="20"/>
          <w:color w:val="auto"/>
        </w:rPr>
      </w:pPr>
      <w:r>
        <w:rPr>
          <w:rFonts w:ascii="Arial" w:cs="Arial" w:eastAsia="Arial" w:hAnsi="Arial"/>
          <w:sz w:val="18"/>
          <w:szCs w:val="18"/>
          <w:color w:val="auto"/>
        </w:rPr>
        <w:t>James Hardie Industries plc</w:t>
      </w:r>
    </w:p>
    <w:p>
      <w:pPr>
        <w:jc w:val="center"/>
        <w:ind w:left="300"/>
        <w:spacing w:after="0" w:line="235" w:lineRule="auto"/>
        <w:rPr>
          <w:sz w:val="20"/>
          <w:szCs w:val="20"/>
          <w:color w:val="auto"/>
        </w:rPr>
      </w:pPr>
      <w:r>
        <w:rPr>
          <w:rFonts w:ascii="Arial" w:cs="Arial" w:eastAsia="Arial" w:hAnsi="Arial"/>
          <w:sz w:val="18"/>
          <w:szCs w:val="18"/>
          <w:color w:val="auto"/>
        </w:rPr>
        <w:t>KapStone Paper and Packaging Corporation</w:t>
      </w:r>
    </w:p>
    <w:p>
      <w:pPr>
        <w:jc w:val="center"/>
        <w:ind w:left="300"/>
        <w:spacing w:after="0" w:line="235" w:lineRule="auto"/>
        <w:rPr>
          <w:sz w:val="20"/>
          <w:szCs w:val="20"/>
          <w:color w:val="auto"/>
        </w:rPr>
      </w:pPr>
      <w:r>
        <w:rPr>
          <w:rFonts w:ascii="Arial" w:cs="Arial" w:eastAsia="Arial" w:hAnsi="Arial"/>
          <w:sz w:val="18"/>
          <w:szCs w:val="18"/>
          <w:color w:val="auto"/>
        </w:rPr>
        <w:t>Lennox International Inc.</w:t>
      </w:r>
    </w:p>
    <w:p>
      <w:pPr>
        <w:jc w:val="center"/>
        <w:ind w:left="300"/>
        <w:spacing w:after="0" w:line="235" w:lineRule="auto"/>
        <w:rPr>
          <w:sz w:val="20"/>
          <w:szCs w:val="20"/>
          <w:color w:val="auto"/>
        </w:rPr>
      </w:pPr>
      <w:r>
        <w:rPr>
          <w:rFonts w:ascii="Arial" w:cs="Arial" w:eastAsia="Arial" w:hAnsi="Arial"/>
          <w:sz w:val="18"/>
          <w:szCs w:val="18"/>
          <w:color w:val="auto"/>
        </w:rPr>
        <w:t>Louisiana-Pacific Corp.</w:t>
      </w:r>
    </w:p>
    <w:p>
      <w:pPr>
        <w:jc w:val="center"/>
        <w:ind w:left="300"/>
        <w:spacing w:after="0" w:line="235" w:lineRule="auto"/>
        <w:rPr>
          <w:sz w:val="20"/>
          <w:szCs w:val="20"/>
          <w:color w:val="auto"/>
        </w:rPr>
      </w:pPr>
      <w:r>
        <w:rPr>
          <w:rFonts w:ascii="Arial" w:cs="Arial" w:eastAsia="Arial" w:hAnsi="Arial"/>
          <w:sz w:val="18"/>
          <w:szCs w:val="18"/>
          <w:color w:val="auto"/>
        </w:rPr>
        <w:t>Martin Marietta Materials Inc.</w:t>
      </w:r>
    </w:p>
    <w:p>
      <w:pPr>
        <w:jc w:val="center"/>
        <w:ind w:left="300"/>
        <w:spacing w:after="0" w:line="235" w:lineRule="auto"/>
        <w:rPr>
          <w:sz w:val="20"/>
          <w:szCs w:val="20"/>
          <w:color w:val="auto"/>
        </w:rPr>
      </w:pPr>
      <w:r>
        <w:rPr>
          <w:rFonts w:ascii="Arial" w:cs="Arial" w:eastAsia="Arial" w:hAnsi="Arial"/>
          <w:sz w:val="18"/>
          <w:szCs w:val="18"/>
          <w:color w:val="auto"/>
        </w:rPr>
        <w:t>Masonite International Corporation</w:t>
      </w:r>
    </w:p>
    <w:p>
      <w:pPr>
        <w:jc w:val="center"/>
        <w:ind w:left="300"/>
        <w:spacing w:after="0" w:line="235" w:lineRule="auto"/>
        <w:rPr>
          <w:sz w:val="20"/>
          <w:szCs w:val="20"/>
          <w:color w:val="auto"/>
        </w:rPr>
      </w:pPr>
      <w:r>
        <w:rPr>
          <w:rFonts w:ascii="Arial" w:cs="Arial" w:eastAsia="Arial" w:hAnsi="Arial"/>
          <w:sz w:val="18"/>
          <w:szCs w:val="18"/>
          <w:color w:val="auto"/>
        </w:rPr>
        <w:t>Silgan Holdings, Inc.</w:t>
      </w:r>
    </w:p>
    <w:p>
      <w:pPr>
        <w:jc w:val="center"/>
        <w:ind w:left="300"/>
        <w:spacing w:after="0" w:line="234" w:lineRule="auto"/>
        <w:rPr>
          <w:sz w:val="20"/>
          <w:szCs w:val="20"/>
          <w:color w:val="auto"/>
        </w:rPr>
      </w:pPr>
      <w:r>
        <w:rPr>
          <w:rFonts w:ascii="Arial" w:cs="Arial" w:eastAsia="Arial" w:hAnsi="Arial"/>
          <w:sz w:val="18"/>
          <w:szCs w:val="18"/>
          <w:color w:val="auto"/>
        </w:rPr>
        <w:t>Summit Materials, Inc.</w:t>
      </w:r>
    </w:p>
    <w:p>
      <w:pPr>
        <w:jc w:val="center"/>
        <w:ind w:left="300"/>
        <w:spacing w:after="0" w:line="235" w:lineRule="auto"/>
        <w:rPr>
          <w:sz w:val="20"/>
          <w:szCs w:val="20"/>
          <w:color w:val="auto"/>
        </w:rPr>
      </w:pPr>
      <w:r>
        <w:rPr>
          <w:rFonts w:ascii="Arial" w:cs="Arial" w:eastAsia="Arial" w:hAnsi="Arial"/>
          <w:sz w:val="18"/>
          <w:szCs w:val="18"/>
          <w:color w:val="auto"/>
        </w:rPr>
        <w:t>USG Corporation</w:t>
      </w:r>
    </w:p>
    <w:p>
      <w:pPr>
        <w:jc w:val="center"/>
        <w:ind w:left="300"/>
        <w:spacing w:after="0" w:line="235" w:lineRule="auto"/>
        <w:rPr>
          <w:sz w:val="20"/>
          <w:szCs w:val="20"/>
          <w:color w:val="auto"/>
        </w:rPr>
      </w:pPr>
      <w:r>
        <w:rPr>
          <w:rFonts w:ascii="Arial" w:cs="Arial" w:eastAsia="Arial" w:hAnsi="Arial"/>
          <w:sz w:val="18"/>
          <w:szCs w:val="18"/>
          <w:color w:val="auto"/>
        </w:rPr>
        <w:t>U.S. Concrete, Inc.</w:t>
      </w:r>
    </w:p>
    <w:p>
      <w:pPr>
        <w:jc w:val="center"/>
        <w:ind w:left="300"/>
        <w:spacing w:after="0" w:line="235" w:lineRule="auto"/>
        <w:rPr>
          <w:sz w:val="20"/>
          <w:szCs w:val="20"/>
          <w:color w:val="auto"/>
        </w:rPr>
      </w:pPr>
      <w:r>
        <w:rPr>
          <w:rFonts w:ascii="Arial" w:cs="Arial" w:eastAsia="Arial" w:hAnsi="Arial"/>
          <w:sz w:val="18"/>
          <w:szCs w:val="18"/>
          <w:color w:val="auto"/>
        </w:rPr>
        <w:t>U.S. Silica Holdings, Inc.</w:t>
      </w:r>
    </w:p>
    <w:p>
      <w:pPr>
        <w:spacing w:after="0" w:line="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Vulcan Materials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L&amp;A delivered its compensation peer analysis report to the Compensation Committee in April 2018, utilizing trailing 12 months financials for revenue, net income and EBITDA; asset value as of the latest quarterly report on Form 10-Q filed by the company; and market capitalization, enterprise value and TSR as of April 30, 2018. The Company’s ranking within the compensation peer group in each of the categories utilized by L&amp;A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-1489075</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2"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Company</w:t>
            </w:r>
          </w:p>
        </w:tc>
      </w:tr>
      <w:tr>
        <w:trPr>
          <w:trHeight w:val="203"/>
        </w:trPr>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Percentile</w:t>
            </w:r>
          </w:p>
        </w:tc>
      </w:tr>
      <w:tr>
        <w:trPr>
          <w:trHeight w:val="259"/>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8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Rank</w:t>
            </w:r>
          </w:p>
        </w:tc>
      </w:tr>
      <w:tr>
        <w:trPr>
          <w:trHeight w:val="203"/>
        </w:trPr>
        <w:tc>
          <w:tcPr>
            <w:tcW w:w="1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nd</w:t>
            </w: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Assets</w:t>
            </w:r>
          </w:p>
        </w:tc>
        <w:tc>
          <w:tcPr>
            <w:tcW w:w="10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50</w:t>
            </w:r>
            <w:r>
              <w:rPr>
                <w:rFonts w:ascii="Arial" w:cs="Arial" w:eastAsia="Arial" w:hAnsi="Arial"/>
                <w:sz w:val="15"/>
                <w:szCs w:val="15"/>
                <w:color w:val="auto"/>
                <w:w w:val="98"/>
              </w:rPr>
              <w:t>th</w:t>
            </w: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 Capitalization</w:t>
            </w:r>
          </w:p>
        </w:tc>
        <w:tc>
          <w:tcPr>
            <w:tcW w:w="10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66</w:t>
            </w:r>
            <w:r>
              <w:rPr>
                <w:rFonts w:ascii="Arial" w:cs="Arial" w:eastAsia="Arial" w:hAnsi="Arial"/>
                <w:sz w:val="15"/>
                <w:szCs w:val="15"/>
                <w:color w:val="auto"/>
                <w:w w:val="98"/>
              </w:rPr>
              <w:t>th</w:t>
            </w: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Enterprise Value</w:t>
            </w:r>
          </w:p>
        </w:tc>
        <w:tc>
          <w:tcPr>
            <w:tcW w:w="1080" w:type="dxa"/>
            <w:vAlign w:val="bottom"/>
          </w:tcPr>
          <w:p>
            <w:pPr>
              <w:jc w:val="center"/>
              <w:ind w:left="130"/>
              <w:spacing w:after="0" w:line="202" w:lineRule="exact"/>
              <w:rPr>
                <w:sz w:val="20"/>
                <w:szCs w:val="20"/>
                <w:color w:val="auto"/>
              </w:rPr>
            </w:pPr>
            <w:r>
              <w:rPr>
                <w:rFonts w:ascii="Arial" w:cs="Arial" w:eastAsia="Arial" w:hAnsi="Arial"/>
                <w:sz w:val="18"/>
                <w:szCs w:val="18"/>
                <w:color w:val="auto"/>
              </w:rPr>
              <w:t>62</w:t>
            </w:r>
            <w:r>
              <w:rPr>
                <w:rFonts w:ascii="Arial" w:cs="Arial" w:eastAsia="Arial" w:hAnsi="Arial"/>
                <w:sz w:val="15"/>
                <w:szCs w:val="15"/>
                <w:color w:val="auto"/>
              </w:rPr>
              <w:t>nd</w:t>
            </w: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58</w:t>
            </w:r>
            <w:r>
              <w:rPr>
                <w:rFonts w:ascii="Arial" w:cs="Arial" w:eastAsia="Arial" w:hAnsi="Arial"/>
                <w:sz w:val="15"/>
                <w:szCs w:val="15"/>
                <w:color w:val="auto"/>
                <w:w w:val="98"/>
              </w:rPr>
              <w:t>th</w:t>
            </w: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EBITDA</w:t>
            </w:r>
          </w:p>
        </w:tc>
        <w:tc>
          <w:tcPr>
            <w:tcW w:w="10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49</w:t>
            </w:r>
            <w:r>
              <w:rPr>
                <w:rFonts w:ascii="Arial" w:cs="Arial" w:eastAsia="Arial" w:hAnsi="Arial"/>
                <w:sz w:val="15"/>
                <w:szCs w:val="15"/>
                <w:color w:val="auto"/>
                <w:w w:val="98"/>
              </w:rPr>
              <w:t>th</w:t>
            </w: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One-year TSR</w:t>
            </w:r>
          </w:p>
        </w:tc>
        <w:tc>
          <w:tcPr>
            <w:tcW w:w="10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48</w:t>
            </w:r>
            <w:r>
              <w:rPr>
                <w:rFonts w:ascii="Arial" w:cs="Arial" w:eastAsia="Arial" w:hAnsi="Arial"/>
                <w:sz w:val="15"/>
                <w:szCs w:val="15"/>
                <w:color w:val="auto"/>
                <w:w w:val="98"/>
              </w:rPr>
              <w:t>th</w:t>
            </w: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Three-year TSR</w:t>
            </w:r>
          </w:p>
        </w:tc>
        <w:tc>
          <w:tcPr>
            <w:tcW w:w="1080" w:type="dxa"/>
            <w:vAlign w:val="bottom"/>
          </w:tcPr>
          <w:p>
            <w:pPr>
              <w:jc w:val="center"/>
              <w:ind w:left="130"/>
              <w:spacing w:after="0" w:line="202" w:lineRule="exact"/>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nd</w:t>
            </w: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Five-year TSR</w:t>
            </w:r>
          </w:p>
        </w:tc>
        <w:tc>
          <w:tcPr>
            <w:tcW w:w="10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37</w:t>
            </w:r>
            <w:r>
              <w:rPr>
                <w:rFonts w:ascii="Arial" w:cs="Arial" w:eastAsia="Arial" w:hAnsi="Arial"/>
                <w:sz w:val="15"/>
                <w:szCs w:val="15"/>
                <w:color w:val="auto"/>
                <w:w w:val="98"/>
              </w:rPr>
              <w:t>th</w:t>
            </w:r>
          </w:p>
        </w:tc>
      </w:tr>
      <w:tr>
        <w:trPr>
          <w:trHeight w:val="239"/>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OVERALL AVERAGE</w:t>
            </w:r>
          </w:p>
        </w:tc>
        <w:tc>
          <w:tcPr>
            <w:tcW w:w="108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48</w:t>
            </w:r>
            <w:r>
              <w:rPr>
                <w:rFonts w:ascii="Arial" w:cs="Arial" w:eastAsia="Arial" w:hAnsi="Arial"/>
                <w:sz w:val="15"/>
                <w:szCs w:val="15"/>
                <w:b w:val="1"/>
                <w:bCs w:val="1"/>
                <w:color w:val="auto"/>
                <w:w w:val="99"/>
              </w:rPr>
              <w:t>th</w:t>
            </w:r>
          </w:p>
        </w:tc>
      </w:tr>
    </w:tbl>
    <w:p>
      <w:pPr>
        <w:spacing w:after="0" w:line="179"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we view as sufficiently dissimilar to ours as to make comparisons significantly less meaningful.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As a result, in our view, our revenue is, in effect, understated. Second, in our industry, with large up-front capital projects, we believe that cash flow and operating earnings are more important than revenues when evaluating peers.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5400" w:space="220"/>
            <w:col w:w="5500"/>
          </w:cols>
          <w:pgMar w:left="24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For these reasons and in light of the peer analysis described above, we believe that the compensation peer group identified by our Compensation Committee for fiscal 2019 provides a more appropriate and meaningful basis for assessing our executive compensation.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auto"/>
        </w:rPr>
        <w:t>Primary Elements of Executive Compensation</w:t>
      </w:r>
    </w:p>
    <w:p>
      <w:pPr>
        <w:spacing w:after="0" w:line="238" w:lineRule="exact"/>
        <w:rPr>
          <w:sz w:val="20"/>
          <w:szCs w:val="20"/>
          <w:color w:val="auto"/>
        </w:rPr>
      </w:pPr>
    </w:p>
    <w:p>
      <w:pPr>
        <w:ind w:left="220"/>
        <w:spacing w:after="0" w:line="246" w:lineRule="auto"/>
        <w:rPr>
          <w:sz w:val="20"/>
          <w:szCs w:val="20"/>
          <w:color w:val="auto"/>
        </w:rPr>
      </w:pPr>
      <w:r>
        <w:rPr>
          <w:rFonts w:ascii="Arial" w:cs="Arial" w:eastAsia="Arial" w:hAnsi="Arial"/>
          <w:sz w:val="18"/>
          <w:szCs w:val="18"/>
          <w:color w:val="auto"/>
        </w:rPr>
        <w:t>The primary elements of our executive compensation program are the following:</w:t>
      </w:r>
    </w:p>
    <w:p>
      <w:pPr>
        <w:spacing w:after="0" w:line="129" w:lineRule="exact"/>
        <w:rPr>
          <w:sz w:val="20"/>
          <w:szCs w:val="20"/>
          <w:color w:val="auto"/>
        </w:rPr>
      </w:pPr>
    </w:p>
    <w:p>
      <w:pPr>
        <w:ind w:left="780" w:hanging="30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780" w:hanging="30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157" w:lineRule="exact"/>
        <w:rPr>
          <w:rFonts w:ascii="Arial" w:cs="Arial" w:eastAsia="Arial" w:hAnsi="Arial"/>
          <w:sz w:val="18"/>
          <w:szCs w:val="18"/>
          <w:color w:val="auto"/>
        </w:rPr>
      </w:pPr>
    </w:p>
    <w:p>
      <w:pPr>
        <w:ind w:left="780" w:hanging="30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Base Salary</w:t>
      </w:r>
    </w:p>
    <w:p>
      <w:pPr>
        <w:spacing w:after="0" w:line="234" w:lineRule="exact"/>
        <w:rPr>
          <w:sz w:val="20"/>
          <w:szCs w:val="20"/>
          <w:color w:val="auto"/>
        </w:rPr>
      </w:pPr>
    </w:p>
    <w:p>
      <w:pPr>
        <w:ind w:left="220" w:right="180"/>
        <w:spacing w:after="0" w:line="253" w:lineRule="auto"/>
        <w:rPr>
          <w:sz w:val="20"/>
          <w:szCs w:val="20"/>
          <w:color w:val="auto"/>
        </w:rPr>
      </w:pPr>
      <w:r>
        <w:rPr>
          <w:rFonts w:ascii="Arial" w:cs="Arial" w:eastAsia="Arial" w:hAnsi="Arial"/>
          <w:sz w:val="17"/>
          <w:szCs w:val="17"/>
          <w:color w:val="auto"/>
        </w:rPr>
        <w:t>Salaries of the Named Executive Officers are reviewed annually as well as at the time of a promotion or significant change in responsibilities. As described above, the Compensation Committee engaged L&amp;A to conduct the compensation study at the beginning of fiscal 2019. L&amp;A’s compensation study was delivered to the Compensation Committee in May 2018.</w:t>
      </w:r>
    </w:p>
    <w:p>
      <w:pPr>
        <w:spacing w:after="0" w:line="195" w:lineRule="exact"/>
        <w:rPr>
          <w:sz w:val="20"/>
          <w:szCs w:val="20"/>
          <w:color w:val="auto"/>
        </w:rPr>
      </w:pPr>
    </w:p>
    <w:p>
      <w:pPr>
        <w:ind w:left="220" w:right="240"/>
        <w:spacing w:after="0" w:line="246" w:lineRule="auto"/>
        <w:rPr>
          <w:sz w:val="20"/>
          <w:szCs w:val="20"/>
          <w:color w:val="auto"/>
        </w:rPr>
      </w:pPr>
      <w:r>
        <w:rPr>
          <w:rFonts w:ascii="Arial" w:cs="Arial" w:eastAsia="Arial" w:hAnsi="Arial"/>
          <w:sz w:val="18"/>
          <w:szCs w:val="18"/>
          <w:color w:val="auto"/>
        </w:rPr>
        <w:t>The fiscal 2019 base salaries for the Named Executive Officers were set as follows:</w:t>
      </w:r>
    </w:p>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vMerge w:val="restart"/>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Base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c>
          <w:tcPr>
            <w:tcW w:w="0" w:type="dxa"/>
            <w:vAlign w:val="bottom"/>
          </w:tcPr>
          <w:p>
            <w:pPr>
              <w:spacing w:after="0"/>
              <w:rPr>
                <w:sz w:val="1"/>
                <w:szCs w:val="1"/>
                <w:color w:val="auto"/>
              </w:rPr>
            </w:pPr>
          </w:p>
        </w:tc>
      </w:tr>
      <w:tr>
        <w:trPr>
          <w:trHeight w:val="259"/>
        </w:trPr>
        <w:tc>
          <w:tcPr>
            <w:tcW w:w="19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vMerge w:val="continue"/>
          </w:tcPr>
          <w:p>
            <w:pPr>
              <w:spacing w:after="0"/>
              <w:rPr>
                <w:sz w:val="22"/>
                <w:szCs w:val="22"/>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Salary</w:t>
            </w: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Increase</w:t>
            </w:r>
          </w:p>
        </w:tc>
        <w:tc>
          <w:tcPr>
            <w:tcW w:w="0" w:type="dxa"/>
            <w:vAlign w:val="bottom"/>
          </w:tcPr>
          <w:p>
            <w:pPr>
              <w:spacing w:after="0"/>
              <w:rPr>
                <w:sz w:val="1"/>
                <w:szCs w:val="1"/>
                <w:color w:val="auto"/>
              </w:rPr>
            </w:pPr>
          </w:p>
        </w:tc>
      </w:tr>
      <w:tr>
        <w:trPr>
          <w:trHeight w:val="277"/>
        </w:trPr>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$920,000</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8.2</w:t>
            </w: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940" w:type="dxa"/>
            <w:vAlign w:val="bottom"/>
          </w:tcPr>
          <w:p>
            <w:pPr>
              <w:jc w:val="right"/>
              <w:spacing w:after="0"/>
              <w:rPr>
                <w:sz w:val="20"/>
                <w:szCs w:val="20"/>
                <w:color w:val="auto"/>
              </w:rPr>
            </w:pPr>
            <w:r>
              <w:rPr>
                <w:rFonts w:ascii="Arial" w:cs="Arial" w:eastAsia="Arial" w:hAnsi="Arial"/>
                <w:sz w:val="18"/>
                <w:szCs w:val="18"/>
                <w:color w:val="auto"/>
              </w:rPr>
              <w:t>$460,000</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940" w:type="dxa"/>
            <w:vAlign w:val="bottom"/>
          </w:tcPr>
          <w:p>
            <w:pPr>
              <w:jc w:val="right"/>
              <w:spacing w:after="0"/>
              <w:rPr>
                <w:sz w:val="20"/>
                <w:szCs w:val="20"/>
                <w:color w:val="auto"/>
              </w:rPr>
            </w:pPr>
            <w:r>
              <w:rPr>
                <w:rFonts w:ascii="Arial" w:cs="Arial" w:eastAsia="Arial" w:hAnsi="Arial"/>
                <w:sz w:val="18"/>
                <w:szCs w:val="18"/>
                <w:color w:val="auto"/>
              </w:rPr>
              <w:t>$455,000</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W. Metcalf</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$393,000</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41"/>
        </w:trPr>
        <w:tc>
          <w:tcPr>
            <w:tcW w:w="1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0" w:right="240"/>
        <w:spacing w:after="0" w:line="257" w:lineRule="auto"/>
        <w:rPr>
          <w:sz w:val="20"/>
          <w:szCs w:val="20"/>
          <w:color w:val="auto"/>
        </w:rPr>
      </w:pPr>
      <w:r>
        <w:rPr>
          <w:rFonts w:ascii="Arial" w:cs="Arial" w:eastAsia="Arial" w:hAnsi="Arial"/>
          <w:sz w:val="17"/>
          <w:szCs w:val="17"/>
          <w:color w:val="auto"/>
        </w:rPr>
        <w:t>Considerations that may influence the salary level for a Named Executive Officer include individual performance, the Named Executive Officer’s skills or experience, our operating performance and the nature and responsibilities of the position.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Annual Incentive Bonus</w:t>
      </w:r>
    </w:p>
    <w:p>
      <w:pPr>
        <w:spacing w:after="0" w:line="234" w:lineRule="exact"/>
        <w:rPr>
          <w:sz w:val="20"/>
          <w:szCs w:val="20"/>
          <w:color w:val="auto"/>
        </w:rPr>
      </w:pPr>
    </w:p>
    <w:p>
      <w:pPr>
        <w:ind w:left="220" w:right="120"/>
        <w:spacing w:after="0" w:line="257" w:lineRule="auto"/>
        <w:rPr>
          <w:sz w:val="20"/>
          <w:szCs w:val="20"/>
          <w:color w:val="auto"/>
        </w:rPr>
      </w:pPr>
      <w:r>
        <w:rPr>
          <w:rFonts w:ascii="Arial" w:cs="Arial" w:eastAsia="Arial" w:hAnsi="Arial"/>
          <w:sz w:val="17"/>
          <w:szCs w:val="17"/>
          <w:color w:val="auto"/>
        </w:rPr>
        <w:t>The Compensation Committee is responsible for approving the annual incentive bonus for our CEO and the other Named Executive Officers. Annual incentive bonuses paid to our Named Executive Officers for fiscal 2019 (other than Mr. Metcalf) were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made under the Eagle Materials Inc. Salaried Incentive Compensation Program for Fiscal Year 2019, which we refer to as the “Eagle Annual Incentive Program.” The Eagle Annual Incentive Program and the Company’s other incentive programs for fiscal 2019 were structured to create financial incentives and rewards that are directly related to corporate performance and the participating Named Executive Officer’s individual performance during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-1607185</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Compensation Committee believes these programs are consistent with our pay-for-performance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incentive bonus programs also reflect the Committee’s philosophy of aligning the interests of our executives with those of the stockholders. These programs create this alignment by providing that an officer’s annual bonus potential varies directly with our operating earnings. Although individual performance and achievement of goals (as discussed in more detail below under “Approving the Annual Incentive Bonus”) may affect the actual incentive bonus amount, our programs are structured in such a way that the executive officer’s incentive bonus potential can vary considerably as operating earnings change from year to year. The Committee believes that operating earnings is an appropriate metric for annual incentive bonuses because it is tied closely to operations, can be directly impacted by the efforts of the pool participants, and is a measure that our stockholders have indicated they track and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fiscal 2019, Messrs. Powers, Kesler, Haack and Stewart were participants in the Eagle Annual Incentive Program. Under this program, during the first quarter of the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w:t>
      </w:r>
    </w:p>
    <w:p>
      <w:pPr>
        <w:spacing w:after="0" w:line="1920" w:lineRule="exact"/>
        <w:rPr>
          <w:sz w:val="20"/>
          <w:szCs w:val="20"/>
          <w:color w:val="auto"/>
        </w:rPr>
      </w:pPr>
    </w:p>
    <w:p>
      <w:pPr>
        <w:sectPr>
          <w:pgSz w:w="11900" w:h="16838" w:orient="portrait"/>
          <w:cols w:equalWidth="0" w:num="2">
            <w:col w:w="5460" w:space="360"/>
            <w:col w:w="5400"/>
          </w:cols>
          <w:pgMar w:left="240" w:top="459" w:right="439" w:bottom="1440" w:gutter="0" w:footer="0" w:header="0"/>
        </w:sectPr>
      </w:pPr>
    </w:p>
    <w:p>
      <w:pPr>
        <w:spacing w:after="0" w:line="7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20"/>
          </w:cols>
          <w:pgMar w:left="240" w:top="459" w:right="4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40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earnings generated during such fiscal year, and annual incentive bonuses are paid to each participating executive in the form of a lump sum cash payment reflecting each executive’s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206"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The Eagle Annual Incentive Program for Fiscal 2019 was adopted by the Compensation Committee in May 2018, and it mirrored the structure of the fiscal 2018 program. The program was to be funded with 1.4% of the Company’s operating earnings for fiscal 2019. The Compensation Committee has maintained the funding rate of 1.4% since 2016 and as a result the compensation pool only increases if operating earnings increase.</w:t>
      </w:r>
    </w:p>
    <w:p>
      <w:pPr>
        <w:spacing w:after="0" w:line="203" w:lineRule="exact"/>
        <w:rPr>
          <w:sz w:val="20"/>
          <w:szCs w:val="20"/>
          <w:color w:val="auto"/>
        </w:rPr>
      </w:pPr>
    </w:p>
    <w:p>
      <w:pPr>
        <w:ind w:left="220" w:right="200"/>
        <w:spacing w:after="0" w:line="236" w:lineRule="auto"/>
        <w:rPr>
          <w:sz w:val="20"/>
          <w:szCs w:val="20"/>
          <w:color w:val="auto"/>
        </w:rPr>
      </w:pPr>
      <w:r>
        <w:rPr>
          <w:rFonts w:ascii="Arial" w:cs="Arial" w:eastAsia="Arial" w:hAnsi="Arial"/>
          <w:sz w:val="18"/>
          <w:szCs w:val="18"/>
          <w:color w:val="auto"/>
        </w:rPr>
        <w:t>The bonus pool itself is not subject to a separate cap or maximum, but is merely a function of multiplying the pre-determined percentage by our operating earnings for the applicable fiscal year; however, our Incentive Plan does provide an absolute cap on cash that any employee may receive in any fiscal year under such programs ($5 million).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 as well as the anticipated operating earnings for fiscal 2019.</w:t>
      </w:r>
    </w:p>
    <w:p>
      <w:pPr>
        <w:spacing w:after="0" w:line="204"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In allocating each Named Executive Officer’s opportunity under the pool, the Compensation Committee considered the amount of annual incentive bonus compensation opportunities of executives in other companies who fulfill similar roles as illustrated in the compensation study prepared by L&amp;A, the share of the pool historically allocated to officers in such roles by the Company, the recommendation of Mr. Powers for each participant, as well as the Compensation Committee’s assessment of the executive’s importance and contribution to the organization, the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executive’s importance in driving the achievement of Company goals and profitability, the executive’s level of responsibility, and the anticipated operating earnings for fiscal 2019. The Compensation Committee set the bonus potential for the Named Executive Officers as follows:</w:t>
      </w:r>
    </w:p>
    <w:p>
      <w:pPr>
        <w:spacing w:after="0" w:line="325"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8"/>
              </w:rPr>
              <w:t>Annual</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Incentive Bonus</w:t>
            </w: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vMerge w:val="restart"/>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Potential</w:t>
            </w:r>
          </w:p>
        </w:tc>
        <w:tc>
          <w:tcPr>
            <w:tcW w:w="0" w:type="dxa"/>
            <w:vAlign w:val="bottom"/>
          </w:tcPr>
          <w:p>
            <w:pPr>
              <w:spacing w:after="0"/>
              <w:rPr>
                <w:sz w:val="1"/>
                <w:szCs w:val="1"/>
                <w:color w:val="auto"/>
              </w:rPr>
            </w:pPr>
          </w:p>
        </w:tc>
      </w:tr>
      <w:tr>
        <w:trPr>
          <w:trHeight w:val="259"/>
        </w:trPr>
        <w:tc>
          <w:tcPr>
            <w:tcW w:w="2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 Pool)</w:t>
            </w:r>
          </w:p>
        </w:tc>
        <w:tc>
          <w:tcPr>
            <w:tcW w:w="0" w:type="dxa"/>
            <w:vAlign w:val="bottom"/>
          </w:tcPr>
          <w:p>
            <w:pPr>
              <w:spacing w:after="0"/>
              <w:rPr>
                <w:sz w:val="1"/>
                <w:szCs w:val="1"/>
                <w:color w:val="auto"/>
              </w:rPr>
            </w:pPr>
          </w:p>
        </w:tc>
      </w:tr>
      <w:tr>
        <w:trPr>
          <w:trHeight w:val="277"/>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7"/>
        </w:trPr>
        <w:tc>
          <w:tcPr>
            <w:tcW w:w="22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400" w:type="dxa"/>
            <w:vAlign w:val="bottom"/>
          </w:tcPr>
          <w:p>
            <w:pPr>
              <w:jc w:val="center"/>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7"/>
        </w:trPr>
        <w:tc>
          <w:tcPr>
            <w:tcW w:w="226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1400" w:type="dxa"/>
            <w:vAlign w:val="bottom"/>
          </w:tcPr>
          <w:p>
            <w:pPr>
              <w:jc w:val="center"/>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0" w:right="40"/>
        <w:spacing w:after="0" w:line="252" w:lineRule="auto"/>
        <w:rPr>
          <w:sz w:val="20"/>
          <w:szCs w:val="20"/>
          <w:color w:val="auto"/>
        </w:rPr>
      </w:pPr>
      <w:r>
        <w:rPr>
          <w:rFonts w:ascii="Arial" w:cs="Arial" w:eastAsia="Arial" w:hAnsi="Arial"/>
          <w:sz w:val="17"/>
          <w:szCs w:val="17"/>
          <w:color w:val="auto"/>
        </w:rPr>
        <w:t>Also at the beginning of fiscal 2019, the Compensation Committee worked with Mr. Powers to develop individual annual incentive goal categories by plan and position throughout the Company, including with respect to the Named Executive Officers. For participants in the Eagle Annual Incentive Program, the participants’ individual performance against the goals would be evaluated by the Committee in the exercise of “negative discretion” to reduce (but not increase) the amount of the portion of the pool that would be paid to the participant at the end of the fiscal year.</w:t>
      </w:r>
    </w:p>
    <w:p>
      <w:pPr>
        <w:spacing w:after="0" w:line="192"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At the end of fiscal 2019, the Compensation Committee determined that the aggregate amount available for the Eagle Annual Incentive Program pool for fiscal 2019 was $4,597,239, based on the Company’s operating earnings of $ 328,374,186, as adjusted for certain extraordinary items that the Committee believes are not reflective of operating performance, namely the non-cash impairment of various assets in our oil and gas proppants segment.</w:t>
      </w:r>
    </w:p>
    <w:p>
      <w:pPr>
        <w:spacing w:after="0" w:line="192"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This pool amount was not quantifiable until the end of fiscal 2019. For comparison purposes, the equivalent pool amount in fiscal 2018 was $4,825,766 based on operating earnings of $344,697,591 (as adjusted).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Divisional Annual Incentive Program</w:t>
      </w:r>
    </w:p>
    <w:p>
      <w:pPr>
        <w:spacing w:after="0" w:line="230" w:lineRule="exact"/>
        <w:rPr>
          <w:sz w:val="20"/>
          <w:szCs w:val="20"/>
          <w:color w:val="auto"/>
        </w:rPr>
      </w:pPr>
    </w:p>
    <w:p>
      <w:pPr>
        <w:ind w:left="200" w:right="160"/>
        <w:spacing w:after="0" w:line="257" w:lineRule="auto"/>
        <w:rPr>
          <w:sz w:val="20"/>
          <w:szCs w:val="20"/>
          <w:color w:val="auto"/>
        </w:rPr>
      </w:pPr>
      <w:r>
        <w:rPr>
          <w:rFonts w:ascii="Arial" w:cs="Arial" w:eastAsia="Arial" w:hAnsi="Arial"/>
          <w:sz w:val="17"/>
          <w:szCs w:val="17"/>
          <w:color w:val="auto"/>
        </w:rPr>
        <w:t>For certain employees who do not participate in the Eagle Annual Incentive Program, the Company maintains divisional annual incentive plans, which the Committee believes better tie such employees’ annual incentive compensation to metrics that they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5480" w:space="140"/>
            <w:col w:w="5560"/>
          </w:cols>
          <w:pgMar w:left="240" w:top="459" w:right="4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can directly influence than a Company-wide program. For fiscal 2019, Mr. Metcalf participated in a Divisional Annual Incentive Bonus Program.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204"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Mr. Metcalf participated in the American Gypsum Company Salaried Incentive Compensation Program for Fiscal Year 2019. Under this program, the bonus pool equaled 2.0% of American Gypsum’s operating earnings for fiscal 2019, which is the same percentage the Compensation Committee has set for the past two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206" w:lineRule="exact"/>
        <w:rPr>
          <w:sz w:val="20"/>
          <w:szCs w:val="20"/>
          <w:color w:val="auto"/>
        </w:rPr>
      </w:pPr>
    </w:p>
    <w:p>
      <w:pPr>
        <w:ind w:left="220" w:right="20"/>
        <w:spacing w:after="0" w:line="252" w:lineRule="auto"/>
        <w:rPr>
          <w:sz w:val="20"/>
          <w:szCs w:val="20"/>
          <w:color w:val="auto"/>
        </w:rPr>
      </w:pPr>
      <w:r>
        <w:rPr>
          <w:rFonts w:ascii="Arial" w:cs="Arial" w:eastAsia="Arial" w:hAnsi="Arial"/>
          <w:sz w:val="17"/>
          <w:szCs w:val="17"/>
          <w:color w:val="auto"/>
        </w:rPr>
        <w:t>The divisional bonus pools are not subject to a separate cap or maximum, but are merely a function of multiplying the pre-determined percentage by the applicable operating earnings for the applicable fiscal year. The aggregate amounts available for the American Gypsum program for fiscal 2019 was $4,033,691, which was not quantifiable until the end of fiscal 2019 and includes amounts available for payment to officers and employees other than the Named Executive Officers. For comparison purposes, the equivalent amount in fiscal 2018 was $3,588,260.</w:t>
      </w:r>
    </w:p>
    <w:p>
      <w:pPr>
        <w:spacing w:after="0" w:line="192"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In May 2018, the Compensation Committee set the annual incentive bonus potential for Mr. Metcalf under the American Gypsum Divisional Annual Incentive Bonus Program. In determining Mr. Metcalf’s allocation of the pool, the Compensation Committee considered the recommendation of Mr. Powers, the amount of annual incentive bonus compensation payable to executives in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companies who fulfill similar roles as illustrated in the compensation study prepared by L&amp;A, the portion of the pool historically allocated to his position and the Compensation Committee’s assessment of his importance and contribution to his division’s performance, his importance as an officer within his division in driving the achievement of divisional goals and profitability and his level of responsibility. The Compensation Committee set Mr. Metcalf’s incentive bonus potential at 21% of his divisional bonus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-1607185</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2019 Special Situation Program</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first quarter of fiscal 2019 (May 2018), the Compensation Committee approved the Eagle Materials Inc. Special Situation Program for Fiscal Year 2019, which we refer to as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 individual’s compensation has been adversely affected by market conditions such as a cyclical downturn or in recognition of transactions and events not contemplated at the time the Compensation Committee set compensation for the applicable year.</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SSP awards are made by our CEO, except that awards to executive officers require Compensation Committee approval. Awards under the SSP are not predetermined for any individuals at the beginning of the fiscal year. All full-time employees of Eagle Materials Inc. or any of our subsidiaries are eligible to receive awards under this program. At the beginning of fiscal 2019, the Compensation Committee determined that 0.20% of the Company’s EBITDA for the ensuing fiscal year would fund the SSP, along with the portions of the Eagle and divisional incentive compensation plans and divisional long-term cash compensation plans not paid out. In setting the percentage of EBITDA which would fund the SSP, the Compensation Committee considered several factors, including the anticipated EBITDA for fiscal 2019. All of our Named Executive Officers are eligible to participate in the SSP.</w:t>
      </w:r>
    </w:p>
    <w:p>
      <w:pPr>
        <w:spacing w:after="0" w:line="807"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8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230"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In May 2019, the Compensation Committee approved the incentive bonus pool for fiscal 2019 for the Company. In addition, at the end of fiscal 2019, Mr. Powers provided performance evaluations of each Named Executive Officer (other than himself) to the Compensation Committee, which evaluations included an assessment of the achievement of their individual goals and objectives, along with his recommendation for the annual incentive bonus for each such Named Executive Officer. With respect to Mr. Powers, the Compensation Committee performed its own evaluation of his performance and the extent to which the goals and objectives established for him for fiscal 2019 had been achieved.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Mr. Powers</w:t>
      </w:r>
    </w:p>
    <w:p>
      <w:pPr>
        <w:spacing w:after="0" w:line="230"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At the end of fiscal 2019, the Compensation Committee conducted its performance evaluation of Mr. Powers after receiving input from the entire Board. Mr. Powers also provided information used by the Compensation Committee to evaluate the achievement of his goals and objectives for fiscal 2019 under the Eagle Annual Incentive Program. Based on this evaluation, the Compensation Committee believes Mr. Powers performed at a high level during fiscal 2019 and met his goals and objectives. That evaluation resulted in Mr. Powers receiving 93% of his bonus potential for fiscal 2019. The Compensation Committee approved an annual incentive bonus for Mr. Powers under the Eagle Annual Incentive Program of $1,026,104. In making this determination, the Compensation Committee used its judgment to determine the appropriate award level after consideration of several factors, including his achievement of his goals related to organizational leadership development and the following areas (among others) over the past fiscal year:</w:t>
      </w:r>
    </w:p>
    <w:p>
      <w:pPr>
        <w:spacing w:after="0" w:line="147" w:lineRule="exact"/>
        <w:rPr>
          <w:sz w:val="20"/>
          <w:szCs w:val="20"/>
          <w:color w:val="auto"/>
        </w:rPr>
      </w:pPr>
    </w:p>
    <w:p>
      <w:pPr>
        <w:ind w:left="520" w:right="140" w:hanging="309"/>
        <w:spacing w:after="0" w:line="24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 in completing manufacturing capacity utilization and expansion projects in the Company’s cement business;</w:t>
      </w:r>
    </w:p>
    <w:p>
      <w:pPr>
        <w:spacing w:after="0" w:line="129" w:lineRule="exact"/>
        <w:rPr>
          <w:rFonts w:ascii="Arial" w:cs="Arial" w:eastAsia="Arial" w:hAnsi="Arial"/>
          <w:sz w:val="18"/>
          <w:szCs w:val="18"/>
          <w:color w:val="auto"/>
        </w:rPr>
      </w:pPr>
    </w:p>
    <w:p>
      <w:pPr>
        <w:ind w:left="520" w:right="280" w:hanging="309"/>
        <w:spacing w:after="0" w:line="24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driving the launching of a capacity expansion project at the Company’s paper mill;</w:t>
      </w:r>
    </w:p>
    <w:p>
      <w:pPr>
        <w:spacing w:after="0" w:line="129" w:lineRule="exact"/>
        <w:rPr>
          <w:rFonts w:ascii="Arial" w:cs="Arial" w:eastAsia="Arial" w:hAnsi="Arial"/>
          <w:sz w:val="18"/>
          <w:szCs w:val="18"/>
          <w:color w:val="auto"/>
        </w:rPr>
      </w:pPr>
    </w:p>
    <w:p>
      <w:pPr>
        <w:ind w:left="520" w:hanging="309"/>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balancing wallboard production with demand;</w:t>
      </w:r>
    </w:p>
    <w:p>
      <w:pPr>
        <w:spacing w:after="0" w:line="157" w:lineRule="exact"/>
        <w:rPr>
          <w:rFonts w:ascii="Arial" w:cs="Arial" w:eastAsia="Arial" w:hAnsi="Arial"/>
          <w:sz w:val="18"/>
          <w:szCs w:val="18"/>
          <w:color w:val="auto"/>
        </w:rPr>
      </w:pPr>
    </w:p>
    <w:p>
      <w:pPr>
        <w:ind w:left="520" w:right="60" w:hanging="309"/>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leadership in driving talent and organizational development at both the corporate and divisional levels, including CEO succession activities; and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780" w:right="740" w:hanging="30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promotion of a safety performance culture and implementation of reporting and monitoring system enhancements.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Kesler</w:t>
      </w:r>
    </w:p>
    <w:p>
      <w:pPr>
        <w:spacing w:after="0" w:line="23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At the end of fiscal 2019, Mr. Powers reviewed Mr. Kesler’s performance, finding that Mr. Kesler had achieved his goals during the fiscal year. Based in part on this review, the Compensation Committee determined that Mr. Kesler had met his goals and awarded Mr. Kesler 93% of his incentive bonus potential, approving an annual incentive bonus for Mr. Kesler under the Eagle Annual Incentive Program of $675,518. In making this determination, the Compensation Committee used its judgment to determine the appropriate award level after consideration of several factors, including his achievement of his goals related to his areas of responsibility, the input of Mr. Powers regarding Mr. Kesler’s performance, and the following areas (among others) over the past fiscal year: Mr. Kesler’s oversight of the development of a new sales force software platform, and his completion of an analysis of the retirement plan, including investment choices, implementation of cost-saving plan improvements and efficiencies, and modernization of our investment policy statement.</w:t>
      </w:r>
    </w:p>
    <w:p>
      <w:pPr>
        <w:spacing w:after="0" w:line="214" w:lineRule="exact"/>
        <w:rPr>
          <w:sz w:val="20"/>
          <w:szCs w:val="20"/>
          <w:color w:val="auto"/>
        </w:rPr>
      </w:pPr>
    </w:p>
    <w:p>
      <w:pPr>
        <w:ind w:left="200" w:right="100"/>
        <w:spacing w:after="0" w:line="253" w:lineRule="auto"/>
        <w:rPr>
          <w:sz w:val="20"/>
          <w:szCs w:val="20"/>
          <w:color w:val="auto"/>
        </w:rPr>
      </w:pPr>
      <w:r>
        <w:rPr>
          <w:rFonts w:ascii="Arial" w:cs="Arial" w:eastAsia="Arial" w:hAnsi="Arial"/>
          <w:sz w:val="17"/>
          <w:szCs w:val="17"/>
          <w:color w:val="auto"/>
        </w:rPr>
        <w:t>In addition, the Compensation Committee approved a cash award under the SSP to Mr. Kesler in the amount of $50,000. In making this award to Mr. Kesler, the Compensation Committee took into consideration the recommendation of Mr. Powers and Mr. Kesler’s ongoing work on the Company’s strategic portfolio review, the implementation of sales force sales tools for the cement division, and an upgraded capital program, process and system.</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Haack</w:t>
      </w:r>
    </w:p>
    <w:p>
      <w:pPr>
        <w:spacing w:after="0" w:line="23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At the end of fiscal 2019, Mr. Powers reviewed Mr. Haack’s performance, finding that Mr. Haack had achieved his goals during the fiscal year. Based in part on this review, the Compensation Committee determined that Mr. Haack had met his goals and awarded Mr. Haack 93% of his incentive bonus potential, approving an annual incentive bonus for Mr. Haack under the Eagle Annual Incentive Program of $726,823. In making this determination, the Compensation Committee used its judgment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5460" w:space="160"/>
            <w:col w:w="5560"/>
          </w:cols>
          <w:pgMar w:left="240" w:top="459" w:right="47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400" w:lineRule="exact"/>
        <w:rPr>
          <w:sz w:val="20"/>
          <w:szCs w:val="20"/>
          <w:color w:val="auto"/>
        </w:rPr>
      </w:pPr>
    </w:p>
    <w:p>
      <w:pPr>
        <w:ind w:left="220" w:right="180"/>
        <w:spacing w:after="0" w:line="234" w:lineRule="auto"/>
        <w:rPr>
          <w:sz w:val="20"/>
          <w:szCs w:val="20"/>
          <w:color w:val="auto"/>
        </w:rPr>
      </w:pPr>
      <w:r>
        <w:rPr>
          <w:rFonts w:ascii="Arial" w:cs="Arial" w:eastAsia="Arial" w:hAnsi="Arial"/>
          <w:sz w:val="18"/>
          <w:szCs w:val="18"/>
          <w:color w:val="auto"/>
        </w:rPr>
        <w:t>determine the appropriate award level after consideration of several factors, including his achievement of his goals related to his areas of responsibility, the input of Mr. Powers regarding</w:t>
      </w:r>
    </w:p>
    <w:p>
      <w:pPr>
        <w:spacing w:after="0" w:line="2" w:lineRule="exact"/>
        <w:rPr>
          <w:sz w:val="20"/>
          <w:szCs w:val="20"/>
          <w:color w:val="auto"/>
        </w:rPr>
      </w:pPr>
    </w:p>
    <w:p>
      <w:pPr>
        <w:ind w:left="220"/>
        <w:spacing w:after="0" w:line="257" w:lineRule="auto"/>
        <w:rPr>
          <w:sz w:val="20"/>
          <w:szCs w:val="20"/>
          <w:color w:val="auto"/>
        </w:rPr>
      </w:pPr>
      <w:r>
        <w:rPr>
          <w:rFonts w:ascii="Arial" w:cs="Arial" w:eastAsia="Arial" w:hAnsi="Arial"/>
          <w:sz w:val="17"/>
          <w:szCs w:val="17"/>
          <w:color w:val="auto"/>
        </w:rPr>
        <w:t>Mr. Haack’s performance, and the following areas (among others) over the past fiscal year: Mr. Haack’s success in further enhancing the Company’s safety programs, organizational leadership development, manufacturing capacity utilization and expansion.</w:t>
      </w:r>
    </w:p>
    <w:p>
      <w:pPr>
        <w:spacing w:after="0" w:line="189"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In addition, the Compensation Committee approved a cash award under the SSP to Mr. Haack in the amount of $100,000. In making this award to Mr. Haack, the Compensation Committee took into consideration the recommendation of Mr. Powers and Mr. Haack’s leadership on upgraded safety programs throughout the Company and the implementation of sales force sales tools for the cement division.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Mr. Stewart</w:t>
      </w:r>
    </w:p>
    <w:p>
      <w:pPr>
        <w:spacing w:after="0" w:line="230"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At the end of fiscal 2019, Mr. Powers reviewed Mr. Stewart’s performance, finding that Mr. Stewart had achieved his goals during the fiscal year. Based in part on this review, the Compensation Committee determined that Mr. Stewart had met his goals and awarded Mr. Stewart 93% of his incentive bonus potential, approving an annual incentive bonus for Mr. Stewart under the Eagle Annual Incentive Program of $675,518. In making this determination, the Compensation Committee used its judgment to determine the appropriate award level after consideration of several factors, including his achievement of his goals related to his areas of responsibility, the input of Mr. Powers regarding Mr. Stewart’s performance, and the following areas (among others) over the past fiscal year: Mr. Stewart’s implementation of executive transition planning, including engagement with internal constituents and external investor groups, and his ongoing investor outreach with regard to the Company’s ESG initiatives.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Mr. Metcalf</w:t>
      </w:r>
    </w:p>
    <w:p>
      <w:pPr>
        <w:spacing w:after="0" w:line="230"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At the end of fiscal 2019, Mr. Powers reviewed the performance of Mr. Metcalf, finding that Mr. Metcalf had achieved his goals during the fiscal year. Based in part on this review, the Compensation Committee determined that Mr. Metcalf had met his goals and awarded Mr. Metcalf 94% of his incentive bonus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potential, approving an annual incentive bonus for Mr. Metcalf under the American Gypsum Salaried Incentive Compensation Program for Fiscal Year 2019 of $ 796,251. In making this determination, the Compensation Committee used its judgment to determine the appropriate award level after consideration of several factors, including his achievement of his goals related to his areas of responsibility, the input of Mr. Powers regarding the performance of Mr. Metcalf, and the following areas (among others) over the past fiscal year: Mr. Metcalf’s assurance of plant reserves expansion plans in place for all wallboard plants, his continuing work on talent management and development within American Gypsum, and his oversight of the successful winding down of the Rio Grande business in Albuquerque.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Incentive Compensation</w:t>
      </w:r>
    </w:p>
    <w:p>
      <w:pPr>
        <w:spacing w:after="0" w:line="23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Consistent with the Compensation Committee’s philosophy of linking compensation to our performance, a significant portion of our long-term incentive compensation program for fiscal 2019 has been structured to tie the ability to earn equity awards to the achievement by the Company of specific performance levels. To enhance retention of key employees, once earned, the performance awards contain a further time-vesting component. Also, a portion of our long-term compensation program has been structured as purely time-vesting, which the Compensation Committee believes, based on the input of L&amp;A, is in-line with the practice of our peers. A more detailed description of the fiscal 2019 awards is found below.</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Burn Rate</w:t>
      </w:r>
    </w:p>
    <w:p>
      <w:pPr>
        <w:spacing w:after="0" w:line="23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Compensation Committee has been a good steward of the equity available to it for award under our Incentive Plan. Our three-year average burn rate (a measure of historical dilution) is well below our industry norms. The Company’s three-year average burn rate (which is based on the number of awards granted—or, in the case of performance awards, awards earned—in each fiscal year, divided by the weighted-average common shares outstanding for such fiscal year) is 0.94%. The 2019 benchmark for our industry published by ISS is 2.72%.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5480" w:space="140"/>
            <w:col w:w="5600"/>
          </w:cols>
          <w:pgMar w:left="24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23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All of the Named Executive Officers participate in our long-term incentive compensation program. In fiscal 2019,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Fiscal 2019 Grants</w:t>
      </w:r>
    </w:p>
    <w:p>
      <w:pPr>
        <w:spacing w:after="0" w:line="230" w:lineRule="exact"/>
        <w:rPr>
          <w:sz w:val="20"/>
          <w:szCs w:val="20"/>
          <w:color w:val="auto"/>
        </w:rPr>
      </w:pPr>
    </w:p>
    <w:p>
      <w:pPr>
        <w:jc w:val="both"/>
        <w:ind w:left="200" w:right="120"/>
        <w:spacing w:after="0" w:line="234" w:lineRule="auto"/>
        <w:rPr>
          <w:sz w:val="20"/>
          <w:szCs w:val="20"/>
          <w:color w:val="auto"/>
        </w:rPr>
      </w:pPr>
      <w:r>
        <w:rPr>
          <w:rFonts w:ascii="Arial" w:cs="Arial" w:eastAsia="Arial" w:hAnsi="Arial"/>
          <w:sz w:val="18"/>
          <w:szCs w:val="18"/>
          <w:color w:val="auto"/>
        </w:rPr>
        <w:t>In structuring the long-term incentive program for fiscal 2019, the Compensation Committee worked with our CEO, Mr. Powers, to establish a mix of performance-based and time-vesting awards.</w:t>
      </w:r>
    </w:p>
    <w:p>
      <w:pPr>
        <w:spacing w:after="0" w:line="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Consistent with prior years, the performance metric selected was return on equity, or “ROE,” which represents our earnings as a percentage of our stockholders’ equity, a performance metric that our stockholders have told us they find meaningful and that the Committee views as a measure of the Company’s prudent deployment of capital.</w:t>
      </w:r>
    </w:p>
    <w:p>
      <w:pPr>
        <w:spacing w:after="0" w:line="205"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Target award amounts were allocated equally between performance-vesting and time-vesting awards, with one-half of each type being allocated to restricted stock and one-half to stock options; provided, that the Committee could take into consideration the recipient’s age and proximity to retirement in allocating some awards 100% to restricted stock. With respect to performance-based equity awards, the Committee determined a target award value that would be received upon the achievement of a strong ROE, with up to 120% of the target value received if exceptional ROE were achieved and 80% of the target value received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acceptable ROE were achieved. None of the performance-based equity awards would be earned if the return on equity were below this acceptable level. Both performance-based and time-vesting equity awards would vest over a four-year period to enhance the retention of these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-1224915</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Effective May 17, 2018, the Compensation Committee approved equity awards under the Incentive Plan to a group of key employees, including the Named Executive Officers, in alignment with the above structure. As part of the compensation study delivered to the Compensation Committee in May 2018, L&amp;A had provided information regarding long-term compensation as well as total direct compensation paid to the compensation peer group. In determining the value of the equity to be granted, the Compensation Committee took into consideration the L&amp;A compensation study, the input of Mr. Powers, the Compensation Committee’s assessment of the executive’s importance and contribution to the organization, and the executive’s level of responsibility. The target grant date fair value was allocated 50% to performance-based equity (with a Company ROE financial metric) and 50% to time-vesting equity. In general, recipients of equity awards had their target grant date fair value allocated half to restricted stock and half to stock options; however, given their age and proximity to retirement, some recipients (including Messrs. Powers, Stewart and Metcalf) had their entire award allocated to restricted stock.</w:t>
      </w:r>
    </w:p>
    <w:p>
      <w:pPr>
        <w:spacing w:after="0" w:line="21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following table shows the stock options and restricted stock granted to each of the Company’s Named Executive Officers effective May 17, 2018:</w:t>
      </w:r>
    </w:p>
    <w:p>
      <w:pPr>
        <w:spacing w:after="0" w:line="1439" w:lineRule="exact"/>
        <w:rPr>
          <w:sz w:val="20"/>
          <w:szCs w:val="20"/>
          <w:color w:val="auto"/>
        </w:rPr>
      </w:pPr>
    </w:p>
    <w:p>
      <w:pPr>
        <w:sectPr>
          <w:pgSz w:w="11900" w:h="16838" w:orient="portrait"/>
          <w:cols w:equalWidth="0" w:num="2">
            <w:col w:w="5480" w:space="340"/>
            <w:col w:w="5340"/>
          </w:cols>
          <w:pgMar w:left="240" w:top="459" w:right="499" w:bottom="1440" w:gutter="0" w:footer="0" w:header="0"/>
        </w:sectPr>
      </w:pP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Shares of</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Shares of</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Performance</w:t>
            </w:r>
          </w:p>
        </w:tc>
        <w:tc>
          <w:tcPr>
            <w:tcW w:w="18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Performance</w:t>
            </w:r>
          </w:p>
        </w:tc>
        <w:tc>
          <w:tcPr>
            <w:tcW w:w="1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260" w:type="dxa"/>
            <w:vAlign w:val="bottom"/>
            <w:gridSpan w:val="2"/>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Time Vesting</w:t>
            </w:r>
          </w:p>
        </w:tc>
        <w:tc>
          <w:tcPr>
            <w:tcW w:w="0" w:type="dxa"/>
            <w:vAlign w:val="bottom"/>
          </w:tcPr>
          <w:p>
            <w:pPr>
              <w:spacing w:after="0"/>
              <w:rPr>
                <w:sz w:val="1"/>
                <w:szCs w:val="1"/>
                <w:color w:val="auto"/>
              </w:rPr>
            </w:pPr>
          </w:p>
        </w:tc>
      </w:tr>
      <w:tr>
        <w:trPr>
          <w:trHeight w:val="203"/>
        </w:trPr>
        <w:tc>
          <w:tcPr>
            <w:tcW w:w="176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Vesting</w:t>
            </w:r>
          </w:p>
        </w:tc>
        <w:tc>
          <w:tcPr>
            <w:tcW w:w="18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Vesting</w:t>
            </w:r>
          </w:p>
        </w:tc>
        <w:tc>
          <w:tcPr>
            <w:tcW w:w="1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Time Vesting</w:t>
            </w:r>
          </w:p>
        </w:tc>
        <w:tc>
          <w:tcPr>
            <w:tcW w:w="1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Restricted</w:t>
            </w:r>
          </w:p>
        </w:tc>
        <w:tc>
          <w:tcPr>
            <w:tcW w:w="0" w:type="dxa"/>
            <w:vAlign w:val="bottom"/>
          </w:tcPr>
          <w:p>
            <w:pPr>
              <w:spacing w:after="0"/>
              <w:rPr>
                <w:sz w:val="1"/>
                <w:szCs w:val="1"/>
                <w:color w:val="auto"/>
              </w:rPr>
            </w:pPr>
          </w:p>
        </w:tc>
      </w:tr>
      <w:tr>
        <w:trPr>
          <w:trHeight w:val="232"/>
        </w:trPr>
        <w:tc>
          <w:tcPr>
            <w:tcW w:w="1760" w:type="dxa"/>
            <w:vAlign w:val="bottom"/>
            <w:vMerge w:val="continue"/>
          </w:tcPr>
          <w:p>
            <w:pPr>
              <w:spacing w:after="0"/>
              <w:rPr>
                <w:sz w:val="20"/>
                <w:szCs w:val="20"/>
                <w:color w:val="auto"/>
              </w:rPr>
            </w:pPr>
          </w:p>
        </w:tc>
        <w:tc>
          <w:tcPr>
            <w:tcW w:w="14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Stock Options</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Restricted Stock</w:t>
            </w:r>
          </w:p>
        </w:tc>
        <w:tc>
          <w:tcPr>
            <w:tcW w:w="14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Stock Options</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Stock</w:t>
            </w:r>
          </w:p>
        </w:tc>
        <w:tc>
          <w:tcPr>
            <w:tcW w:w="0" w:type="dxa"/>
            <w:vAlign w:val="bottom"/>
          </w:tcPr>
          <w:p>
            <w:pPr>
              <w:spacing w:after="0"/>
              <w:rPr>
                <w:sz w:val="1"/>
                <w:szCs w:val="1"/>
                <w:color w:val="auto"/>
              </w:rPr>
            </w:pPr>
          </w:p>
        </w:tc>
      </w:tr>
      <w:tr>
        <w:trPr>
          <w:trHeight w:val="203"/>
        </w:trPr>
        <w:tc>
          <w:tcPr>
            <w:tcW w:w="1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David B. Powers</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19,767</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16,473</w:t>
            </w: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auto"/>
              </w:rPr>
              <w:t>D. Craig Kesler</w:t>
            </w:r>
          </w:p>
        </w:tc>
        <w:tc>
          <w:tcPr>
            <w:tcW w:w="142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rPr>
              <w:t>7,937</w:t>
            </w:r>
          </w:p>
        </w:tc>
        <w:tc>
          <w:tcPr>
            <w:tcW w:w="162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2,542</w:t>
            </w:r>
          </w:p>
        </w:tc>
        <w:tc>
          <w:tcPr>
            <w:tcW w:w="142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rPr>
              <w:t>6,614</w:t>
            </w:r>
          </w:p>
        </w:tc>
        <w:tc>
          <w:tcPr>
            <w:tcW w:w="12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Haack</w:t>
            </w:r>
          </w:p>
        </w:tc>
        <w:tc>
          <w:tcPr>
            <w:tcW w:w="1420" w:type="dxa"/>
            <w:vAlign w:val="bottom"/>
            <w:gridSpan w:val="2"/>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rPr>
              <w:t>9,701</w:t>
            </w:r>
          </w:p>
        </w:tc>
        <w:tc>
          <w:tcPr>
            <w:tcW w:w="1620" w:type="dxa"/>
            <w:vAlign w:val="bottom"/>
            <w:gridSpan w:val="2"/>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3,107</w:t>
            </w:r>
          </w:p>
        </w:tc>
        <w:tc>
          <w:tcPr>
            <w:tcW w:w="1420" w:type="dxa"/>
            <w:vAlign w:val="bottom"/>
            <w:gridSpan w:val="2"/>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rPr>
              <w:t>8,084</w:t>
            </w:r>
          </w:p>
        </w:tc>
        <w:tc>
          <w:tcPr>
            <w:tcW w:w="126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3"/>
        </w:trPr>
        <w:tc>
          <w:tcPr>
            <w:tcW w:w="1760" w:type="dxa"/>
            <w:vAlign w:val="bottom"/>
          </w:tcPr>
          <w:p>
            <w:pPr>
              <w:spacing w:after="0" w:line="202" w:lineRule="exact"/>
              <w:rPr>
                <w:sz w:val="20"/>
                <w:szCs w:val="20"/>
                <w:color w:val="auto"/>
              </w:rPr>
            </w:pPr>
            <w:r>
              <w:rPr>
                <w:rFonts w:ascii="Arial" w:cs="Arial" w:eastAsia="Arial" w:hAnsi="Arial"/>
                <w:sz w:val="18"/>
                <w:szCs w:val="18"/>
                <w:color w:val="auto"/>
              </w:rPr>
              <w:t>Robert S. Stewart</w:t>
            </w:r>
          </w:p>
        </w:tc>
        <w:tc>
          <w:tcPr>
            <w:tcW w:w="142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5,083</w:t>
            </w:r>
          </w:p>
        </w:tc>
        <w:tc>
          <w:tcPr>
            <w:tcW w:w="142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Keith W. Metcalf</w:t>
            </w:r>
          </w:p>
        </w:tc>
        <w:tc>
          <w:tcPr>
            <w:tcW w:w="1420" w:type="dxa"/>
            <w:vAlign w:val="bottom"/>
            <w:gridSpan w:val="2"/>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4,236</w:t>
            </w:r>
          </w:p>
        </w:tc>
        <w:tc>
          <w:tcPr>
            <w:tcW w:w="1420" w:type="dxa"/>
            <w:vAlign w:val="bottom"/>
            <w:gridSpan w:val="2"/>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gridSpan w:val="2"/>
          </w:tcPr>
          <w:p>
            <w:pPr>
              <w:jc w:val="right"/>
              <w:ind w:right="87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Committee believes that the structure of the fiscal 2019 long-term compensation program is consistent with the Compensation Committee’s philosophy of linking compensation to our performance.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Performance-Based Equity Awards</w:t>
      </w:r>
    </w:p>
    <w:p>
      <w:pPr>
        <w:spacing w:after="0" w:line="23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These awards are comprised of shares of restricted stock and stock options which are earned based upon the achievement by the Company of a certain level of average ROE for the fiscal year ended March 31, 2019, with 100% of the awarded stock/options (that is, 120% of the target award value) being earned if such ROE measure was 20.0% or higher, 83.3% of the awarded stock/options (that is, 100% of the target award value) being earned if such ROE measure was 15.0%, and 66.7% of the awarded stock/options (that is, 80% of the target award value) being earned if such ROE measure was at least 10.0% (with the exact percentage of shares earned being calculated based on straight-line interpolation between the points specified above with fractional points rounded to the nearest tenth of a percent). If the Company achieved an ROE measure of less than 10.0%, then none of the performance-based equity awards would be earned. The earned performance-based equity was to become fully vested one-fourth promptly after the certification date and one-fourth on March 31 for each of the following three years (in each case assuming continued service through such dates).</w:t>
      </w:r>
    </w:p>
    <w:p>
      <w:pPr>
        <w:spacing w:after="0" w:line="21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terms and conditions of the performance-based equity are substantially the same as prior performance-based awards, except that the performance criterion is as described above. Any performance-based equity that was not earned at the end of fiscal 2019 was to be forfeited. In accordance with the terms of the Incentive Plan, the exercise price of the stock options is the closing price of the Company’s Common Stock on the date of grant, May 17, 2018 ($106.24).</w:t>
      </w:r>
    </w:p>
    <w:p>
      <w:pPr>
        <w:spacing w:after="0" w:line="208"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May 2019, the Compensation Committee certified that the Company’s 16.9% average ROE for the fiscal year ended March 31, 2019 satisfied the Company’s performance goal such that 89.7% of the performance-based equity granted (or 107.6% of the target number of shares/options) was earned. In calculating the average ROE, in accordance with the award agreement, the Committee excluded the impact of certain extraordinary items not related to operating performance, namely the non-cash impairment of various assets in our oil and gas proppants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Time-Vesting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-693420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awards are comprised of shares of restricted stock and stock options which vest ratably over four years on March 31, 2019; March 31, 2020; March 31, 2021; and March 31, 2022 (in each case assuming continued service through such dates). The Compensation Committee believes that including time-vesting equity as part of long-term compensation is consistent with competitive pay practices, preserves the Company’s philosophy that a significant portion of an executive’s pay should be at risk, enhances the retention of key employees, while at the same time creating a strong incentive for management to operate the business in a manner that creates additional value for stockholders.</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terms and conditions of the time-vesting equity are substantially the same as prior time-vesting awards. As in the case of prior equity awards, the time-vesting equity will also vest upon a change in control of the Company. See “Change in Control Benefits” below. In accordance with the terms of the Incentive Plan, the exercise price of the stock options is the closing price of the Company’s Common Stock on the date of grant, May 17, 2018 ($106.24).</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Elements of 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Prior to January 1, 2019, we maintained two qualified defined contribution plans under sections 401(a) and 401(k) of the Internal Revenue Code of 1986 (the “Code”): our Profit Sharing and Retirement Plan, which we refer to as our “PSRP,” covering substantially all salaried employees of the Company and our subsidiaries, including our Named Executive Officers; and our Hourly Profit Sharing Plan, which we refer to as our “Hourly Plan,” covering substantially all hourly employees of the Company and our subsidiaries.</w:t>
      </w:r>
    </w:p>
    <w:p>
      <w:pPr>
        <w:spacing w:after="0" w:line="207" w:lineRule="exact"/>
        <w:rPr>
          <w:sz w:val="20"/>
          <w:szCs w:val="20"/>
          <w:color w:val="auto"/>
        </w:rPr>
      </w:pPr>
    </w:p>
    <w:p>
      <w:pPr>
        <w:jc w:val="both"/>
        <w:ind w:right="220"/>
        <w:spacing w:after="0" w:line="261" w:lineRule="auto"/>
        <w:rPr>
          <w:sz w:val="20"/>
          <w:szCs w:val="20"/>
          <w:color w:val="auto"/>
        </w:rPr>
      </w:pPr>
      <w:r>
        <w:rPr>
          <w:rFonts w:ascii="Arial" w:cs="Arial" w:eastAsia="Arial" w:hAnsi="Arial"/>
          <w:sz w:val="17"/>
          <w:szCs w:val="17"/>
          <w:color w:val="auto"/>
        </w:rPr>
        <w:t>Effective January 1, 2019, our PSRP was merged into our Hourly Plan and in connection with the plan merger our Hourly Plan was renamed our Retirement Plan. As a result, after December 31,</w:t>
      </w:r>
    </w:p>
    <w:p>
      <w:pPr>
        <w:spacing w:after="0" w:line="1327"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20"/>
          </w:cols>
          <w:pgMar w:left="240" w:top="459" w:right="4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4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2018, our Named Executive Officers, along with substantially all salaried and hourly employees of the Company and our subsidiaries are covered under our Retirement Plan (formerly our Hourly Plan). As a result, in fiscal 2019 our Named Executive Officers were covered under our PSRP prior to January 1, 2019 and our Retirement Plan after December 31, 2018. For purposes of the description below, unless expressly provided otherwise, references to our “Retirement Plan” include our PSPR.</w:t>
      </w:r>
    </w:p>
    <w:p>
      <w:pPr>
        <w:spacing w:after="0" w:line="20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Salaried participants, including our Named Executive Officers, covered under our Retirement Plan may elect to make pre-tax contributions and/or, after December 31, 2018, after-tax Roth 401(k) contributions of up to 70% of their base salary subject to the limit under Code Section 402(g) ($18,500 for calendar year 2018 and $19,000 for calendar year 2019), employee after-tax contributions of up to 10% of base salary and, if the participant is at least age 50, “catch-up contributions” up to the statutory limit under Code Section 414(v) (currently $6,000). In addition, our Retirement Plan provides for a discretionary employer profit sharing contribution for our salaried employees, including our Named Executive Officers, that is a percentage of base salary for the year.</w:t>
      </w:r>
    </w:p>
    <w:p>
      <w:pPr>
        <w:spacing w:after="0" w:line="20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Participants are fully vested to the extent of their pre-tax, after-tax Roth 401(k), and after-tax contributions. Prior to January 1, 2019, our salaried participants become vested in the employer profit sharing contribution over a six-year period (i.e., 20% per year beginning with the second year of service); after December 31, 2018, our salaried participants become vested in the employer profit sharing contribution over a four-year-period (i.e., 25% per year beginning with the first year of service). All of the Named Executive Officers have been employed by the Company or our affiliates long enough to be fully vested. Participants are entitled to direct the investment of contributions made to the Retirement Plan on their behalf in various investment funds, including up to 15% in an Eagle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Employer profit sharing contributions made to the Retirement Plan on behalf of our Named Executive Officers in fiscal 2019 are reflected under the “All Other Compensation” column in the Summary Compensation Table located on page 37 of this proxy statement. A list of the investment funds provided under the Retirement Plan is provided in the footnotes to the Nonqualified Deferred Compensation Table located on page 45 of this proxy statement.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SERP</w:t>
      </w:r>
    </w:p>
    <w:p>
      <w:pPr>
        <w:spacing w:after="0" w:line="23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In fiscal 1995, the Board approved our Supplemental Executive Retirement Program, which we will refer to as our “SERP,” for certain employees participating in the Retirement Plan. Internal Revenue Code Section 401(a)(17) limits the amount of annual compensation (currently $270,000) that may be considered in determining our contribution to the Retirement Plan for the account of an eligible participant.</w:t>
      </w:r>
    </w:p>
    <w:p>
      <w:pPr>
        <w:spacing w:after="0" w:line="203" w:lineRule="exact"/>
        <w:rPr>
          <w:sz w:val="20"/>
          <w:szCs w:val="20"/>
          <w:color w:val="auto"/>
        </w:rPr>
      </w:pPr>
    </w:p>
    <w:p>
      <w:pPr>
        <w:ind w:left="200"/>
        <w:spacing w:after="0" w:line="250" w:lineRule="auto"/>
        <w:rPr>
          <w:sz w:val="20"/>
          <w:szCs w:val="20"/>
          <w:color w:val="auto"/>
        </w:rPr>
      </w:pPr>
      <w:r>
        <w:rPr>
          <w:rFonts w:ascii="Arial" w:cs="Arial" w:eastAsia="Arial" w:hAnsi="Arial"/>
          <w:sz w:val="17"/>
          <w:szCs w:val="17"/>
          <w:color w:val="auto"/>
        </w:rPr>
        <w:t>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Retirement Plan had 100% of his or her base salary been eligible for a profit sharing contribution. As in the case of the Retirement Plan,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Retirement Plan without the arbitrary limitation of the Internal Revenue Code rules noted above.</w:t>
      </w:r>
    </w:p>
    <w:p>
      <w:pPr>
        <w:spacing w:after="0" w:line="200" w:lineRule="exact"/>
        <w:rPr>
          <w:sz w:val="20"/>
          <w:szCs w:val="20"/>
          <w:color w:val="auto"/>
        </w:rPr>
      </w:pPr>
    </w:p>
    <w:p>
      <w:pPr>
        <w:spacing w:after="0" w:line="206"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Contributions accrued under the SERP for the benefit of the higher-salaried employees vest under the same terms and conditions as under the Retirement Plan and may be invested by the participant in several of the same investment options as offered under the Retirement Plan. Benefits under the SERP are payable upon the participant’s termination of employment in a lump sum or installments as elected by the participant in accordance with the terms of the SERP. As with the Retirement Plan, all of the Named Executive Officers have been employed by the Company or our affiliates long enough to be fully vested.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5480" w:space="140"/>
            <w:col w:w="5580"/>
          </w:cols>
          <w:pgMar w:left="240" w:top="459" w:right="45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400"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Employer contributions under the SERP to our Named Executive Officers in fiscal 2019 are reflected under the “All Other Compensation” column in the Summary Compensation Table located on page 37 of this proxy statement. A list of the investment funds provided under the Retirement Plan is provided in the footnotes to the Nonqualified Deferred Compensation Table located on page 45 of this proxy statement.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Salary Continuation Plan</w:t>
      </w:r>
    </w:p>
    <w:p>
      <w:pPr>
        <w:spacing w:after="0" w:line="234"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$ 1.5 million. Payments are made to the employee’s beneficiary on a semi-monthly basis.</w:t>
      </w:r>
    </w:p>
    <w:p>
      <w:pPr>
        <w:spacing w:after="0" w:line="207"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w:t>
      </w:r>
    </w:p>
    <w:p>
      <w:pPr>
        <w:spacing w:after="0" w:line="207" w:lineRule="exact"/>
        <w:rPr>
          <w:sz w:val="20"/>
          <w:szCs w:val="20"/>
          <w:color w:val="auto"/>
        </w:rPr>
      </w:pPr>
    </w:p>
    <w:p>
      <w:pPr>
        <w:ind w:left="220"/>
        <w:spacing w:after="0" w:line="253" w:lineRule="auto"/>
        <w:rPr>
          <w:sz w:val="20"/>
          <w:szCs w:val="20"/>
          <w:color w:val="auto"/>
        </w:rPr>
      </w:pPr>
      <w:r>
        <w:rPr>
          <w:rFonts w:ascii="Arial" w:cs="Arial" w:eastAsia="Arial" w:hAnsi="Arial"/>
          <w:sz w:val="17"/>
          <w:szCs w:val="17"/>
          <w:color w:val="auto"/>
        </w:rPr>
        <w:t>Premiums paid on policies covering our Named Executive Officers in fiscal 2019 are reflected under the “All Other Compensation” column in the Summary Compensation Table located on page 37 of this proxy statement. Amounts potentially payable to the beneficiaries of our Named Executive Officers pursuant to the SCP are described in “Potential Payments Upon Termination or Change in Control” beginning on page 46 of this proxy statement.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 in Control Benefits</w:t>
      </w:r>
    </w:p>
    <w:p>
      <w:pPr>
        <w:spacing w:after="0" w:line="234" w:lineRule="exact"/>
        <w:rPr>
          <w:sz w:val="20"/>
          <w:szCs w:val="20"/>
          <w:color w:val="auto"/>
        </w:rPr>
      </w:pPr>
    </w:p>
    <w:p>
      <w:pPr>
        <w:ind w:left="220" w:right="260"/>
        <w:spacing w:after="0" w:line="246" w:lineRule="auto"/>
        <w:rPr>
          <w:sz w:val="20"/>
          <w:szCs w:val="20"/>
          <w:color w:val="auto"/>
        </w:rPr>
      </w:pPr>
      <w:r>
        <w:rPr>
          <w:rFonts w:ascii="Arial" w:cs="Arial" w:eastAsia="Arial" w:hAnsi="Arial"/>
          <w:sz w:val="18"/>
          <w:szCs w:val="18"/>
          <w:color w:val="auto"/>
        </w:rPr>
        <w:t>During fiscal 2019, in order to better ensure the retention of our employees in the event of a</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potentially disruptive corporate transaction, we provided our employees, including our Named Executive Officers, with certain change-in-control protections.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Awards granted in fiscal 2019 under our Incentive Plan are subject to accelerated vesting upon the occurrence of a “change in control” as defined in the applicable award agreement if they are not assumed or replaced with equivalent awards in connection with such change in control. Under the award agreements or incentive program documents,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 50% of the stock following such transaction is owned by persons or entities who were stockholders of the Company prior to such transaction, (2) following such transaction, no person or entity owns 40% or more of the common stock of the corporation resulting from such transaction, and (3) at least a majority of the members of the resulting corporation’s board of directors were members of our Board.</w:t>
      </w:r>
    </w:p>
    <w:p>
      <w:pPr>
        <w:spacing w:after="0" w:line="2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a change in control occurs, any unvested outstanding stock options, restricted stock, restricted stock units would generally become immediately fully vested, and, in the case of stock options, exercisable or, in the case of restricted stock or RSUs, payable, unless the transaction resulting in the change in control provides that the award is to be replaced with an award of equivalent shares of the surviving parent corporation. See “Potential Payments Upon Termination or Change in Control” beginning on page 46 of this proxy statement.</w:t>
      </w:r>
    </w:p>
    <w:p>
      <w:pPr>
        <w:spacing w:after="0" w:line="1074"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7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00"/>
          </w:cols>
          <w:pgMar w:left="240" w:top="459" w:right="4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220"/>
        <w:spacing w:after="0" w:line="257" w:lineRule="auto"/>
        <w:rPr>
          <w:sz w:val="20"/>
          <w:szCs w:val="20"/>
          <w:color w:val="auto"/>
        </w:rPr>
      </w:pPr>
      <w:r>
        <w:rPr>
          <w:rFonts w:ascii="Arial" w:cs="Arial" w:eastAsia="Arial" w:hAnsi="Arial"/>
          <w:sz w:val="17"/>
          <w:szCs w:val="17"/>
          <w:color w:val="auto"/>
        </w:rPr>
        <w:t>We believe the provision of these change in control benefits is generally consistent with market practice among our peers, is a valuable executive talent retention incentive and is consistent with the objectives of our overall executive compensation program.</w:t>
      </w:r>
    </w:p>
    <w:p>
      <w:pPr>
        <w:spacing w:after="0" w:line="167" w:lineRule="exact"/>
        <w:rPr>
          <w:sz w:val="20"/>
          <w:szCs w:val="20"/>
          <w:color w:val="auto"/>
        </w:rPr>
      </w:pPr>
    </w:p>
    <w:p>
      <w:pPr>
        <w:ind w:left="220" w:right="280"/>
        <w:spacing w:after="0" w:line="271" w:lineRule="auto"/>
        <w:rPr>
          <w:sz w:val="20"/>
          <w:szCs w:val="20"/>
          <w:color w:val="auto"/>
        </w:rPr>
      </w:pPr>
      <w:r>
        <w:rPr>
          <w:rFonts w:ascii="Arial" w:cs="Arial" w:eastAsia="Arial" w:hAnsi="Arial"/>
          <w:sz w:val="18"/>
          <w:szCs w:val="18"/>
          <w:b w:val="1"/>
          <w:bCs w:val="1"/>
          <w:color w:val="auto"/>
        </w:rPr>
        <w:t>No Discriminatory Perquisites, Post-retirement Welfare Or Tax Gross-Ups</w:t>
      </w:r>
    </w:p>
    <w:p>
      <w:pPr>
        <w:spacing w:after="0" w:line="17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Company does not provide perquisites or post-retirement welfare benefits to the Named Executive Officers. During employment, the Named Executive Officers participate in the broad-based employee health insurance plans available to employees of the Company generally. Further, the Company does not provide for gross-ups of excise taxes under Section 4999 of the Code to any of the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-713740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 The guidelines for the Named Executive Officers are expressed as a multiple of base salary as set forth below (with actual ownership reflected as of the record date for the annual meeting):</w:t>
      </w:r>
    </w:p>
    <w:p>
      <w:pPr>
        <w:spacing w:after="0" w:line="969" w:lineRule="exact"/>
        <w:rPr>
          <w:sz w:val="20"/>
          <w:szCs w:val="20"/>
          <w:color w:val="auto"/>
        </w:rPr>
      </w:pPr>
    </w:p>
    <w:p>
      <w:pPr>
        <w:sectPr>
          <w:pgSz w:w="11900" w:h="16838" w:orient="portrait"/>
          <w:cols w:equalWidth="0" w:num="2">
            <w:col w:w="5440" w:space="380"/>
            <w:col w:w="5400"/>
          </w:cols>
          <w:pgMar w:left="240" w:top="459" w:right="439" w:bottom="1440" w:gutter="0" w:footer="0" w:header="0"/>
        </w:sectPr>
      </w:pP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Multiple of</w:t>
            </w: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Salary</w:t>
            </w: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Name</w:t>
            </w: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Ownership</w:t>
            </w:r>
          </w:p>
        </w:tc>
        <w:tc>
          <w:tcPr>
            <w:tcW w:w="19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Number of Shares</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32"/>
        </w:trPr>
        <w:tc>
          <w:tcPr>
            <w:tcW w:w="2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Guidelines</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 xml:space="preserve">of Common Stock </w:t>
            </w:r>
            <w:r>
              <w:rPr>
                <w:rFonts w:ascii="Arial" w:cs="Arial" w:eastAsia="Arial" w:hAnsi="Arial"/>
                <w:sz w:val="15"/>
                <w:szCs w:val="15"/>
                <w:b w:val="1"/>
                <w:bCs w:val="1"/>
                <w:color w:val="auto"/>
              </w:rPr>
              <w:t>(1)</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Ownership </w:t>
            </w:r>
            <w:r>
              <w:rPr>
                <w:rFonts w:ascii="Arial" w:cs="Arial" w:eastAsia="Arial" w:hAnsi="Arial"/>
                <w:sz w:val="15"/>
                <w:szCs w:val="15"/>
                <w:b w:val="1"/>
                <w:bCs w:val="1"/>
                <w:color w:val="auto"/>
                <w:w w:val="99"/>
              </w:rPr>
              <w:t>(2)</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22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B. Powers</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5X</w:t>
            </w:r>
          </w:p>
        </w:tc>
        <w:tc>
          <w:tcPr>
            <w:tcW w:w="16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56,500</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127,716</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380" w:type="dxa"/>
            <w:vAlign w:val="bottom"/>
            <w:gridSpan w:val="3"/>
          </w:tcPr>
          <w:p>
            <w:pPr>
              <w:spacing w:after="0" w:line="202" w:lineRule="exact"/>
              <w:rPr>
                <w:sz w:val="20"/>
                <w:szCs w:val="20"/>
                <w:color w:val="auto"/>
              </w:rPr>
            </w:pPr>
            <w:r>
              <w:rPr>
                <w:rFonts w:ascii="Arial" w:cs="Arial" w:eastAsia="Arial" w:hAnsi="Arial"/>
                <w:sz w:val="18"/>
                <w:szCs w:val="18"/>
                <w:color w:val="auto"/>
              </w:rPr>
              <w:t>D. Craig Kesler</w:t>
            </w: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9"/>
              </w:rPr>
              <w:t>3X</w:t>
            </w: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98"/>
              </w:rPr>
              <w:t>26,900</w:t>
            </w:r>
          </w:p>
        </w:tc>
        <w:tc>
          <w:tcPr>
            <w:tcW w:w="160" w:type="dxa"/>
            <w:vAlign w:val="bottom"/>
          </w:tcPr>
          <w:p>
            <w:pPr>
              <w:spacing w:after="0"/>
              <w:rPr>
                <w:sz w:val="17"/>
                <w:szCs w:val="17"/>
                <w:color w:val="auto"/>
              </w:rPr>
            </w:pP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64,444</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Michael Haack</w:t>
            </w:r>
          </w:p>
        </w:tc>
        <w:tc>
          <w:tcPr>
            <w:tcW w:w="110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9"/>
              </w:rPr>
              <w:t>3X</w:t>
            </w: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18,800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32,914</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380" w:type="dxa"/>
            <w:vAlign w:val="bottom"/>
            <w:gridSpan w:val="3"/>
          </w:tcPr>
          <w:p>
            <w:pPr>
              <w:spacing w:after="0" w:line="202" w:lineRule="exact"/>
              <w:rPr>
                <w:sz w:val="20"/>
                <w:szCs w:val="20"/>
                <w:color w:val="auto"/>
              </w:rPr>
            </w:pPr>
            <w:r>
              <w:rPr>
                <w:rFonts w:ascii="Arial" w:cs="Arial" w:eastAsia="Arial" w:hAnsi="Arial"/>
                <w:sz w:val="18"/>
                <w:szCs w:val="18"/>
                <w:color w:val="auto"/>
              </w:rPr>
              <w:t>Robert S. Stewart</w:t>
            </w: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9"/>
              </w:rPr>
              <w:t>3X</w:t>
            </w: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98"/>
              </w:rPr>
              <w:t>37,600</w:t>
            </w:r>
          </w:p>
        </w:tc>
        <w:tc>
          <w:tcPr>
            <w:tcW w:w="160" w:type="dxa"/>
            <w:vAlign w:val="bottom"/>
          </w:tcPr>
          <w:p>
            <w:pPr>
              <w:spacing w:after="0"/>
              <w:rPr>
                <w:sz w:val="17"/>
                <w:szCs w:val="17"/>
                <w:color w:val="auto"/>
              </w:rPr>
            </w:pP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41,561</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Keith W. Metcalf</w:t>
            </w:r>
          </w:p>
        </w:tc>
        <w:tc>
          <w:tcPr>
            <w:tcW w:w="110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9"/>
              </w:rPr>
              <w:t>3X</w:t>
            </w:r>
          </w:p>
        </w:tc>
        <w:tc>
          <w:tcPr>
            <w:tcW w:w="1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15,700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51,096</w:t>
            </w:r>
          </w:p>
        </w:tc>
        <w:tc>
          <w:tcPr>
            <w:tcW w:w="0" w:type="dxa"/>
            <w:vAlign w:val="bottom"/>
          </w:tcPr>
          <w:p>
            <w:pPr>
              <w:spacing w:after="0"/>
              <w:rPr>
                <w:sz w:val="1"/>
                <w:szCs w:val="1"/>
                <w:color w:val="auto"/>
              </w:rPr>
            </w:pPr>
          </w:p>
        </w:tc>
      </w:tr>
      <w:tr>
        <w:trPr>
          <w:trHeight w:val="135"/>
        </w:trPr>
        <w:tc>
          <w:tcPr>
            <w:tcW w:w="2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960" w:right="140" w:hanging="432"/>
        <w:spacing w:after="0" w:line="209" w:lineRule="auto"/>
        <w:tabs>
          <w:tab w:leader="none" w:pos="960" w:val="left"/>
        </w:tabs>
        <w:numPr>
          <w:ilvl w:val="0"/>
          <w:numId w:val="36"/>
        </w:numPr>
        <w:rPr>
          <w:rFonts w:ascii="Arial" w:cs="Arial" w:eastAsia="Arial" w:hAnsi="Arial"/>
          <w:sz w:val="28"/>
          <w:szCs w:val="28"/>
          <w:color w:val="auto"/>
          <w:vertAlign w:val="superscript"/>
        </w:rPr>
      </w:pPr>
      <w:r>
        <w:rPr>
          <w:rFonts w:ascii="Arial" w:cs="Arial" w:eastAsia="Arial" w:hAnsi="Arial"/>
          <w:sz w:val="16"/>
          <w:szCs w:val="16"/>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ind w:left="960" w:hanging="432"/>
        <w:spacing w:after="0" w:line="231" w:lineRule="auto"/>
        <w:tabs>
          <w:tab w:leader="none" w:pos="960" w:val="left"/>
        </w:tabs>
        <w:numPr>
          <w:ilvl w:val="0"/>
          <w:numId w:val="36"/>
        </w:numPr>
        <w:rPr>
          <w:rFonts w:ascii="Arial" w:cs="Arial" w:eastAsia="Arial" w:hAnsi="Arial"/>
          <w:sz w:val="28"/>
          <w:szCs w:val="28"/>
          <w:color w:val="auto"/>
          <w:vertAlign w:val="superscript"/>
        </w:rPr>
      </w:pPr>
      <w:r>
        <w:rPr>
          <w:rFonts w:ascii="Arial" w:cs="Arial" w:eastAsia="Arial" w:hAnsi="Arial"/>
          <w:sz w:val="16"/>
          <w:szCs w:val="16"/>
          <w:color w:val="auto"/>
        </w:rPr>
        <w:t>Types of ownership counted toward the guidelines include the following:</w:t>
      </w:r>
    </w:p>
    <w:p>
      <w:pPr>
        <w:spacing w:after="0" w:line="116" w:lineRule="exact"/>
        <w:rPr>
          <w:rFonts w:ascii="Arial" w:cs="Arial" w:eastAsia="Arial" w:hAnsi="Arial"/>
          <w:sz w:val="28"/>
          <w:szCs w:val="28"/>
          <w:color w:val="auto"/>
          <w:vertAlign w:val="superscript"/>
        </w:rPr>
      </w:pPr>
    </w:p>
    <w:p>
      <w:pPr>
        <w:ind w:left="1300" w:hanging="326"/>
        <w:spacing w:after="0"/>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Stock holdings in our Retirement Plan;</w:t>
      </w:r>
    </w:p>
    <w:p>
      <w:pPr>
        <w:spacing w:after="0" w:line="86" w:lineRule="exact"/>
        <w:rPr>
          <w:rFonts w:ascii="Arial" w:cs="Arial" w:eastAsia="Arial" w:hAnsi="Arial"/>
          <w:sz w:val="16"/>
          <w:szCs w:val="16"/>
          <w:color w:val="auto"/>
        </w:rPr>
      </w:pPr>
    </w:p>
    <w:p>
      <w:pPr>
        <w:ind w:left="1300" w:hanging="326"/>
        <w:spacing w:after="0"/>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Direct holdings;</w:t>
      </w:r>
    </w:p>
    <w:p>
      <w:pPr>
        <w:spacing w:after="0" w:line="86" w:lineRule="exact"/>
        <w:rPr>
          <w:rFonts w:ascii="Arial" w:cs="Arial" w:eastAsia="Arial" w:hAnsi="Arial"/>
          <w:sz w:val="16"/>
          <w:szCs w:val="16"/>
          <w:color w:val="auto"/>
        </w:rPr>
      </w:pPr>
    </w:p>
    <w:p>
      <w:pPr>
        <w:ind w:left="1300" w:hanging="326"/>
        <w:spacing w:after="0"/>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Indirect holdings, such as shares owned by a family member residing in the same household; and</w:t>
      </w:r>
    </w:p>
    <w:p>
      <w:pPr>
        <w:spacing w:after="0" w:line="86" w:lineRule="exact"/>
        <w:rPr>
          <w:rFonts w:ascii="Arial" w:cs="Arial" w:eastAsia="Arial" w:hAnsi="Arial"/>
          <w:sz w:val="16"/>
          <w:szCs w:val="16"/>
          <w:color w:val="auto"/>
        </w:rPr>
      </w:pPr>
    </w:p>
    <w:p>
      <w:pPr>
        <w:ind w:left="1300" w:hanging="326"/>
        <w:spacing w:after="0"/>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Shares represented by restricted stock.</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type w:val="continuous"/>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400"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their stock ownership goal.</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 Hedging</w:t>
      </w:r>
    </w:p>
    <w:p>
      <w:pPr>
        <w:spacing w:after="0" w:line="234" w:lineRule="exact"/>
        <w:rPr>
          <w:sz w:val="20"/>
          <w:szCs w:val="20"/>
          <w:color w:val="auto"/>
        </w:rPr>
      </w:pPr>
    </w:p>
    <w:p>
      <w:pPr>
        <w:ind w:left="220" w:right="260"/>
        <w:spacing w:after="0"/>
        <w:rPr>
          <w:sz w:val="20"/>
          <w:szCs w:val="20"/>
          <w:color w:val="auto"/>
        </w:rPr>
      </w:pPr>
      <w:r>
        <w:rPr>
          <w:rFonts w:ascii="Arial" w:cs="Arial" w:eastAsia="Arial" w:hAnsi="Arial"/>
          <w:sz w:val="18"/>
          <w:szCs w:val="18"/>
          <w:color w:val="auto"/>
        </w:rPr>
        <w:t>Under our insider trading policy, employees and executives are prohibited from speculating in our securities or engaging in transactions designed to hedge their ownership interests.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Consideration of the Tax Deductibility of Compensation</w:t>
      </w:r>
    </w:p>
    <w:p>
      <w:pPr>
        <w:spacing w:after="0" w:line="234"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certain other executive officers. However, historically, Section 162(m) exempted performance-based compensation from the deduction limit if certain requirements were met.</w:t>
      </w:r>
    </w:p>
    <w:p>
      <w:pPr>
        <w:spacing w:after="0" w:line="203"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The legislation commonly referred to as the Tax Cuts and Jobs Act of 2017, or the 2017 Tax Act, made significant changes to Section 162(m) of the Code. The 2017 Tax Act expanded the executives potentially affected by the deduction limitation and repealed the “performance -based compensation” exemption to Section 162(m), subject to a transition rule for performance-based compensation paid after 2017 under certain existing compensation arrangements covered by binding contractual arrangements in effect on November 2, 2017 that are not materially modified. Beginning with the 2018 calendar year, the $1 million annual deduction limitation under Section 162(m) applies to compensation paid to any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0" w:right="100"/>
        <w:spacing w:after="0" w:line="261" w:lineRule="auto"/>
        <w:rPr>
          <w:sz w:val="20"/>
          <w:szCs w:val="20"/>
          <w:color w:val="auto"/>
        </w:rPr>
      </w:pPr>
      <w:r>
        <w:rPr>
          <w:rFonts w:ascii="Arial" w:cs="Arial" w:eastAsia="Arial" w:hAnsi="Arial"/>
          <w:sz w:val="17"/>
          <w:szCs w:val="17"/>
          <w:color w:val="auto"/>
        </w:rPr>
        <w:t>individual who serves as the chief executive officer, chief financial officer or qualifies as one of the other three most highly compensated executive officers in 2017 or any later calendar year.</w:t>
      </w:r>
    </w:p>
    <w:p>
      <w:pPr>
        <w:spacing w:after="0" w:line="186" w:lineRule="exact"/>
        <w:rPr>
          <w:sz w:val="20"/>
          <w:szCs w:val="20"/>
          <w:color w:val="auto"/>
        </w:rPr>
      </w:pPr>
    </w:p>
    <w:p>
      <w:pPr>
        <w:ind w:left="200" w:right="80"/>
        <w:spacing w:after="0" w:line="234" w:lineRule="auto"/>
        <w:rPr>
          <w:sz w:val="20"/>
          <w:szCs w:val="20"/>
          <w:color w:val="auto"/>
        </w:rPr>
      </w:pPr>
      <w:r>
        <w:rPr>
          <w:rFonts w:ascii="Arial" w:cs="Arial" w:eastAsia="Arial" w:hAnsi="Arial"/>
          <w:sz w:val="18"/>
          <w:szCs w:val="18"/>
          <w:color w:val="auto"/>
        </w:rPr>
        <w:t>The Company is continuing to evaluate the impact of the 2017 Tax Act on its compensation programs. The Company’s general intention is to maximize the tax deductibility of its compensation programs. However, the Compensation Committee intends to exercise its business judgment to develop compensation programs that best serve the interests of the Company and its stockholders, which may include paying compensation that is not fully deductible due to Section 162(m). The Compensation Committee uses its business judgment in establishing compensation policies to attract and retain qualified executives to manage the Company and to reward such executives for outstanding performance, while taking into consideration the financial impact of such actions on the Company, including the deductibility of compensation paid to our executives. Moreover, the Compensation Committee believes that the lost deduction on compensation payable in excess of the</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million limitation for our Named Executive Officers is not material relative to the benefit of being able to attract and retain talented management.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Risk</w:t>
      </w:r>
    </w:p>
    <w:p>
      <w:pPr>
        <w:spacing w:after="0" w:line="2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2">
            <w:col w:w="5480" w:space="140"/>
            <w:col w:w="5600"/>
          </w:cols>
          <w:pgMar w:left="24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4F82BC"/>
        </w:rPr>
        <w:t>EXECUTIVE COMPENSATION</w:t>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jc w:val="both"/>
        <w:ind w:left="200" w:right="320" w:firstLine="441"/>
        <w:spacing w:after="0"/>
        <w:rPr>
          <w:sz w:val="20"/>
          <w:szCs w:val="20"/>
          <w:color w:val="auto"/>
        </w:rPr>
      </w:pPr>
      <w:r>
        <w:rPr>
          <w:rFonts w:ascii="Arial" w:cs="Arial" w:eastAsia="Arial" w:hAnsi="Arial"/>
          <w:sz w:val="18"/>
          <w:szCs w:val="18"/>
          <w:color w:val="auto"/>
        </w:rPr>
        <w:t>The following table summarizes all fiscal 2017, 2018 and 2019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Non-Equity</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Fiscal</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Incentive</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8"/>
              </w:rPr>
              <w:t>Year</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Plan</w:t>
            </w:r>
          </w:p>
        </w:tc>
        <w:tc>
          <w:tcPr>
            <w:tcW w:w="122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Ended</w:t>
            </w:r>
          </w:p>
        </w:tc>
        <w:tc>
          <w:tcPr>
            <w:tcW w:w="1120" w:type="dxa"/>
            <w:vAlign w:val="bottom"/>
            <w:gridSpan w:val="2"/>
          </w:tcPr>
          <w:p>
            <w:pPr>
              <w:ind w:left="100"/>
              <w:spacing w:after="0" w:line="162" w:lineRule="exact"/>
              <w:rPr>
                <w:sz w:val="20"/>
                <w:szCs w:val="20"/>
                <w:color w:val="auto"/>
              </w:rPr>
            </w:pPr>
            <w:r>
              <w:rPr>
                <w:rFonts w:ascii="Arial" w:cs="Arial" w:eastAsia="Arial" w:hAnsi="Arial"/>
                <w:sz w:val="11"/>
                <w:szCs w:val="11"/>
                <w:b w:val="1"/>
                <w:bCs w:val="1"/>
                <w:color w:val="auto"/>
              </w:rPr>
              <w:t>Salary</w:t>
            </w:r>
            <w:r>
              <w:rPr>
                <w:rFonts w:ascii="Arial" w:cs="Arial" w:eastAsia="Arial" w:hAnsi="Arial"/>
                <w:sz w:val="18"/>
                <w:szCs w:val="18"/>
                <w:b w:val="1"/>
                <w:bCs w:val="1"/>
                <w:color w:val="auto"/>
                <w:vertAlign w:val="superscript"/>
              </w:rPr>
              <w:t>(1)</w:t>
            </w:r>
          </w:p>
        </w:tc>
        <w:tc>
          <w:tcPr>
            <w:tcW w:w="1060" w:type="dxa"/>
            <w:vAlign w:val="bottom"/>
            <w:gridSpan w:val="2"/>
          </w:tcPr>
          <w:p>
            <w:pPr>
              <w:ind w:left="60"/>
              <w:spacing w:after="0" w:line="162" w:lineRule="exact"/>
              <w:rPr>
                <w:sz w:val="20"/>
                <w:szCs w:val="20"/>
                <w:color w:val="auto"/>
              </w:rPr>
            </w:pPr>
            <w:r>
              <w:rPr>
                <w:rFonts w:ascii="Arial" w:cs="Arial" w:eastAsia="Arial" w:hAnsi="Arial"/>
                <w:sz w:val="11"/>
                <w:szCs w:val="11"/>
                <w:b w:val="1"/>
                <w:bCs w:val="1"/>
                <w:color w:val="auto"/>
              </w:rPr>
              <w:t>Bonus</w:t>
            </w:r>
            <w:r>
              <w:rPr>
                <w:rFonts w:ascii="Arial" w:cs="Arial" w:eastAsia="Arial" w:hAnsi="Arial"/>
                <w:sz w:val="18"/>
                <w:szCs w:val="18"/>
                <w:b w:val="1"/>
                <w:bCs w:val="1"/>
                <w:color w:val="auto"/>
                <w:vertAlign w:val="superscript"/>
              </w:rPr>
              <w:t>(2)</w:t>
            </w: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400"/>
              <w:spacing w:after="0" w:line="16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(4)</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Compensa-</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Compen-</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1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rPr>
              <w:t>March</w:t>
            </w:r>
          </w:p>
        </w:tc>
        <w:tc>
          <w:tcPr>
            <w:tcW w:w="780" w:type="dxa"/>
            <w:vAlign w:val="bottom"/>
          </w:tcPr>
          <w:p>
            <w:pPr>
              <w:jc w:val="right"/>
              <w:ind w:right="169"/>
              <w:spacing w:after="0" w:line="15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720" w:type="dxa"/>
            <w:vAlign w:val="bottom"/>
          </w:tcPr>
          <w:p>
            <w:pPr>
              <w:jc w:val="right"/>
              <w:ind w:right="149"/>
              <w:spacing w:after="0" w:line="15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1320" w:type="dxa"/>
            <w:vAlign w:val="bottom"/>
            <w:gridSpan w:val="2"/>
          </w:tcPr>
          <w:p>
            <w:pPr>
              <w:jc w:val="center"/>
              <w:ind w:right="360"/>
              <w:spacing w:after="0" w:line="15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jc w:val="center"/>
              <w:ind w:right="360"/>
              <w:spacing w:after="0" w:line="152" w:lineRule="exact"/>
              <w:rPr>
                <w:sz w:val="20"/>
                <w:szCs w:val="20"/>
                <w:color w:val="auto"/>
              </w:rPr>
            </w:pPr>
            <w:r>
              <w:rPr>
                <w:rFonts w:ascii="Arial" w:cs="Arial" w:eastAsia="Arial" w:hAnsi="Arial"/>
                <w:sz w:val="11"/>
                <w:szCs w:val="11"/>
                <w:b w:val="1"/>
                <w:bCs w:val="1"/>
                <w:color w:val="auto"/>
              </w:rPr>
              <w:t>tion</w:t>
            </w:r>
            <w:r>
              <w:rPr>
                <w:rFonts w:ascii="Arial" w:cs="Arial" w:eastAsia="Arial" w:hAnsi="Arial"/>
                <w:sz w:val="17"/>
                <w:szCs w:val="17"/>
                <w:b w:val="1"/>
                <w:bCs w:val="1"/>
                <w:color w:val="auto"/>
                <w:vertAlign w:val="superscript"/>
              </w:rPr>
              <w:t>(5)</w:t>
            </w:r>
          </w:p>
        </w:tc>
        <w:tc>
          <w:tcPr>
            <w:tcW w:w="1220" w:type="dxa"/>
            <w:vAlign w:val="bottom"/>
            <w:gridSpan w:val="2"/>
          </w:tcPr>
          <w:p>
            <w:pPr>
              <w:jc w:val="center"/>
              <w:ind w:right="360"/>
              <w:spacing w:after="0" w:line="152" w:lineRule="exact"/>
              <w:rPr>
                <w:sz w:val="20"/>
                <w:szCs w:val="20"/>
                <w:color w:val="auto"/>
              </w:rPr>
            </w:pPr>
            <w:r>
              <w:rPr>
                <w:rFonts w:ascii="Arial" w:cs="Arial" w:eastAsia="Arial" w:hAnsi="Arial"/>
                <w:sz w:val="11"/>
                <w:szCs w:val="11"/>
                <w:b w:val="1"/>
                <w:bCs w:val="1"/>
                <w:color w:val="auto"/>
              </w:rPr>
              <w:t>sation</w:t>
            </w:r>
            <w:r>
              <w:rPr>
                <w:rFonts w:ascii="Arial" w:cs="Arial" w:eastAsia="Arial" w:hAnsi="Arial"/>
                <w:sz w:val="17"/>
                <w:szCs w:val="17"/>
                <w:b w:val="1"/>
                <w:bCs w:val="1"/>
                <w:color w:val="auto"/>
                <w:vertAlign w:val="superscript"/>
              </w:rPr>
              <w:t>(6)</w:t>
            </w:r>
          </w:p>
        </w:tc>
        <w:tc>
          <w:tcPr>
            <w:tcW w:w="940" w:type="dxa"/>
            <w:vAlign w:val="bottom"/>
            <w:gridSpan w:val="2"/>
          </w:tcPr>
          <w:p>
            <w:pPr>
              <w:ind w:left="28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gridSpan w:val="2"/>
          </w:tcPr>
          <w:p>
            <w:pPr>
              <w:ind w:left="300"/>
              <w:spacing w:after="0"/>
              <w:rPr>
                <w:sz w:val="20"/>
                <w:szCs w:val="20"/>
                <w:color w:val="auto"/>
              </w:rPr>
            </w:pPr>
            <w:r>
              <w:rPr>
                <w:rFonts w:ascii="Arial" w:cs="Arial" w:eastAsia="Arial" w:hAnsi="Arial"/>
                <w:sz w:val="14"/>
                <w:szCs w:val="14"/>
                <w:b w:val="1"/>
                <w:bCs w:val="1"/>
                <w:color w:val="auto"/>
              </w:rPr>
              <w:t>Position</w:t>
            </w:r>
          </w:p>
        </w:tc>
        <w:tc>
          <w:tcPr>
            <w:tcW w:w="6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31,</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800" w:type="dxa"/>
            <w:vAlign w:val="bottom"/>
          </w:tcPr>
          <w:p>
            <w:pPr>
              <w:jc w:val="right"/>
              <w:ind w:right="28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David B. Powers</w:t>
            </w:r>
          </w:p>
        </w:tc>
        <w:tc>
          <w:tcPr>
            <w:tcW w:w="6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2019</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$ 920,000</w:t>
            </w:r>
          </w:p>
        </w:tc>
        <w:tc>
          <w:tcPr>
            <w:tcW w:w="3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$ 3,500,000</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$1,026,104</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90,910</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$ 5,537,014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Chief Executive</w:t>
            </w:r>
          </w:p>
        </w:tc>
        <w:tc>
          <w:tcPr>
            <w:tcW w:w="6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2018</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850,000</w:t>
            </w:r>
          </w:p>
        </w:tc>
        <w:tc>
          <w:tcPr>
            <w:tcW w:w="3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3,250,000</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1,117,647</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101,190</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5,318,837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Officer</w:t>
            </w:r>
          </w:p>
        </w:tc>
        <w:tc>
          <w:tcPr>
            <w:tcW w:w="6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2017</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800,000</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$100,000</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2,500,000</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1,044,312</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70,786</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4,515,098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140" w:type="dxa"/>
            <w:vAlign w:val="bottom"/>
            <w:gridSpan w:val="2"/>
          </w:tcPr>
          <w:p>
            <w:pPr>
              <w:ind w:left="60"/>
              <w:spacing w:after="0"/>
              <w:rPr>
                <w:sz w:val="20"/>
                <w:szCs w:val="20"/>
                <w:color w:val="auto"/>
              </w:rPr>
            </w:pPr>
            <w:r>
              <w:rPr>
                <w:rFonts w:ascii="Arial" w:cs="Arial" w:eastAsia="Arial" w:hAnsi="Arial"/>
                <w:sz w:val="14"/>
                <w:szCs w:val="14"/>
                <w:color w:val="auto"/>
              </w:rPr>
              <w:t>D. Craig Kesler</w:t>
            </w:r>
          </w:p>
        </w:tc>
        <w:tc>
          <w:tcPr>
            <w:tcW w:w="600" w:type="dxa"/>
            <w:vAlign w:val="bottom"/>
            <w:gridSpan w:val="2"/>
          </w:tcPr>
          <w:p>
            <w:pPr>
              <w:jc w:val="center"/>
              <w:ind w:left="4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460,000</w:t>
            </w:r>
          </w:p>
        </w:tc>
        <w:tc>
          <w:tcPr>
            <w:tcW w:w="340" w:type="dxa"/>
            <w:vAlign w:val="bottom"/>
          </w:tcPr>
          <w:p>
            <w:pPr>
              <w:spacing w:after="0"/>
              <w:rPr>
                <w:sz w:val="22"/>
                <w:szCs w:val="22"/>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50,000</w:t>
            </w:r>
          </w:p>
        </w:tc>
        <w:tc>
          <w:tcPr>
            <w:tcW w:w="340" w:type="dxa"/>
            <w:vAlign w:val="bottom"/>
          </w:tcPr>
          <w:p>
            <w:pPr>
              <w:spacing w:after="0"/>
              <w:rPr>
                <w:sz w:val="22"/>
                <w:szCs w:val="22"/>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450,000</w:t>
            </w:r>
          </w:p>
        </w:tc>
        <w:tc>
          <w:tcPr>
            <w:tcW w:w="340" w:type="dxa"/>
            <w:vAlign w:val="bottom"/>
          </w:tcPr>
          <w:p>
            <w:pPr>
              <w:spacing w:after="0"/>
              <w:rPr>
                <w:sz w:val="22"/>
                <w:szCs w:val="22"/>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$ 450,000</w:t>
            </w:r>
          </w:p>
        </w:tc>
        <w:tc>
          <w:tcPr>
            <w:tcW w:w="34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675,518</w:t>
            </w:r>
          </w:p>
        </w:tc>
        <w:tc>
          <w:tcPr>
            <w:tcW w:w="340" w:type="dxa"/>
            <w:vAlign w:val="bottom"/>
          </w:tcPr>
          <w:p>
            <w:pPr>
              <w:spacing w:after="0"/>
              <w:rPr>
                <w:sz w:val="22"/>
                <w:szCs w:val="22"/>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51,284</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2,136,802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i w:val="1"/>
                <w:iCs w:val="1"/>
                <w:color w:val="auto"/>
              </w:rPr>
              <w:t>Executive Vice</w:t>
            </w:r>
          </w:p>
        </w:tc>
        <w:tc>
          <w:tcPr>
            <w:tcW w:w="600" w:type="dxa"/>
            <w:vAlign w:val="bottom"/>
            <w:gridSpan w:val="2"/>
          </w:tcPr>
          <w:p>
            <w:pPr>
              <w:jc w:val="center"/>
              <w:ind w:left="48"/>
              <w:spacing w:after="0"/>
              <w:rPr>
                <w:sz w:val="20"/>
                <w:szCs w:val="20"/>
                <w:color w:val="auto"/>
              </w:rPr>
            </w:pPr>
            <w:r>
              <w:rPr>
                <w:rFonts w:ascii="Arial" w:cs="Arial" w:eastAsia="Arial" w:hAnsi="Arial"/>
                <w:sz w:val="14"/>
                <w:szCs w:val="14"/>
                <w:color w:val="auto"/>
              </w:rPr>
              <w:t>2018</w:t>
            </w:r>
          </w:p>
        </w:tc>
        <w:tc>
          <w:tcPr>
            <w:tcW w:w="2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434,000</w:t>
            </w:r>
          </w:p>
        </w:tc>
        <w:tc>
          <w:tcPr>
            <w:tcW w:w="340" w:type="dxa"/>
            <w:vAlign w:val="bottom"/>
          </w:tcPr>
          <w:p>
            <w:pPr>
              <w:spacing w:after="0"/>
              <w:rPr>
                <w:sz w:val="16"/>
                <w:szCs w:val="16"/>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400,000</w:t>
            </w:r>
          </w:p>
        </w:tc>
        <w:tc>
          <w:tcPr>
            <w:tcW w:w="3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400,000</w:t>
            </w:r>
          </w:p>
        </w:tc>
        <w:tc>
          <w:tcPr>
            <w:tcW w:w="34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758,659</w:t>
            </w:r>
          </w:p>
        </w:tc>
        <w:tc>
          <w:tcPr>
            <w:tcW w:w="34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57,503</w:t>
            </w:r>
          </w:p>
        </w:tc>
        <w:tc>
          <w:tcPr>
            <w:tcW w:w="3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2,050,162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i w:val="1"/>
                <w:iCs w:val="1"/>
                <w:color w:val="auto"/>
              </w:rPr>
              <w:t>President – Finance and</w:t>
            </w:r>
          </w:p>
        </w:tc>
        <w:tc>
          <w:tcPr>
            <w:tcW w:w="600" w:type="dxa"/>
            <w:vAlign w:val="bottom"/>
            <w:gridSpan w:val="2"/>
          </w:tcPr>
          <w:p>
            <w:pPr>
              <w:jc w:val="center"/>
              <w:ind w:left="48"/>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420,000</w:t>
            </w:r>
          </w:p>
        </w:tc>
        <w:tc>
          <w:tcPr>
            <w:tcW w:w="3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350,000</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350,000</w:t>
            </w:r>
          </w:p>
        </w:tc>
        <w:tc>
          <w:tcPr>
            <w:tcW w:w="34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701,536</w:t>
            </w:r>
          </w:p>
        </w:tc>
        <w:tc>
          <w:tcPr>
            <w:tcW w:w="34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47,464</w:t>
            </w:r>
          </w:p>
        </w:tc>
        <w:tc>
          <w:tcPr>
            <w:tcW w:w="3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1,969,000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i w:val="1"/>
                <w:iCs w:val="1"/>
                <w:color w:val="auto"/>
              </w:rPr>
              <w:t>Administration&amp; CFO</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Michael Haack</w:t>
            </w:r>
          </w:p>
        </w:tc>
        <w:tc>
          <w:tcPr>
            <w:tcW w:w="6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2019</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575,000</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100,000</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550,000</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550,000</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726,823</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62,214</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2,564,037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President and Chief</w:t>
            </w:r>
          </w:p>
        </w:tc>
        <w:tc>
          <w:tcPr>
            <w:tcW w:w="6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2018</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546,000</w:t>
            </w:r>
          </w:p>
        </w:tc>
        <w:tc>
          <w:tcPr>
            <w:tcW w:w="3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475,000</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475,000</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799,871</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70,475</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2,366,346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Operating Officer</w:t>
            </w:r>
          </w:p>
        </w:tc>
        <w:tc>
          <w:tcPr>
            <w:tcW w:w="6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2017</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530,500</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450,000</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450,000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732,172</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57,937</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2,220,609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140" w:type="dxa"/>
            <w:vAlign w:val="bottom"/>
            <w:gridSpan w:val="2"/>
          </w:tcPr>
          <w:p>
            <w:pPr>
              <w:ind w:left="60"/>
              <w:spacing w:after="0"/>
              <w:rPr>
                <w:sz w:val="20"/>
                <w:szCs w:val="20"/>
                <w:color w:val="auto"/>
              </w:rPr>
            </w:pPr>
            <w:r>
              <w:rPr>
                <w:rFonts w:ascii="Arial" w:cs="Arial" w:eastAsia="Arial" w:hAnsi="Arial"/>
                <w:sz w:val="14"/>
                <w:szCs w:val="14"/>
                <w:color w:val="auto"/>
              </w:rPr>
              <w:t>Robert S. Stewart</w:t>
            </w:r>
          </w:p>
        </w:tc>
        <w:tc>
          <w:tcPr>
            <w:tcW w:w="600" w:type="dxa"/>
            <w:vAlign w:val="bottom"/>
            <w:gridSpan w:val="2"/>
          </w:tcPr>
          <w:p>
            <w:pPr>
              <w:jc w:val="center"/>
              <w:ind w:left="4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455,000</w:t>
            </w:r>
          </w:p>
        </w:tc>
        <w:tc>
          <w:tcPr>
            <w:tcW w:w="340" w:type="dxa"/>
            <w:vAlign w:val="bottom"/>
          </w:tcPr>
          <w:p>
            <w:pPr>
              <w:spacing w:after="0"/>
              <w:rPr>
                <w:sz w:val="22"/>
                <w:szCs w:val="2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900,000</w:t>
            </w:r>
          </w:p>
        </w:tc>
        <w:tc>
          <w:tcPr>
            <w:tcW w:w="340" w:type="dxa"/>
            <w:vAlign w:val="bottom"/>
          </w:tcPr>
          <w:p>
            <w:pPr>
              <w:spacing w:after="0"/>
              <w:rPr>
                <w:sz w:val="22"/>
                <w:szCs w:val="2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675,518</w:t>
            </w:r>
          </w:p>
        </w:tc>
        <w:tc>
          <w:tcPr>
            <w:tcW w:w="340" w:type="dxa"/>
            <w:vAlign w:val="bottom"/>
          </w:tcPr>
          <w:p>
            <w:pPr>
              <w:spacing w:after="0"/>
              <w:rPr>
                <w:sz w:val="22"/>
                <w:szCs w:val="22"/>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46,162</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2,076,680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i w:val="1"/>
                <w:iCs w:val="1"/>
                <w:color w:val="auto"/>
              </w:rPr>
              <w:t>Executive Vice</w:t>
            </w:r>
          </w:p>
        </w:tc>
        <w:tc>
          <w:tcPr>
            <w:tcW w:w="600" w:type="dxa"/>
            <w:vAlign w:val="bottom"/>
            <w:gridSpan w:val="2"/>
          </w:tcPr>
          <w:p>
            <w:pPr>
              <w:jc w:val="center"/>
              <w:ind w:left="48"/>
              <w:spacing w:after="0"/>
              <w:rPr>
                <w:sz w:val="20"/>
                <w:szCs w:val="20"/>
                <w:color w:val="auto"/>
              </w:rPr>
            </w:pPr>
            <w:r>
              <w:rPr>
                <w:rFonts w:ascii="Arial" w:cs="Arial" w:eastAsia="Arial" w:hAnsi="Arial"/>
                <w:sz w:val="14"/>
                <w:szCs w:val="14"/>
                <w:color w:val="auto"/>
              </w:rPr>
              <w:t>2018</w:t>
            </w:r>
          </w:p>
        </w:tc>
        <w:tc>
          <w:tcPr>
            <w:tcW w:w="2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434,000</w:t>
            </w:r>
          </w:p>
        </w:tc>
        <w:tc>
          <w:tcPr>
            <w:tcW w:w="34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800,000</w:t>
            </w:r>
          </w:p>
        </w:tc>
        <w:tc>
          <w:tcPr>
            <w:tcW w:w="3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758,659</w:t>
            </w:r>
          </w:p>
        </w:tc>
        <w:tc>
          <w:tcPr>
            <w:tcW w:w="34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53,292</w:t>
            </w:r>
          </w:p>
        </w:tc>
        <w:tc>
          <w:tcPr>
            <w:tcW w:w="3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2,045,951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i w:val="1"/>
                <w:iCs w:val="1"/>
                <w:color w:val="auto"/>
              </w:rPr>
              <w:t>President – Strategy,</w:t>
            </w:r>
          </w:p>
        </w:tc>
        <w:tc>
          <w:tcPr>
            <w:tcW w:w="600" w:type="dxa"/>
            <w:vAlign w:val="bottom"/>
            <w:gridSpan w:val="2"/>
          </w:tcPr>
          <w:p>
            <w:pPr>
              <w:jc w:val="center"/>
              <w:ind w:left="48"/>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420,500</w:t>
            </w:r>
          </w:p>
        </w:tc>
        <w:tc>
          <w:tcPr>
            <w:tcW w:w="3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700,000</w:t>
            </w:r>
          </w:p>
        </w:tc>
        <w:tc>
          <w:tcPr>
            <w:tcW w:w="3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701,536</w:t>
            </w:r>
          </w:p>
        </w:tc>
        <w:tc>
          <w:tcPr>
            <w:tcW w:w="34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43,717</w:t>
            </w:r>
          </w:p>
        </w:tc>
        <w:tc>
          <w:tcPr>
            <w:tcW w:w="3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1,965,953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i w:val="1"/>
                <w:iCs w:val="1"/>
                <w:color w:val="auto"/>
              </w:rPr>
              <w:t>Corporate Development and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40" w:type="dxa"/>
            <w:vAlign w:val="bottom"/>
            <w:gridSpan w:val="2"/>
          </w:tcPr>
          <w:p>
            <w:pPr>
              <w:ind w:left="200"/>
              <w:spacing w:after="0"/>
              <w:rPr>
                <w:sz w:val="20"/>
                <w:szCs w:val="20"/>
                <w:color w:val="auto"/>
              </w:rPr>
            </w:pPr>
            <w:r>
              <w:rPr>
                <w:rFonts w:ascii="Arial" w:cs="Arial" w:eastAsia="Arial" w:hAnsi="Arial"/>
                <w:sz w:val="14"/>
                <w:szCs w:val="14"/>
                <w:i w:val="1"/>
                <w:iCs w:val="1"/>
                <w:color w:val="auto"/>
              </w:rPr>
              <w:t>Communications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1"/>
                <w:szCs w:val="11"/>
                <w:color w:val="auto"/>
              </w:rPr>
              <w:t xml:space="preserve">Keith W. Metcalf </w:t>
            </w:r>
            <w:r>
              <w:rPr>
                <w:rFonts w:ascii="Arial" w:cs="Arial" w:eastAsia="Arial" w:hAnsi="Arial"/>
                <w:sz w:val="18"/>
                <w:szCs w:val="18"/>
                <w:color w:val="auto"/>
                <w:vertAlign w:val="superscript"/>
              </w:rPr>
              <w:t>(7)</w:t>
            </w:r>
          </w:p>
        </w:tc>
        <w:tc>
          <w:tcPr>
            <w:tcW w:w="6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2019</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393,000</w:t>
            </w:r>
          </w:p>
        </w:tc>
        <w:tc>
          <w:tcPr>
            <w:tcW w:w="3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750,000</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796,251</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42,049</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1,981,300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40" w:type="dxa"/>
            <w:vAlign w:val="bottom"/>
            <w:gridSpan w:val="2"/>
            <w:shd w:val="clear" w:color="auto" w:fill="CCEEFF"/>
          </w:tcPr>
          <w:p>
            <w:pPr>
              <w:ind w:left="200"/>
              <w:spacing w:after="0" w:line="153" w:lineRule="exact"/>
              <w:rPr>
                <w:sz w:val="20"/>
                <w:szCs w:val="20"/>
                <w:color w:val="auto"/>
              </w:rPr>
            </w:pPr>
            <w:r>
              <w:rPr>
                <w:rFonts w:ascii="Arial" w:cs="Arial" w:eastAsia="Arial" w:hAnsi="Arial"/>
                <w:sz w:val="14"/>
                <w:szCs w:val="14"/>
                <w:i w:val="1"/>
                <w:iCs w:val="1"/>
                <w:color w:val="auto"/>
              </w:rPr>
              <w:t>President, American</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Gypsum Company LLC</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14662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560" w:hanging="356"/>
        <w:spacing w:after="0" w:line="239"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amounts deferred on a pre-tax or after-tax basis at the election of the executive under our Retirement Plan, which is described in greater detail under “Retirement Plan” on page 32 of this proxy statement.</w:t>
      </w:r>
    </w:p>
    <w:p>
      <w:pPr>
        <w:spacing w:after="0" w:line="107" w:lineRule="exact"/>
        <w:rPr>
          <w:rFonts w:ascii="Arial" w:cs="Arial" w:eastAsia="Arial" w:hAnsi="Arial"/>
          <w:sz w:val="18"/>
          <w:szCs w:val="18"/>
          <w:color w:val="auto"/>
        </w:rPr>
      </w:pPr>
    </w:p>
    <w:p>
      <w:pPr>
        <w:jc w:val="both"/>
        <w:ind w:left="560" w:right="340" w:hanging="356"/>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Company’s Special Situation Program for the applicable fiscal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356" w:right="60" w:hanging="356"/>
        <w:spacing w:after="0" w:line="236" w:lineRule="auto"/>
        <w:tabs>
          <w:tab w:leader="none" w:pos="3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Named Executive Officer in each of the fiscal years presented and are consistent with the grant date fair value of the award computed in accordance with FASB ASC Topic 718. For assumptions used in determining these values, refer to (a) footnote (I) to the Company’s audited financial statements for the fiscal year ended March 31, 2019 included in the Fiscal 2019 Form 10-K; (b) footnote (J) to the Company’s audited financial statements for the fiscal year ended March 31, 2018 included in the Company’s Annual Report on Form 10-K, filed with the SEC on May 23, 2018, or “Fiscal 2018 Form 10-K”; and</w:t>
      </w:r>
    </w:p>
    <w:p>
      <w:pPr>
        <w:spacing w:after="0" w:line="200" w:lineRule="exact"/>
        <w:rPr>
          <w:sz w:val="20"/>
          <w:szCs w:val="20"/>
          <w:color w:val="auto"/>
        </w:rPr>
      </w:pPr>
    </w:p>
    <w:p>
      <w:pPr>
        <w:sectPr>
          <w:pgSz w:w="11900" w:h="16838" w:orient="portrait"/>
          <w:cols w:equalWidth="0" w:num="2">
            <w:col w:w="5300" w:space="524"/>
            <w:col w:w="5416"/>
          </w:cols>
          <w:pgMar w:left="240" w:top="459" w:right="419" w:bottom="1440" w:gutter="0" w:footer="0" w:header="0"/>
          <w:type w:val="continuous"/>
        </w:sectPr>
      </w:pP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240" w:top="459" w:right="41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400" w:lineRule="exact"/>
        <w:rPr>
          <w:sz w:val="20"/>
          <w:szCs w:val="20"/>
          <w:color w:val="auto"/>
        </w:rPr>
      </w:pPr>
    </w:p>
    <w:p>
      <w:pPr>
        <w:ind w:left="560"/>
        <w:spacing w:after="0" w:line="236" w:lineRule="auto"/>
        <w:rPr>
          <w:sz w:val="20"/>
          <w:szCs w:val="20"/>
          <w:color w:val="auto"/>
        </w:rPr>
      </w:pPr>
      <w:r>
        <w:rPr>
          <w:rFonts w:ascii="Arial" w:cs="Arial" w:eastAsia="Arial" w:hAnsi="Arial"/>
          <w:sz w:val="18"/>
          <w:szCs w:val="18"/>
          <w:color w:val="auto"/>
        </w:rPr>
        <w:t>(c) footnote (J) to the Company’s audited financial statements for the fiscal year ended March 31, 2017 included in the Company’s Annual Report on Form 10-K, filed with the SEC on May 24, 2017, or “Fiscal 2017 Form 10-K.” The amounts in this column assume achievement of less than the highest level of performance conditions, and the following reflects the amounts for this award assuming the highest level of performance conditions (i.e., the maximum amounts payable): Fiscal 2019: Mr. Powers - $3,850,000; Mr. Kesler - $495,000; Mr. Haack - $605,000; Mr. Stewart - $990,000; and Mr. Metcalf - $825,000. Fiscal 2018: Mr. Powers - $3,575,000; Mr. Kesler - $440,000; Mr. Haack - $522,500; and Mr. Stewart - $880,000. Fiscal 2017: Mr. Powers - $2,750,000; Mr. Kesler - $385,000; Mr. Haack - $495,000; and Mr. Stewart - $770,000.</w:t>
      </w:r>
    </w:p>
    <w:p>
      <w:pPr>
        <w:spacing w:after="0" w:line="107" w:lineRule="exact"/>
        <w:rPr>
          <w:sz w:val="20"/>
          <w:szCs w:val="20"/>
          <w:color w:val="auto"/>
        </w:rPr>
      </w:pPr>
    </w:p>
    <w:p>
      <w:pPr>
        <w:ind w:left="560" w:hanging="356"/>
        <w:spacing w:after="0" w:line="234"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 (a) footnote (I) to the Company’s audited financial statements for the fiscal year ended March 31, 2019 included in the Fiscal 2019 Form 10-K; (b) footnote (J) to the Company’s audited financial statements for the fiscal year ended March 31, 2018 included in the Fiscal 2018 Form</w:t>
      </w:r>
    </w:p>
    <w:p>
      <w:pPr>
        <w:spacing w:after="0" w:line="7" w:lineRule="exact"/>
        <w:rPr>
          <w:rFonts w:ascii="Arial" w:cs="Arial" w:eastAsia="Arial" w:hAnsi="Arial"/>
          <w:sz w:val="18"/>
          <w:szCs w:val="18"/>
          <w:color w:val="auto"/>
        </w:rPr>
      </w:pPr>
    </w:p>
    <w:p>
      <w:pPr>
        <w:ind w:left="560" w:right="20"/>
        <w:spacing w:after="0"/>
        <w:rPr>
          <w:rFonts w:ascii="Arial" w:cs="Arial" w:eastAsia="Arial" w:hAnsi="Arial"/>
          <w:sz w:val="18"/>
          <w:szCs w:val="18"/>
          <w:color w:val="auto"/>
        </w:rPr>
      </w:pPr>
      <w:r>
        <w:rPr>
          <w:rFonts w:ascii="Arial" w:cs="Arial" w:eastAsia="Arial" w:hAnsi="Arial"/>
          <w:sz w:val="18"/>
          <w:szCs w:val="18"/>
          <w:color w:val="auto"/>
        </w:rPr>
        <w:t>10-K; and (c) footnote (J) to the Company’s audited financial statements for the fiscal year ended March 31, 2017 included in the Fiscal 2017 Form 10-K.</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56" w:right="60"/>
        <w:spacing w:after="0" w:line="248" w:lineRule="auto"/>
        <w:rPr>
          <w:sz w:val="20"/>
          <w:szCs w:val="20"/>
          <w:color w:val="auto"/>
        </w:rPr>
      </w:pPr>
      <w:r>
        <w:rPr>
          <w:rFonts w:ascii="Arial" w:cs="Arial" w:eastAsia="Arial" w:hAnsi="Arial"/>
          <w:sz w:val="17"/>
          <w:szCs w:val="17"/>
          <w:color w:val="auto"/>
        </w:rPr>
        <w:t>The amounts in this column assume achievement of less than the highest level of performance conditions, and the following reflects the amounts for this award assuming the highest level of performance conditions (i.e., the maximum amounts payable): Fiscal 2019: Mr. Kesler - $495,000; and Mr. Haack - $605,000. Fiscal 2018: Mr. Kesler - $440,000; and Mr. Haack -</w:t>
      </w:r>
    </w:p>
    <w:p>
      <w:pPr>
        <w:spacing w:after="0" w:line="4" w:lineRule="exact"/>
        <w:rPr>
          <w:sz w:val="20"/>
          <w:szCs w:val="20"/>
          <w:color w:val="auto"/>
        </w:rPr>
      </w:pPr>
    </w:p>
    <w:p>
      <w:pPr>
        <w:ind w:left="356" w:right="60"/>
        <w:spacing w:after="0" w:line="246" w:lineRule="auto"/>
        <w:rPr>
          <w:sz w:val="20"/>
          <w:szCs w:val="20"/>
          <w:color w:val="auto"/>
        </w:rPr>
      </w:pPr>
      <w:r>
        <w:rPr>
          <w:rFonts w:ascii="Arial" w:cs="Arial" w:eastAsia="Arial" w:hAnsi="Arial"/>
          <w:sz w:val="18"/>
          <w:szCs w:val="18"/>
          <w:color w:val="auto"/>
        </w:rPr>
        <w:t>$522,500. Fiscal 2017: Mr. Kesler - $385,000; and Mr. Haack - $495,000.</w:t>
      </w:r>
    </w:p>
    <w:p>
      <w:pPr>
        <w:spacing w:after="0" w:line="102" w:lineRule="exact"/>
        <w:rPr>
          <w:sz w:val="20"/>
          <w:szCs w:val="20"/>
          <w:color w:val="auto"/>
        </w:rPr>
      </w:pPr>
    </w:p>
    <w:p>
      <w:pPr>
        <w:ind w:left="356" w:right="60" w:hanging="356"/>
        <w:spacing w:after="0"/>
        <w:tabs>
          <w:tab w:leader="none" w:pos="3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applicable annual incentive compensation program for the applicable fiscal year.</w:t>
      </w:r>
    </w:p>
    <w:p>
      <w:pPr>
        <w:spacing w:after="0" w:line="108" w:lineRule="exact"/>
        <w:rPr>
          <w:rFonts w:ascii="Arial" w:cs="Arial" w:eastAsia="Arial" w:hAnsi="Arial"/>
          <w:sz w:val="18"/>
          <w:szCs w:val="18"/>
          <w:color w:val="auto"/>
        </w:rPr>
      </w:pPr>
    </w:p>
    <w:p>
      <w:pPr>
        <w:ind w:left="356" w:hanging="356"/>
        <w:spacing w:after="0" w:line="236" w:lineRule="auto"/>
        <w:tabs>
          <w:tab w:leader="none" w:pos="3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shown in this column represent: (1) Company profit sharing contributions to the account of the Named Executive Officer under our Retirement Plan (the Retirement Plan is described in greater detail under “Retirement Plan” on page 32 of this proxy statement); (2) Company contributions to the account of the Named Executive Officer under our SERP (the SERP is described in greater detail under “SERP” on page 33 of this proxy statement); (3) premium costs to the Company of life insurance policies obtained by the Company in connection with our SCP (the SCP is described in greater detail under “Salary Continuation Plan” on page 34 of this proxy statement); and (4) wellness awards. The table below provides further details of the amounts reflected in the All Other Compensation column:</w:t>
      </w:r>
    </w:p>
    <w:p>
      <w:pPr>
        <w:spacing w:after="0" w:line="686" w:lineRule="exact"/>
        <w:rPr>
          <w:sz w:val="20"/>
          <w:szCs w:val="20"/>
          <w:color w:val="auto"/>
        </w:rPr>
      </w:pPr>
    </w:p>
    <w:p>
      <w:pPr>
        <w:sectPr>
          <w:pgSz w:w="11900" w:h="16838" w:orient="portrait"/>
          <w:cols w:equalWidth="0" w:num="2">
            <w:col w:w="5460" w:space="364"/>
            <w:col w:w="5396"/>
          </w:cols>
          <w:pgMar w:left="240" w:top="459" w:right="439" w:bottom="1440" w:gutter="0" w:footer="0" w:header="0"/>
          <w:type w:val="continuous"/>
        </w:sectPr>
      </w:pPr>
    </w:p>
    <w:p>
      <w:pPr>
        <w:spacing w:after="0" w:line="166"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Profit</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Insurance</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3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Sharing</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Premiums</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Total of</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Plan</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SERP</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 Salary</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Well-</w:t>
            </w:r>
          </w:p>
        </w:tc>
        <w:tc>
          <w:tcPr>
            <w:tcW w:w="3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Contri-</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Contri-</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Continuation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ness</w:t>
            </w:r>
          </w:p>
        </w:tc>
        <w:tc>
          <w:tcPr>
            <w:tcW w:w="3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Compen-</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7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March</w:t>
            </w:r>
          </w:p>
        </w:tc>
        <w:tc>
          <w:tcPr>
            <w:tcW w:w="3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bution</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bution</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Plan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Award</w:t>
            </w:r>
          </w:p>
        </w:tc>
        <w:tc>
          <w:tcPr>
            <w:tcW w:w="3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sation</w:t>
            </w:r>
          </w:p>
        </w:tc>
        <w:tc>
          <w:tcPr>
            <w:tcW w:w="0" w:type="dxa"/>
            <w:vAlign w:val="bottom"/>
          </w:tcPr>
          <w:p>
            <w:pPr>
              <w:spacing w:after="0"/>
              <w:rPr>
                <w:sz w:val="1"/>
                <w:szCs w:val="1"/>
                <w:color w:val="auto"/>
              </w:rPr>
            </w:pPr>
          </w:p>
        </w:tc>
      </w:tr>
      <w:tr>
        <w:trPr>
          <w:trHeight w:val="175"/>
        </w:trPr>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31,</w:t>
            </w:r>
          </w:p>
        </w:tc>
        <w:tc>
          <w:tcPr>
            <w:tcW w:w="3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80" w:type="dxa"/>
            <w:vAlign w:val="bottom"/>
            <w:shd w:val="clear" w:color="auto" w:fill="CCEEFF"/>
          </w:tcPr>
          <w:p>
            <w:pPr>
              <w:spacing w:after="0"/>
              <w:rPr>
                <w:sz w:val="24"/>
                <w:szCs w:val="24"/>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David B. Powers</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2019</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$ 27,500</w:t>
            </w: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$ 62,750</w:t>
            </w:r>
          </w:p>
        </w:tc>
        <w:tc>
          <w:tcPr>
            <w:tcW w:w="3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660</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$ 90,910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2018</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32,400</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68,100</w:t>
            </w:r>
          </w:p>
        </w:tc>
        <w:tc>
          <w:tcPr>
            <w:tcW w:w="3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690</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101,190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2017</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26,500</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43,440</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  156</w:t>
            </w:r>
          </w:p>
        </w:tc>
        <w:tc>
          <w:tcPr>
            <w:tcW w:w="3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690</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70,786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80" w:type="dxa"/>
            <w:vAlign w:val="bottom"/>
          </w:tcPr>
          <w:p>
            <w:pPr>
              <w:spacing w:after="0"/>
              <w:rPr>
                <w:sz w:val="24"/>
                <w:szCs w:val="24"/>
                <w:color w:val="auto"/>
              </w:rPr>
            </w:pPr>
          </w:p>
        </w:tc>
        <w:tc>
          <w:tcPr>
            <w:tcW w:w="1700" w:type="dxa"/>
            <w:vAlign w:val="bottom"/>
          </w:tcPr>
          <w:p>
            <w:pPr>
              <w:ind w:left="160"/>
              <w:spacing w:after="0"/>
              <w:rPr>
                <w:sz w:val="20"/>
                <w:szCs w:val="20"/>
                <w:color w:val="auto"/>
              </w:rPr>
            </w:pPr>
            <w:r>
              <w:rPr>
                <w:rFonts w:ascii="Arial" w:cs="Arial" w:eastAsia="Arial" w:hAnsi="Arial"/>
                <w:sz w:val="14"/>
                <w:szCs w:val="14"/>
                <w:color w:val="auto"/>
              </w:rPr>
              <w:t>D. Craig Kesler</w:t>
            </w: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2019</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27,500</w:t>
            </w:r>
          </w:p>
        </w:tc>
        <w:tc>
          <w:tcPr>
            <w:tcW w:w="3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17,850</w:t>
            </w:r>
          </w:p>
        </w:tc>
        <w:tc>
          <w:tcPr>
            <w:tcW w:w="380" w:type="dxa"/>
            <w:vAlign w:val="bottom"/>
          </w:tcPr>
          <w:p>
            <w:pPr>
              <w:spacing w:after="0"/>
              <w:rPr>
                <w:sz w:val="24"/>
                <w:szCs w:val="24"/>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5,274</w:t>
            </w:r>
          </w:p>
        </w:tc>
        <w:tc>
          <w:tcPr>
            <w:tcW w:w="38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660</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51,284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2018</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32,400</w:t>
            </w:r>
          </w:p>
        </w:tc>
        <w:tc>
          <w:tcPr>
            <w:tcW w:w="38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19,260</w:t>
            </w:r>
          </w:p>
        </w:tc>
        <w:tc>
          <w:tcPr>
            <w:tcW w:w="380" w:type="dxa"/>
            <w:vAlign w:val="bottom"/>
          </w:tcPr>
          <w:p>
            <w:pPr>
              <w:spacing w:after="0"/>
              <w:rPr>
                <w:sz w:val="22"/>
                <w:szCs w:val="22"/>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5,274</w:t>
            </w:r>
          </w:p>
        </w:tc>
        <w:tc>
          <w:tcPr>
            <w:tcW w:w="38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569</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57,503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2017</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26,500</w:t>
            </w:r>
          </w:p>
        </w:tc>
        <w:tc>
          <w:tcPr>
            <w:tcW w:w="3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15,000</w:t>
            </w:r>
          </w:p>
        </w:tc>
        <w:tc>
          <w:tcPr>
            <w:tcW w:w="380" w:type="dxa"/>
            <w:vAlign w:val="bottom"/>
          </w:tcPr>
          <w:p>
            <w:pPr>
              <w:spacing w:after="0"/>
              <w:rPr>
                <w:sz w:val="21"/>
                <w:szCs w:val="21"/>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5,274</w:t>
            </w:r>
          </w:p>
        </w:tc>
        <w:tc>
          <w:tcPr>
            <w:tcW w:w="38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690</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47,464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80" w:type="dxa"/>
            <w:vAlign w:val="bottom"/>
            <w:shd w:val="clear" w:color="auto" w:fill="CCEEFF"/>
          </w:tcPr>
          <w:p>
            <w:pPr>
              <w:spacing w:after="0"/>
              <w:rPr>
                <w:sz w:val="24"/>
                <w:szCs w:val="24"/>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Michael Haack</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2019</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27,500</w:t>
            </w: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29,275</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5,274</w:t>
            </w:r>
          </w:p>
        </w:tc>
        <w:tc>
          <w:tcPr>
            <w:tcW w:w="3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62,214</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2018</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32,400</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32,663</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5,274</w:t>
            </w:r>
          </w:p>
        </w:tc>
        <w:tc>
          <w:tcPr>
            <w:tcW w:w="3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70,475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2017</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26,500</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26,163</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5,274</w:t>
            </w:r>
          </w:p>
        </w:tc>
        <w:tc>
          <w:tcPr>
            <w:tcW w:w="3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57,937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Profit</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Insurance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rPr>
              <w:t>Fiscal</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Sharing</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Premiums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Total of</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Year</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Plan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SERP</w:t>
            </w: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under Salary</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Well-</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Ended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Contri-</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Contri-</w:t>
            </w: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Continuation</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ness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Compen-</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bution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bution</w:t>
            </w: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Plan</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sation</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4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Robert S. Stewart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27,500</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17,475</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1,187</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46,162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32,400</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19,275</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1,617</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53,292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26,500</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15,235</w:t>
            </w:r>
          </w:p>
        </w:tc>
        <w:tc>
          <w:tcPr>
            <w:tcW w:w="11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1,982</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43,717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36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Keith W. Metcalf</w:t>
            </w:r>
          </w:p>
        </w:tc>
        <w:tc>
          <w:tcPr>
            <w:tcW w:w="840" w:type="dxa"/>
            <w:vAlign w:val="bottom"/>
            <w:gridSpan w:val="2"/>
          </w:tcPr>
          <w:p>
            <w:pPr>
              <w:ind w:left="360"/>
              <w:spacing w:after="0"/>
              <w:rPr>
                <w:sz w:val="20"/>
                <w:szCs w:val="20"/>
                <w:color w:val="auto"/>
              </w:rPr>
            </w:pPr>
            <w:r>
              <w:rPr>
                <w:rFonts w:ascii="Arial" w:cs="Arial" w:eastAsia="Arial" w:hAnsi="Arial"/>
                <w:sz w:val="14"/>
                <w:szCs w:val="14"/>
                <w:color w:val="auto"/>
              </w:rPr>
              <w:t>2019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27,500</w:t>
            </w:r>
          </w:p>
        </w:tc>
        <w:tc>
          <w:tcPr>
            <w:tcW w:w="20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4"/>
                <w:szCs w:val="14"/>
                <w:color w:val="auto"/>
              </w:rPr>
              <w:t>11,500</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3,049</w:t>
            </w:r>
          </w:p>
        </w:tc>
        <w:tc>
          <w:tcPr>
            <w:tcW w:w="20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569</w:t>
            </w:r>
          </w:p>
        </w:tc>
        <w:tc>
          <w:tcPr>
            <w:tcW w:w="20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Arial" w:cs="Arial" w:eastAsia="Arial" w:hAnsi="Arial"/>
                <w:sz w:val="14"/>
                <w:szCs w:val="14"/>
                <w:color w:val="auto"/>
              </w:rPr>
              <w:t>42,049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3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right="4859" w:hanging="356"/>
        <w:spacing w:after="0" w:line="238"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Metcalf was not a Named Executive Officer in fiscal year 2018 or 2017. In accordance with SEC disclosure requirements, his compensation disclosure is provided only for the fiscal year in which he served as a Named Executive Officer.</w:t>
      </w: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Grants of Plan-Based Awards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the grants of plan-based awards made during fiscal 2019 to the Named Executive Officers.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8"/>
            <w:vMerge w:val="restart"/>
          </w:tcPr>
          <w:p>
            <w:pPr>
              <w:jc w:val="center"/>
              <w:ind w:right="120"/>
              <w:spacing w:after="0"/>
              <w:rPr>
                <w:sz w:val="20"/>
                <w:szCs w:val="20"/>
                <w:color w:val="auto"/>
              </w:rPr>
            </w:pPr>
            <w:r>
              <w:rPr>
                <w:rFonts w:ascii="Arial" w:cs="Arial" w:eastAsia="Arial" w:hAnsi="Arial"/>
                <w:sz w:val="14"/>
                <w:szCs w:val="14"/>
                <w:b w:val="1"/>
                <w:bCs w:val="1"/>
                <w:color w:val="auto"/>
              </w:rPr>
              <w:t>Estimated Future Payouts Under</w:t>
            </w:r>
          </w:p>
        </w:tc>
        <w:tc>
          <w:tcPr>
            <w:tcW w:w="2780" w:type="dxa"/>
            <w:vAlign w:val="bottom"/>
            <w:gridSpan w:val="5"/>
            <w:vMerge w:val="restart"/>
          </w:tcPr>
          <w:p>
            <w:pPr>
              <w:jc w:val="right"/>
              <w:ind w:right="216"/>
              <w:spacing w:after="0"/>
              <w:rPr>
                <w:sz w:val="20"/>
                <w:szCs w:val="20"/>
                <w:color w:val="auto"/>
              </w:rPr>
            </w:pPr>
            <w:r>
              <w:rPr>
                <w:rFonts w:ascii="Arial" w:cs="Arial" w:eastAsia="Arial" w:hAnsi="Arial"/>
                <w:sz w:val="14"/>
                <w:szCs w:val="14"/>
                <w:b w:val="1"/>
                <w:bCs w:val="1"/>
                <w:color w:val="auto"/>
              </w:rPr>
              <w:t>Estimated Future Payouts Under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60" w:type="dxa"/>
            <w:vAlign w:val="bottom"/>
            <w:gridSpan w:val="8"/>
            <w:vMerge w:val="continue"/>
          </w:tcPr>
          <w:p>
            <w:pPr>
              <w:spacing w:after="0"/>
              <w:rPr>
                <w:sz w:val="4"/>
                <w:szCs w:val="4"/>
                <w:color w:val="auto"/>
              </w:rPr>
            </w:pPr>
          </w:p>
        </w:tc>
        <w:tc>
          <w:tcPr>
            <w:tcW w:w="27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or Base</w:t>
            </w: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8"/>
            <w:vMerge w:val="restart"/>
          </w:tcPr>
          <w:p>
            <w:pPr>
              <w:jc w:val="center"/>
              <w:ind w:right="140"/>
              <w:spacing w:after="0"/>
              <w:rPr>
                <w:sz w:val="20"/>
                <w:szCs w:val="20"/>
                <w:color w:val="auto"/>
              </w:rPr>
            </w:pPr>
            <w:r>
              <w:rPr>
                <w:rFonts w:ascii="Arial" w:cs="Arial" w:eastAsia="Arial" w:hAnsi="Arial"/>
                <w:sz w:val="14"/>
                <w:szCs w:val="14"/>
                <w:b w:val="1"/>
                <w:bCs w:val="1"/>
                <w:color w:val="auto"/>
              </w:rPr>
              <w:t>Non-Equity Incentive Plan Awards</w:t>
            </w:r>
          </w:p>
        </w:tc>
        <w:tc>
          <w:tcPr>
            <w:tcW w:w="2780" w:type="dxa"/>
            <w:vAlign w:val="bottom"/>
            <w:gridSpan w:val="5"/>
            <w:vMerge w:val="restart"/>
          </w:tcPr>
          <w:p>
            <w:pPr>
              <w:jc w:val="right"/>
              <w:ind w:right="336"/>
              <w:spacing w:after="0"/>
              <w:rPr>
                <w:sz w:val="20"/>
                <w:szCs w:val="20"/>
                <w:color w:val="auto"/>
              </w:rPr>
            </w:pPr>
            <w:r>
              <w:rPr>
                <w:rFonts w:ascii="Arial" w:cs="Arial" w:eastAsia="Arial" w:hAnsi="Arial"/>
                <w:sz w:val="14"/>
                <w:szCs w:val="14"/>
                <w:b w:val="1"/>
                <w:bCs w:val="1"/>
                <w:color w:val="auto"/>
              </w:rPr>
              <w:t>Equity Incentive Plan Awards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60" w:type="dxa"/>
            <w:vAlign w:val="bottom"/>
            <w:gridSpan w:val="8"/>
            <w:vMerge w:val="continue"/>
          </w:tcPr>
          <w:p>
            <w:pPr>
              <w:spacing w:after="0"/>
              <w:rPr>
                <w:sz w:val="5"/>
                <w:szCs w:val="5"/>
                <w:color w:val="auto"/>
              </w:rPr>
            </w:pPr>
          </w:p>
        </w:tc>
        <w:tc>
          <w:tcPr>
            <w:tcW w:w="27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Price of</w:t>
            </w: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Thresh-</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4"/>
          </w:tcPr>
          <w:p>
            <w:pPr>
              <w:ind w:left="120"/>
              <w:spacing w:after="0"/>
              <w:rPr>
                <w:sz w:val="20"/>
                <w:szCs w:val="20"/>
                <w:color w:val="auto"/>
              </w:rPr>
            </w:pPr>
            <w:r>
              <w:rPr>
                <w:rFonts w:ascii="Arial" w:cs="Arial" w:eastAsia="Arial" w:hAnsi="Arial"/>
                <w:sz w:val="14"/>
                <w:szCs w:val="14"/>
                <w:b w:val="1"/>
                <w:bCs w:val="1"/>
                <w:color w:val="auto"/>
              </w:rPr>
              <w:t>Maxi-</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Thresh-</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59"/>
        </w:trPr>
        <w:tc>
          <w:tcPr>
            <w:tcW w:w="420" w:type="dxa"/>
            <w:vAlign w:val="bottom"/>
          </w:tcPr>
          <w:p>
            <w:pPr>
              <w:spacing w:after="0"/>
              <w:rPr>
                <w:sz w:val="13"/>
                <w:szCs w:val="13"/>
                <w:color w:val="auto"/>
              </w:rPr>
            </w:pPr>
          </w:p>
        </w:tc>
        <w:tc>
          <w:tcPr>
            <w:tcW w:w="19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3"/>
                <w:szCs w:val="13"/>
                <w:color w:val="auto"/>
              </w:rPr>
            </w:pPr>
          </w:p>
        </w:tc>
        <w:tc>
          <w:tcPr>
            <w:tcW w:w="54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auto"/>
              </w:rPr>
              <w:t>Grant</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rPr>
              <w:t>old</w:t>
            </w:r>
          </w:p>
        </w:tc>
        <w:tc>
          <w:tcPr>
            <w:tcW w:w="1080" w:type="dxa"/>
            <w:vAlign w:val="bottom"/>
            <w:gridSpan w:val="2"/>
          </w:tcPr>
          <w:p>
            <w:pPr>
              <w:jc w:val="right"/>
              <w:ind w:right="399"/>
              <w:spacing w:after="0" w:line="159" w:lineRule="exact"/>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3"/>
                <w:szCs w:val="13"/>
                <w:color w:val="auto"/>
              </w:rPr>
            </w:pPr>
          </w:p>
        </w:tc>
        <w:tc>
          <w:tcPr>
            <w:tcW w:w="60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mum</w:t>
            </w:r>
          </w:p>
        </w:tc>
        <w:tc>
          <w:tcPr>
            <w:tcW w:w="8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old</w:t>
            </w:r>
          </w:p>
        </w:tc>
        <w:tc>
          <w:tcPr>
            <w:tcW w:w="100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Target</w:t>
            </w:r>
          </w:p>
        </w:tc>
        <w:tc>
          <w:tcPr>
            <w:tcW w:w="900" w:type="dxa"/>
            <w:vAlign w:val="bottom"/>
          </w:tcPr>
          <w:p>
            <w:pPr>
              <w:jc w:val="right"/>
              <w:ind w:right="56"/>
              <w:spacing w:after="0" w:line="159"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79"/>
        </w:trPr>
        <w:tc>
          <w:tcPr>
            <w:tcW w:w="4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Date</w:t>
            </w:r>
          </w:p>
        </w:tc>
        <w:tc>
          <w:tcPr>
            <w:tcW w:w="2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($/sh)</w:t>
            </w:r>
          </w:p>
        </w:tc>
        <w:tc>
          <w:tcPr>
            <w:tcW w:w="2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34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4"/>
                <w:szCs w:val="14"/>
                <w:color w:val="auto"/>
              </w:rPr>
              <w:t>David B. Powers</w:t>
            </w:r>
          </w:p>
        </w:tc>
        <w:tc>
          <w:tcPr>
            <w:tcW w:w="6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260"/>
              <w:spacing w:after="0" w:line="153"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$1,103,337</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1"/>
              </w:rPr>
              <w:t>(2)</w:t>
            </w:r>
          </w:p>
        </w:tc>
        <w:tc>
          <w:tcPr>
            <w:tcW w:w="1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center"/>
              <w:ind w:right="240"/>
              <w:spacing w:after="0" w:line="15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line="153"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6"/>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560"/>
              <w:spacing w:after="0" w:line="15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66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6"/>
              <w:spacing w:after="0" w:line="162" w:lineRule="exact"/>
              <w:rPr>
                <w:sz w:val="20"/>
                <w:szCs w:val="20"/>
                <w:color w:val="auto"/>
              </w:rPr>
            </w:pPr>
            <w:r>
              <w:rPr>
                <w:rFonts w:ascii="Arial" w:cs="Arial" w:eastAsia="Arial" w:hAnsi="Arial"/>
                <w:sz w:val="11"/>
                <w:szCs w:val="11"/>
                <w:color w:val="auto"/>
              </w:rPr>
              <w:t>16,473</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  1,750,000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64" w:lineRule="exact"/>
              <w:rPr>
                <w:sz w:val="20"/>
                <w:szCs w:val="20"/>
                <w:color w:val="auto"/>
              </w:rPr>
            </w:pPr>
            <w:r>
              <w:rPr>
                <w:rFonts w:ascii="Arial" w:cs="Arial" w:eastAsia="Arial" w:hAnsi="Arial"/>
                <w:sz w:val="12"/>
                <w:szCs w:val="12"/>
                <w:color w:val="auto"/>
              </w:rPr>
              <w:t>16,473</w:t>
            </w:r>
            <w:r>
              <w:rPr>
                <w:rFonts w:ascii="Arial" w:cs="Arial" w:eastAsia="Arial" w:hAnsi="Arial"/>
                <w:sz w:val="19"/>
                <w:szCs w:val="19"/>
                <w:color w:val="auto"/>
                <w:vertAlign w:val="superscript"/>
              </w:rPr>
              <w:t>(4)</w:t>
            </w:r>
          </w:p>
        </w:tc>
        <w:tc>
          <w:tcPr>
            <w:tcW w:w="900" w:type="dxa"/>
            <w:vAlign w:val="bottom"/>
            <w:shd w:val="clear" w:color="auto" w:fill="CCEEFF"/>
          </w:tcPr>
          <w:p>
            <w:pPr>
              <w:jc w:val="right"/>
              <w:ind w:right="116"/>
              <w:spacing w:after="0" w:line="164" w:lineRule="exact"/>
              <w:rPr>
                <w:sz w:val="20"/>
                <w:szCs w:val="20"/>
                <w:color w:val="auto"/>
              </w:rPr>
            </w:pPr>
            <w:r>
              <w:rPr>
                <w:rFonts w:ascii="Arial" w:cs="Arial" w:eastAsia="Arial" w:hAnsi="Arial"/>
                <w:sz w:val="12"/>
                <w:szCs w:val="12"/>
                <w:color w:val="auto"/>
              </w:rPr>
              <w:t>19,767</w:t>
            </w:r>
            <w:r>
              <w:rPr>
                <w:rFonts w:ascii="Arial" w:cs="Arial" w:eastAsia="Arial" w:hAnsi="Arial"/>
                <w:sz w:val="19"/>
                <w:szCs w:val="19"/>
                <w:color w:val="auto"/>
                <w:vertAlign w:val="superscript"/>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1,750,000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340" w:type="dxa"/>
            <w:vAlign w:val="bottom"/>
            <w:gridSpan w:val="2"/>
          </w:tcPr>
          <w:p>
            <w:pPr>
              <w:ind w:left="140"/>
              <w:spacing w:after="0"/>
              <w:rPr>
                <w:sz w:val="20"/>
                <w:szCs w:val="20"/>
                <w:color w:val="auto"/>
              </w:rPr>
            </w:pPr>
            <w:r>
              <w:rPr>
                <w:rFonts w:ascii="Arial" w:cs="Arial" w:eastAsia="Arial" w:hAnsi="Arial"/>
                <w:sz w:val="14"/>
                <w:szCs w:val="14"/>
                <w:color w:val="auto"/>
              </w:rPr>
              <w:t>D. Craig Kesler</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9"/>
              <w:spacing w:after="0"/>
              <w:rPr>
                <w:sz w:val="20"/>
                <w:szCs w:val="20"/>
                <w:color w:val="auto"/>
              </w:rPr>
            </w:pPr>
            <w:r>
              <w:rPr>
                <w:rFonts w:ascii="Arial" w:cs="Arial" w:eastAsia="Arial" w:hAnsi="Arial"/>
                <w:sz w:val="14"/>
                <w:szCs w:val="14"/>
                <w:color w:val="auto"/>
              </w:rPr>
              <w:t>726,364</w:t>
            </w:r>
            <w:r>
              <w:rPr>
                <w:rFonts w:ascii="Arial" w:cs="Arial" w:eastAsia="Arial" w:hAnsi="Arial"/>
                <w:sz w:val="24"/>
                <w:szCs w:val="24"/>
                <w:color w:val="auto"/>
                <w:vertAlign w:val="superscript"/>
              </w:rPr>
              <w:t>(2)</w:t>
            </w:r>
          </w:p>
        </w:tc>
        <w:tc>
          <w:tcPr>
            <w:tcW w:w="140" w:type="dxa"/>
            <w:vAlign w:val="bottom"/>
          </w:tcPr>
          <w:p>
            <w:pPr>
              <w:spacing w:after="0"/>
              <w:rPr>
                <w:sz w:val="24"/>
                <w:szCs w:val="2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9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6"/>
              <w:spacing w:after="0" w:line="162" w:lineRule="exact"/>
              <w:rPr>
                <w:sz w:val="20"/>
                <w:szCs w:val="20"/>
                <w:color w:val="auto"/>
              </w:rPr>
            </w:pPr>
            <w:r>
              <w:rPr>
                <w:rFonts w:ascii="Arial" w:cs="Arial" w:eastAsia="Arial" w:hAnsi="Arial"/>
                <w:sz w:val="11"/>
                <w:szCs w:val="11"/>
                <w:color w:val="auto"/>
              </w:rPr>
              <w:t>2,118</w:t>
            </w:r>
            <w:r>
              <w:rPr>
                <w:rFonts w:ascii="Arial" w:cs="Arial" w:eastAsia="Arial" w:hAnsi="Arial"/>
                <w:sz w:val="18"/>
                <w:szCs w:val="18"/>
                <w:color w:val="auto"/>
                <w:vertAlign w:val="superscript"/>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line="162" w:lineRule="exact"/>
              <w:rPr>
                <w:sz w:val="20"/>
                <w:szCs w:val="20"/>
                <w:color w:val="auto"/>
              </w:rPr>
            </w:pPr>
            <w:r>
              <w:rPr>
                <w:rFonts w:ascii="Arial" w:cs="Arial" w:eastAsia="Arial" w:hAnsi="Arial"/>
                <w:sz w:val="11"/>
                <w:szCs w:val="11"/>
                <w:color w:val="auto"/>
              </w:rPr>
              <w:t>2,118</w:t>
            </w:r>
            <w:r>
              <w:rPr>
                <w:rFonts w:ascii="Arial" w:cs="Arial" w:eastAsia="Arial" w:hAnsi="Arial"/>
                <w:sz w:val="18"/>
                <w:szCs w:val="18"/>
                <w:color w:val="auto"/>
                <w:vertAlign w:val="superscript"/>
              </w:rPr>
              <w:t>(4)</w:t>
            </w:r>
          </w:p>
        </w:tc>
        <w:tc>
          <w:tcPr>
            <w:tcW w:w="900" w:type="dxa"/>
            <w:vAlign w:val="bottom"/>
          </w:tcPr>
          <w:p>
            <w:pPr>
              <w:jc w:val="right"/>
              <w:ind w:right="116"/>
              <w:spacing w:after="0" w:line="162" w:lineRule="exact"/>
              <w:rPr>
                <w:sz w:val="20"/>
                <w:szCs w:val="20"/>
                <w:color w:val="auto"/>
              </w:rPr>
            </w:pPr>
            <w:r>
              <w:rPr>
                <w:rFonts w:ascii="Arial" w:cs="Arial" w:eastAsia="Arial" w:hAnsi="Arial"/>
                <w:sz w:val="11"/>
                <w:szCs w:val="11"/>
                <w:color w:val="auto"/>
              </w:rPr>
              <w:t>2,542</w:t>
            </w:r>
            <w:r>
              <w:rPr>
                <w:rFonts w:ascii="Arial" w:cs="Arial" w:eastAsia="Arial" w:hAnsi="Arial"/>
                <w:sz w:val="18"/>
                <w:szCs w:val="18"/>
                <w:color w:val="auto"/>
                <w:vertAlign w:val="superscript"/>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6"/>
              <w:spacing w:after="0" w:line="162" w:lineRule="exact"/>
              <w:rPr>
                <w:sz w:val="20"/>
                <w:szCs w:val="20"/>
                <w:color w:val="auto"/>
              </w:rPr>
            </w:pPr>
            <w:r>
              <w:rPr>
                <w:rFonts w:ascii="Arial" w:cs="Arial" w:eastAsia="Arial" w:hAnsi="Arial"/>
                <w:sz w:val="11"/>
                <w:szCs w:val="11"/>
                <w:color w:val="auto"/>
              </w:rPr>
              <w:t>6,614</w:t>
            </w:r>
            <w:r>
              <w:rPr>
                <w:rFonts w:ascii="Arial" w:cs="Arial" w:eastAsia="Arial" w:hAnsi="Arial"/>
                <w:sz w:val="18"/>
                <w:szCs w:val="18"/>
                <w:color w:val="auto"/>
                <w:vertAlign w:val="superscript"/>
              </w:rPr>
              <w:t>(5)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106.24</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6,614</w:t>
            </w:r>
            <w:r>
              <w:rPr>
                <w:rFonts w:ascii="Arial" w:cs="Arial" w:eastAsia="Arial" w:hAnsi="Arial"/>
                <w:sz w:val="24"/>
                <w:szCs w:val="24"/>
                <w:color w:val="auto"/>
                <w:vertAlign w:val="superscript"/>
              </w:rPr>
              <w:t>(6)</w:t>
            </w:r>
          </w:p>
        </w:tc>
        <w:tc>
          <w:tcPr>
            <w:tcW w:w="900" w:type="dxa"/>
            <w:vAlign w:val="bottom"/>
          </w:tcPr>
          <w:p>
            <w:pPr>
              <w:jc w:val="right"/>
              <w:ind w:right="116"/>
              <w:spacing w:after="0"/>
              <w:rPr>
                <w:sz w:val="20"/>
                <w:szCs w:val="20"/>
                <w:color w:val="auto"/>
              </w:rPr>
            </w:pPr>
            <w:r>
              <w:rPr>
                <w:rFonts w:ascii="Arial" w:cs="Arial" w:eastAsia="Arial" w:hAnsi="Arial"/>
                <w:sz w:val="14"/>
                <w:szCs w:val="14"/>
                <w:color w:val="auto"/>
              </w:rPr>
              <w:t>7,937</w:t>
            </w:r>
            <w:r>
              <w:rPr>
                <w:rFonts w:ascii="Arial" w:cs="Arial" w:eastAsia="Arial" w:hAnsi="Arial"/>
                <w:sz w:val="24"/>
                <w:szCs w:val="24"/>
                <w:color w:val="auto"/>
                <w:vertAlign w:val="superscript"/>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4"/>
                <w:szCs w:val="14"/>
                <w:color w:val="auto"/>
              </w:rPr>
              <w:t>106.24</w:t>
            </w:r>
          </w:p>
        </w:tc>
        <w:tc>
          <w:tcPr>
            <w:tcW w:w="26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225,000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3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Michael Haack</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59"/>
              <w:spacing w:after="0" w:line="159" w:lineRule="exact"/>
              <w:rPr>
                <w:sz w:val="20"/>
                <w:szCs w:val="20"/>
                <w:color w:val="auto"/>
              </w:rPr>
            </w:pPr>
            <w:r>
              <w:rPr>
                <w:rFonts w:ascii="Arial" w:cs="Arial" w:eastAsia="Arial" w:hAnsi="Arial"/>
                <w:sz w:val="11"/>
                <w:szCs w:val="11"/>
                <w:color w:val="auto"/>
              </w:rPr>
              <w:t>781,531</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center"/>
              <w:ind w:right="2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6"/>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6"/>
              <w:spacing w:after="0" w:line="162" w:lineRule="exact"/>
              <w:rPr>
                <w:sz w:val="20"/>
                <w:szCs w:val="20"/>
                <w:color w:val="auto"/>
              </w:rPr>
            </w:pPr>
            <w:r>
              <w:rPr>
                <w:rFonts w:ascii="Arial" w:cs="Arial" w:eastAsia="Arial" w:hAnsi="Arial"/>
                <w:sz w:val="11"/>
                <w:szCs w:val="11"/>
                <w:color w:val="auto"/>
              </w:rPr>
              <w:t>2,589</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1"/>
                <w:szCs w:val="11"/>
                <w:color w:val="auto"/>
              </w:rPr>
              <w:t>2,589</w:t>
            </w:r>
            <w:r>
              <w:rPr>
                <w:rFonts w:ascii="Arial" w:cs="Arial" w:eastAsia="Arial" w:hAnsi="Arial"/>
                <w:sz w:val="18"/>
                <w:szCs w:val="18"/>
                <w:color w:val="auto"/>
                <w:vertAlign w:val="superscript"/>
              </w:rPr>
              <w:t>(4)</w:t>
            </w:r>
          </w:p>
        </w:tc>
        <w:tc>
          <w:tcPr>
            <w:tcW w:w="900" w:type="dxa"/>
            <w:vAlign w:val="bottom"/>
            <w:shd w:val="clear" w:color="auto" w:fill="CCEEFF"/>
          </w:tcPr>
          <w:p>
            <w:pPr>
              <w:jc w:val="right"/>
              <w:ind w:right="116"/>
              <w:spacing w:after="0" w:line="162" w:lineRule="exact"/>
              <w:rPr>
                <w:sz w:val="20"/>
                <w:szCs w:val="20"/>
                <w:color w:val="auto"/>
              </w:rPr>
            </w:pPr>
            <w:r>
              <w:rPr>
                <w:rFonts w:ascii="Arial" w:cs="Arial" w:eastAsia="Arial" w:hAnsi="Arial"/>
                <w:sz w:val="11"/>
                <w:szCs w:val="11"/>
                <w:color w:val="auto"/>
              </w:rPr>
              <w:t>3,107</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6"/>
              <w:spacing w:after="0" w:line="162" w:lineRule="exact"/>
              <w:rPr>
                <w:sz w:val="20"/>
                <w:szCs w:val="20"/>
                <w:color w:val="auto"/>
              </w:rPr>
            </w:pPr>
            <w:r>
              <w:rPr>
                <w:rFonts w:ascii="Arial" w:cs="Arial" w:eastAsia="Arial" w:hAnsi="Arial"/>
                <w:sz w:val="11"/>
                <w:szCs w:val="11"/>
                <w:color w:val="auto"/>
              </w:rPr>
              <w:t>8,084</w:t>
            </w:r>
            <w:r>
              <w:rPr>
                <w:rFonts w:ascii="Arial" w:cs="Arial" w:eastAsia="Arial" w:hAnsi="Arial"/>
                <w:sz w:val="18"/>
                <w:szCs w:val="18"/>
                <w:color w:val="auto"/>
                <w:vertAlign w:val="superscript"/>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106.24</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64" w:lineRule="exact"/>
              <w:rPr>
                <w:sz w:val="20"/>
                <w:szCs w:val="20"/>
                <w:color w:val="auto"/>
              </w:rPr>
            </w:pPr>
            <w:r>
              <w:rPr>
                <w:rFonts w:ascii="Arial" w:cs="Arial" w:eastAsia="Arial" w:hAnsi="Arial"/>
                <w:sz w:val="12"/>
                <w:szCs w:val="12"/>
                <w:color w:val="auto"/>
              </w:rPr>
              <w:t>8,084</w:t>
            </w:r>
            <w:r>
              <w:rPr>
                <w:rFonts w:ascii="Arial" w:cs="Arial" w:eastAsia="Arial" w:hAnsi="Arial"/>
                <w:sz w:val="19"/>
                <w:szCs w:val="19"/>
                <w:color w:val="auto"/>
                <w:vertAlign w:val="superscript"/>
              </w:rPr>
              <w:t>(6)</w:t>
            </w:r>
          </w:p>
        </w:tc>
        <w:tc>
          <w:tcPr>
            <w:tcW w:w="900" w:type="dxa"/>
            <w:vAlign w:val="bottom"/>
            <w:shd w:val="clear" w:color="auto" w:fill="CCEEFF"/>
          </w:tcPr>
          <w:p>
            <w:pPr>
              <w:jc w:val="right"/>
              <w:ind w:right="116"/>
              <w:spacing w:after="0" w:line="164" w:lineRule="exact"/>
              <w:rPr>
                <w:sz w:val="20"/>
                <w:szCs w:val="20"/>
                <w:color w:val="auto"/>
              </w:rPr>
            </w:pPr>
            <w:r>
              <w:rPr>
                <w:rFonts w:ascii="Arial" w:cs="Arial" w:eastAsia="Arial" w:hAnsi="Arial"/>
                <w:sz w:val="12"/>
                <w:szCs w:val="12"/>
                <w:color w:val="auto"/>
              </w:rPr>
              <w:t>9,701</w:t>
            </w:r>
            <w:r>
              <w:rPr>
                <w:rFonts w:ascii="Arial" w:cs="Arial" w:eastAsia="Arial" w:hAnsi="Arial"/>
                <w:sz w:val="19"/>
                <w:szCs w:val="19"/>
                <w:color w:val="auto"/>
                <w:vertAlign w:val="superscript"/>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106.24</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340" w:type="dxa"/>
            <w:vAlign w:val="bottom"/>
            <w:gridSpan w:val="2"/>
          </w:tcPr>
          <w:p>
            <w:pPr>
              <w:ind w:left="140"/>
              <w:spacing w:after="0"/>
              <w:rPr>
                <w:sz w:val="20"/>
                <w:szCs w:val="20"/>
                <w:color w:val="auto"/>
              </w:rPr>
            </w:pPr>
            <w:r>
              <w:rPr>
                <w:rFonts w:ascii="Arial" w:cs="Arial" w:eastAsia="Arial" w:hAnsi="Arial"/>
                <w:sz w:val="14"/>
                <w:szCs w:val="14"/>
                <w:color w:val="auto"/>
              </w:rPr>
              <w:t>Robert S. Stewart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9"/>
              <w:spacing w:after="0"/>
              <w:rPr>
                <w:sz w:val="20"/>
                <w:szCs w:val="20"/>
                <w:color w:val="auto"/>
              </w:rPr>
            </w:pPr>
            <w:r>
              <w:rPr>
                <w:rFonts w:ascii="Arial" w:cs="Arial" w:eastAsia="Arial" w:hAnsi="Arial"/>
                <w:sz w:val="14"/>
                <w:szCs w:val="14"/>
                <w:color w:val="auto"/>
              </w:rPr>
              <w:t>726,364</w:t>
            </w:r>
            <w:r>
              <w:rPr>
                <w:rFonts w:ascii="Arial" w:cs="Arial" w:eastAsia="Arial" w:hAnsi="Arial"/>
                <w:sz w:val="24"/>
                <w:szCs w:val="24"/>
                <w:color w:val="auto"/>
                <w:vertAlign w:val="superscript"/>
              </w:rPr>
              <w:t>(2)</w:t>
            </w:r>
          </w:p>
        </w:tc>
        <w:tc>
          <w:tcPr>
            <w:tcW w:w="140" w:type="dxa"/>
            <w:vAlign w:val="bottom"/>
          </w:tcPr>
          <w:p>
            <w:pPr>
              <w:spacing w:after="0"/>
              <w:rPr>
                <w:sz w:val="24"/>
                <w:szCs w:val="2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9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6"/>
              <w:spacing w:after="0" w:line="162" w:lineRule="exact"/>
              <w:rPr>
                <w:sz w:val="20"/>
                <w:szCs w:val="20"/>
                <w:color w:val="auto"/>
              </w:rPr>
            </w:pPr>
            <w:r>
              <w:rPr>
                <w:rFonts w:ascii="Arial" w:cs="Arial" w:eastAsia="Arial" w:hAnsi="Arial"/>
                <w:sz w:val="11"/>
                <w:szCs w:val="11"/>
                <w:color w:val="auto"/>
              </w:rPr>
              <w:t>4,236</w:t>
            </w:r>
            <w:r>
              <w:rPr>
                <w:rFonts w:ascii="Arial" w:cs="Arial" w:eastAsia="Arial" w:hAnsi="Arial"/>
                <w:sz w:val="18"/>
                <w:szCs w:val="18"/>
                <w:color w:val="auto"/>
                <w:vertAlign w:val="superscript"/>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450,000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4,236</w:t>
            </w:r>
            <w:r>
              <w:rPr>
                <w:rFonts w:ascii="Arial" w:cs="Arial" w:eastAsia="Arial" w:hAnsi="Arial"/>
                <w:sz w:val="24"/>
                <w:szCs w:val="24"/>
                <w:color w:val="auto"/>
                <w:vertAlign w:val="superscript"/>
              </w:rPr>
              <w:t>(4)</w:t>
            </w:r>
          </w:p>
        </w:tc>
        <w:tc>
          <w:tcPr>
            <w:tcW w:w="900" w:type="dxa"/>
            <w:vAlign w:val="bottom"/>
          </w:tcPr>
          <w:p>
            <w:pPr>
              <w:jc w:val="right"/>
              <w:ind w:right="116"/>
              <w:spacing w:after="0"/>
              <w:rPr>
                <w:sz w:val="20"/>
                <w:szCs w:val="20"/>
                <w:color w:val="auto"/>
              </w:rPr>
            </w:pPr>
            <w:r>
              <w:rPr>
                <w:rFonts w:ascii="Arial" w:cs="Arial" w:eastAsia="Arial" w:hAnsi="Arial"/>
                <w:sz w:val="14"/>
                <w:szCs w:val="14"/>
                <w:color w:val="auto"/>
              </w:rPr>
              <w:t>5,083</w:t>
            </w:r>
            <w:r>
              <w:rPr>
                <w:rFonts w:ascii="Arial" w:cs="Arial" w:eastAsia="Arial" w:hAnsi="Arial"/>
                <w:sz w:val="24"/>
                <w:szCs w:val="24"/>
                <w:color w:val="auto"/>
                <w:vertAlign w:val="superscript"/>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450,000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3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Keith W. Metcalf</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59"/>
              <w:spacing w:after="0" w:line="159" w:lineRule="exact"/>
              <w:rPr>
                <w:sz w:val="20"/>
                <w:szCs w:val="20"/>
                <w:color w:val="auto"/>
              </w:rPr>
            </w:pPr>
            <w:r>
              <w:rPr>
                <w:rFonts w:ascii="Arial" w:cs="Arial" w:eastAsia="Arial" w:hAnsi="Arial"/>
                <w:sz w:val="11"/>
                <w:szCs w:val="11"/>
                <w:color w:val="auto"/>
              </w:rPr>
              <w:t>847,076</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center"/>
              <w:ind w:right="2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6"/>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6"/>
              <w:spacing w:after="0" w:line="162" w:lineRule="exact"/>
              <w:rPr>
                <w:sz w:val="20"/>
                <w:szCs w:val="20"/>
                <w:color w:val="auto"/>
              </w:rPr>
            </w:pPr>
            <w:r>
              <w:rPr>
                <w:rFonts w:ascii="Arial" w:cs="Arial" w:eastAsia="Arial" w:hAnsi="Arial"/>
                <w:sz w:val="11"/>
                <w:szCs w:val="11"/>
                <w:color w:val="auto"/>
              </w:rPr>
              <w:t>3,530</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5/17/18</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64" w:lineRule="exact"/>
              <w:rPr>
                <w:sz w:val="20"/>
                <w:szCs w:val="20"/>
                <w:color w:val="auto"/>
              </w:rPr>
            </w:pPr>
            <w:r>
              <w:rPr>
                <w:rFonts w:ascii="Arial" w:cs="Arial" w:eastAsia="Arial" w:hAnsi="Arial"/>
                <w:sz w:val="12"/>
                <w:szCs w:val="12"/>
                <w:color w:val="auto"/>
              </w:rPr>
              <w:t>3,530</w:t>
            </w:r>
            <w:r>
              <w:rPr>
                <w:rFonts w:ascii="Arial" w:cs="Arial" w:eastAsia="Arial" w:hAnsi="Arial"/>
                <w:sz w:val="19"/>
                <w:szCs w:val="19"/>
                <w:color w:val="auto"/>
                <w:vertAlign w:val="superscript"/>
              </w:rPr>
              <w:t>(4)</w:t>
            </w:r>
          </w:p>
        </w:tc>
        <w:tc>
          <w:tcPr>
            <w:tcW w:w="900" w:type="dxa"/>
            <w:vAlign w:val="bottom"/>
            <w:shd w:val="clear" w:color="auto" w:fill="CCEEFF"/>
          </w:tcPr>
          <w:p>
            <w:pPr>
              <w:jc w:val="right"/>
              <w:ind w:right="116"/>
              <w:spacing w:after="0" w:line="164" w:lineRule="exact"/>
              <w:rPr>
                <w:sz w:val="20"/>
                <w:szCs w:val="20"/>
                <w:color w:val="auto"/>
              </w:rPr>
            </w:pPr>
            <w:r>
              <w:rPr>
                <w:rFonts w:ascii="Arial" w:cs="Arial" w:eastAsia="Arial" w:hAnsi="Arial"/>
                <w:sz w:val="12"/>
                <w:szCs w:val="12"/>
                <w:color w:val="auto"/>
              </w:rPr>
              <w:t>4,236</w:t>
            </w:r>
            <w:r>
              <w:rPr>
                <w:rFonts w:ascii="Arial" w:cs="Arial" w:eastAsia="Arial" w:hAnsi="Arial"/>
                <w:sz w:val="19"/>
                <w:szCs w:val="19"/>
                <w:color w:val="auto"/>
                <w:vertAlign w:val="superscript"/>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15" w:lineRule="exact"/>
        <w:rPr>
          <w:sz w:val="20"/>
          <w:szCs w:val="20"/>
          <w:color w:val="auto"/>
        </w:rPr>
      </w:pPr>
    </w:p>
    <w:p>
      <w:pPr>
        <w:ind w:left="560" w:hanging="356"/>
        <w:spacing w:after="0" w:line="237"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included in this column reflect the grant date fair value of the award computed in accordance with FASB ASC Topic 718. Assumptions used in the calculation of these amounts are included in footnote (I) to the Company’s audited financial statements for the fiscal year ended March 31, 2019 included in the Fiscal 2019 Form 10-K.</w:t>
      </w:r>
    </w:p>
    <w:p>
      <w:pPr>
        <w:spacing w:after="0" w:line="110" w:lineRule="exact"/>
        <w:rPr>
          <w:rFonts w:ascii="Arial" w:cs="Arial" w:eastAsia="Arial" w:hAnsi="Arial"/>
          <w:sz w:val="18"/>
          <w:szCs w:val="18"/>
          <w:color w:val="auto"/>
        </w:rPr>
      </w:pPr>
    </w:p>
    <w:p>
      <w:pPr>
        <w:ind w:left="560" w:right="120" w:hanging="356"/>
        <w:spacing w:after="0" w:line="238"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amounts represent the maximum annual incentive payments potentially payable to the Named Executive Officers pursuant to the Eagle Annual Incentive Program or the Divisional Annual Incentive Bonus Programs, as applicable, for fiscal year 2019.</w:t>
      </w:r>
    </w:p>
    <w:p>
      <w:pPr>
        <w:spacing w:after="0" w:line="20" w:lineRule="exact"/>
        <w:rPr>
          <w:sz w:val="20"/>
          <w:szCs w:val="20"/>
          <w:color w:val="auto"/>
        </w:rPr>
      </w:pPr>
      <w:r>
        <w:rPr>
          <w:sz w:val="20"/>
          <w:szCs w:val="20"/>
          <w:color w:val="auto"/>
        </w:rPr>
        <w:br w:type="column"/>
      </w:r>
    </w:p>
    <w:p>
      <w:pPr>
        <w:ind w:right="100"/>
        <w:spacing w:after="0" w:line="234" w:lineRule="auto"/>
        <w:rPr>
          <w:sz w:val="20"/>
          <w:szCs w:val="20"/>
          <w:color w:val="auto"/>
        </w:rPr>
      </w:pPr>
      <w:r>
        <w:rPr>
          <w:rFonts w:ascii="Arial" w:cs="Arial" w:eastAsia="Arial" w:hAnsi="Arial"/>
          <w:sz w:val="18"/>
          <w:szCs w:val="18"/>
          <w:color w:val="auto"/>
        </w:rPr>
        <w:t>There are no thresholds or maximums for these awards—they are merely a function of multiplying the pre-determined percentage by the operating earnings for the fiscal year; provided, however, our Incentive Plan does provide an absolute cap on cash that any employee may receive in any fiscal year under such programs ($5 million). The actual pay-outs to the Named Executive Officers were as follows: Mr. Powers – $1,026,104; Mr. Kesler – $675,518;</w:t>
      </w:r>
    </w:p>
    <w:p>
      <w:pPr>
        <w:spacing w:after="0" w:line="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Mr. Haack – $726,823; Mr. Stewart – $675,518; and Mr. Metcalf – $796,251. These incentive programs are described in greater detail under “Annual Incentive Bonus” beginning on page 26 of this proxy statement.</w:t>
      </w:r>
    </w:p>
    <w:p>
      <w:pPr>
        <w:spacing w:after="0" w:line="320" w:lineRule="exact"/>
        <w:rPr>
          <w:sz w:val="20"/>
          <w:szCs w:val="20"/>
          <w:color w:val="auto"/>
        </w:rPr>
      </w:pPr>
    </w:p>
    <w:p>
      <w:pPr>
        <w:sectPr>
          <w:pgSz w:w="11900" w:h="16838" w:orient="portrait"/>
          <w:cols w:equalWidth="0" w:num="2">
            <w:col w:w="5400" w:space="420"/>
            <w:col w:w="5420"/>
          </w:cols>
          <w:pgMar w:left="240" w:top="459" w:right="419" w:bottom="1440" w:gutter="0" w:footer="0" w:header="0"/>
          <w:type w:val="continuous"/>
        </w:sectPr>
      </w:pPr>
    </w:p>
    <w:p>
      <w:pPr>
        <w:spacing w:after="0" w:line="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240" w:top="459" w:right="4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560" w:hanging="356"/>
        <w:spacing w:after="0" w:line="236"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represent grants of time-vesting restricted stock made on May 17, 2018 under our Incentive Plan. One-fourth of the restricted stock vested on March 31, 2019, and restrictions on the remaining restricted stock will lapse ratably on March 31 of 2020, 2021 and 2022. These restricted stock grants are described in greater detail under “Long-Term Incentive Compensation—Fiscal 2019 Grants” beginning on page 31 of this proxy statement.</w:t>
      </w:r>
    </w:p>
    <w:p>
      <w:pPr>
        <w:spacing w:after="0" w:line="113" w:lineRule="exact"/>
        <w:rPr>
          <w:rFonts w:ascii="Arial" w:cs="Arial" w:eastAsia="Arial" w:hAnsi="Arial"/>
          <w:sz w:val="18"/>
          <w:szCs w:val="18"/>
          <w:color w:val="auto"/>
        </w:rPr>
      </w:pPr>
    </w:p>
    <w:p>
      <w:pPr>
        <w:ind w:left="560" w:right="60" w:hanging="356"/>
        <w:spacing w:after="0" w:line="236"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represent grants of performance-based restricted stock made on May 17, 2018 under our Incentive Plan. The vesting of the restricted stock was subject to performance vesting criteria. On May 13, 2019, the Compensation Committee determined that 89.7% of the maximum award (or 107.6% of the target award) had been earned. Any unearned restricted shares were forfeited. One-fourth of the earned restricted stock vested on May 16, 2019, and restrictions on the remaining earned restricted shares will lapse on March 31 of 2020, 2021 and 2022. These restricted stock grants are described in greater detail under “Long-Term Incentive Compensation—Fiscal 2019 Grants” beginning on page 31 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560" w:hanging="356"/>
        <w:spacing w:after="0" w:line="236"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represent grants of time-vesting stock options to purchase shares of Common Stock made on May 17, 2018 under our Incentive Plan. One-fourth of the stock options vested on March 31, 2019, and the remaining stock options will vest ratably on March 31 of 2020, 2021 and 2022. These stock options are described in greater detail under “Long-Term Incentive Compensation—Fiscal 2019 Grants” beginning on page 31 of this proxy statement.</w:t>
      </w:r>
    </w:p>
    <w:p>
      <w:pPr>
        <w:spacing w:after="0" w:line="113" w:lineRule="exact"/>
        <w:rPr>
          <w:rFonts w:ascii="Arial" w:cs="Arial" w:eastAsia="Arial" w:hAnsi="Arial"/>
          <w:sz w:val="18"/>
          <w:szCs w:val="18"/>
          <w:color w:val="auto"/>
        </w:rPr>
      </w:pPr>
    </w:p>
    <w:p>
      <w:pPr>
        <w:ind w:left="560" w:right="100" w:hanging="356"/>
        <w:spacing w:after="0" w:line="236"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represent grants of performance-based stock options to purchase shares of Common Stock made on May 17, 2018 under our Incentive Plan. The vesting of the stock options were subject to performance vesting criteria. On May 13, 2019, the Compensation Committee determined that 89.7% of the maximum award (or 107.6% of the target award) had been earned. Any unearned stock options were forfeited. One-fourth of the earned stock options vested on May 13, 2019, and the remaining earned stock options will vest ratably on March 31 of 2020, 2021 and 2022. These stock option grants are described in greater detail under “Long-Term Incentive Compensation—Fiscal 2019 Grants” beginning on page 31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-3359785</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5380" w:space="240"/>
            <w:col w:w="560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p>
      <w:pPr>
        <w:ind w:left="200" w:right="260" w:firstLine="661"/>
        <w:spacing w:after="0" w:line="246" w:lineRule="auto"/>
        <w:rPr>
          <w:sz w:val="20"/>
          <w:szCs w:val="20"/>
          <w:color w:val="auto"/>
        </w:rPr>
      </w:pPr>
      <w:r>
        <w:rPr>
          <w:rFonts w:ascii="Arial" w:cs="Arial" w:eastAsia="Arial" w:hAnsi="Arial"/>
          <w:sz w:val="18"/>
          <w:szCs w:val="18"/>
          <w:color w:val="auto"/>
        </w:rPr>
        <w:t>The following table summarizes stock-based compensation awards outstanding at the end of fiscal 2019 for each of the Named Executive Officers.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Option Awards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00" w:type="dxa"/>
            <w:vAlign w:val="bottom"/>
            <w:gridSpan w:val="2"/>
          </w:tcPr>
          <w:p>
            <w:pPr>
              <w:jc w:val="right"/>
              <w:ind w:right="411"/>
              <w:spacing w:after="0"/>
              <w:rPr>
                <w:sz w:val="20"/>
                <w:szCs w:val="20"/>
                <w:color w:val="auto"/>
              </w:rPr>
            </w:pPr>
            <w:r>
              <w:rPr>
                <w:rFonts w:ascii="Arial" w:cs="Arial" w:eastAsia="Arial" w:hAnsi="Arial"/>
                <w:sz w:val="16"/>
                <w:szCs w:val="16"/>
                <w:b w:val="1"/>
                <w:bCs w:val="1"/>
                <w:color w:val="auto"/>
              </w:rPr>
              <w:t>Stock Awards</w:t>
            </w:r>
          </w:p>
        </w:tc>
        <w:tc>
          <w:tcPr>
            <w:tcW w:w="1120" w:type="dxa"/>
            <w:vAlign w:val="bottom"/>
          </w:tcPr>
          <w:p>
            <w:pPr>
              <w:spacing w:after="0"/>
              <w:rPr>
                <w:sz w:val="18"/>
                <w:szCs w:val="18"/>
                <w:color w:val="auto"/>
              </w:rPr>
            </w:pPr>
          </w:p>
        </w:tc>
      </w:tr>
      <w:tr>
        <w:trPr>
          <w:trHeight w:val="47"/>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Equity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Incentive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rPr>
              <w:t>Incentive Plan</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center"/>
              <w:ind w:right="51"/>
              <w:spacing w:after="0"/>
              <w:rPr>
                <w:sz w:val="20"/>
                <w:szCs w:val="20"/>
                <w:color w:val="auto"/>
              </w:rPr>
            </w:pPr>
            <w:r>
              <w:rPr>
                <w:rFonts w:ascii="Arial" w:cs="Arial" w:eastAsia="Arial" w:hAnsi="Arial"/>
                <w:sz w:val="14"/>
                <w:szCs w:val="14"/>
                <w:b w:val="1"/>
                <w:bCs w:val="1"/>
                <w:color w:val="auto"/>
              </w:rPr>
              <w:t>Plan Awards: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rPr>
              <w:t>Awards:</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center"/>
              <w:ind w:right="159"/>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Payout Value</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380" w:type="dxa"/>
            <w:vAlign w:val="bottom"/>
            <w:gridSpan w:val="2"/>
          </w:tcPr>
          <w:p>
            <w:pPr>
              <w:jc w:val="center"/>
              <w:ind w:right="99"/>
              <w:spacing w:after="0"/>
              <w:rPr>
                <w:sz w:val="20"/>
                <w:szCs w:val="20"/>
                <w:color w:val="auto"/>
              </w:rPr>
            </w:pPr>
            <w:r>
              <w:rPr>
                <w:rFonts w:ascii="Arial" w:cs="Arial" w:eastAsia="Arial" w:hAnsi="Arial"/>
                <w:sz w:val="14"/>
                <w:szCs w:val="14"/>
                <w:b w:val="1"/>
                <w:bCs w:val="1"/>
                <w:color w:val="auto"/>
              </w:rPr>
              <w:t>Number of</w:t>
            </w: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center"/>
              <w:ind w:right="179"/>
              <w:spacing w:after="0"/>
              <w:rPr>
                <w:sz w:val="20"/>
                <w:szCs w:val="20"/>
                <w:color w:val="auto"/>
              </w:rPr>
            </w:pPr>
            <w:r>
              <w:rPr>
                <w:rFonts w:ascii="Arial" w:cs="Arial" w:eastAsia="Arial" w:hAnsi="Arial"/>
                <w:sz w:val="14"/>
                <w:szCs w:val="14"/>
                <w:b w:val="1"/>
                <w:bCs w:val="1"/>
                <w:color w:val="auto"/>
              </w:rPr>
              <w:t>of 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Unearned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3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rPr>
              <w:t>Securities</w:t>
            </w: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center"/>
              <w:ind w:right="159"/>
              <w:spacing w:after="0"/>
              <w:rPr>
                <w:sz w:val="20"/>
                <w:szCs w:val="20"/>
                <w:color w:val="auto"/>
              </w:rPr>
            </w:pPr>
            <w:r>
              <w:rPr>
                <w:rFonts w:ascii="Arial" w:cs="Arial" w:eastAsia="Arial" w:hAnsi="Arial"/>
                <w:sz w:val="14"/>
                <w:szCs w:val="14"/>
                <w:b w:val="1"/>
                <w:bCs w:val="1"/>
                <w:color w:val="auto"/>
              </w:rPr>
              <w:t>or Units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Shares, Units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3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rPr>
              <w:t>Underlying</w:t>
            </w: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rPr>
              <w:t>Underlying</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center"/>
              <w:ind w:right="179"/>
              <w:spacing w:after="0"/>
              <w:rPr>
                <w:sz w:val="20"/>
                <w:szCs w:val="20"/>
                <w:color w:val="auto"/>
              </w:rPr>
            </w:pPr>
            <w:r>
              <w:rPr>
                <w:rFonts w:ascii="Arial" w:cs="Arial" w:eastAsia="Arial" w:hAnsi="Arial"/>
                <w:sz w:val="14"/>
                <w:szCs w:val="14"/>
                <w:b w:val="1"/>
                <w:bCs w:val="1"/>
                <w:color w:val="auto"/>
              </w:rPr>
              <w:t>of 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or Other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3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rPr>
              <w:t>Unexercised</w:t>
            </w:r>
          </w:p>
        </w:tc>
        <w:tc>
          <w:tcPr>
            <w:tcW w:w="1340" w:type="dxa"/>
            <w:vAlign w:val="bottom"/>
          </w:tcPr>
          <w:p>
            <w:pPr>
              <w:jc w:val="center"/>
              <w:ind w:right="168"/>
              <w:spacing w:after="0"/>
              <w:rPr>
                <w:sz w:val="20"/>
                <w:szCs w:val="20"/>
                <w:color w:val="auto"/>
              </w:rPr>
            </w:pPr>
            <w:r>
              <w:rPr>
                <w:rFonts w:ascii="Arial" w:cs="Arial" w:eastAsia="Arial" w:hAnsi="Arial"/>
                <w:sz w:val="14"/>
                <w:szCs w:val="14"/>
                <w:b w:val="1"/>
                <w:bCs w:val="1"/>
                <w:color w:val="auto"/>
              </w:rPr>
              <w:t>Unexercised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center"/>
              <w:ind w:right="159"/>
              <w:spacing w:after="0"/>
              <w:rPr>
                <w:sz w:val="20"/>
                <w:szCs w:val="20"/>
                <w:color w:val="auto"/>
              </w:rPr>
            </w:pPr>
            <w:r>
              <w:rPr>
                <w:rFonts w:ascii="Arial" w:cs="Arial" w:eastAsia="Arial" w:hAnsi="Arial"/>
                <w:sz w:val="14"/>
                <w:szCs w:val="14"/>
                <w:b w:val="1"/>
                <w:bCs w:val="1"/>
                <w:color w:val="auto"/>
              </w:rPr>
              <w:t>That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Stock That</w:t>
            </w: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Rights That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rPr>
              <w:t>Options</w:t>
            </w:r>
          </w:p>
        </w:tc>
        <w:tc>
          <w:tcPr>
            <w:tcW w:w="1340" w:type="dxa"/>
            <w:vAlign w:val="bottom"/>
          </w:tcPr>
          <w:p>
            <w:pPr>
              <w:jc w:val="center"/>
              <w:ind w:right="168"/>
              <w:spacing w:after="0"/>
              <w:rPr>
                <w:sz w:val="20"/>
                <w:szCs w:val="20"/>
                <w:color w:val="auto"/>
              </w:rPr>
            </w:pPr>
            <w:r>
              <w:rPr>
                <w:rFonts w:ascii="Arial" w:cs="Arial" w:eastAsia="Arial" w:hAnsi="Arial"/>
                <w:sz w:val="14"/>
                <w:szCs w:val="14"/>
                <w:b w:val="1"/>
                <w:bCs w:val="1"/>
                <w:color w:val="auto"/>
              </w:rPr>
              <w:t>Unearned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040" w:type="dxa"/>
            <w:vAlign w:val="bottom"/>
            <w:tcBorders>
              <w:right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1040" w:type="dxa"/>
            <w:vAlign w:val="bottom"/>
          </w:tcPr>
          <w:p>
            <w:pPr>
              <w:jc w:val="center"/>
              <w:ind w:right="159"/>
              <w:spacing w:after="0"/>
              <w:rPr>
                <w:sz w:val="20"/>
                <w:szCs w:val="20"/>
                <w:color w:val="auto"/>
              </w:rPr>
            </w:pPr>
            <w:r>
              <w:rPr>
                <w:rFonts w:ascii="Arial" w:cs="Arial" w:eastAsia="Arial" w:hAnsi="Arial"/>
                <w:sz w:val="14"/>
                <w:szCs w:val="14"/>
                <w:b w:val="1"/>
                <w:bCs w:val="1"/>
                <w:color w:val="auto"/>
              </w:rPr>
              <w:t>Have Not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Have Not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rPr>
              <w:t>Unexercisable</w:t>
            </w:r>
          </w:p>
        </w:tc>
        <w:tc>
          <w:tcPr>
            <w:tcW w:w="1340" w:type="dxa"/>
            <w:vAlign w:val="bottom"/>
          </w:tcPr>
          <w:p>
            <w:pPr>
              <w:jc w:val="center"/>
              <w:ind w:right="168"/>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0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Expiration</w:t>
            </w:r>
          </w:p>
        </w:tc>
        <w:tc>
          <w:tcPr>
            <w:tcW w:w="1040" w:type="dxa"/>
            <w:vAlign w:val="bottom"/>
          </w:tcPr>
          <w:p>
            <w:pPr>
              <w:jc w:val="center"/>
              <w:ind w:right="159"/>
              <w:spacing w:after="0"/>
              <w:rPr>
                <w:sz w:val="20"/>
                <w:szCs w:val="20"/>
                <w:color w:val="auto"/>
              </w:rPr>
            </w:pPr>
            <w:r>
              <w:rPr>
                <w:rFonts w:ascii="Arial" w:cs="Arial" w:eastAsia="Arial" w:hAnsi="Arial"/>
                <w:sz w:val="14"/>
                <w:szCs w:val="14"/>
                <w:b w:val="1"/>
                <w:bCs w:val="1"/>
                <w:color w:val="auto"/>
              </w:rPr>
              <w:t>Vested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180" w:type="dxa"/>
            <w:vAlign w:val="bottom"/>
          </w:tcPr>
          <w:p>
            <w:pPr>
              <w:jc w:val="center"/>
              <w:ind w:right="71"/>
              <w:spacing w:after="0"/>
              <w:rPr>
                <w:sz w:val="20"/>
                <w:szCs w:val="20"/>
                <w:color w:val="auto"/>
              </w:rPr>
            </w:pPr>
            <w:r>
              <w:rPr>
                <w:rFonts w:ascii="Arial" w:cs="Arial" w:eastAsia="Arial" w:hAnsi="Arial"/>
                <w:sz w:val="14"/>
                <w:szCs w:val="14"/>
                <w:b w:val="1"/>
                <w:bCs w:val="1"/>
                <w:color w:val="auto"/>
              </w:rPr>
              <w:t>Vested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r>
      <w:tr>
        <w:trPr>
          <w:trHeight w:val="189"/>
        </w:trPr>
        <w:tc>
          <w:tcPr>
            <w:tcW w:w="20" w:type="dxa"/>
            <w:vAlign w:val="bottom"/>
          </w:tcPr>
          <w:p>
            <w:pPr>
              <w:spacing w:after="0"/>
              <w:rPr>
                <w:sz w:val="16"/>
                <w:szCs w:val="16"/>
                <w:color w:val="auto"/>
              </w:rPr>
            </w:pP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tcBorders>
              <w:bottom w:val="single" w:sz="8" w:color="auto"/>
              <w:righ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10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(1)</w:t>
            </w:r>
          </w:p>
        </w:tc>
      </w:tr>
      <w:tr>
        <w:trPr>
          <w:trHeight w:val="153"/>
        </w:trPr>
        <w:tc>
          <w:tcPr>
            <w:tcW w:w="20" w:type="dxa"/>
            <w:vAlign w:val="bottom"/>
          </w:tcPr>
          <w:p>
            <w:pPr>
              <w:spacing w:after="0"/>
              <w:rPr>
                <w:sz w:val="13"/>
                <w:szCs w:val="13"/>
                <w:color w:val="auto"/>
              </w:rPr>
            </w:pPr>
          </w:p>
        </w:tc>
        <w:tc>
          <w:tcPr>
            <w:tcW w:w="11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David B. Powers</w:t>
            </w:r>
          </w:p>
        </w:tc>
        <w:tc>
          <w:tcPr>
            <w:tcW w:w="1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7,681</w:t>
            </w:r>
          </w:p>
        </w:tc>
        <w:tc>
          <w:tcPr>
            <w:tcW w:w="1380" w:type="dxa"/>
            <w:vAlign w:val="bottom"/>
            <w:gridSpan w:val="2"/>
            <w:shd w:val="clear" w:color="auto" w:fill="CCEEFF"/>
          </w:tcPr>
          <w:p>
            <w:pPr>
              <w:jc w:val="right"/>
              <w:ind w:right="279"/>
              <w:spacing w:after="0" w:line="153"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880"/>
              <w:spacing w:after="0" w:line="153"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$ 67.21</w:t>
            </w:r>
          </w:p>
        </w:tc>
        <w:tc>
          <w:tcPr>
            <w:tcW w:w="86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08/12/2023</w:t>
            </w:r>
          </w:p>
        </w:tc>
        <w:tc>
          <w:tcPr>
            <w:tcW w:w="1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jc w:val="right"/>
              <w:ind w:right="99"/>
              <w:spacing w:after="0" w:line="153" w:lineRule="exact"/>
              <w:rPr>
                <w:sz w:val="20"/>
                <w:szCs w:val="20"/>
                <w:color w:val="auto"/>
              </w:rPr>
            </w:pPr>
            <w:r>
              <w:rPr>
                <w:rFonts w:ascii="Arial" w:cs="Arial" w:eastAsia="Arial" w:hAnsi="Arial"/>
                <w:sz w:val="11"/>
                <w:szCs w:val="11"/>
                <w:color w:val="auto"/>
              </w:rPr>
              <w:t>986</w:t>
            </w:r>
            <w:r>
              <w:rPr>
                <w:rFonts w:ascii="Arial" w:cs="Arial" w:eastAsia="Arial" w:hAnsi="Arial"/>
                <w:sz w:val="17"/>
                <w:szCs w:val="17"/>
                <w:color w:val="auto"/>
                <w:vertAlign w:val="superscript"/>
              </w:rPr>
              <w:t>(2)</w:t>
            </w:r>
          </w:p>
        </w:tc>
        <w:tc>
          <w:tcPr>
            <w:tcW w:w="9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   83,120</w:t>
            </w:r>
          </w:p>
        </w:tc>
        <w:tc>
          <w:tcPr>
            <w:tcW w:w="1180" w:type="dxa"/>
            <w:vAlign w:val="bottom"/>
            <w:shd w:val="clear" w:color="auto" w:fill="CCEEFF"/>
          </w:tcPr>
          <w:p>
            <w:pPr>
              <w:jc w:val="right"/>
              <w:spacing w:after="0" w:line="153" w:lineRule="exact"/>
              <w:rPr>
                <w:sz w:val="20"/>
                <w:szCs w:val="20"/>
                <w:color w:val="auto"/>
              </w:rPr>
            </w:pPr>
            <w:r>
              <w:rPr>
                <w:rFonts w:ascii="Arial" w:cs="Arial" w:eastAsia="Arial" w:hAnsi="Arial"/>
                <w:sz w:val="11"/>
                <w:szCs w:val="11"/>
                <w:color w:val="auto"/>
              </w:rPr>
              <w:t>19,767</w:t>
            </w:r>
            <w:r>
              <w:rPr>
                <w:rFonts w:ascii="Arial" w:cs="Arial" w:eastAsia="Arial" w:hAnsi="Arial"/>
                <w:sz w:val="17"/>
                <w:szCs w:val="17"/>
                <w:color w:val="auto"/>
                <w:vertAlign w:val="superscript"/>
              </w:rPr>
              <w:t>(3)</w:t>
            </w:r>
          </w:p>
        </w:tc>
        <w:tc>
          <w:tcPr>
            <w:tcW w:w="112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  1,666,359</w:t>
            </w: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6,246</w:t>
            </w:r>
          </w:p>
        </w:tc>
        <w:tc>
          <w:tcPr>
            <w:tcW w:w="138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87.37</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06/03/2024</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8,257</w:t>
            </w:r>
            <w:r>
              <w:rPr>
                <w:rFonts w:ascii="Arial" w:cs="Arial" w:eastAsia="Arial" w:hAnsi="Arial"/>
                <w:sz w:val="18"/>
                <w:szCs w:val="18"/>
                <w:color w:val="auto"/>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696,066</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17,164</w:t>
            </w:r>
          </w:p>
        </w:tc>
        <w:tc>
          <w:tcPr>
            <w:tcW w:w="138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81.56</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06/10/2025</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4,883</w:t>
            </w:r>
            <w:r>
              <w:rPr>
                <w:rFonts w:ascii="Arial" w:cs="Arial" w:eastAsia="Arial" w:hAnsi="Arial"/>
                <w:sz w:val="18"/>
                <w:szCs w:val="18"/>
                <w:color w:val="auto"/>
                <w:vertAlign w:val="superscript"/>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411,637</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8,054</w:t>
            </w:r>
            <w:r>
              <w:rPr>
                <w:rFonts w:ascii="Arial" w:cs="Arial" w:eastAsia="Arial" w:hAnsi="Arial"/>
                <w:sz w:val="18"/>
                <w:szCs w:val="18"/>
                <w:color w:val="auto"/>
                <w:vertAlign w:val="superscript"/>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678,953</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9,298</w:t>
            </w:r>
            <w:r>
              <w:rPr>
                <w:rFonts w:ascii="Arial" w:cs="Arial" w:eastAsia="Arial" w:hAnsi="Arial"/>
                <w:sz w:val="18"/>
                <w:szCs w:val="18"/>
                <w:color w:val="auto"/>
                <w:vertAlign w:val="superscript"/>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783,822</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4" w:lineRule="exact"/>
              <w:rPr>
                <w:sz w:val="20"/>
                <w:szCs w:val="20"/>
                <w:color w:val="auto"/>
              </w:rPr>
            </w:pPr>
            <w:r>
              <w:rPr>
                <w:rFonts w:ascii="Arial" w:cs="Arial" w:eastAsia="Arial" w:hAnsi="Arial"/>
                <w:sz w:val="12"/>
                <w:szCs w:val="12"/>
                <w:color w:val="auto"/>
              </w:rPr>
              <w:t>12,354</w:t>
            </w:r>
            <w:r>
              <w:rPr>
                <w:rFonts w:ascii="Arial" w:cs="Arial" w:eastAsia="Arial" w:hAnsi="Arial"/>
                <w:sz w:val="19"/>
                <w:szCs w:val="19"/>
                <w:color w:val="auto"/>
                <w:vertAlign w:val="superscript"/>
              </w:rPr>
              <w:t>(8)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1,041,443</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375"/>
        </w:trPr>
        <w:tc>
          <w:tcPr>
            <w:tcW w:w="1180" w:type="dxa"/>
            <w:vAlign w:val="bottom"/>
            <w:gridSpan w:val="3"/>
          </w:tcPr>
          <w:p>
            <w:pPr>
              <w:spacing w:after="0"/>
              <w:rPr>
                <w:sz w:val="20"/>
                <w:szCs w:val="20"/>
                <w:color w:val="auto"/>
              </w:rPr>
            </w:pPr>
            <w:r>
              <w:rPr>
                <w:rFonts w:ascii="Arial" w:cs="Arial" w:eastAsia="Arial" w:hAnsi="Arial"/>
                <w:sz w:val="14"/>
                <w:szCs w:val="14"/>
                <w:color w:val="auto"/>
              </w:rPr>
              <w:t>D. Craig Kesler</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11,603</w:t>
            </w:r>
          </w:p>
        </w:tc>
        <w:tc>
          <w:tcPr>
            <w:tcW w:w="138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67.21</w:t>
            </w:r>
          </w:p>
        </w:tc>
        <w:tc>
          <w:tcPr>
            <w:tcW w:w="860" w:type="dxa"/>
            <w:vAlign w:val="bottom"/>
          </w:tcPr>
          <w:p>
            <w:pPr>
              <w:ind w:left="100"/>
              <w:spacing w:after="0"/>
              <w:rPr>
                <w:sz w:val="20"/>
                <w:szCs w:val="20"/>
                <w:color w:val="auto"/>
              </w:rPr>
            </w:pPr>
            <w:r>
              <w:rPr>
                <w:rFonts w:ascii="Arial" w:cs="Arial" w:eastAsia="Arial" w:hAnsi="Arial"/>
                <w:sz w:val="14"/>
                <w:szCs w:val="14"/>
                <w:color w:val="auto"/>
              </w:rPr>
              <w:t>08/12/2023</w:t>
            </w:r>
          </w:p>
        </w:tc>
        <w:tc>
          <w:tcPr>
            <w:tcW w:w="180" w:type="dxa"/>
            <w:vAlign w:val="bottom"/>
            <w:tcBorders>
              <w:right w:val="single" w:sz="8" w:color="auto"/>
            </w:tcBorders>
          </w:tcPr>
          <w:p>
            <w:pPr>
              <w:spacing w:after="0"/>
              <w:rPr>
                <w:sz w:val="24"/>
                <w:szCs w:val="24"/>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color w:val="auto"/>
              </w:rPr>
              <w:t>11,667</w:t>
            </w:r>
            <w:r>
              <w:rPr>
                <w:rFonts w:ascii="Arial" w:cs="Arial" w:eastAsia="Arial" w:hAnsi="Arial"/>
                <w:sz w:val="24"/>
                <w:szCs w:val="24"/>
                <w:color w:val="auto"/>
                <w:vertAlign w:val="superscript"/>
              </w:rPr>
              <w:t>(9)</w:t>
            </w:r>
          </w:p>
        </w:tc>
        <w:tc>
          <w:tcPr>
            <w:tcW w:w="920" w:type="dxa"/>
            <w:vAlign w:val="bottom"/>
          </w:tcPr>
          <w:p>
            <w:pPr>
              <w:jc w:val="right"/>
              <w:spacing w:after="0"/>
              <w:rPr>
                <w:sz w:val="20"/>
                <w:szCs w:val="20"/>
                <w:color w:val="auto"/>
              </w:rPr>
            </w:pPr>
            <w:r>
              <w:rPr>
                <w:rFonts w:ascii="Arial" w:cs="Arial" w:eastAsia="Arial" w:hAnsi="Arial"/>
                <w:sz w:val="14"/>
                <w:szCs w:val="14"/>
                <w:color w:val="auto"/>
              </w:rPr>
              <w:t>983,529</w:t>
            </w:r>
          </w:p>
        </w:tc>
        <w:tc>
          <w:tcPr>
            <w:tcW w:w="1180" w:type="dxa"/>
            <w:vAlign w:val="bottom"/>
          </w:tcPr>
          <w:p>
            <w:pPr>
              <w:jc w:val="right"/>
              <w:spacing w:after="0"/>
              <w:rPr>
                <w:sz w:val="20"/>
                <w:szCs w:val="20"/>
                <w:color w:val="auto"/>
              </w:rPr>
            </w:pPr>
            <w:r>
              <w:rPr>
                <w:rFonts w:ascii="Arial" w:cs="Arial" w:eastAsia="Arial" w:hAnsi="Arial"/>
                <w:sz w:val="14"/>
                <w:szCs w:val="14"/>
                <w:color w:val="auto"/>
              </w:rPr>
              <w:t>2,542</w:t>
            </w:r>
            <w:r>
              <w:rPr>
                <w:rFonts w:ascii="Arial" w:cs="Arial" w:eastAsia="Arial" w:hAnsi="Arial"/>
                <w:sz w:val="24"/>
                <w:szCs w:val="24"/>
                <w:color w:val="auto"/>
                <w:vertAlign w:val="superscript"/>
              </w:rPr>
              <w:t>(3)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214,291</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11,711</w:t>
            </w:r>
          </w:p>
        </w:tc>
        <w:tc>
          <w:tcPr>
            <w:tcW w:w="138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87.37</w:t>
            </w:r>
          </w:p>
        </w:tc>
        <w:tc>
          <w:tcPr>
            <w:tcW w:w="860" w:type="dxa"/>
            <w:vAlign w:val="bottom"/>
          </w:tcPr>
          <w:p>
            <w:pPr>
              <w:ind w:left="100"/>
              <w:spacing w:after="0"/>
              <w:rPr>
                <w:sz w:val="20"/>
                <w:szCs w:val="20"/>
                <w:color w:val="auto"/>
              </w:rPr>
            </w:pPr>
            <w:r>
              <w:rPr>
                <w:rFonts w:ascii="Arial" w:cs="Arial" w:eastAsia="Arial" w:hAnsi="Arial"/>
                <w:sz w:val="14"/>
                <w:szCs w:val="14"/>
                <w:color w:val="auto"/>
              </w:rPr>
              <w:t>06/03/2024</w:t>
            </w: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870</w:t>
            </w:r>
            <w:r>
              <w:rPr>
                <w:rFonts w:ascii="Arial" w:cs="Arial" w:eastAsia="Arial" w:hAnsi="Arial"/>
                <w:sz w:val="18"/>
                <w:szCs w:val="18"/>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4"/>
                <w:szCs w:val="14"/>
                <w:color w:val="auto"/>
              </w:rPr>
              <w:t>73,341</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15,145</w:t>
            </w:r>
          </w:p>
        </w:tc>
        <w:tc>
          <w:tcPr>
            <w:tcW w:w="138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81.56</w:t>
            </w:r>
          </w:p>
        </w:tc>
        <w:tc>
          <w:tcPr>
            <w:tcW w:w="860" w:type="dxa"/>
            <w:vAlign w:val="bottom"/>
          </w:tcPr>
          <w:p>
            <w:pPr>
              <w:ind w:left="100"/>
              <w:spacing w:after="0"/>
              <w:rPr>
                <w:sz w:val="20"/>
                <w:szCs w:val="20"/>
                <w:color w:val="auto"/>
              </w:rPr>
            </w:pPr>
            <w:r>
              <w:rPr>
                <w:rFonts w:ascii="Arial" w:cs="Arial" w:eastAsia="Arial" w:hAnsi="Arial"/>
                <w:sz w:val="14"/>
                <w:szCs w:val="14"/>
                <w:color w:val="auto"/>
              </w:rPr>
              <w:t>06/10/2025</w:t>
            </w: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1,156</w:t>
            </w:r>
            <w:r>
              <w:rPr>
                <w:rFonts w:ascii="Arial" w:cs="Arial" w:eastAsia="Arial" w:hAnsi="Arial"/>
                <w:sz w:val="18"/>
                <w:szCs w:val="18"/>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4"/>
                <w:szCs w:val="14"/>
                <w:color w:val="auto"/>
              </w:rPr>
              <w:t>97,451</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3,590</w:t>
            </w:r>
          </w:p>
        </w:tc>
        <w:tc>
          <w:tcPr>
            <w:tcW w:w="1380" w:type="dxa"/>
            <w:vAlign w:val="bottom"/>
            <w:gridSpan w:val="2"/>
          </w:tcPr>
          <w:p>
            <w:pPr>
              <w:jc w:val="right"/>
              <w:spacing w:after="0" w:line="162" w:lineRule="exact"/>
              <w:rPr>
                <w:sz w:val="20"/>
                <w:szCs w:val="20"/>
                <w:color w:val="auto"/>
              </w:rPr>
            </w:pPr>
            <w:r>
              <w:rPr>
                <w:rFonts w:ascii="Arial" w:cs="Arial" w:eastAsia="Arial" w:hAnsi="Arial"/>
                <w:sz w:val="11"/>
                <w:szCs w:val="11"/>
                <w:color w:val="auto"/>
              </w:rPr>
              <w:t>3,589</w:t>
            </w:r>
            <w:r>
              <w:rPr>
                <w:rFonts w:ascii="Arial" w:cs="Arial" w:eastAsia="Arial" w:hAnsi="Arial"/>
                <w:sz w:val="18"/>
                <w:szCs w:val="18"/>
                <w:color w:val="auto"/>
                <w:vertAlign w:val="superscript"/>
              </w:rPr>
              <w:t>(10)</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75.69</w:t>
            </w:r>
          </w:p>
        </w:tc>
        <w:tc>
          <w:tcPr>
            <w:tcW w:w="860" w:type="dxa"/>
            <w:vAlign w:val="bottom"/>
          </w:tcPr>
          <w:p>
            <w:pPr>
              <w:ind w:left="100"/>
              <w:spacing w:after="0"/>
              <w:rPr>
                <w:sz w:val="20"/>
                <w:szCs w:val="20"/>
                <w:color w:val="auto"/>
              </w:rPr>
            </w:pPr>
            <w:r>
              <w:rPr>
                <w:rFonts w:ascii="Arial" w:cs="Arial" w:eastAsia="Arial" w:hAnsi="Arial"/>
                <w:sz w:val="14"/>
                <w:szCs w:val="14"/>
                <w:color w:val="auto"/>
              </w:rPr>
              <w:t>05/20/2026</w:t>
            </w: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683</w:t>
            </w:r>
            <w:r>
              <w:rPr>
                <w:rFonts w:ascii="Arial" w:cs="Arial" w:eastAsia="Arial" w:hAnsi="Arial"/>
                <w:sz w:val="18"/>
                <w:szCs w:val="18"/>
                <w:color w:val="auto"/>
                <w:vertAlign w:val="superscript"/>
              </w:rPr>
              <w:t>(5)</w:t>
            </w:r>
          </w:p>
        </w:tc>
        <w:tc>
          <w:tcPr>
            <w:tcW w:w="920" w:type="dxa"/>
            <w:vAlign w:val="bottom"/>
          </w:tcPr>
          <w:p>
            <w:pPr>
              <w:jc w:val="right"/>
              <w:spacing w:after="0"/>
              <w:rPr>
                <w:sz w:val="20"/>
                <w:szCs w:val="20"/>
                <w:color w:val="auto"/>
              </w:rPr>
            </w:pPr>
            <w:r>
              <w:rPr>
                <w:rFonts w:ascii="Arial" w:cs="Arial" w:eastAsia="Arial" w:hAnsi="Arial"/>
                <w:sz w:val="14"/>
                <w:szCs w:val="14"/>
                <w:color w:val="auto"/>
              </w:rPr>
              <w:t>57,577</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6,369</w:t>
            </w:r>
          </w:p>
        </w:tc>
        <w:tc>
          <w:tcPr>
            <w:tcW w:w="1380" w:type="dxa"/>
            <w:vAlign w:val="bottom"/>
            <w:gridSpan w:val="2"/>
          </w:tcPr>
          <w:p>
            <w:pPr>
              <w:jc w:val="right"/>
              <w:spacing w:after="0" w:line="162" w:lineRule="exact"/>
              <w:rPr>
                <w:sz w:val="20"/>
                <w:szCs w:val="20"/>
                <w:color w:val="auto"/>
              </w:rPr>
            </w:pPr>
            <w:r>
              <w:rPr>
                <w:rFonts w:ascii="Arial" w:cs="Arial" w:eastAsia="Arial" w:hAnsi="Arial"/>
                <w:sz w:val="11"/>
                <w:szCs w:val="11"/>
                <w:color w:val="auto"/>
              </w:rPr>
              <w:t>2,123</w:t>
            </w:r>
            <w:r>
              <w:rPr>
                <w:rFonts w:ascii="Arial" w:cs="Arial" w:eastAsia="Arial" w:hAnsi="Arial"/>
                <w:sz w:val="18"/>
                <w:szCs w:val="18"/>
                <w:color w:val="auto"/>
                <w:vertAlign w:val="superscript"/>
              </w:rPr>
              <w:t>(11)</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75.69</w:t>
            </w:r>
          </w:p>
        </w:tc>
        <w:tc>
          <w:tcPr>
            <w:tcW w:w="860" w:type="dxa"/>
            <w:vAlign w:val="bottom"/>
          </w:tcPr>
          <w:p>
            <w:pPr>
              <w:ind w:left="100"/>
              <w:spacing w:after="0"/>
              <w:rPr>
                <w:sz w:val="20"/>
                <w:szCs w:val="20"/>
                <w:color w:val="auto"/>
              </w:rPr>
            </w:pPr>
            <w:r>
              <w:rPr>
                <w:rFonts w:ascii="Arial" w:cs="Arial" w:eastAsia="Arial" w:hAnsi="Arial"/>
                <w:sz w:val="14"/>
                <w:szCs w:val="14"/>
                <w:color w:val="auto"/>
              </w:rPr>
              <w:t>05/20/2026</w:t>
            </w: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991</w:t>
            </w:r>
            <w:r>
              <w:rPr>
                <w:rFonts w:ascii="Arial" w:cs="Arial" w:eastAsia="Arial" w:hAnsi="Arial"/>
                <w:sz w:val="18"/>
                <w:szCs w:val="18"/>
                <w:color w:val="auto"/>
                <w:vertAlign w:val="superscript"/>
              </w:rPr>
              <w:t>(6)</w:t>
            </w:r>
          </w:p>
        </w:tc>
        <w:tc>
          <w:tcPr>
            <w:tcW w:w="920" w:type="dxa"/>
            <w:vAlign w:val="bottom"/>
          </w:tcPr>
          <w:p>
            <w:pPr>
              <w:jc w:val="right"/>
              <w:spacing w:after="0"/>
              <w:rPr>
                <w:sz w:val="20"/>
                <w:szCs w:val="20"/>
                <w:color w:val="auto"/>
              </w:rPr>
            </w:pPr>
            <w:r>
              <w:rPr>
                <w:rFonts w:ascii="Arial" w:cs="Arial" w:eastAsia="Arial" w:hAnsi="Arial"/>
                <w:sz w:val="14"/>
                <w:szCs w:val="14"/>
                <w:color w:val="auto"/>
              </w:rPr>
              <w:t>83,542</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2,978</w:t>
            </w:r>
          </w:p>
        </w:tc>
        <w:tc>
          <w:tcPr>
            <w:tcW w:w="1380" w:type="dxa"/>
            <w:vAlign w:val="bottom"/>
            <w:gridSpan w:val="2"/>
          </w:tcPr>
          <w:p>
            <w:pPr>
              <w:jc w:val="right"/>
              <w:spacing w:after="0" w:line="162" w:lineRule="exact"/>
              <w:rPr>
                <w:sz w:val="20"/>
                <w:szCs w:val="20"/>
                <w:color w:val="auto"/>
              </w:rPr>
            </w:pPr>
            <w:r>
              <w:rPr>
                <w:rFonts w:ascii="Arial" w:cs="Arial" w:eastAsia="Arial" w:hAnsi="Arial"/>
                <w:sz w:val="11"/>
                <w:szCs w:val="11"/>
                <w:color w:val="auto"/>
              </w:rPr>
              <w:t>2,976</w:t>
            </w:r>
            <w:r>
              <w:rPr>
                <w:rFonts w:ascii="Arial" w:cs="Arial" w:eastAsia="Arial" w:hAnsi="Arial"/>
                <w:sz w:val="18"/>
                <w:szCs w:val="18"/>
                <w:color w:val="auto"/>
                <w:vertAlign w:val="superscript"/>
              </w:rPr>
              <w:t>(12)</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100.88</w:t>
            </w:r>
          </w:p>
        </w:tc>
        <w:tc>
          <w:tcPr>
            <w:tcW w:w="860" w:type="dxa"/>
            <w:vAlign w:val="bottom"/>
          </w:tcPr>
          <w:p>
            <w:pPr>
              <w:ind w:left="100"/>
              <w:spacing w:after="0"/>
              <w:rPr>
                <w:sz w:val="20"/>
                <w:szCs w:val="20"/>
                <w:color w:val="auto"/>
              </w:rPr>
            </w:pPr>
            <w:r>
              <w:rPr>
                <w:rFonts w:ascii="Arial" w:cs="Arial" w:eastAsia="Arial" w:hAnsi="Arial"/>
                <w:sz w:val="14"/>
                <w:szCs w:val="14"/>
                <w:color w:val="auto"/>
              </w:rPr>
              <w:t>05/18/2027</w:t>
            </w: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1,144</w:t>
            </w:r>
            <w:r>
              <w:rPr>
                <w:rFonts w:ascii="Arial" w:cs="Arial" w:eastAsia="Arial" w:hAnsi="Arial"/>
                <w:sz w:val="18"/>
                <w:szCs w:val="18"/>
                <w:color w:val="auto"/>
                <w:vertAlign w:val="superscript"/>
              </w:rPr>
              <w:t>(7)</w:t>
            </w:r>
          </w:p>
        </w:tc>
        <w:tc>
          <w:tcPr>
            <w:tcW w:w="920" w:type="dxa"/>
            <w:vAlign w:val="bottom"/>
          </w:tcPr>
          <w:p>
            <w:pPr>
              <w:jc w:val="right"/>
              <w:spacing w:after="0"/>
              <w:rPr>
                <w:sz w:val="20"/>
                <w:szCs w:val="20"/>
                <w:color w:val="auto"/>
              </w:rPr>
            </w:pPr>
            <w:r>
              <w:rPr>
                <w:rFonts w:ascii="Arial" w:cs="Arial" w:eastAsia="Arial" w:hAnsi="Arial"/>
                <w:sz w:val="14"/>
                <w:szCs w:val="14"/>
                <w:color w:val="auto"/>
              </w:rPr>
              <w:t>96,440</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3,438</w:t>
            </w:r>
          </w:p>
        </w:tc>
        <w:tc>
          <w:tcPr>
            <w:tcW w:w="1380" w:type="dxa"/>
            <w:vAlign w:val="bottom"/>
            <w:gridSpan w:val="2"/>
          </w:tcPr>
          <w:p>
            <w:pPr>
              <w:jc w:val="right"/>
              <w:spacing w:after="0" w:line="162" w:lineRule="exact"/>
              <w:rPr>
                <w:sz w:val="20"/>
                <w:szCs w:val="20"/>
                <w:color w:val="auto"/>
              </w:rPr>
            </w:pPr>
            <w:r>
              <w:rPr>
                <w:rFonts w:ascii="Arial" w:cs="Arial" w:eastAsia="Arial" w:hAnsi="Arial"/>
                <w:sz w:val="11"/>
                <w:szCs w:val="11"/>
                <w:color w:val="auto"/>
              </w:rPr>
              <w:t>3,436</w:t>
            </w:r>
            <w:r>
              <w:rPr>
                <w:rFonts w:ascii="Arial" w:cs="Arial" w:eastAsia="Arial" w:hAnsi="Arial"/>
                <w:sz w:val="18"/>
                <w:szCs w:val="18"/>
                <w:color w:val="auto"/>
                <w:vertAlign w:val="superscript"/>
              </w:rPr>
              <w:t>(13)</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100.88</w:t>
            </w:r>
          </w:p>
        </w:tc>
        <w:tc>
          <w:tcPr>
            <w:tcW w:w="860" w:type="dxa"/>
            <w:vAlign w:val="bottom"/>
          </w:tcPr>
          <w:p>
            <w:pPr>
              <w:ind w:left="100"/>
              <w:spacing w:after="0"/>
              <w:rPr>
                <w:sz w:val="20"/>
                <w:szCs w:val="20"/>
                <w:color w:val="auto"/>
              </w:rPr>
            </w:pPr>
            <w:r>
              <w:rPr>
                <w:rFonts w:ascii="Arial" w:cs="Arial" w:eastAsia="Arial" w:hAnsi="Arial"/>
                <w:sz w:val="14"/>
                <w:szCs w:val="14"/>
                <w:color w:val="auto"/>
              </w:rPr>
              <w:t>05/18/2027</w:t>
            </w: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1,588</w:t>
            </w:r>
            <w:r>
              <w:rPr>
                <w:rFonts w:ascii="Arial" w:cs="Arial" w:eastAsia="Arial" w:hAnsi="Arial"/>
                <w:sz w:val="18"/>
                <w:szCs w:val="18"/>
                <w:color w:val="auto"/>
                <w:vertAlign w:val="superscript"/>
              </w:rPr>
              <w:t>(8)</w:t>
            </w:r>
          </w:p>
        </w:tc>
        <w:tc>
          <w:tcPr>
            <w:tcW w:w="920" w:type="dxa"/>
            <w:vAlign w:val="bottom"/>
          </w:tcPr>
          <w:p>
            <w:pPr>
              <w:jc w:val="right"/>
              <w:spacing w:after="0"/>
              <w:rPr>
                <w:sz w:val="20"/>
                <w:szCs w:val="20"/>
                <w:color w:val="auto"/>
              </w:rPr>
            </w:pPr>
            <w:r>
              <w:rPr>
                <w:rFonts w:ascii="Arial" w:cs="Arial" w:eastAsia="Arial" w:hAnsi="Arial"/>
                <w:sz w:val="14"/>
                <w:szCs w:val="14"/>
                <w:color w:val="auto"/>
              </w:rPr>
              <w:t>133,869</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1,654</w:t>
            </w:r>
          </w:p>
        </w:tc>
        <w:tc>
          <w:tcPr>
            <w:tcW w:w="1380" w:type="dxa"/>
            <w:vAlign w:val="bottom"/>
            <w:gridSpan w:val="2"/>
          </w:tcPr>
          <w:p>
            <w:pPr>
              <w:jc w:val="right"/>
              <w:spacing w:after="0" w:line="162" w:lineRule="exact"/>
              <w:rPr>
                <w:sz w:val="20"/>
                <w:szCs w:val="20"/>
                <w:color w:val="auto"/>
              </w:rPr>
            </w:pPr>
            <w:r>
              <w:rPr>
                <w:rFonts w:ascii="Arial" w:cs="Arial" w:eastAsia="Arial" w:hAnsi="Arial"/>
                <w:sz w:val="11"/>
                <w:szCs w:val="11"/>
                <w:color w:val="auto"/>
              </w:rPr>
              <w:t>4,960</w:t>
            </w:r>
            <w:r>
              <w:rPr>
                <w:rFonts w:ascii="Arial" w:cs="Arial" w:eastAsia="Arial" w:hAnsi="Arial"/>
                <w:sz w:val="18"/>
                <w:szCs w:val="18"/>
                <w:color w:val="auto"/>
                <w:vertAlign w:val="superscript"/>
              </w:rPr>
              <w:t>(14)</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106.24</w:t>
            </w:r>
          </w:p>
        </w:tc>
        <w:tc>
          <w:tcPr>
            <w:tcW w:w="860" w:type="dxa"/>
            <w:vAlign w:val="bottom"/>
          </w:tcPr>
          <w:p>
            <w:pPr>
              <w:ind w:left="100"/>
              <w:spacing w:after="0"/>
              <w:rPr>
                <w:sz w:val="20"/>
                <w:szCs w:val="20"/>
                <w:color w:val="auto"/>
              </w:rPr>
            </w:pPr>
            <w:r>
              <w:rPr>
                <w:rFonts w:ascii="Arial" w:cs="Arial" w:eastAsia="Arial" w:hAnsi="Arial"/>
                <w:sz w:val="14"/>
                <w:szCs w:val="14"/>
                <w:color w:val="auto"/>
              </w:rPr>
              <w:t>05/17/2028</w:t>
            </w:r>
          </w:p>
        </w:tc>
        <w:tc>
          <w:tcPr>
            <w:tcW w:w="1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1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tcPr>
          <w:p>
            <w:pPr>
              <w:ind w:left="680"/>
              <w:spacing w:after="0"/>
              <w:rPr>
                <w:sz w:val="20"/>
                <w:szCs w:val="20"/>
                <w:color w:val="auto"/>
              </w:rPr>
            </w:pPr>
            <w:r>
              <w:rPr>
                <w:rFonts w:ascii="Arial" w:cs="Arial" w:eastAsia="Arial" w:hAnsi="Arial"/>
                <w:sz w:val="14"/>
                <w:szCs w:val="14"/>
                <w:color w:val="auto"/>
              </w:rPr>
              <w:t>7,937</w:t>
            </w:r>
            <w:r>
              <w:rPr>
                <w:rFonts w:ascii="Arial" w:cs="Arial" w:eastAsia="Arial" w:hAnsi="Arial"/>
                <w:sz w:val="24"/>
                <w:szCs w:val="24"/>
                <w:color w:val="auto"/>
                <w:vertAlign w:val="superscript"/>
              </w:rPr>
              <w:t>(15)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106.24</w:t>
            </w:r>
          </w:p>
        </w:tc>
        <w:tc>
          <w:tcPr>
            <w:tcW w:w="860" w:type="dxa"/>
            <w:vAlign w:val="bottom"/>
          </w:tcPr>
          <w:p>
            <w:pPr>
              <w:ind w:left="100"/>
              <w:spacing w:after="0"/>
              <w:rPr>
                <w:sz w:val="20"/>
                <w:szCs w:val="20"/>
                <w:color w:val="auto"/>
              </w:rPr>
            </w:pPr>
            <w:r>
              <w:rPr>
                <w:rFonts w:ascii="Arial" w:cs="Arial" w:eastAsia="Arial" w:hAnsi="Arial"/>
                <w:sz w:val="14"/>
                <w:szCs w:val="14"/>
                <w:color w:val="auto"/>
              </w:rPr>
              <w:t>05/17/2028</w:t>
            </w:r>
          </w:p>
        </w:tc>
        <w:tc>
          <w:tcPr>
            <w:tcW w:w="1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44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59"/>
        </w:trPr>
        <w:tc>
          <w:tcPr>
            <w:tcW w:w="20" w:type="dxa"/>
            <w:vAlign w:val="bottom"/>
          </w:tcPr>
          <w:p>
            <w:pPr>
              <w:spacing w:after="0"/>
              <w:rPr>
                <w:sz w:val="13"/>
                <w:szCs w:val="13"/>
                <w:color w:val="auto"/>
              </w:rPr>
            </w:pPr>
          </w:p>
        </w:tc>
        <w:tc>
          <w:tcPr>
            <w:tcW w:w="1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Michael Haack</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30,000</w:t>
            </w: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1"/>
                <w:szCs w:val="11"/>
                <w:color w:val="auto"/>
              </w:rPr>
              <w:t>10,000</w:t>
            </w:r>
            <w:r>
              <w:rPr>
                <w:rFonts w:ascii="Arial" w:cs="Arial" w:eastAsia="Arial" w:hAnsi="Arial"/>
                <w:sz w:val="18"/>
                <w:szCs w:val="18"/>
                <w:color w:val="auto"/>
                <w:vertAlign w:val="superscript"/>
              </w:rPr>
              <w:t>(16)</w:t>
            </w:r>
          </w:p>
        </w:tc>
        <w:tc>
          <w:tcPr>
            <w:tcW w:w="1340" w:type="dxa"/>
            <w:vAlign w:val="bottom"/>
            <w:shd w:val="clear" w:color="auto" w:fill="CCEEFF"/>
          </w:tcPr>
          <w:p>
            <w:pPr>
              <w:ind w:left="88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79.90</w:t>
            </w:r>
          </w:p>
        </w:tc>
        <w:tc>
          <w:tcPr>
            <w:tcW w:w="8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12/01/2024</w:t>
            </w:r>
          </w:p>
        </w:tc>
        <w:tc>
          <w:tcPr>
            <w:tcW w:w="1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jc w:val="right"/>
              <w:ind w:right="19"/>
              <w:spacing w:after="0" w:line="159" w:lineRule="exact"/>
              <w:rPr>
                <w:sz w:val="20"/>
                <w:szCs w:val="20"/>
                <w:color w:val="auto"/>
              </w:rPr>
            </w:pPr>
            <w:r>
              <w:rPr>
                <w:rFonts w:ascii="Arial" w:cs="Arial" w:eastAsia="Arial" w:hAnsi="Arial"/>
                <w:sz w:val="11"/>
                <w:szCs w:val="11"/>
                <w:color w:val="auto"/>
              </w:rPr>
              <w:t>2,000</w:t>
            </w:r>
            <w:r>
              <w:rPr>
                <w:rFonts w:ascii="Arial" w:cs="Arial" w:eastAsia="Arial" w:hAnsi="Arial"/>
                <w:sz w:val="18"/>
                <w:szCs w:val="18"/>
                <w:color w:val="auto"/>
                <w:vertAlign w:val="superscript"/>
              </w:rPr>
              <w:t>(17)</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168,600</w:t>
            </w:r>
          </w:p>
        </w:tc>
        <w:tc>
          <w:tcPr>
            <w:tcW w:w="1180" w:type="dxa"/>
            <w:vAlign w:val="bottom"/>
            <w:shd w:val="clear" w:color="auto" w:fill="CCEEFF"/>
          </w:tcPr>
          <w:p>
            <w:pPr>
              <w:jc w:val="right"/>
              <w:spacing w:after="0" w:line="159" w:lineRule="exact"/>
              <w:rPr>
                <w:sz w:val="20"/>
                <w:szCs w:val="20"/>
                <w:color w:val="auto"/>
              </w:rPr>
            </w:pPr>
            <w:r>
              <w:rPr>
                <w:rFonts w:ascii="Arial" w:cs="Arial" w:eastAsia="Arial" w:hAnsi="Arial"/>
                <w:sz w:val="11"/>
                <w:szCs w:val="11"/>
                <w:color w:val="auto"/>
              </w:rPr>
              <w:t>3,107</w:t>
            </w:r>
            <w:r>
              <w:rPr>
                <w:rFonts w:ascii="Arial" w:cs="Arial" w:eastAsia="Arial" w:hAnsi="Arial"/>
                <w:sz w:val="18"/>
                <w:szCs w:val="18"/>
                <w:color w:val="auto"/>
                <w:vertAlign w:val="superscript"/>
              </w:rPr>
              <w:t>(3)</w:t>
            </w:r>
          </w:p>
        </w:tc>
        <w:tc>
          <w:tcPr>
            <w:tcW w:w="1120" w:type="dxa"/>
            <w:vAlign w:val="bottom"/>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rPr>
              <w:t>261,921</w:t>
            </w: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13,462</w:t>
            </w:r>
          </w:p>
        </w:tc>
        <w:tc>
          <w:tcPr>
            <w:tcW w:w="138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81.56</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06/10/2025</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1,161</w:t>
            </w:r>
            <w:r>
              <w:rPr>
                <w:rFonts w:ascii="Arial" w:cs="Arial" w:eastAsia="Arial" w:hAnsi="Arial"/>
                <w:sz w:val="18"/>
                <w:szCs w:val="18"/>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97,873</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4,616</w:t>
            </w:r>
          </w:p>
        </w:tc>
        <w:tc>
          <w:tcPr>
            <w:tcW w:w="1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4,614</w:t>
            </w:r>
            <w:r>
              <w:rPr>
                <w:rFonts w:ascii="Arial" w:cs="Arial" w:eastAsia="Arial" w:hAnsi="Arial"/>
                <w:sz w:val="18"/>
                <w:szCs w:val="18"/>
                <w:color w:val="auto"/>
                <w:vertAlign w:val="superscript"/>
              </w:rPr>
              <w:t>(10)</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75.69</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05/20/2026</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1,486</w:t>
            </w:r>
            <w:r>
              <w:rPr>
                <w:rFonts w:ascii="Arial" w:cs="Arial" w:eastAsia="Arial" w:hAnsi="Arial"/>
                <w:sz w:val="18"/>
                <w:szCs w:val="18"/>
                <w:color w:val="auto"/>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125,270</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8,189</w:t>
            </w:r>
          </w:p>
        </w:tc>
        <w:tc>
          <w:tcPr>
            <w:tcW w:w="1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2,729</w:t>
            </w:r>
            <w:r>
              <w:rPr>
                <w:rFonts w:ascii="Arial" w:cs="Arial" w:eastAsia="Arial" w:hAnsi="Arial"/>
                <w:sz w:val="18"/>
                <w:szCs w:val="18"/>
                <w:color w:val="auto"/>
                <w:vertAlign w:val="superscript"/>
              </w:rPr>
              <w:t>(11)</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75.69</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05/20/2026</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879</w:t>
            </w:r>
            <w:r>
              <w:rPr>
                <w:rFonts w:ascii="Arial" w:cs="Arial" w:eastAsia="Arial" w:hAnsi="Arial"/>
                <w:sz w:val="18"/>
                <w:szCs w:val="18"/>
                <w:color w:val="auto"/>
                <w:vertAlign w:val="superscript"/>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74,100</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w:t>
            </w:r>
          </w:p>
        </w:tc>
        <w:tc>
          <w:tcPr>
            <w:tcW w:w="1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3,534</w:t>
            </w:r>
            <w:r>
              <w:rPr>
                <w:rFonts w:ascii="Arial" w:cs="Arial" w:eastAsia="Arial" w:hAnsi="Arial"/>
                <w:sz w:val="18"/>
                <w:szCs w:val="18"/>
                <w:color w:val="auto"/>
                <w:vertAlign w:val="superscript"/>
              </w:rPr>
              <w:t>(12)</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100.88</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05/18/2027</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1,359</w:t>
            </w:r>
            <w:r>
              <w:rPr>
                <w:rFonts w:ascii="Arial" w:cs="Arial" w:eastAsia="Arial" w:hAnsi="Arial"/>
                <w:sz w:val="18"/>
                <w:szCs w:val="18"/>
                <w:color w:val="auto"/>
                <w:vertAlign w:val="superscript"/>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114,564</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4,082</w:t>
            </w:r>
          </w:p>
        </w:tc>
        <w:tc>
          <w:tcPr>
            <w:tcW w:w="1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4,080</w:t>
            </w:r>
            <w:r>
              <w:rPr>
                <w:rFonts w:ascii="Arial" w:cs="Arial" w:eastAsia="Arial" w:hAnsi="Arial"/>
                <w:sz w:val="18"/>
                <w:szCs w:val="18"/>
                <w:color w:val="auto"/>
                <w:vertAlign w:val="superscript"/>
              </w:rPr>
              <w:t>(13)</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100.88</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05/18/2027</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1,177</w:t>
            </w:r>
            <w:r>
              <w:rPr>
                <w:rFonts w:ascii="Arial" w:cs="Arial" w:eastAsia="Arial" w:hAnsi="Arial"/>
                <w:sz w:val="18"/>
                <w:szCs w:val="18"/>
                <w:color w:val="auto"/>
                <w:vertAlign w:val="superscript"/>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99,222</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6,063</w:t>
            </w:r>
            <w:r>
              <w:rPr>
                <w:rFonts w:ascii="Arial" w:cs="Arial" w:eastAsia="Arial" w:hAnsi="Arial"/>
                <w:sz w:val="18"/>
                <w:szCs w:val="18"/>
                <w:color w:val="auto"/>
                <w:vertAlign w:val="superscript"/>
              </w:rPr>
              <w:t>(14)</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106.24</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05/17/2028</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1,941</w:t>
            </w:r>
            <w:r>
              <w:rPr>
                <w:rFonts w:ascii="Arial" w:cs="Arial" w:eastAsia="Arial" w:hAnsi="Arial"/>
                <w:sz w:val="18"/>
                <w:szCs w:val="18"/>
                <w:color w:val="auto"/>
                <w:vertAlign w:val="superscript"/>
              </w:rPr>
              <w:t>(8)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163,627</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680"/>
              <w:spacing w:after="0" w:line="164" w:lineRule="exact"/>
              <w:rPr>
                <w:sz w:val="20"/>
                <w:szCs w:val="20"/>
                <w:color w:val="auto"/>
              </w:rPr>
            </w:pPr>
            <w:r>
              <w:rPr>
                <w:rFonts w:ascii="Arial" w:cs="Arial" w:eastAsia="Arial" w:hAnsi="Arial"/>
                <w:sz w:val="12"/>
                <w:szCs w:val="12"/>
                <w:color w:val="auto"/>
              </w:rPr>
              <w:t>9,701</w:t>
            </w:r>
            <w:r>
              <w:rPr>
                <w:rFonts w:ascii="Arial" w:cs="Arial" w:eastAsia="Arial" w:hAnsi="Arial"/>
                <w:sz w:val="19"/>
                <w:szCs w:val="19"/>
                <w:color w:val="auto"/>
                <w:vertAlign w:val="superscript"/>
              </w:rPr>
              <w:t>(15)</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106.24</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05/17/2028</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375"/>
        </w:trPr>
        <w:tc>
          <w:tcPr>
            <w:tcW w:w="1180" w:type="dxa"/>
            <w:vAlign w:val="bottom"/>
            <w:gridSpan w:val="3"/>
          </w:tcPr>
          <w:p>
            <w:pPr>
              <w:spacing w:after="0"/>
              <w:rPr>
                <w:sz w:val="20"/>
                <w:szCs w:val="20"/>
                <w:color w:val="auto"/>
              </w:rPr>
            </w:pPr>
            <w:r>
              <w:rPr>
                <w:rFonts w:ascii="Arial" w:cs="Arial" w:eastAsia="Arial" w:hAnsi="Arial"/>
                <w:sz w:val="14"/>
                <w:szCs w:val="14"/>
                <w:color w:val="auto"/>
              </w:rPr>
              <w:t>Robert S. Stewart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4,711</w:t>
            </w:r>
          </w:p>
        </w:tc>
        <w:tc>
          <w:tcPr>
            <w:tcW w:w="138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tcPr>
          <w:p>
            <w:pPr>
              <w:ind w:left="8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81.56</w:t>
            </w:r>
          </w:p>
        </w:tc>
        <w:tc>
          <w:tcPr>
            <w:tcW w:w="860" w:type="dxa"/>
            <w:vAlign w:val="bottom"/>
          </w:tcPr>
          <w:p>
            <w:pPr>
              <w:ind w:left="100"/>
              <w:spacing w:after="0"/>
              <w:rPr>
                <w:sz w:val="20"/>
                <w:szCs w:val="20"/>
                <w:color w:val="auto"/>
              </w:rPr>
            </w:pPr>
            <w:r>
              <w:rPr>
                <w:rFonts w:ascii="Arial" w:cs="Arial" w:eastAsia="Arial" w:hAnsi="Arial"/>
                <w:sz w:val="14"/>
                <w:szCs w:val="14"/>
                <w:color w:val="auto"/>
              </w:rPr>
              <w:t>06/10/2025</w:t>
            </w:r>
          </w:p>
        </w:tc>
        <w:tc>
          <w:tcPr>
            <w:tcW w:w="180" w:type="dxa"/>
            <w:vAlign w:val="bottom"/>
            <w:tcBorders>
              <w:right w:val="single" w:sz="8" w:color="auto"/>
            </w:tcBorders>
          </w:tcPr>
          <w:p>
            <w:pPr>
              <w:spacing w:after="0"/>
              <w:rPr>
                <w:sz w:val="24"/>
                <w:szCs w:val="24"/>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color w:val="auto"/>
              </w:rPr>
              <w:t>812</w:t>
            </w:r>
            <w:r>
              <w:rPr>
                <w:rFonts w:ascii="Arial" w:cs="Arial" w:eastAsia="Arial" w:hAnsi="Arial"/>
                <w:sz w:val="24"/>
                <w:szCs w:val="24"/>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4"/>
                <w:szCs w:val="14"/>
                <w:color w:val="auto"/>
              </w:rPr>
              <w:t>68,452</w:t>
            </w:r>
          </w:p>
        </w:tc>
        <w:tc>
          <w:tcPr>
            <w:tcW w:w="1180" w:type="dxa"/>
            <w:vAlign w:val="bottom"/>
          </w:tcPr>
          <w:p>
            <w:pPr>
              <w:jc w:val="right"/>
              <w:spacing w:after="0"/>
              <w:rPr>
                <w:sz w:val="20"/>
                <w:szCs w:val="20"/>
                <w:color w:val="auto"/>
              </w:rPr>
            </w:pPr>
            <w:r>
              <w:rPr>
                <w:rFonts w:ascii="Arial" w:cs="Arial" w:eastAsia="Arial" w:hAnsi="Arial"/>
                <w:sz w:val="14"/>
                <w:szCs w:val="14"/>
                <w:color w:val="auto"/>
              </w:rPr>
              <w:t>5,083</w:t>
            </w:r>
            <w:r>
              <w:rPr>
                <w:rFonts w:ascii="Arial" w:cs="Arial" w:eastAsia="Arial" w:hAnsi="Arial"/>
                <w:sz w:val="24"/>
                <w:szCs w:val="24"/>
                <w:color w:val="auto"/>
                <w:vertAlign w:val="superscript"/>
              </w:rPr>
              <w:t>(3)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428,497</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1,367</w:t>
            </w:r>
            <w:r>
              <w:rPr>
                <w:rFonts w:ascii="Arial" w:cs="Arial" w:eastAsia="Arial" w:hAnsi="Arial"/>
                <w:sz w:val="18"/>
                <w:szCs w:val="18"/>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4"/>
                <w:szCs w:val="14"/>
                <w:color w:val="auto"/>
              </w:rPr>
              <w:t>115,239</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2,312</w:t>
            </w:r>
            <w:r>
              <w:rPr>
                <w:rFonts w:ascii="Arial" w:cs="Arial" w:eastAsia="Arial" w:hAnsi="Arial"/>
                <w:sz w:val="18"/>
                <w:szCs w:val="18"/>
                <w:color w:val="auto"/>
                <w:vertAlign w:val="superscript"/>
              </w:rPr>
              <w:t>(5)</w:t>
            </w:r>
          </w:p>
        </w:tc>
        <w:tc>
          <w:tcPr>
            <w:tcW w:w="920" w:type="dxa"/>
            <w:vAlign w:val="bottom"/>
          </w:tcPr>
          <w:p>
            <w:pPr>
              <w:jc w:val="right"/>
              <w:spacing w:after="0"/>
              <w:rPr>
                <w:sz w:val="20"/>
                <w:szCs w:val="20"/>
                <w:color w:val="auto"/>
              </w:rPr>
            </w:pPr>
            <w:r>
              <w:rPr>
                <w:rFonts w:ascii="Arial" w:cs="Arial" w:eastAsia="Arial" w:hAnsi="Arial"/>
                <w:sz w:val="14"/>
                <w:szCs w:val="14"/>
                <w:color w:val="auto"/>
              </w:rPr>
              <w:t>194,902</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1,982</w:t>
            </w:r>
            <w:r>
              <w:rPr>
                <w:rFonts w:ascii="Arial" w:cs="Arial" w:eastAsia="Arial" w:hAnsi="Arial"/>
                <w:sz w:val="18"/>
                <w:szCs w:val="18"/>
                <w:color w:val="auto"/>
                <w:vertAlign w:val="superscript"/>
              </w:rPr>
              <w:t>(6)</w:t>
            </w:r>
          </w:p>
        </w:tc>
        <w:tc>
          <w:tcPr>
            <w:tcW w:w="920" w:type="dxa"/>
            <w:vAlign w:val="bottom"/>
          </w:tcPr>
          <w:p>
            <w:pPr>
              <w:jc w:val="right"/>
              <w:spacing w:after="0"/>
              <w:rPr>
                <w:sz w:val="20"/>
                <w:szCs w:val="20"/>
                <w:color w:val="auto"/>
              </w:rPr>
            </w:pPr>
            <w:r>
              <w:rPr>
                <w:rFonts w:ascii="Arial" w:cs="Arial" w:eastAsia="Arial" w:hAnsi="Arial"/>
                <w:sz w:val="14"/>
                <w:szCs w:val="14"/>
                <w:color w:val="auto"/>
              </w:rPr>
              <w:t>167,083</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040" w:type="dxa"/>
            <w:vAlign w:val="bottom"/>
          </w:tcPr>
          <w:p>
            <w:pPr>
              <w:jc w:val="right"/>
              <w:ind w:right="99"/>
              <w:spacing w:after="0" w:line="162" w:lineRule="exact"/>
              <w:rPr>
                <w:sz w:val="20"/>
                <w:szCs w:val="20"/>
                <w:color w:val="auto"/>
              </w:rPr>
            </w:pPr>
            <w:r>
              <w:rPr>
                <w:rFonts w:ascii="Arial" w:cs="Arial" w:eastAsia="Arial" w:hAnsi="Arial"/>
                <w:sz w:val="11"/>
                <w:szCs w:val="11"/>
                <w:color w:val="auto"/>
              </w:rPr>
              <w:t>2,289</w:t>
            </w:r>
            <w:r>
              <w:rPr>
                <w:rFonts w:ascii="Arial" w:cs="Arial" w:eastAsia="Arial" w:hAnsi="Arial"/>
                <w:sz w:val="18"/>
                <w:szCs w:val="18"/>
                <w:color w:val="auto"/>
                <w:vertAlign w:val="superscript"/>
              </w:rPr>
              <w:t>(7)</w:t>
            </w:r>
          </w:p>
        </w:tc>
        <w:tc>
          <w:tcPr>
            <w:tcW w:w="920" w:type="dxa"/>
            <w:vAlign w:val="bottom"/>
          </w:tcPr>
          <w:p>
            <w:pPr>
              <w:jc w:val="right"/>
              <w:spacing w:after="0"/>
              <w:rPr>
                <w:sz w:val="20"/>
                <w:szCs w:val="20"/>
                <w:color w:val="auto"/>
              </w:rPr>
            </w:pPr>
            <w:r>
              <w:rPr>
                <w:rFonts w:ascii="Arial" w:cs="Arial" w:eastAsia="Arial" w:hAnsi="Arial"/>
                <w:sz w:val="14"/>
                <w:szCs w:val="14"/>
                <w:color w:val="auto"/>
              </w:rPr>
              <w:t>192,963</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1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color w:val="auto"/>
              </w:rPr>
              <w:t>3,177</w:t>
            </w:r>
            <w:r>
              <w:rPr>
                <w:rFonts w:ascii="Arial" w:cs="Arial" w:eastAsia="Arial" w:hAnsi="Arial"/>
                <w:sz w:val="24"/>
                <w:szCs w:val="24"/>
                <w:color w:val="auto"/>
                <w:vertAlign w:val="superscript"/>
              </w:rPr>
              <w:t>(8)</w:t>
            </w:r>
          </w:p>
        </w:tc>
        <w:tc>
          <w:tcPr>
            <w:tcW w:w="920" w:type="dxa"/>
            <w:vAlign w:val="bottom"/>
          </w:tcPr>
          <w:p>
            <w:pPr>
              <w:jc w:val="right"/>
              <w:spacing w:after="0"/>
              <w:rPr>
                <w:sz w:val="20"/>
                <w:szCs w:val="20"/>
                <w:color w:val="auto"/>
              </w:rPr>
            </w:pPr>
            <w:r>
              <w:rPr>
                <w:rFonts w:ascii="Arial" w:cs="Arial" w:eastAsia="Arial" w:hAnsi="Arial"/>
                <w:sz w:val="14"/>
                <w:szCs w:val="14"/>
                <w:color w:val="auto"/>
              </w:rPr>
              <w:t>267,822</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44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59"/>
        </w:trPr>
        <w:tc>
          <w:tcPr>
            <w:tcW w:w="20" w:type="dxa"/>
            <w:vAlign w:val="bottom"/>
          </w:tcPr>
          <w:p>
            <w:pPr>
              <w:spacing w:after="0"/>
              <w:rPr>
                <w:sz w:val="13"/>
                <w:szCs w:val="13"/>
                <w:color w:val="auto"/>
              </w:rPr>
            </w:pPr>
          </w:p>
        </w:tc>
        <w:tc>
          <w:tcPr>
            <w:tcW w:w="1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Keith W. Metcalf</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21,960</w:t>
            </w:r>
          </w:p>
        </w:tc>
        <w:tc>
          <w:tcPr>
            <w:tcW w:w="1380" w:type="dxa"/>
            <w:vAlign w:val="bottom"/>
            <w:gridSpan w:val="2"/>
            <w:shd w:val="clear" w:color="auto" w:fill="CCEEFF"/>
          </w:tcPr>
          <w:p>
            <w:pPr>
              <w:jc w:val="right"/>
              <w:ind w:right="279"/>
              <w:spacing w:after="0" w:line="15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88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33.69</w:t>
            </w:r>
          </w:p>
        </w:tc>
        <w:tc>
          <w:tcPr>
            <w:tcW w:w="8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06/19/2022</w:t>
            </w:r>
          </w:p>
        </w:tc>
        <w:tc>
          <w:tcPr>
            <w:tcW w:w="1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jc w:val="right"/>
              <w:ind w:right="99"/>
              <w:spacing w:after="0" w:line="159" w:lineRule="exact"/>
              <w:rPr>
                <w:sz w:val="20"/>
                <w:szCs w:val="20"/>
                <w:color w:val="auto"/>
              </w:rPr>
            </w:pPr>
            <w:r>
              <w:rPr>
                <w:rFonts w:ascii="Arial" w:cs="Arial" w:eastAsia="Arial" w:hAnsi="Arial"/>
                <w:sz w:val="11"/>
                <w:szCs w:val="11"/>
                <w:color w:val="auto"/>
              </w:rPr>
              <w:t>696</w:t>
            </w:r>
            <w:r>
              <w:rPr>
                <w:rFonts w:ascii="Arial" w:cs="Arial" w:eastAsia="Arial" w:hAnsi="Arial"/>
                <w:sz w:val="18"/>
                <w:szCs w:val="18"/>
                <w:color w:val="auto"/>
                <w:vertAlign w:val="superscript"/>
              </w:rPr>
              <w:t>(2)</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58,673</w:t>
            </w:r>
          </w:p>
        </w:tc>
        <w:tc>
          <w:tcPr>
            <w:tcW w:w="1180" w:type="dxa"/>
            <w:vAlign w:val="bottom"/>
            <w:shd w:val="clear" w:color="auto" w:fill="CCEEFF"/>
          </w:tcPr>
          <w:p>
            <w:pPr>
              <w:jc w:val="right"/>
              <w:spacing w:after="0" w:line="159" w:lineRule="exact"/>
              <w:rPr>
                <w:sz w:val="20"/>
                <w:szCs w:val="20"/>
                <w:color w:val="auto"/>
              </w:rPr>
            </w:pPr>
            <w:r>
              <w:rPr>
                <w:rFonts w:ascii="Arial" w:cs="Arial" w:eastAsia="Arial" w:hAnsi="Arial"/>
                <w:sz w:val="11"/>
                <w:szCs w:val="11"/>
                <w:color w:val="auto"/>
              </w:rPr>
              <w:t>4,236</w:t>
            </w:r>
            <w:r>
              <w:rPr>
                <w:rFonts w:ascii="Arial" w:cs="Arial" w:eastAsia="Arial" w:hAnsi="Arial"/>
                <w:sz w:val="18"/>
                <w:szCs w:val="18"/>
                <w:color w:val="auto"/>
                <w:vertAlign w:val="superscript"/>
              </w:rPr>
              <w:t>(3)</w:t>
            </w:r>
          </w:p>
        </w:tc>
        <w:tc>
          <w:tcPr>
            <w:tcW w:w="1120" w:type="dxa"/>
            <w:vAlign w:val="bottom"/>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rPr>
              <w:t>357,095</w:t>
            </w: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138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67.21</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08/12/2023</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1,073</w:t>
            </w:r>
            <w:r>
              <w:rPr>
                <w:rFonts w:ascii="Arial" w:cs="Arial" w:eastAsia="Arial" w:hAnsi="Arial"/>
                <w:sz w:val="18"/>
                <w:szCs w:val="18"/>
                <w:color w:val="auto"/>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90,454</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4,685</w:t>
            </w:r>
          </w:p>
        </w:tc>
        <w:tc>
          <w:tcPr>
            <w:tcW w:w="138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87.37</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06/03/2024</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635</w:t>
            </w:r>
            <w:r>
              <w:rPr>
                <w:rFonts w:ascii="Arial" w:cs="Arial" w:eastAsia="Arial" w:hAnsi="Arial"/>
                <w:sz w:val="18"/>
                <w:szCs w:val="18"/>
                <w:color w:val="auto"/>
                <w:vertAlign w:val="superscript"/>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53,531</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12,116</w:t>
            </w:r>
          </w:p>
        </w:tc>
        <w:tc>
          <w:tcPr>
            <w:tcW w:w="138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81.56</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06/10/2025</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743</w:t>
            </w:r>
            <w:r>
              <w:rPr>
                <w:rFonts w:ascii="Arial" w:cs="Arial" w:eastAsia="Arial" w:hAnsi="Arial"/>
                <w:sz w:val="18"/>
                <w:szCs w:val="18"/>
                <w:color w:val="auto"/>
                <w:vertAlign w:val="superscript"/>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62,635</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6,000</w:t>
            </w:r>
            <w:r>
              <w:rPr>
                <w:rFonts w:ascii="Arial" w:cs="Arial" w:eastAsia="Arial" w:hAnsi="Arial"/>
                <w:sz w:val="18"/>
                <w:szCs w:val="18"/>
                <w:color w:val="auto"/>
                <w:vertAlign w:val="superscript"/>
              </w:rPr>
              <w:t>(18)</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60.43</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01/01/2026</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2" w:lineRule="exact"/>
              <w:rPr>
                <w:sz w:val="20"/>
                <w:szCs w:val="20"/>
                <w:color w:val="auto"/>
              </w:rPr>
            </w:pPr>
            <w:r>
              <w:rPr>
                <w:rFonts w:ascii="Arial" w:cs="Arial" w:eastAsia="Arial" w:hAnsi="Arial"/>
                <w:sz w:val="11"/>
                <w:szCs w:val="11"/>
                <w:color w:val="auto"/>
              </w:rPr>
              <w:t>859</w:t>
            </w:r>
            <w:r>
              <w:rPr>
                <w:rFonts w:ascii="Arial" w:cs="Arial" w:eastAsia="Arial" w:hAnsi="Arial"/>
                <w:sz w:val="18"/>
                <w:szCs w:val="18"/>
                <w:color w:val="auto"/>
                <w:vertAlign w:val="superscript"/>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72,330</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3,334</w:t>
            </w:r>
          </w:p>
        </w:tc>
        <w:tc>
          <w:tcPr>
            <w:tcW w:w="138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2"/>
                <w:szCs w:val="12"/>
                <w:color w:val="auto"/>
              </w:rPr>
              <w:t>3,332</w:t>
            </w:r>
            <w:r>
              <w:rPr>
                <w:rFonts w:ascii="Arial" w:cs="Arial" w:eastAsia="Arial" w:hAnsi="Arial"/>
                <w:sz w:val="19"/>
                <w:szCs w:val="19"/>
                <w:color w:val="auto"/>
                <w:vertAlign w:val="superscript"/>
              </w:rPr>
              <w:t>(10)</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75.69</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05/20/2026</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jc w:val="right"/>
              <w:ind w:right="99"/>
              <w:spacing w:after="0" w:line="164" w:lineRule="exact"/>
              <w:rPr>
                <w:sz w:val="20"/>
                <w:szCs w:val="20"/>
                <w:color w:val="auto"/>
              </w:rPr>
            </w:pPr>
            <w:r>
              <w:rPr>
                <w:rFonts w:ascii="Arial" w:cs="Arial" w:eastAsia="Arial" w:hAnsi="Arial"/>
                <w:sz w:val="12"/>
                <w:szCs w:val="12"/>
                <w:color w:val="auto"/>
              </w:rPr>
              <w:t>2,647</w:t>
            </w:r>
            <w:r>
              <w:rPr>
                <w:rFonts w:ascii="Arial" w:cs="Arial" w:eastAsia="Arial" w:hAnsi="Arial"/>
                <w:sz w:val="19"/>
                <w:szCs w:val="19"/>
                <w:color w:val="auto"/>
                <w:vertAlign w:val="superscript"/>
              </w:rPr>
              <w:t>(8)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223,143</w:t>
            </w: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5,915</w:t>
            </w: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1"/>
                <w:szCs w:val="11"/>
                <w:color w:val="auto"/>
              </w:rPr>
              <w:t>1,917</w:t>
            </w:r>
            <w:r>
              <w:rPr>
                <w:rFonts w:ascii="Arial" w:cs="Arial" w:eastAsia="Arial" w:hAnsi="Arial"/>
                <w:sz w:val="18"/>
                <w:szCs w:val="18"/>
                <w:color w:val="auto"/>
                <w:vertAlign w:val="superscript"/>
              </w:rPr>
              <w:t>(11)</w:t>
            </w:r>
          </w:p>
        </w:tc>
        <w:tc>
          <w:tcPr>
            <w:tcW w:w="1340" w:type="dxa"/>
            <w:vAlign w:val="bottom"/>
            <w:shd w:val="clear" w:color="auto" w:fill="CCEEFF"/>
          </w:tcPr>
          <w:p>
            <w:pPr>
              <w:ind w:left="88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75.69</w:t>
            </w:r>
          </w:p>
        </w:tc>
        <w:tc>
          <w:tcPr>
            <w:tcW w:w="8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05/20/2026</w:t>
            </w:r>
          </w:p>
        </w:tc>
        <w:tc>
          <w:tcPr>
            <w:tcW w:w="180" w:type="dxa"/>
            <w:vAlign w:val="bottom"/>
            <w:tcBorders>
              <w:right w:val="single" w:sz="8" w:color="auto"/>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13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2,232</w:t>
            </w:r>
            <w:r>
              <w:rPr>
                <w:rFonts w:ascii="Arial" w:cs="Arial" w:eastAsia="Arial" w:hAnsi="Arial"/>
                <w:sz w:val="18"/>
                <w:szCs w:val="18"/>
                <w:color w:val="auto"/>
                <w:vertAlign w:val="superscript"/>
              </w:rPr>
              <w:t>(12)</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100.88</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05/18/2027</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138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2"/>
                <w:szCs w:val="12"/>
                <w:color w:val="auto"/>
              </w:rPr>
              <w:t>2,578</w:t>
            </w:r>
            <w:r>
              <w:rPr>
                <w:rFonts w:ascii="Arial" w:cs="Arial" w:eastAsia="Arial" w:hAnsi="Arial"/>
                <w:sz w:val="19"/>
                <w:szCs w:val="19"/>
                <w:color w:val="auto"/>
                <w:vertAlign w:val="superscript"/>
              </w:rPr>
              <w:t>(13)</w:t>
            </w:r>
          </w:p>
        </w:tc>
        <w:tc>
          <w:tcPr>
            <w:tcW w:w="1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100.88</w:t>
            </w:r>
          </w:p>
        </w:tc>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05/18/2027</w:t>
            </w:r>
          </w:p>
        </w:tc>
        <w:tc>
          <w:tcPr>
            <w:tcW w:w="180" w:type="dxa"/>
            <w:vAlign w:val="bottom"/>
            <w:tcBorders>
              <w:right w:val="single" w:sz="8" w:color="auto"/>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400" w:lineRule="exact"/>
        <w:rPr>
          <w:sz w:val="20"/>
          <w:szCs w:val="20"/>
          <w:color w:val="auto"/>
        </w:rPr>
      </w:pPr>
    </w:p>
    <w:p>
      <w:pPr>
        <w:ind w:left="660" w:right="160" w:hanging="456"/>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29, 2019 ($84.30).</w:t>
      </w:r>
    </w:p>
    <w:p>
      <w:pPr>
        <w:spacing w:after="0" w:line="223" w:lineRule="exact"/>
        <w:rPr>
          <w:rFonts w:ascii="Arial" w:cs="Arial" w:eastAsia="Arial" w:hAnsi="Arial"/>
          <w:sz w:val="18"/>
          <w:szCs w:val="18"/>
          <w:color w:val="auto"/>
        </w:rPr>
      </w:pPr>
    </w:p>
    <w:p>
      <w:pPr>
        <w:ind w:left="660" w:right="20" w:hanging="45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restricted stock granted on June 10, 2015 under our Incentive Plan. Restrictions will lapse ratably on the remaining restricted shares on March 31, 2020.</w:t>
      </w:r>
    </w:p>
    <w:p>
      <w:pPr>
        <w:spacing w:after="0" w:line="229" w:lineRule="exact"/>
        <w:rPr>
          <w:rFonts w:ascii="Arial" w:cs="Arial" w:eastAsia="Arial" w:hAnsi="Arial"/>
          <w:sz w:val="18"/>
          <w:szCs w:val="18"/>
          <w:color w:val="auto"/>
        </w:rPr>
      </w:pPr>
    </w:p>
    <w:p>
      <w:pPr>
        <w:ind w:left="660" w:right="40" w:hanging="456"/>
        <w:spacing w:after="0" w:line="23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performance-based restricted stock granted on May 17, 2018 under our Incentive Plan. The Compensation Committee determined in May 2019 (i.e., after the end of fiscal 2019) that 89.7% of the maximum award (or 107.6% of the target award) was earned. Any unearned restricted shares were forfeited. One-fourth of the earned restricted shares was paid to the Named Executive Officer on May 16, 2019, and restrictions will lapse ratably on the remaining earned restricted shares on March 31 of 2020, 2021 and 2022.</w:t>
      </w:r>
    </w:p>
    <w:p>
      <w:pPr>
        <w:spacing w:after="0" w:line="233" w:lineRule="exact"/>
        <w:rPr>
          <w:rFonts w:ascii="Arial" w:cs="Arial" w:eastAsia="Arial" w:hAnsi="Arial"/>
          <w:sz w:val="18"/>
          <w:szCs w:val="18"/>
          <w:color w:val="auto"/>
        </w:rPr>
      </w:pPr>
    </w:p>
    <w:p>
      <w:pPr>
        <w:jc w:val="both"/>
        <w:ind w:left="660" w:hanging="45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time-vesting restricted stock granted on May 20, 2016 under our Incentive Plan. Restrictions will lapse ratably on May 20 of 2019 and 2020.</w:t>
      </w:r>
    </w:p>
    <w:p>
      <w:pPr>
        <w:spacing w:after="0" w:line="229" w:lineRule="exact"/>
        <w:rPr>
          <w:rFonts w:ascii="Arial" w:cs="Arial" w:eastAsia="Arial" w:hAnsi="Arial"/>
          <w:sz w:val="18"/>
          <w:szCs w:val="18"/>
          <w:color w:val="auto"/>
        </w:rPr>
      </w:pPr>
    </w:p>
    <w:p>
      <w:pPr>
        <w:ind w:left="660" w:right="120" w:hanging="45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performance-based restricted stock granted on May 20, 2016 under our Incentive Plan. Restrictions will lapse ratably on the remaining shares on March 31, 2020.</w:t>
      </w:r>
    </w:p>
    <w:p>
      <w:pPr>
        <w:spacing w:after="0" w:line="229" w:lineRule="exact"/>
        <w:rPr>
          <w:rFonts w:ascii="Arial" w:cs="Arial" w:eastAsia="Arial" w:hAnsi="Arial"/>
          <w:sz w:val="18"/>
          <w:szCs w:val="18"/>
          <w:color w:val="auto"/>
        </w:rPr>
      </w:pPr>
    </w:p>
    <w:p>
      <w:pPr>
        <w:jc w:val="both"/>
        <w:ind w:left="660" w:hanging="45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time-vesting restricted stock granted on May 18, 2017 under our Incentive Plan. Restrictions will lapse ratably on March 31 of 2020 and 2021.</w:t>
      </w:r>
    </w:p>
    <w:p>
      <w:pPr>
        <w:spacing w:after="0" w:line="229" w:lineRule="exact"/>
        <w:rPr>
          <w:rFonts w:ascii="Arial" w:cs="Arial" w:eastAsia="Arial" w:hAnsi="Arial"/>
          <w:sz w:val="18"/>
          <w:szCs w:val="18"/>
          <w:color w:val="auto"/>
        </w:rPr>
      </w:pPr>
    </w:p>
    <w:p>
      <w:pPr>
        <w:ind w:left="660" w:right="120" w:hanging="456"/>
        <w:spacing w:after="0" w:line="23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performance-based restricted stock granted on May 18, 2017 under our Incentive Plan. Restrictions will lapse ratably on the remaining shares on March 31 of 2020 and 2021.</w:t>
      </w:r>
    </w:p>
    <w:p>
      <w:pPr>
        <w:spacing w:after="0" w:line="228" w:lineRule="exact"/>
        <w:rPr>
          <w:rFonts w:ascii="Arial" w:cs="Arial" w:eastAsia="Arial" w:hAnsi="Arial"/>
          <w:sz w:val="18"/>
          <w:szCs w:val="18"/>
          <w:color w:val="auto"/>
        </w:rPr>
      </w:pPr>
    </w:p>
    <w:p>
      <w:pPr>
        <w:ind w:left="660" w:right="20" w:hanging="456"/>
        <w:spacing w:after="0" w:line="23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time-vesting restricted stock granted on May 17, 2018 under our Incentive Plan. Restrictions on the first one-fourth lapsed on March 31, 2019. Restrictions on the remaining shares will lapse ratably on March 31 of 2020, 2021 and 2022.</w:t>
      </w:r>
    </w:p>
    <w:p>
      <w:pPr>
        <w:spacing w:after="0" w:line="229" w:lineRule="exact"/>
        <w:rPr>
          <w:rFonts w:ascii="Arial" w:cs="Arial" w:eastAsia="Arial" w:hAnsi="Arial"/>
          <w:sz w:val="18"/>
          <w:szCs w:val="18"/>
          <w:color w:val="auto"/>
        </w:rPr>
      </w:pPr>
    </w:p>
    <w:p>
      <w:pPr>
        <w:ind w:left="660" w:right="20" w:hanging="456"/>
        <w:spacing w:after="0" w:line="23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restricted stock granted on May 18, 2010 under our Incentive Plan. Restrictions will lapse upon the Named Executive Officer meeting the requirements of retirement, as defined in the award agreement.</w:t>
      </w:r>
    </w:p>
    <w:p>
      <w:pPr>
        <w:spacing w:after="0" w:line="228" w:lineRule="exact"/>
        <w:rPr>
          <w:rFonts w:ascii="Arial" w:cs="Arial" w:eastAsia="Arial" w:hAnsi="Arial"/>
          <w:sz w:val="18"/>
          <w:szCs w:val="18"/>
          <w:color w:val="auto"/>
        </w:rPr>
      </w:pPr>
    </w:p>
    <w:p>
      <w:pPr>
        <w:ind w:left="660" w:right="60" w:hanging="45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20, 2016 under our Incentive Plan. The remaining stock options will vest ratably on May 20 of 2019 and 2020.</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456" w:right="380" w:hanging="456"/>
        <w:spacing w:after="0" w:line="261" w:lineRule="auto"/>
        <w:tabs>
          <w:tab w:leader="none" w:pos="456"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performance-based stock options granted on May 20, 2016 under our Incentive Plan. The remaining earned stock options will vest ratably on March 31, 2020.</w:t>
      </w:r>
    </w:p>
    <w:p>
      <w:pPr>
        <w:spacing w:after="0" w:line="213" w:lineRule="exact"/>
        <w:rPr>
          <w:rFonts w:ascii="Arial" w:cs="Arial" w:eastAsia="Arial" w:hAnsi="Arial"/>
          <w:sz w:val="17"/>
          <w:szCs w:val="17"/>
          <w:color w:val="auto"/>
        </w:rPr>
      </w:pPr>
    </w:p>
    <w:p>
      <w:pPr>
        <w:ind w:left="456" w:right="160" w:hanging="456"/>
        <w:spacing w:after="0"/>
        <w:tabs>
          <w:tab w:leader="none" w:pos="4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18, 2017 under our Incentive Plan. The remaining stock options will vest ratably on March 31 of 2020 and 2021.</w:t>
      </w:r>
    </w:p>
    <w:p>
      <w:pPr>
        <w:spacing w:after="0" w:line="229" w:lineRule="exact"/>
        <w:rPr>
          <w:rFonts w:ascii="Arial" w:cs="Arial" w:eastAsia="Arial" w:hAnsi="Arial"/>
          <w:sz w:val="18"/>
          <w:szCs w:val="18"/>
          <w:color w:val="auto"/>
        </w:rPr>
      </w:pPr>
    </w:p>
    <w:p>
      <w:pPr>
        <w:ind w:left="456" w:right="280" w:hanging="456"/>
        <w:spacing w:after="0" w:line="239" w:lineRule="auto"/>
        <w:tabs>
          <w:tab w:leader="none" w:pos="4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performance-based stock options granted on May 18, 2017 under our Incentive Plan. The remaining earned stock options will vest ratably on March 31 of 2020 and 2021.</w:t>
      </w:r>
    </w:p>
    <w:p>
      <w:pPr>
        <w:spacing w:after="0" w:line="228" w:lineRule="exact"/>
        <w:rPr>
          <w:rFonts w:ascii="Arial" w:cs="Arial" w:eastAsia="Arial" w:hAnsi="Arial"/>
          <w:sz w:val="18"/>
          <w:szCs w:val="18"/>
          <w:color w:val="auto"/>
        </w:rPr>
      </w:pPr>
    </w:p>
    <w:p>
      <w:pPr>
        <w:ind w:left="456" w:right="60" w:hanging="456"/>
        <w:spacing w:after="0" w:line="239" w:lineRule="auto"/>
        <w:tabs>
          <w:tab w:leader="none" w:pos="4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17, 2018 under our Incentive Plan. The first one-fourth vested on March 31, 2019, and the remaining stock options will vest ratably on March 31 of 2020, 2021 and 2022.</w:t>
      </w:r>
    </w:p>
    <w:p>
      <w:pPr>
        <w:spacing w:after="0" w:line="228" w:lineRule="exact"/>
        <w:rPr>
          <w:rFonts w:ascii="Arial" w:cs="Arial" w:eastAsia="Arial" w:hAnsi="Arial"/>
          <w:sz w:val="18"/>
          <w:szCs w:val="18"/>
          <w:color w:val="auto"/>
        </w:rPr>
      </w:pPr>
    </w:p>
    <w:p>
      <w:pPr>
        <w:ind w:left="456" w:hanging="456"/>
        <w:spacing w:after="0" w:line="236" w:lineRule="auto"/>
        <w:tabs>
          <w:tab w:leader="none" w:pos="4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performance-based stock options granted on May 17, 2018 under our Incentive Plan. The Compensation Committee determined in May 2019 (i.e., after the end of fiscal 2019) that 89.7% of the maximum award (or 107.6% of the target award) was earned. Any unearned stock options were forfeited. One-fourth of the earned stock options vested in May 13, 2019. The remaining earned stock options will vest ratably on March 31 of 2020, 2021 and 2022.</w:t>
      </w:r>
    </w:p>
    <w:p>
      <w:pPr>
        <w:spacing w:after="0" w:line="235" w:lineRule="exact"/>
        <w:rPr>
          <w:rFonts w:ascii="Arial" w:cs="Arial" w:eastAsia="Arial" w:hAnsi="Arial"/>
          <w:sz w:val="18"/>
          <w:szCs w:val="18"/>
          <w:color w:val="auto"/>
        </w:rPr>
      </w:pPr>
    </w:p>
    <w:p>
      <w:pPr>
        <w:ind w:left="456" w:right="140" w:hanging="456"/>
        <w:spacing w:after="0" w:line="239" w:lineRule="auto"/>
        <w:tabs>
          <w:tab w:leader="none" w:pos="4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stock options granted to Mr. Haack under our Incentive Plan in connection with his joining the Company in 2014. The remaining stock options will vest ratably on December 1, 2019.</w:t>
      </w:r>
    </w:p>
    <w:p>
      <w:pPr>
        <w:spacing w:after="0" w:line="228" w:lineRule="exact"/>
        <w:rPr>
          <w:rFonts w:ascii="Arial" w:cs="Arial" w:eastAsia="Arial" w:hAnsi="Arial"/>
          <w:sz w:val="18"/>
          <w:szCs w:val="18"/>
          <w:color w:val="auto"/>
        </w:rPr>
      </w:pPr>
    </w:p>
    <w:p>
      <w:pPr>
        <w:ind w:left="456" w:right="140" w:hanging="456"/>
        <w:spacing w:after="0" w:line="239" w:lineRule="auto"/>
        <w:tabs>
          <w:tab w:leader="none" w:pos="4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restricted stock granted to Mr. Haack under our Incentive Plan in connection with his joining the Company in 2014. Restrictions will lapse on the remaining restricted shares on December 1, 2019.</w:t>
      </w:r>
    </w:p>
    <w:p>
      <w:pPr>
        <w:spacing w:after="0" w:line="228" w:lineRule="exact"/>
        <w:rPr>
          <w:rFonts w:ascii="Arial" w:cs="Arial" w:eastAsia="Arial" w:hAnsi="Arial"/>
          <w:sz w:val="18"/>
          <w:szCs w:val="18"/>
          <w:color w:val="auto"/>
        </w:rPr>
      </w:pPr>
    </w:p>
    <w:p>
      <w:pPr>
        <w:ind w:left="456" w:hanging="456"/>
        <w:spacing w:after="0"/>
        <w:tabs>
          <w:tab w:leader="none" w:pos="4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stock options granted to Mr. Metcalf under our Incentive Plan in connection with a promotion. The remaining stock options will vest ratably on January 1 of 2020 and 2021.</w:t>
      </w:r>
    </w:p>
    <w:p>
      <w:pPr>
        <w:spacing w:after="0" w:line="2104" w:lineRule="exact"/>
        <w:rPr>
          <w:sz w:val="20"/>
          <w:szCs w:val="20"/>
          <w:color w:val="auto"/>
        </w:rPr>
      </w:pPr>
    </w:p>
    <w:p>
      <w:pPr>
        <w:sectPr>
          <w:pgSz w:w="11900" w:h="16838" w:orient="portrait"/>
          <w:cols w:equalWidth="0" w:num="2">
            <w:col w:w="5480" w:space="344"/>
            <w:col w:w="5376"/>
          </w:cols>
          <w:pgMar w:left="240" w:top="459" w:right="459" w:bottom="1440" w:gutter="0" w:footer="0" w:header="0"/>
          <w:type w:val="continuous"/>
        </w:sectPr>
      </w:pPr>
    </w:p>
    <w:p>
      <w:pPr>
        <w:spacing w:after="0" w:line="8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00"/>
          </w:cols>
          <w:pgMar w:left="240" w:top="459" w:right="4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Option Exercises and Stock Vested</w:t>
      </w:r>
    </w:p>
    <w:p>
      <w:pPr>
        <w:spacing w:after="0" w:line="234" w:lineRule="exact"/>
        <w:rPr>
          <w:sz w:val="20"/>
          <w:szCs w:val="20"/>
          <w:color w:val="auto"/>
        </w:rPr>
      </w:pPr>
    </w:p>
    <w:p>
      <w:pPr>
        <w:ind w:left="200" w:right="260" w:firstLine="661"/>
        <w:spacing w:after="0" w:line="246"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during fiscal 2019 for each of our Named Executive Officers.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3"/>
          </w:tcPr>
          <w:p>
            <w:pPr>
              <w:ind w:left="1560"/>
              <w:spacing w:after="0"/>
              <w:rPr>
                <w:sz w:val="20"/>
                <w:szCs w:val="20"/>
                <w:color w:val="auto"/>
              </w:rPr>
            </w:pPr>
            <w:r>
              <w:rPr>
                <w:rFonts w:ascii="Arial" w:cs="Arial" w:eastAsia="Arial" w:hAnsi="Arial"/>
                <w:sz w:val="14"/>
                <w:szCs w:val="14"/>
                <w:b w:val="1"/>
                <w:bCs w:val="1"/>
                <w:color w:val="auto"/>
              </w:rPr>
              <w:t>Option Awards</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60" w:type="dxa"/>
            <w:vAlign w:val="bottom"/>
            <w:gridSpan w:val="3"/>
          </w:tcPr>
          <w:p>
            <w:pPr>
              <w:ind w:left="1580"/>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560" w:type="dxa"/>
            <w:vAlign w:val="bottom"/>
            <w:tcBorders>
              <w:bottom w:val="single" w:sz="8" w:color="auto"/>
            </w:tcBorders>
            <w:gridSpan w:val="3"/>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60" w:type="dxa"/>
            <w:vAlign w:val="bottom"/>
            <w:gridSpan w:val="3"/>
          </w:tcPr>
          <w:p>
            <w:pPr>
              <w:ind w:left="260"/>
              <w:spacing w:after="0"/>
              <w:rPr>
                <w:sz w:val="20"/>
                <w:szCs w:val="20"/>
                <w:color w:val="auto"/>
              </w:rPr>
            </w:pPr>
            <w:r>
              <w:rPr>
                <w:rFonts w:ascii="Arial" w:cs="Arial" w:eastAsia="Arial" w:hAnsi="Arial"/>
                <w:sz w:val="16"/>
                <w:szCs w:val="16"/>
                <w:b w:val="1"/>
                <w:bCs w:val="1"/>
                <w:color w:val="auto"/>
              </w:rPr>
              <w:t>Number of Shares</w:t>
            </w: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rPr>
              <w:t>Number of Shares</w:t>
            </w:r>
          </w:p>
        </w:tc>
        <w:tc>
          <w:tcPr>
            <w:tcW w:w="200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99"/>
              </w:rPr>
              <w:t>Value Realized on</w:t>
            </w:r>
          </w:p>
        </w:tc>
        <w:tc>
          <w:tcPr>
            <w:tcW w:w="2560" w:type="dxa"/>
            <w:vAlign w:val="bottom"/>
            <w:gridSpan w:val="3"/>
          </w:tcPr>
          <w:p>
            <w:pPr>
              <w:ind w:left="160"/>
              <w:spacing w:after="0" w:line="189" w:lineRule="exact"/>
              <w:rPr>
                <w:sz w:val="20"/>
                <w:szCs w:val="20"/>
                <w:color w:val="auto"/>
              </w:rPr>
            </w:pPr>
            <w:r>
              <w:rPr>
                <w:rFonts w:ascii="Arial" w:cs="Arial" w:eastAsia="Arial" w:hAnsi="Arial"/>
                <w:sz w:val="13"/>
                <w:szCs w:val="13"/>
                <w:b w:val="1"/>
                <w:bCs w:val="1"/>
                <w:color w:val="auto"/>
              </w:rPr>
              <w:t>Acquired on Vesting</w:t>
            </w:r>
            <w:r>
              <w:rPr>
                <w:rFonts w:ascii="Arial" w:cs="Arial" w:eastAsia="Arial" w:hAnsi="Arial"/>
                <w:sz w:val="21"/>
                <w:szCs w:val="21"/>
                <w:b w:val="1"/>
                <w:bCs w:val="1"/>
                <w:color w:val="auto"/>
                <w:vertAlign w:val="superscript"/>
              </w:rPr>
              <w:t>(1)</w:t>
            </w: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Value Realized 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Name</w:t>
            </w:r>
          </w:p>
        </w:tc>
        <w:tc>
          <w:tcPr>
            <w:tcW w:w="360" w:type="dxa"/>
            <w:vAlign w:val="bottom"/>
            <w:vMerge w:val="restart"/>
          </w:tcPr>
          <w:p>
            <w:pPr>
              <w:spacing w:after="0"/>
              <w:rPr>
                <w:sz w:val="16"/>
                <w:szCs w:val="16"/>
                <w:color w:val="auto"/>
              </w:rPr>
            </w:pPr>
          </w:p>
        </w:tc>
        <w:tc>
          <w:tcPr>
            <w:tcW w:w="260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rPr>
              <w:t>Acquired on Exercise</w:t>
            </w:r>
          </w:p>
        </w:tc>
        <w:tc>
          <w:tcPr>
            <w:tcW w:w="200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rPr>
              <w:t>Exercise</w:t>
            </w:r>
          </w:p>
        </w:tc>
        <w:tc>
          <w:tcPr>
            <w:tcW w:w="1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40"/>
              <w:spacing w:after="0" w:line="190" w:lineRule="exact"/>
              <w:rPr>
                <w:sz w:val="20"/>
                <w:szCs w:val="20"/>
                <w:color w:val="auto"/>
              </w:rPr>
            </w:pPr>
            <w:r>
              <w:rPr>
                <w:rFonts w:ascii="Arial" w:cs="Arial" w:eastAsia="Arial" w:hAnsi="Arial"/>
                <w:sz w:val="14"/>
                <w:szCs w:val="14"/>
                <w:b w:val="1"/>
                <w:bCs w:val="1"/>
                <w:color w:val="auto"/>
              </w:rPr>
              <w:t>Vesting</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CCEEFF"/>
            </w:tcBorders>
            <w:vMerge w:val="continue"/>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David B. Powers</w:t>
            </w:r>
          </w:p>
        </w:tc>
        <w:tc>
          <w:tcPr>
            <w:tcW w:w="2600" w:type="dxa"/>
            <w:vAlign w:val="bottom"/>
            <w:gridSpan w:val="3"/>
            <w:shd w:val="clear" w:color="auto" w:fill="CCEEFF"/>
          </w:tcPr>
          <w:p>
            <w:pPr>
              <w:ind w:left="1460"/>
              <w:spacing w:after="0" w:line="183" w:lineRule="exact"/>
              <w:rPr>
                <w:sz w:val="20"/>
                <w:szCs w:val="20"/>
                <w:color w:val="auto"/>
              </w:rPr>
            </w:pPr>
            <w:r>
              <w:rPr>
                <w:rFonts w:ascii="Arial" w:cs="Arial" w:eastAsia="Arial" w:hAnsi="Arial"/>
                <w:sz w:val="16"/>
                <w:szCs w:val="16"/>
                <w:color w:val="auto"/>
              </w:rPr>
              <w:t>–</w:t>
            </w:r>
          </w:p>
        </w:tc>
        <w:tc>
          <w:tcPr>
            <w:tcW w:w="2000" w:type="dxa"/>
            <w:vAlign w:val="bottom"/>
            <w:gridSpan w:val="3"/>
            <w:shd w:val="clear" w:color="auto" w:fill="CCEEFF"/>
          </w:tcPr>
          <w:p>
            <w:pPr>
              <w:ind w:left="1020"/>
              <w:spacing w:after="0" w:line="183" w:lineRule="exact"/>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282"/>
              <w:spacing w:after="0" w:line="183" w:lineRule="exact"/>
              <w:rPr>
                <w:sz w:val="20"/>
                <w:szCs w:val="20"/>
                <w:color w:val="auto"/>
              </w:rPr>
            </w:pPr>
            <w:r>
              <w:rPr>
                <w:rFonts w:ascii="Arial" w:cs="Arial" w:eastAsia="Arial" w:hAnsi="Arial"/>
                <w:sz w:val="16"/>
                <w:szCs w:val="16"/>
                <w:color w:val="auto"/>
              </w:rPr>
              <w:t>28,817</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80"/>
              <w:spacing w:after="0" w:line="183" w:lineRule="exact"/>
              <w:rPr>
                <w:sz w:val="20"/>
                <w:szCs w:val="20"/>
                <w:color w:val="auto"/>
              </w:rPr>
            </w:pPr>
            <w:r>
              <w:rPr>
                <w:rFonts w:ascii="Arial" w:cs="Arial" w:eastAsia="Arial" w:hAnsi="Arial"/>
                <w:sz w:val="16"/>
                <w:szCs w:val="16"/>
                <w:color w:val="auto"/>
              </w:rPr>
              <w:t>$  2,627,373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240" w:type="dxa"/>
            <w:vAlign w:val="bottom"/>
            <w:gridSpan w:val="3"/>
          </w:tcPr>
          <w:p>
            <w:pPr>
              <w:spacing w:after="0"/>
              <w:rPr>
                <w:sz w:val="20"/>
                <w:szCs w:val="20"/>
                <w:color w:val="auto"/>
              </w:rPr>
            </w:pPr>
            <w:r>
              <w:rPr>
                <w:rFonts w:ascii="Arial" w:cs="Arial" w:eastAsia="Arial" w:hAnsi="Arial"/>
                <w:sz w:val="16"/>
                <w:szCs w:val="16"/>
                <w:color w:val="auto"/>
              </w:rPr>
              <w:t>D. Craig Kesler</w:t>
            </w:r>
          </w:p>
        </w:tc>
        <w:tc>
          <w:tcPr>
            <w:tcW w:w="2020" w:type="dxa"/>
            <w:vAlign w:val="bottom"/>
          </w:tcPr>
          <w:p>
            <w:pPr>
              <w:ind w:left="1140"/>
              <w:spacing w:after="0"/>
              <w:rPr>
                <w:sz w:val="20"/>
                <w:szCs w:val="20"/>
                <w:color w:val="auto"/>
              </w:rPr>
            </w:pPr>
            <w:r>
              <w:rPr>
                <w:rFonts w:ascii="Arial" w:cs="Arial" w:eastAsia="Arial" w:hAnsi="Arial"/>
                <w:sz w:val="16"/>
                <w:szCs w:val="16"/>
                <w:color w:val="auto"/>
              </w:rPr>
              <w:t>10,000</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ind w:left="260"/>
              <w:spacing w:after="0"/>
              <w:rPr>
                <w:sz w:val="20"/>
                <w:szCs w:val="20"/>
                <w:color w:val="auto"/>
              </w:rPr>
            </w:pPr>
            <w:r>
              <w:rPr>
                <w:rFonts w:ascii="Arial" w:cs="Arial" w:eastAsia="Arial" w:hAnsi="Arial"/>
                <w:sz w:val="16"/>
                <w:szCs w:val="16"/>
                <w:color w:val="auto"/>
              </w:rPr>
              <w:t>$   414,900</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40" w:type="dxa"/>
            <w:vAlign w:val="bottom"/>
          </w:tcPr>
          <w:p>
            <w:pPr>
              <w:jc w:val="right"/>
              <w:ind w:right="282"/>
              <w:spacing w:after="0"/>
              <w:rPr>
                <w:sz w:val="20"/>
                <w:szCs w:val="20"/>
                <w:color w:val="auto"/>
              </w:rPr>
            </w:pPr>
            <w:r>
              <w:rPr>
                <w:rFonts w:ascii="Arial" w:cs="Arial" w:eastAsia="Arial" w:hAnsi="Arial"/>
                <w:sz w:val="16"/>
                <w:szCs w:val="16"/>
                <w:color w:val="auto"/>
              </w:rPr>
              <w:t>5,163</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jc w:val="right"/>
              <w:ind w:right="300"/>
              <w:spacing w:after="0"/>
              <w:rPr>
                <w:sz w:val="20"/>
                <w:szCs w:val="20"/>
                <w:color w:val="auto"/>
              </w:rPr>
            </w:pPr>
            <w:r>
              <w:rPr>
                <w:rFonts w:ascii="Arial" w:cs="Arial" w:eastAsia="Arial" w:hAnsi="Arial"/>
                <w:sz w:val="16"/>
                <w:szCs w:val="16"/>
                <w:color w:val="auto"/>
              </w:rPr>
              <w:t>461,392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188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Haack</w:t>
            </w:r>
          </w:p>
        </w:tc>
        <w:tc>
          <w:tcPr>
            <w:tcW w:w="2600" w:type="dxa"/>
            <w:vAlign w:val="bottom"/>
            <w:gridSpan w:val="3"/>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7,380</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632,002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40" w:type="dxa"/>
            <w:vAlign w:val="bottom"/>
            <w:gridSpan w:val="3"/>
          </w:tcPr>
          <w:p>
            <w:pPr>
              <w:spacing w:after="0"/>
              <w:rPr>
                <w:sz w:val="20"/>
                <w:szCs w:val="20"/>
                <w:color w:val="auto"/>
              </w:rPr>
            </w:pPr>
            <w:r>
              <w:rPr>
                <w:rFonts w:ascii="Arial" w:cs="Arial" w:eastAsia="Arial" w:hAnsi="Arial"/>
                <w:sz w:val="16"/>
                <w:szCs w:val="16"/>
                <w:color w:val="auto"/>
              </w:rPr>
              <w:t>Robert S. Stewart</w:t>
            </w:r>
          </w:p>
        </w:tc>
        <w:tc>
          <w:tcPr>
            <w:tcW w:w="2600" w:type="dxa"/>
            <w:vAlign w:val="bottom"/>
            <w:gridSpan w:val="3"/>
          </w:tcPr>
          <w:p>
            <w:pPr>
              <w:ind w:left="1460"/>
              <w:spacing w:after="0"/>
              <w:rPr>
                <w:sz w:val="20"/>
                <w:szCs w:val="20"/>
                <w:color w:val="auto"/>
              </w:rPr>
            </w:pPr>
            <w:r>
              <w:rPr>
                <w:rFonts w:ascii="Arial" w:cs="Arial" w:eastAsia="Arial" w:hAnsi="Arial"/>
                <w:sz w:val="16"/>
                <w:szCs w:val="16"/>
                <w:color w:val="auto"/>
              </w:rPr>
              <w:t>–</w:t>
            </w:r>
          </w:p>
        </w:tc>
        <w:tc>
          <w:tcPr>
            <w:tcW w:w="2000" w:type="dxa"/>
            <w:vAlign w:val="bottom"/>
            <w:gridSpan w:val="3"/>
          </w:tcPr>
          <w:p>
            <w:pPr>
              <w:ind w:left="10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282"/>
              <w:spacing w:after="0"/>
              <w:rPr>
                <w:sz w:val="20"/>
                <w:szCs w:val="20"/>
                <w:color w:val="auto"/>
              </w:rPr>
            </w:pPr>
            <w:r>
              <w:rPr>
                <w:rFonts w:ascii="Arial" w:cs="Arial" w:eastAsia="Arial" w:hAnsi="Arial"/>
                <w:sz w:val="16"/>
                <w:szCs w:val="16"/>
                <w:color w:val="auto"/>
              </w:rPr>
              <w:t>20,545</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jc w:val="right"/>
              <w:ind w:right="280"/>
              <w:spacing w:after="0"/>
              <w:rPr>
                <w:sz w:val="20"/>
                <w:szCs w:val="20"/>
                <w:color w:val="auto"/>
              </w:rPr>
            </w:pPr>
            <w:r>
              <w:rPr>
                <w:rFonts w:ascii="Arial" w:cs="Arial" w:eastAsia="Arial" w:hAnsi="Arial"/>
                <w:sz w:val="16"/>
                <w:szCs w:val="16"/>
                <w:color w:val="auto"/>
              </w:rPr>
              <w:t>1,935,313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188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Keith W. Metcalf</w:t>
            </w:r>
          </w:p>
        </w:tc>
        <w:tc>
          <w:tcPr>
            <w:tcW w:w="2600" w:type="dxa"/>
            <w:vAlign w:val="bottom"/>
            <w:gridSpan w:val="3"/>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5,013</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444,813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137160</wp:posOffset>
            </wp:positionV>
            <wp:extent cx="18180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23" w:lineRule="exact"/>
        <w:rPr>
          <w:sz w:val="20"/>
          <w:szCs w:val="20"/>
          <w:color w:val="auto"/>
        </w:rPr>
      </w:pPr>
    </w:p>
    <w:p>
      <w:pPr>
        <w:ind w:left="740" w:hanging="361"/>
        <w:spacing w:after="0" w:line="239"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the amounts in this column represent shares of Common Stock received by the Named Executive Officer in connection with the lapsing of restrictions on restricted stock previously granted to the Named Executive Officers.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360" w:right="200" w:hanging="360"/>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in this column represents the dollar amount realized by the Named Executive Officer valued at the time of the vesting of such shares.</w:t>
      </w:r>
    </w:p>
    <w:p>
      <w:pPr>
        <w:spacing w:after="0" w:line="403" w:lineRule="exact"/>
        <w:rPr>
          <w:sz w:val="20"/>
          <w:szCs w:val="20"/>
          <w:color w:val="auto"/>
        </w:rPr>
      </w:pPr>
    </w:p>
    <w:p>
      <w:pPr>
        <w:sectPr>
          <w:pgSz w:w="11900" w:h="16838" w:orient="portrait"/>
          <w:cols w:equalWidth="0" w:num="2">
            <w:col w:w="5480" w:space="520"/>
            <w:col w:w="5240"/>
          </w:cols>
          <w:pgMar w:left="240" w:top="459" w:right="419" w:bottom="1440" w:gutter="0" w:footer="0" w:header="0"/>
          <w:type w:val="continuous"/>
        </w:sectPr>
      </w:pP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240" w:top="459" w:right="41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FY 2019</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Executive</w:t>
            </w:r>
          </w:p>
        </w:tc>
        <w:tc>
          <w:tcPr>
            <w:tcW w:w="4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Registrant</w:t>
            </w:r>
          </w:p>
        </w:tc>
        <w:tc>
          <w:tcPr>
            <w:tcW w:w="1940" w:type="dxa"/>
            <w:vAlign w:val="bottom"/>
            <w:gridSpan w:val="2"/>
          </w:tcPr>
          <w:p>
            <w:pPr>
              <w:jc w:val="center"/>
              <w:ind w:left="319"/>
              <w:spacing w:after="0"/>
              <w:rPr>
                <w:sz w:val="20"/>
                <w:szCs w:val="20"/>
                <w:color w:val="auto"/>
              </w:rPr>
            </w:pPr>
            <w:r>
              <w:rPr>
                <w:rFonts w:ascii="Arial" w:cs="Arial" w:eastAsia="Arial" w:hAnsi="Arial"/>
                <w:sz w:val="16"/>
                <w:szCs w:val="16"/>
                <w:b w:val="1"/>
                <w:bCs w:val="1"/>
                <w:color w:val="auto"/>
              </w:rPr>
              <w:t>Aggregate Earnings</w:t>
            </w:r>
          </w:p>
        </w:tc>
        <w:tc>
          <w:tcPr>
            <w:tcW w:w="4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88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Aggregate Balance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4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Contributions in Last</w:t>
            </w:r>
          </w:p>
        </w:tc>
        <w:tc>
          <w:tcPr>
            <w:tcW w:w="204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Contributions in Last</w:t>
            </w:r>
          </w:p>
        </w:tc>
        <w:tc>
          <w:tcPr>
            <w:tcW w:w="4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8"/>
              </w:rPr>
              <w:t>in</w:t>
            </w:r>
          </w:p>
        </w:tc>
        <w:tc>
          <w:tcPr>
            <w:tcW w:w="142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Withdrawals/</w:t>
            </w:r>
          </w:p>
        </w:tc>
        <w:tc>
          <w:tcPr>
            <w:tcW w:w="4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at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Name</w:t>
            </w:r>
          </w:p>
        </w:tc>
        <w:tc>
          <w:tcPr>
            <w:tcW w:w="4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FY</w:t>
            </w:r>
          </w:p>
        </w:tc>
        <w:tc>
          <w:tcPr>
            <w:tcW w:w="4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FY</w:t>
            </w:r>
            <w:r>
              <w:rPr>
                <w:rFonts w:ascii="Arial" w:cs="Arial" w:eastAsia="Arial" w:hAnsi="Arial"/>
                <w:sz w:val="13"/>
                <w:szCs w:val="13"/>
                <w:b w:val="1"/>
                <w:bCs w:val="1"/>
                <w:color w:val="auto"/>
              </w:rPr>
              <w:t>(1)</w:t>
            </w:r>
          </w:p>
        </w:tc>
        <w:tc>
          <w:tcPr>
            <w:tcW w:w="400" w:type="dxa"/>
            <w:vAlign w:val="bottom"/>
          </w:tcPr>
          <w:p>
            <w:pPr>
              <w:spacing w:after="0"/>
              <w:rPr>
                <w:sz w:val="16"/>
                <w:szCs w:val="16"/>
                <w:color w:val="auto"/>
              </w:rPr>
            </w:pPr>
          </w:p>
        </w:tc>
        <w:tc>
          <w:tcPr>
            <w:tcW w:w="1540" w:type="dxa"/>
            <w:vAlign w:val="bottom"/>
          </w:tcPr>
          <w:p>
            <w:pPr>
              <w:jc w:val="center"/>
              <w:spacing w:after="0" w:line="190" w:lineRule="exact"/>
              <w:rPr>
                <w:sz w:val="20"/>
                <w:szCs w:val="20"/>
                <w:color w:val="auto"/>
              </w:rPr>
            </w:pPr>
            <w:r>
              <w:rPr>
                <w:rFonts w:ascii="Arial" w:cs="Arial" w:eastAsia="Arial" w:hAnsi="Arial"/>
                <w:sz w:val="14"/>
                <w:szCs w:val="14"/>
                <w:b w:val="1"/>
                <w:bCs w:val="1"/>
                <w:color w:val="auto"/>
              </w:rPr>
              <w:t>Last FY</w:t>
            </w:r>
            <w:r>
              <w:rPr>
                <w:rFonts w:ascii="Arial" w:cs="Arial" w:eastAsia="Arial" w:hAnsi="Arial"/>
                <w:sz w:val="22"/>
                <w:szCs w:val="22"/>
                <w:b w:val="1"/>
                <w:bCs w:val="1"/>
                <w:color w:val="auto"/>
                <w:vertAlign w:val="superscript"/>
              </w:rPr>
              <w:t>(2)</w:t>
            </w:r>
          </w:p>
        </w:tc>
        <w:tc>
          <w:tcPr>
            <w:tcW w:w="142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Distributions</w:t>
            </w:r>
          </w:p>
        </w:tc>
        <w:tc>
          <w:tcPr>
            <w:tcW w:w="400" w:type="dxa"/>
            <w:vAlign w:val="bottom"/>
          </w:tcPr>
          <w:p>
            <w:pPr>
              <w:spacing w:after="0"/>
              <w:rPr>
                <w:sz w:val="16"/>
                <w:szCs w:val="16"/>
                <w:color w:val="auto"/>
              </w:rPr>
            </w:pPr>
          </w:p>
        </w:tc>
        <w:tc>
          <w:tcPr>
            <w:tcW w:w="1480" w:type="dxa"/>
            <w:vAlign w:val="bottom"/>
          </w:tcPr>
          <w:p>
            <w:pPr>
              <w:jc w:val="center"/>
              <w:spacing w:after="0" w:line="190" w:lineRule="exact"/>
              <w:rPr>
                <w:sz w:val="20"/>
                <w:szCs w:val="20"/>
                <w:color w:val="auto"/>
              </w:rPr>
            </w:pPr>
            <w:r>
              <w:rPr>
                <w:rFonts w:ascii="Arial" w:cs="Arial" w:eastAsia="Arial" w:hAnsi="Arial"/>
                <w:sz w:val="14"/>
                <w:szCs w:val="14"/>
                <w:b w:val="1"/>
                <w:bCs w:val="1"/>
                <w:color w:val="auto"/>
              </w:rPr>
              <w:t>Last FYE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David B. Powers</w:t>
            </w: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  62,750</w:t>
            </w:r>
          </w:p>
        </w:tc>
        <w:tc>
          <w:tcPr>
            <w:tcW w:w="194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  61,562</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383"/>
              <w:spacing w:after="0"/>
              <w:rPr>
                <w:sz w:val="20"/>
                <w:szCs w:val="20"/>
                <w:color w:val="auto"/>
              </w:rPr>
            </w:pPr>
            <w:r>
              <w:rPr>
                <w:rFonts w:ascii="Arial" w:cs="Arial" w:eastAsia="Arial" w:hAnsi="Arial"/>
                <w:sz w:val="16"/>
                <w:szCs w:val="16"/>
                <w:color w:val="auto"/>
              </w:rPr>
              <w:t>$  440,991</w:t>
            </w:r>
          </w:p>
        </w:tc>
        <w:tc>
          <w:tcPr>
            <w:tcW w:w="0" w:type="dxa"/>
            <w:vAlign w:val="bottom"/>
          </w:tcPr>
          <w:p>
            <w:pPr>
              <w:spacing w:after="0"/>
              <w:rPr>
                <w:sz w:val="1"/>
                <w:szCs w:val="1"/>
                <w:color w:val="auto"/>
              </w:rPr>
            </w:pPr>
          </w:p>
        </w:tc>
      </w:tr>
      <w:tr>
        <w:trPr>
          <w:trHeight w:val="264"/>
        </w:trPr>
        <w:tc>
          <w:tcPr>
            <w:tcW w:w="1720" w:type="dxa"/>
            <w:vAlign w:val="bottom"/>
            <w:gridSpan w:val="2"/>
          </w:tcPr>
          <w:p>
            <w:pPr>
              <w:spacing w:after="0"/>
              <w:rPr>
                <w:sz w:val="20"/>
                <w:szCs w:val="20"/>
                <w:color w:val="auto"/>
              </w:rPr>
            </w:pPr>
            <w:r>
              <w:rPr>
                <w:rFonts w:ascii="Arial" w:cs="Arial" w:eastAsia="Arial" w:hAnsi="Arial"/>
                <w:sz w:val="16"/>
                <w:szCs w:val="16"/>
                <w:color w:val="auto"/>
              </w:rPr>
              <w:t>D. Craig Kesler</w:t>
            </w:r>
          </w:p>
        </w:tc>
        <w:tc>
          <w:tcPr>
            <w:tcW w:w="4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419"/>
              <w:spacing w:after="0"/>
              <w:rPr>
                <w:sz w:val="20"/>
                <w:szCs w:val="20"/>
                <w:color w:val="auto"/>
              </w:rPr>
            </w:pPr>
            <w:r>
              <w:rPr>
                <w:rFonts w:ascii="Arial" w:cs="Arial" w:eastAsia="Arial" w:hAnsi="Arial"/>
                <w:sz w:val="16"/>
                <w:szCs w:val="16"/>
                <w:color w:val="auto"/>
              </w:rPr>
              <w:t>17,850</w:t>
            </w:r>
          </w:p>
        </w:tc>
        <w:tc>
          <w:tcPr>
            <w:tcW w:w="1940" w:type="dxa"/>
            <w:vAlign w:val="bottom"/>
            <w:gridSpan w:val="2"/>
          </w:tcPr>
          <w:p>
            <w:pPr>
              <w:jc w:val="right"/>
              <w:ind w:right="403"/>
              <w:spacing w:after="0"/>
              <w:rPr>
                <w:sz w:val="20"/>
                <w:szCs w:val="20"/>
                <w:color w:val="auto"/>
              </w:rPr>
            </w:pPr>
            <w:r>
              <w:rPr>
                <w:rFonts w:ascii="Arial" w:cs="Arial" w:eastAsia="Arial" w:hAnsi="Arial"/>
                <w:sz w:val="16"/>
                <w:szCs w:val="16"/>
                <w:color w:val="auto"/>
              </w:rPr>
              <w:t>8,962</w:t>
            </w:r>
          </w:p>
        </w:tc>
        <w:tc>
          <w:tcPr>
            <w:tcW w:w="4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383"/>
              <w:spacing w:after="0"/>
              <w:rPr>
                <w:sz w:val="20"/>
                <w:szCs w:val="20"/>
                <w:color w:val="auto"/>
              </w:rPr>
            </w:pPr>
            <w:r>
              <w:rPr>
                <w:rFonts w:ascii="Arial" w:cs="Arial" w:eastAsia="Arial" w:hAnsi="Arial"/>
                <w:sz w:val="16"/>
                <w:szCs w:val="16"/>
                <w:color w:val="auto"/>
              </w:rPr>
              <w:t>117,169</w:t>
            </w:r>
          </w:p>
        </w:tc>
        <w:tc>
          <w:tcPr>
            <w:tcW w:w="0" w:type="dxa"/>
            <w:vAlign w:val="bottom"/>
          </w:tcPr>
          <w:p>
            <w:pPr>
              <w:spacing w:after="0"/>
              <w:rPr>
                <w:sz w:val="1"/>
                <w:szCs w:val="1"/>
                <w:color w:val="auto"/>
              </w:rPr>
            </w:pPr>
          </w:p>
        </w:tc>
      </w:tr>
      <w:tr>
        <w:trPr>
          <w:trHeight w:val="60"/>
        </w:trPr>
        <w:tc>
          <w:tcPr>
            <w:tcW w:w="172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Michael Haack</w:t>
            </w: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29,275</w:t>
            </w:r>
          </w:p>
        </w:tc>
        <w:tc>
          <w:tcPr>
            <w:tcW w:w="194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4,164</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383"/>
              <w:spacing w:after="0"/>
              <w:rPr>
                <w:sz w:val="20"/>
                <w:szCs w:val="20"/>
                <w:color w:val="auto"/>
              </w:rPr>
            </w:pPr>
            <w:r>
              <w:rPr>
                <w:rFonts w:ascii="Arial" w:cs="Arial" w:eastAsia="Arial" w:hAnsi="Arial"/>
                <w:sz w:val="16"/>
                <w:szCs w:val="16"/>
                <w:color w:val="auto"/>
              </w:rPr>
              <w:t>125,280</w:t>
            </w:r>
          </w:p>
        </w:tc>
        <w:tc>
          <w:tcPr>
            <w:tcW w:w="0" w:type="dxa"/>
            <w:vAlign w:val="bottom"/>
          </w:tcPr>
          <w:p>
            <w:pPr>
              <w:spacing w:after="0"/>
              <w:rPr>
                <w:sz w:val="1"/>
                <w:szCs w:val="1"/>
                <w:color w:val="auto"/>
              </w:rPr>
            </w:pPr>
          </w:p>
        </w:tc>
      </w:tr>
      <w:tr>
        <w:trPr>
          <w:trHeight w:val="264"/>
        </w:trPr>
        <w:tc>
          <w:tcPr>
            <w:tcW w:w="1720" w:type="dxa"/>
            <w:vAlign w:val="bottom"/>
            <w:gridSpan w:val="2"/>
          </w:tcPr>
          <w:p>
            <w:pPr>
              <w:spacing w:after="0"/>
              <w:rPr>
                <w:sz w:val="20"/>
                <w:szCs w:val="20"/>
                <w:color w:val="auto"/>
              </w:rPr>
            </w:pPr>
            <w:r>
              <w:rPr>
                <w:rFonts w:ascii="Arial" w:cs="Arial" w:eastAsia="Arial" w:hAnsi="Arial"/>
                <w:sz w:val="16"/>
                <w:szCs w:val="16"/>
                <w:color w:val="auto"/>
              </w:rPr>
              <w:t>Robert S. Stewart</w:t>
            </w:r>
          </w:p>
        </w:tc>
        <w:tc>
          <w:tcPr>
            <w:tcW w:w="4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419"/>
              <w:spacing w:after="0"/>
              <w:rPr>
                <w:sz w:val="20"/>
                <w:szCs w:val="20"/>
                <w:color w:val="auto"/>
              </w:rPr>
            </w:pPr>
            <w:r>
              <w:rPr>
                <w:rFonts w:ascii="Arial" w:cs="Arial" w:eastAsia="Arial" w:hAnsi="Arial"/>
                <w:sz w:val="16"/>
                <w:szCs w:val="16"/>
                <w:color w:val="auto"/>
              </w:rPr>
              <w:t>17,475</w:t>
            </w:r>
          </w:p>
        </w:tc>
        <w:tc>
          <w:tcPr>
            <w:tcW w:w="1940" w:type="dxa"/>
            <w:vAlign w:val="bottom"/>
            <w:gridSpan w:val="2"/>
          </w:tcPr>
          <w:p>
            <w:pPr>
              <w:jc w:val="right"/>
              <w:ind w:right="403"/>
              <w:spacing w:after="0"/>
              <w:rPr>
                <w:sz w:val="20"/>
                <w:szCs w:val="20"/>
                <w:color w:val="auto"/>
              </w:rPr>
            </w:pPr>
            <w:r>
              <w:rPr>
                <w:rFonts w:ascii="Arial" w:cs="Arial" w:eastAsia="Arial" w:hAnsi="Arial"/>
                <w:sz w:val="16"/>
                <w:szCs w:val="16"/>
                <w:color w:val="auto"/>
              </w:rPr>
              <w:t>4,959</w:t>
            </w:r>
          </w:p>
        </w:tc>
        <w:tc>
          <w:tcPr>
            <w:tcW w:w="4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383"/>
              <w:spacing w:after="0"/>
              <w:rPr>
                <w:sz w:val="20"/>
                <w:szCs w:val="20"/>
                <w:color w:val="auto"/>
              </w:rPr>
            </w:pPr>
            <w:r>
              <w:rPr>
                <w:rFonts w:ascii="Arial" w:cs="Arial" w:eastAsia="Arial" w:hAnsi="Arial"/>
                <w:sz w:val="16"/>
                <w:szCs w:val="16"/>
                <w:color w:val="auto"/>
              </w:rPr>
              <w:t>140,818</w:t>
            </w:r>
          </w:p>
        </w:tc>
        <w:tc>
          <w:tcPr>
            <w:tcW w:w="0" w:type="dxa"/>
            <w:vAlign w:val="bottom"/>
          </w:tcPr>
          <w:p>
            <w:pPr>
              <w:spacing w:after="0"/>
              <w:rPr>
                <w:sz w:val="1"/>
                <w:szCs w:val="1"/>
                <w:color w:val="auto"/>
              </w:rPr>
            </w:pPr>
          </w:p>
        </w:tc>
      </w:tr>
      <w:tr>
        <w:trPr>
          <w:trHeight w:val="60"/>
        </w:trPr>
        <w:tc>
          <w:tcPr>
            <w:tcW w:w="172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Keith W. Metcalf</w:t>
            </w: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11,500</w:t>
            </w:r>
          </w:p>
        </w:tc>
        <w:tc>
          <w:tcPr>
            <w:tcW w:w="194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1,093</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403"/>
              <w:spacing w:after="0"/>
              <w:rPr>
                <w:sz w:val="20"/>
                <w:szCs w:val="20"/>
                <w:color w:val="auto"/>
              </w:rPr>
            </w:pPr>
            <w:r>
              <w:rPr>
                <w:rFonts w:ascii="Arial" w:cs="Arial" w:eastAsia="Arial" w:hAnsi="Arial"/>
                <w:sz w:val="16"/>
                <w:szCs w:val="16"/>
                <w:color w:val="auto"/>
              </w:rPr>
              <w:t>35,461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23755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23" w:lineRule="exact"/>
        <w:rPr>
          <w:sz w:val="20"/>
          <w:szCs w:val="20"/>
          <w:color w:val="auto"/>
        </w:rPr>
      </w:pPr>
    </w:p>
    <w:p>
      <w:pPr>
        <w:ind w:left="560" w:right="80" w:hanging="349"/>
        <w:spacing w:after="0" w:line="236"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 this column represent contributions made by the Company for the account of the Named Executive Officers during fiscal 2019 under our SERP. The SERP is an unfunded, non-qualified plan for certain executives of the Company. Under the SERP, the Company makes contributions to the account of the executive in an amount substantially equal to the additional contributions he would have received under the Retirement Plan had 100% of his annual salary been eligible for a profit sharing contribution. The SERP is described in greater detail under “SERP” on page 33 of this proxy statement. The amounts in this column are reflected in the “All Other Compensation” column of the Summary Compensation Table located on page 37.</w:t>
      </w:r>
    </w:p>
    <w:p>
      <w:pPr>
        <w:spacing w:after="0" w:line="230" w:lineRule="exact"/>
        <w:rPr>
          <w:rFonts w:ascii="Arial" w:cs="Arial" w:eastAsia="Arial" w:hAnsi="Arial"/>
          <w:sz w:val="18"/>
          <w:szCs w:val="18"/>
          <w:color w:val="auto"/>
        </w:rPr>
      </w:pPr>
    </w:p>
    <w:p>
      <w:pPr>
        <w:ind w:left="560" w:hanging="349"/>
        <w:spacing w:after="0" w:line="235"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also maintains the Eagle Materials Inc. Deferred Compensation Plan. Under this plan, eligible executives were allowed to defer the receipt of a portion of their salary or annual bonus for fiscal 2001, up to 75% of such amounts. For fiscal years after fiscal 2001, the Deferred Compensation Plan was closed to additional employee deferrals. Amounts under the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Retirement Plan, with the exception of the Common Stock fund. Because these earnings are not “above market,” they are not included in the Summary Compensation Table on page 37 of this proxy statement. The table below shows the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ind w:left="356" w:right="100"/>
        <w:spacing w:after="0" w:line="239" w:lineRule="auto"/>
        <w:rPr>
          <w:sz w:val="20"/>
          <w:szCs w:val="20"/>
          <w:color w:val="auto"/>
        </w:rPr>
      </w:pPr>
      <w:r>
        <w:rPr>
          <w:rFonts w:ascii="Arial" w:cs="Arial" w:eastAsia="Arial" w:hAnsi="Arial"/>
          <w:sz w:val="18"/>
          <w:szCs w:val="18"/>
          <w:color w:val="auto"/>
        </w:rPr>
        <w:t>investment options available under our Retirement Plan (other than the Common Stock fund) and the annual rate of return for the 12 month period ended March 31, 2019, as reported to us by the administrator of the plan.</w:t>
      </w:r>
    </w:p>
    <w:p>
      <w:pPr>
        <w:spacing w:after="0" w:line="208" w:lineRule="exact"/>
        <w:rPr>
          <w:sz w:val="20"/>
          <w:szCs w:val="20"/>
          <w:color w:val="auto"/>
        </w:rPr>
      </w:pPr>
    </w:p>
    <w:tbl>
      <w:tblPr>
        <w:tblLayout w:type="fixed"/>
        <w:tblInd w:w="356" w:type="dxa"/>
        <w:tblCellMar>
          <w:top w:w="0" w:type="dxa"/>
          <w:left w:w="0" w:type="dxa"/>
          <w:bottom w:w="0" w:type="dxa"/>
          <w:right w:w="0" w:type="dxa"/>
        </w:tblCellMar>
      </w:tblPr>
      <w:tr>
        <w:trPr>
          <w:trHeight w:val="184"/>
        </w:trPr>
        <w:tc>
          <w:tcPr>
            <w:tcW w:w="4000" w:type="dxa"/>
            <w:vAlign w:val="bottom"/>
            <w:gridSpan w:val="3"/>
            <w:vMerge w:val="restart"/>
          </w:tcPr>
          <w:p>
            <w:pPr>
              <w:ind w:left="1720"/>
              <w:spacing w:after="0"/>
              <w:rPr>
                <w:sz w:val="20"/>
                <w:szCs w:val="20"/>
                <w:color w:val="auto"/>
              </w:rPr>
            </w:pPr>
            <w:r>
              <w:rPr>
                <w:rFonts w:ascii="Arial" w:cs="Arial" w:eastAsia="Arial" w:hAnsi="Arial"/>
                <w:sz w:val="16"/>
                <w:szCs w:val="16"/>
                <w:b w:val="1"/>
                <w:bCs w:val="1"/>
                <w:color w:val="auto"/>
              </w:rPr>
              <w:t>Fund</w:t>
            </w: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99"/>
              </w:rPr>
              <w:t>Rate of</w:t>
            </w:r>
          </w:p>
        </w:tc>
        <w:tc>
          <w:tcPr>
            <w:tcW w:w="0" w:type="dxa"/>
            <w:vAlign w:val="bottom"/>
          </w:tcPr>
          <w:p>
            <w:pPr>
              <w:spacing w:after="0"/>
              <w:rPr>
                <w:sz w:val="1"/>
                <w:szCs w:val="1"/>
                <w:color w:val="auto"/>
              </w:rPr>
            </w:pPr>
          </w:p>
        </w:tc>
      </w:tr>
      <w:tr>
        <w:trPr>
          <w:trHeight w:val="183"/>
        </w:trPr>
        <w:tc>
          <w:tcPr>
            <w:tcW w:w="4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Return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Harbor Capital Appreciation Ret</w:t>
            </w:r>
          </w:p>
        </w:tc>
        <w:tc>
          <w:tcPr>
            <w:tcW w:w="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11.60%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John Hancock Disciplined Value R6</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Northern Trust S&amp;P 500 Index</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MFS Mid Cap Value R6</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MassMutualSelect Mid Cap Growth I</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Northern Trust Extended Equity Mkt Idx</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Carillon Eagle Small Cap Growth R6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Victory Integrity Small Cap Value R6</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American Funds EuroPacific Growth R6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Northern Trust ACWI Ex-US Index</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(5.22%)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 Target Ret 2015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Vanguard Target Ret 2020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 Target Ret 2025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Vanguard Target Ret 2030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 Target Ret 2035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Vanguard Target Ret 2040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 Target Ret 2045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Vanguard Target Ret 2050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 Target Ret 2055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Vanguard Target Ret 2060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Vanguard Target Ret 2065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Vanguard Target Ret Inc</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MIP Cl 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NYL Anchor Account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METWEST Tot Rtn BD P</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tcPr>
          <w:p>
            <w:pPr>
              <w:spacing w:after="0"/>
              <w:rPr>
                <w:sz w:val="20"/>
                <w:szCs w:val="20"/>
                <w:color w:val="auto"/>
              </w:rPr>
            </w:pPr>
            <w:r>
              <w:rPr>
                <w:rFonts w:ascii="Arial" w:cs="Arial" w:eastAsia="Arial" w:hAnsi="Arial"/>
                <w:sz w:val="16"/>
                <w:szCs w:val="16"/>
                <w:color w:val="auto"/>
              </w:rPr>
              <w:t>Northern Trust Aggreg Bond Index</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Fidelity Govt MMkt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56" w:right="240" w:hanging="356"/>
        <w:spacing w:after="0" w:line="239" w:lineRule="auto"/>
        <w:tabs>
          <w:tab w:leader="none" w:pos="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200" w:lineRule="exact"/>
        <w:rPr>
          <w:sz w:val="20"/>
          <w:szCs w:val="20"/>
          <w:color w:val="auto"/>
        </w:rPr>
      </w:pPr>
    </w:p>
    <w:p>
      <w:pPr>
        <w:sectPr>
          <w:pgSz w:w="11900" w:h="16838" w:orient="portrait"/>
          <w:cols w:equalWidth="0" w:num="2">
            <w:col w:w="5480" w:space="344"/>
            <w:col w:w="5416"/>
          </w:cols>
          <w:pgMar w:left="240" w:top="459" w:right="419" w:bottom="1440" w:gutter="0" w:footer="0" w:header="0"/>
          <w:type w:val="continuous"/>
        </w:sectPr>
      </w:pP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240" w:top="459" w:right="41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right"/>
        <w:ind w:right="1180"/>
        <w:spacing w:after="0"/>
        <w:rPr>
          <w:sz w:val="20"/>
          <w:szCs w:val="20"/>
          <w:color w:val="auto"/>
        </w:rPr>
      </w:pPr>
      <w:r>
        <w:rPr>
          <w:rFonts w:ascii="Arial" w:cs="Arial" w:eastAsia="Arial" w:hAnsi="Arial"/>
          <w:sz w:val="25"/>
          <w:szCs w:val="25"/>
          <w:b w:val="1"/>
          <w:bCs w:val="1"/>
          <w:color w:val="4F82BC"/>
        </w:rPr>
        <w:t>POTENTIAL PAYMENTS UPON TERMINATION OR CHANGE IN CONTROL</w:t>
      </w:r>
    </w:p>
    <w:p>
      <w:pPr>
        <w:sectPr>
          <w:pgSz w:w="11900" w:h="16838" w:orient="portrait"/>
          <w:cols w:equalWidth="0" w:num="1">
            <w:col w:w="11240"/>
          </w:cols>
          <w:pgMar w:left="240" w:top="459" w:right="419" w:bottom="1440" w:gutter="0" w:footer="0" w:header="0"/>
        </w:sectPr>
      </w:pPr>
    </w:p>
    <w:p>
      <w:pPr>
        <w:spacing w:after="0" w:line="336"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2019,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Made Upon Any Termination</w:t>
      </w:r>
    </w:p>
    <w:p>
      <w:pPr>
        <w:spacing w:after="0" w:line="216" w:lineRule="exact"/>
        <w:rPr>
          <w:sz w:val="20"/>
          <w:szCs w:val="20"/>
          <w:color w:val="auto"/>
        </w:rPr>
      </w:pPr>
    </w:p>
    <w:p>
      <w:pPr>
        <w:ind w:left="200" w:right="180"/>
        <w:spacing w:after="0" w:line="242" w:lineRule="auto"/>
        <w:rPr>
          <w:sz w:val="20"/>
          <w:szCs w:val="20"/>
          <w:color w:val="auto"/>
        </w:rPr>
      </w:pPr>
      <w:r>
        <w:rPr>
          <w:rFonts w:ascii="Arial" w:cs="Arial" w:eastAsia="Arial" w:hAnsi="Arial"/>
          <w:sz w:val="18"/>
          <w:szCs w:val="18"/>
          <w:i w:val="1"/>
          <w:iCs w:val="1"/>
          <w:u w:val="single" w:color="auto"/>
          <w:color w:val="auto"/>
        </w:rPr>
        <w:t>Deferred Compensation</w:t>
      </w:r>
      <w:r>
        <w:rPr>
          <w:rFonts w:ascii="Arial" w:cs="Arial" w:eastAsia="Arial" w:hAnsi="Arial"/>
          <w:sz w:val="18"/>
          <w:szCs w:val="18"/>
          <w:color w:val="auto"/>
        </w:rPr>
        <w:t>. The amounts shown in the table below</w:t>
      </w:r>
      <w:r>
        <w:rPr>
          <w:rFonts w:ascii="Arial" w:cs="Arial" w:eastAsia="Arial" w:hAnsi="Arial"/>
          <w:sz w:val="18"/>
          <w:szCs w:val="18"/>
          <w:i w:val="1"/>
          <w:iCs w:val="1"/>
          <w:color w:val="auto"/>
        </w:rPr>
        <w:t xml:space="preserve"> </w:t>
      </w:r>
      <w:r>
        <w:rPr>
          <w:rFonts w:ascii="Arial" w:cs="Arial" w:eastAsia="Arial" w:hAnsi="Arial"/>
          <w:sz w:val="18"/>
          <w:szCs w:val="18"/>
          <w:color w:val="auto"/>
        </w:rPr>
        <w:t>do not include distribution of plan balances under our Deferred Compensation Plan or SERP. These balances are shown in the Nonqualified Deferred Compensation in FY 2019 Table on page 45 of this proxy statement.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benefits payable to the beneficiaries of the Named Executive Officers in the event of termination due to death under our Salary Continuation Plan. A description of our Salary Continuation Plan is set forth under “Salary Continuation Plan” on page 34 of this proxy statement.</w:t>
      </w:r>
    </w:p>
    <w:p>
      <w:pPr>
        <w:spacing w:after="0" w:line="18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i w:val="1"/>
          <w:iCs w:val="1"/>
          <w:u w:val="single" w:color="auto"/>
          <w:color w:val="auto"/>
        </w:rPr>
        <w:t>Accrued Pay and Profit Sharing Plan Benefits</w:t>
      </w:r>
      <w:r>
        <w:rPr>
          <w:rFonts w:ascii="Arial" w:cs="Arial" w:eastAsia="Arial" w:hAnsi="Arial"/>
          <w:sz w:val="18"/>
          <w:szCs w:val="18"/>
          <w:color w:val="auto"/>
        </w:rPr>
        <w:t>. The amounts shown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table below do not include payments and benefits to the extent they are provided on a non-discriminatory basis to salaried employees generally upon termination of employment or relate to equity grants that have already vested. These include:</w:t>
      </w:r>
    </w:p>
    <w:p>
      <w:pPr>
        <w:spacing w:after="0" w:line="230" w:lineRule="exact"/>
        <w:rPr>
          <w:sz w:val="20"/>
          <w:szCs w:val="20"/>
          <w:color w:val="auto"/>
        </w:rPr>
      </w:pPr>
    </w:p>
    <w:p>
      <w:pPr>
        <w:ind w:left="400" w:hanging="315"/>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accrued salary pay through the date of termination;</w:t>
      </w:r>
    </w:p>
    <w:p>
      <w:pPr>
        <w:spacing w:after="0" w:line="130" w:lineRule="exact"/>
        <w:rPr>
          <w:rFonts w:ascii="Arial" w:cs="Arial" w:eastAsia="Arial" w:hAnsi="Arial"/>
          <w:sz w:val="18"/>
          <w:szCs w:val="18"/>
          <w:color w:val="auto"/>
        </w:rPr>
      </w:pPr>
    </w:p>
    <w:p>
      <w:pPr>
        <w:ind w:left="400" w:right="180" w:hanging="315"/>
        <w:spacing w:after="0" w:line="246"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102" w:lineRule="exact"/>
        <w:rPr>
          <w:rFonts w:ascii="Arial" w:cs="Arial" w:eastAsia="Arial" w:hAnsi="Arial"/>
          <w:sz w:val="18"/>
          <w:szCs w:val="18"/>
          <w:color w:val="auto"/>
        </w:rPr>
      </w:pPr>
    </w:p>
    <w:p>
      <w:pPr>
        <w:ind w:left="400" w:right="20" w:hanging="315"/>
        <w:spacing w:after="0" w:line="239"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107" w:lineRule="exact"/>
        <w:rPr>
          <w:rFonts w:ascii="Arial" w:cs="Arial" w:eastAsia="Arial" w:hAnsi="Arial"/>
          <w:sz w:val="18"/>
          <w:szCs w:val="18"/>
          <w:color w:val="auto"/>
        </w:rPr>
      </w:pPr>
    </w:p>
    <w:p>
      <w:pPr>
        <w:ind w:left="400" w:right="160" w:hanging="315"/>
        <w:spacing w:after="0" w:line="238"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3"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ind w:left="200"/>
        <w:spacing w:after="0" w:line="239" w:lineRule="auto"/>
        <w:rPr>
          <w:sz w:val="20"/>
          <w:szCs w:val="20"/>
          <w:color w:val="auto"/>
        </w:rPr>
      </w:pPr>
      <w:r>
        <w:rPr>
          <w:rFonts w:ascii="Arial" w:cs="Arial" w:eastAsia="Arial" w:hAnsi="Arial"/>
          <w:sz w:val="18"/>
          <w:szCs w:val="18"/>
          <w:i w:val="1"/>
          <w:iCs w:val="1"/>
          <w:u w:val="single" w:color="auto"/>
          <w:color w:val="auto"/>
        </w:rPr>
        <w:t>Death and Disability</w:t>
      </w:r>
      <w:r>
        <w:rPr>
          <w:rFonts w:ascii="Arial" w:cs="Arial" w:eastAsia="Arial" w:hAnsi="Arial"/>
          <w:sz w:val="18"/>
          <w:szCs w:val="18"/>
          <w:color w:val="auto"/>
        </w:rPr>
        <w:t>. A termination of employment due to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does not entitle the Named Executive Officer to any payments that are not available to salaried employees generally,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Type of Payment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David B. Powers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315" w:hanging="315"/>
        <w:spacing w:after="0"/>
        <w:tabs>
          <w:tab w:leader="none" w:pos="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unused accrued vacation pay.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95" w:type="dxa"/>
        <w:tblCellMar>
          <w:top w:w="0" w:type="dxa"/>
          <w:left w:w="0" w:type="dxa"/>
          <w:bottom w:w="0" w:type="dxa"/>
          <w:right w:w="0" w:type="dxa"/>
        </w:tblCellMar>
      </w:tblPr>
      <w:tr>
        <w:trPr>
          <w:trHeight w:val="189"/>
        </w:trPr>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Involuntary</w:t>
            </w: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Termination or</w:t>
            </w: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Voluntary</w:t>
            </w: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Termination (non</w:t>
            </w: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Death or</w:t>
            </w:r>
          </w:p>
        </w:tc>
        <w:tc>
          <w:tcPr>
            <w:tcW w:w="1800" w:type="dxa"/>
            <w:vAlign w:val="bottom"/>
          </w:tcPr>
          <w:p>
            <w:pPr>
              <w:jc w:val="center"/>
              <w:spacing w:after="0" w:line="235" w:lineRule="exact"/>
              <w:rPr>
                <w:sz w:val="20"/>
                <w:szCs w:val="20"/>
                <w:color w:val="auto"/>
              </w:rPr>
            </w:pPr>
            <w:r>
              <w:rPr>
                <w:rFonts w:ascii="Arial" w:cs="Arial" w:eastAsia="Arial" w:hAnsi="Arial"/>
                <w:sz w:val="16"/>
                <w:szCs w:val="16"/>
                <w:b w:val="1"/>
                <w:bCs w:val="1"/>
                <w:color w:val="auto"/>
                <w:w w:val="98"/>
              </w:rPr>
              <w:t xml:space="preserve">Change in Control </w:t>
            </w:r>
            <w:r>
              <w:rPr>
                <w:rFonts w:ascii="Arial" w:cs="Arial" w:eastAsia="Arial" w:hAnsi="Arial"/>
                <w:sz w:val="27"/>
                <w:szCs w:val="27"/>
                <w:b w:val="1"/>
                <w:bCs w:val="1"/>
                <w:color w:val="auto"/>
                <w:w w:val="98"/>
                <w:vertAlign w:val="superscript"/>
              </w:rPr>
              <w:t>(1)</w:t>
            </w:r>
          </w:p>
        </w:tc>
        <w:tc>
          <w:tcPr>
            <w:tcW w:w="0" w:type="dxa"/>
            <w:vAlign w:val="bottom"/>
          </w:tcPr>
          <w:p>
            <w:pPr>
              <w:spacing w:after="0"/>
              <w:rPr>
                <w:sz w:val="1"/>
                <w:szCs w:val="1"/>
                <w:color w:val="auto"/>
              </w:rPr>
            </w:pPr>
          </w:p>
        </w:tc>
      </w:tr>
      <w:tr>
        <w:trPr>
          <w:trHeight w:val="144"/>
        </w:trPr>
        <w:tc>
          <w:tcPr>
            <w:tcW w:w="1680" w:type="dxa"/>
            <w:vAlign w:val="bottom"/>
            <w:gridSpan w:val="2"/>
          </w:tcPr>
          <w:p>
            <w:pPr>
              <w:jc w:val="center"/>
              <w:ind w:right="220"/>
              <w:spacing w:after="0" w:line="144" w:lineRule="exact"/>
              <w:rPr>
                <w:sz w:val="20"/>
                <w:szCs w:val="20"/>
                <w:color w:val="auto"/>
              </w:rPr>
            </w:pPr>
            <w:r>
              <w:rPr>
                <w:rFonts w:ascii="Arial" w:cs="Arial" w:eastAsia="Arial" w:hAnsi="Arial"/>
                <w:sz w:val="16"/>
                <w:szCs w:val="16"/>
                <w:b w:val="1"/>
                <w:bCs w:val="1"/>
                <w:color w:val="auto"/>
              </w:rPr>
              <w:t>Change in Control)</w:t>
            </w:r>
          </w:p>
        </w:tc>
        <w:tc>
          <w:tcPr>
            <w:tcW w:w="1500" w:type="dxa"/>
            <w:vAlign w:val="bottom"/>
            <w:gridSpan w:val="2"/>
          </w:tcPr>
          <w:p>
            <w:pPr>
              <w:jc w:val="center"/>
              <w:ind w:right="340"/>
              <w:spacing w:after="0" w:line="144" w:lineRule="exact"/>
              <w:rPr>
                <w:sz w:val="20"/>
                <w:szCs w:val="20"/>
                <w:color w:val="auto"/>
              </w:rPr>
            </w:pPr>
            <w:r>
              <w:rPr>
                <w:rFonts w:ascii="Arial" w:cs="Arial" w:eastAsia="Arial" w:hAnsi="Arial"/>
                <w:sz w:val="16"/>
                <w:szCs w:val="16"/>
                <w:b w:val="1"/>
                <w:bCs w:val="1"/>
                <w:color w:val="auto"/>
              </w:rPr>
              <w:t>Disability</w:t>
            </w:r>
          </w:p>
        </w:tc>
        <w:tc>
          <w:tcPr>
            <w:tcW w:w="180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93"/>
        </w:trPr>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46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-8255</wp:posOffset>
            </wp:positionV>
            <wp:extent cx="699770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460" w:space="445"/>
            <w:col w:w="5335"/>
          </w:cols>
          <w:pgMar w:left="240" w:top="459" w:right="419" w:bottom="1440" w:gutter="0" w:footer="0" w:header="0"/>
          <w:type w:val="continuous"/>
        </w:sectPr>
      </w:pPr>
    </w:p>
    <w:tbl>
      <w:tblPr>
        <w:tblLayout w:type="fixed"/>
        <w:tblInd w:w="220" w:type="dxa"/>
        <w:tblCellMar>
          <w:top w:w="0" w:type="dxa"/>
          <w:left w:w="0" w:type="dxa"/>
          <w:bottom w:w="0" w:type="dxa"/>
          <w:right w:w="0" w:type="dxa"/>
        </w:tblCellMar>
      </w:tblPr>
      <w:tr>
        <w:trPr>
          <w:trHeight w:val="195"/>
        </w:trPr>
        <w:tc>
          <w:tcPr>
            <w:tcW w:w="5980" w:type="dxa"/>
            <w:vAlign w:val="bottom"/>
          </w:tcPr>
          <w:p>
            <w:pPr>
              <w:ind w:left="300"/>
              <w:spacing w:after="0"/>
              <w:rPr>
                <w:sz w:val="20"/>
                <w:szCs w:val="20"/>
                <w:color w:val="auto"/>
              </w:rPr>
            </w:pPr>
            <w:r>
              <w:rPr>
                <w:rFonts w:ascii="Arial" w:cs="Arial" w:eastAsia="Arial" w:hAnsi="Arial"/>
                <w:sz w:val="16"/>
                <w:szCs w:val="16"/>
                <w:i w:val="1"/>
                <w:iCs w:val="1"/>
                <w:color w:val="auto"/>
              </w:rPr>
              <w:t>Long-Term Incentives</w:t>
            </w:r>
          </w:p>
        </w:tc>
        <w:tc>
          <w:tcPr>
            <w:tcW w:w="12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 Options</w:t>
            </w:r>
          </w:p>
        </w:tc>
        <w:tc>
          <w:tcPr>
            <w:tcW w:w="12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5980" w:type="dxa"/>
            <w:vAlign w:val="bottom"/>
          </w:tcPr>
          <w:p>
            <w:pPr>
              <w:ind w:left="640"/>
              <w:spacing w:after="0"/>
              <w:rPr>
                <w:sz w:val="20"/>
                <w:szCs w:val="20"/>
                <w:color w:val="auto"/>
              </w:rPr>
            </w:pPr>
            <w:r>
              <w:rPr>
                <w:rFonts w:ascii="Arial" w:cs="Arial" w:eastAsia="Arial" w:hAnsi="Arial"/>
                <w:sz w:val="16"/>
                <w:szCs w:val="16"/>
                <w:color w:val="auto"/>
              </w:rPr>
              <w:t>Unexercisable and Accelerated Awards</w:t>
            </w:r>
          </w:p>
        </w:tc>
        <w:tc>
          <w:tcPr>
            <w:tcW w:w="1220" w:type="dxa"/>
            <w:vAlign w:val="bottom"/>
          </w:tcPr>
          <w:p>
            <w:pPr>
              <w:ind w:left="680"/>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162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189"/>
        </w:trPr>
        <w:tc>
          <w:tcPr>
            <w:tcW w:w="5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Stock Award</w:t>
            </w:r>
          </w:p>
        </w:tc>
        <w:tc>
          <w:tcPr>
            <w:tcW w:w="12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0"/>
        </w:trPr>
        <w:tc>
          <w:tcPr>
            <w:tcW w:w="5980" w:type="dxa"/>
            <w:vAlign w:val="bottom"/>
          </w:tcPr>
          <w:p>
            <w:pPr>
              <w:ind w:left="640"/>
              <w:spacing w:after="0"/>
              <w:rPr>
                <w:sz w:val="20"/>
                <w:szCs w:val="20"/>
                <w:color w:val="auto"/>
              </w:rPr>
            </w:pPr>
            <w:r>
              <w:rPr>
                <w:rFonts w:ascii="Arial" w:cs="Arial" w:eastAsia="Arial" w:hAnsi="Arial"/>
                <w:sz w:val="16"/>
                <w:szCs w:val="16"/>
                <w:color w:val="auto"/>
              </w:rPr>
              <w:t>Unvested and Accelerated Awards</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482"/>
              <w:spacing w:after="0" w:line="202" w:lineRule="exact"/>
              <w:rPr>
                <w:sz w:val="20"/>
                <w:szCs w:val="20"/>
                <w:color w:val="auto"/>
              </w:rPr>
            </w:pPr>
            <w:r>
              <w:rPr>
                <w:rFonts w:ascii="Arial" w:cs="Arial" w:eastAsia="Arial" w:hAnsi="Arial"/>
                <w:sz w:val="14"/>
                <w:szCs w:val="14"/>
                <w:color w:val="auto"/>
              </w:rPr>
              <w:t>$   5,361,400</w:t>
            </w:r>
            <w:r>
              <w:rPr>
                <w:rFonts w:ascii="Arial" w:cs="Arial" w:eastAsia="Arial" w:hAnsi="Arial"/>
                <w:sz w:val="23"/>
                <w:szCs w:val="23"/>
                <w:color w:val="auto"/>
                <w:vertAlign w:val="superscript"/>
              </w:rPr>
              <w:t>(3)</w:t>
            </w:r>
          </w:p>
        </w:tc>
        <w:tc>
          <w:tcPr>
            <w:tcW w:w="1560" w:type="dxa"/>
            <w:vAlign w:val="bottom"/>
            <w:tcBorders>
              <w:bottom w:val="single" w:sz="8" w:color="auto"/>
            </w:tcBorders>
          </w:tcPr>
          <w:p>
            <w:pPr>
              <w:jc w:val="right"/>
              <w:ind w:right="22"/>
              <w:spacing w:after="0" w:line="202" w:lineRule="exact"/>
              <w:rPr>
                <w:sz w:val="20"/>
                <w:szCs w:val="20"/>
                <w:color w:val="auto"/>
              </w:rPr>
            </w:pPr>
            <w:r>
              <w:rPr>
                <w:rFonts w:ascii="Arial" w:cs="Arial" w:eastAsia="Arial" w:hAnsi="Arial"/>
                <w:sz w:val="14"/>
                <w:szCs w:val="14"/>
                <w:color w:val="auto"/>
              </w:rPr>
              <w:t>5,361,400</w:t>
            </w:r>
            <w:r>
              <w:rPr>
                <w:rFonts w:ascii="Arial" w:cs="Arial" w:eastAsia="Arial" w:hAnsi="Arial"/>
                <w:sz w:val="23"/>
                <w:szCs w:val="23"/>
                <w:color w:val="auto"/>
                <w:vertAlign w:val="superscript"/>
              </w:rPr>
              <w:t>(3)</w:t>
            </w:r>
          </w:p>
        </w:tc>
        <w:tc>
          <w:tcPr>
            <w:tcW w:w="60" w:type="dxa"/>
            <w:vAlign w:val="bottom"/>
          </w:tcPr>
          <w:p>
            <w:pPr>
              <w:spacing w:after="0"/>
              <w:rPr>
                <w:sz w:val="18"/>
                <w:szCs w:val="18"/>
                <w:color w:val="auto"/>
              </w:rPr>
            </w:pPr>
          </w:p>
        </w:tc>
      </w:tr>
      <w:tr>
        <w:trPr>
          <w:trHeight w:val="189"/>
        </w:trPr>
        <w:tc>
          <w:tcPr>
            <w:tcW w:w="5980" w:type="dxa"/>
            <w:vAlign w:val="bottom"/>
            <w:shd w:val="clear" w:color="auto" w:fill="CCEEFF"/>
          </w:tcPr>
          <w:p>
            <w:pPr>
              <w:ind w:left="3060"/>
              <w:spacing w:after="0"/>
              <w:rPr>
                <w:sz w:val="20"/>
                <w:szCs w:val="20"/>
                <w:color w:val="auto"/>
              </w:rPr>
            </w:pPr>
            <w:r>
              <w:rPr>
                <w:rFonts w:ascii="Arial" w:cs="Arial" w:eastAsia="Arial" w:hAnsi="Arial"/>
                <w:sz w:val="16"/>
                <w:szCs w:val="16"/>
                <w:b w:val="1"/>
                <w:bCs w:val="1"/>
                <w:color w:val="auto"/>
              </w:rPr>
              <w:t>POWERS TOTAL</w:t>
            </w:r>
          </w:p>
        </w:tc>
        <w:tc>
          <w:tcPr>
            <w:tcW w:w="1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jc w:val="right"/>
              <w:ind w:right="682"/>
              <w:spacing w:after="0"/>
              <w:rPr>
                <w:sz w:val="20"/>
                <w:szCs w:val="20"/>
                <w:color w:val="auto"/>
              </w:rPr>
            </w:pPr>
            <w:r>
              <w:rPr>
                <w:rFonts w:ascii="Arial" w:cs="Arial" w:eastAsia="Arial" w:hAnsi="Arial"/>
                <w:sz w:val="16"/>
                <w:szCs w:val="16"/>
                <w:b w:val="1"/>
                <w:bCs w:val="1"/>
                <w:color w:val="auto"/>
              </w:rPr>
              <w:t>5,361,400</w:t>
            </w:r>
          </w:p>
        </w:tc>
        <w:tc>
          <w:tcPr>
            <w:tcW w:w="15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5,361,400</w:t>
            </w:r>
          </w:p>
        </w:tc>
        <w:tc>
          <w:tcPr>
            <w:tcW w:w="60" w:type="dxa"/>
            <w:vAlign w:val="bottom"/>
            <w:shd w:val="clear" w:color="auto" w:fill="CCEEFF"/>
          </w:tcPr>
          <w:p>
            <w:pPr>
              <w:spacing w:after="0"/>
              <w:rPr>
                <w:sz w:val="16"/>
                <w:szCs w:val="16"/>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Involuntary</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Termination or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Voluntary</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Termination (non</w:t>
            </w:r>
          </w:p>
        </w:tc>
        <w:tc>
          <w:tcPr>
            <w:tcW w:w="34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Death or</w:t>
            </w:r>
          </w:p>
        </w:tc>
        <w:tc>
          <w:tcPr>
            <w:tcW w:w="1800" w:type="dxa"/>
            <w:vAlign w:val="bottom"/>
            <w:gridSpan w:val="4"/>
          </w:tcPr>
          <w:p>
            <w:pPr>
              <w:ind w:left="160"/>
              <w:spacing w:after="0" w:line="221" w:lineRule="exact"/>
              <w:rPr>
                <w:sz w:val="20"/>
                <w:szCs w:val="20"/>
                <w:color w:val="auto"/>
              </w:rPr>
            </w:pPr>
            <w:r>
              <w:rPr>
                <w:rFonts w:ascii="Arial" w:cs="Arial" w:eastAsia="Arial" w:hAnsi="Arial"/>
                <w:sz w:val="15"/>
                <w:szCs w:val="15"/>
                <w:b w:val="1"/>
                <w:bCs w:val="1"/>
                <w:color w:val="auto"/>
              </w:rPr>
              <w:t>Change in Control</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57"/>
        </w:trPr>
        <w:tc>
          <w:tcPr>
            <w:tcW w:w="5840" w:type="dxa"/>
            <w:vAlign w:val="bottom"/>
            <w:gridSpan w:val="2"/>
            <w:vMerge w:val="restart"/>
          </w:tcPr>
          <w:p>
            <w:pPr>
              <w:ind w:left="2260"/>
              <w:spacing w:after="0"/>
              <w:rPr>
                <w:sz w:val="20"/>
                <w:szCs w:val="20"/>
                <w:color w:val="auto"/>
              </w:rPr>
            </w:pPr>
            <w:r>
              <w:rPr>
                <w:rFonts w:ascii="Arial" w:cs="Arial" w:eastAsia="Arial" w:hAnsi="Arial"/>
                <w:sz w:val="16"/>
                <w:szCs w:val="16"/>
                <w:b w:val="1"/>
                <w:bCs w:val="1"/>
                <w:color w:val="auto"/>
              </w:rPr>
              <w:t>Type of Payment</w:t>
            </w:r>
          </w:p>
        </w:tc>
        <w:tc>
          <w:tcPr>
            <w:tcW w:w="1720" w:type="dxa"/>
            <w:vAlign w:val="bottom"/>
            <w:gridSpan w:val="2"/>
          </w:tcPr>
          <w:p>
            <w:pPr>
              <w:jc w:val="center"/>
              <w:ind w:left="179"/>
              <w:spacing w:after="0" w:line="158" w:lineRule="exact"/>
              <w:rPr>
                <w:sz w:val="20"/>
                <w:szCs w:val="20"/>
                <w:color w:val="auto"/>
              </w:rPr>
            </w:pPr>
            <w:r>
              <w:rPr>
                <w:rFonts w:ascii="Arial" w:cs="Arial" w:eastAsia="Arial" w:hAnsi="Arial"/>
                <w:sz w:val="16"/>
                <w:szCs w:val="16"/>
                <w:b w:val="1"/>
                <w:bCs w:val="1"/>
                <w:color w:val="auto"/>
              </w:rPr>
              <w:t>Change in Control)</w:t>
            </w:r>
          </w:p>
        </w:tc>
        <w:tc>
          <w:tcPr>
            <w:tcW w:w="340" w:type="dxa"/>
            <w:vAlign w:val="bottom"/>
          </w:tcPr>
          <w:p>
            <w:pPr>
              <w:spacing w:after="0"/>
              <w:rPr>
                <w:sz w:val="13"/>
                <w:szCs w:val="13"/>
                <w:color w:val="auto"/>
              </w:rPr>
            </w:pPr>
          </w:p>
        </w:tc>
        <w:tc>
          <w:tcPr>
            <w:tcW w:w="1320" w:type="dxa"/>
            <w:vAlign w:val="bottom"/>
            <w:gridSpan w:val="2"/>
          </w:tcPr>
          <w:p>
            <w:pPr>
              <w:jc w:val="right"/>
              <w:ind w:right="460"/>
              <w:spacing w:after="0" w:line="158" w:lineRule="exact"/>
              <w:rPr>
                <w:sz w:val="20"/>
                <w:szCs w:val="20"/>
                <w:color w:val="auto"/>
              </w:rPr>
            </w:pPr>
            <w:r>
              <w:rPr>
                <w:rFonts w:ascii="Arial" w:cs="Arial" w:eastAsia="Arial" w:hAnsi="Arial"/>
                <w:sz w:val="16"/>
                <w:szCs w:val="16"/>
                <w:b w:val="1"/>
                <w:bCs w:val="1"/>
                <w:color w:val="auto"/>
              </w:rPr>
              <w:t>Disability</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center"/>
              <w:ind w:right="16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5840" w:type="dxa"/>
            <w:vAlign w:val="bottom"/>
            <w:gridSpan w:val="2"/>
            <w:vMerge w:val="continue"/>
          </w:tcPr>
          <w:p>
            <w:pPr>
              <w:spacing w:after="0"/>
              <w:rPr>
                <w:sz w:val="6"/>
                <w:szCs w:val="6"/>
                <w:color w:val="auto"/>
              </w:rPr>
            </w:pPr>
          </w:p>
        </w:tc>
        <w:tc>
          <w:tcPr>
            <w:tcW w:w="1720" w:type="dxa"/>
            <w:vAlign w:val="bottom"/>
            <w:gridSpan w:val="2"/>
            <w:vMerge w:val="restart"/>
          </w:tcPr>
          <w:p>
            <w:pPr>
              <w:jc w:val="center"/>
              <w:ind w:left="199"/>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vMerge w:val="restart"/>
          </w:tcPr>
          <w:p>
            <w:pPr>
              <w:jc w:val="center"/>
              <w:ind w:left="267"/>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5840" w:type="dxa"/>
            <w:vAlign w:val="bottom"/>
            <w:gridSpan w:val="2"/>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auto"/>
            </w:tcBorders>
            <w:gridSpan w:val="2"/>
            <w:shd w:val="clear" w:color="auto" w:fill="CCEEFF"/>
          </w:tcPr>
          <w:p>
            <w:pPr>
              <w:ind w:left="80"/>
              <w:spacing w:after="0" w:line="183" w:lineRule="exact"/>
              <w:rPr>
                <w:sz w:val="20"/>
                <w:szCs w:val="20"/>
                <w:color w:val="auto"/>
              </w:rPr>
            </w:pPr>
            <w:r>
              <w:rPr>
                <w:rFonts w:ascii="Arial" w:cs="Arial" w:eastAsia="Arial" w:hAnsi="Arial"/>
                <w:sz w:val="16"/>
                <w:szCs w:val="16"/>
                <w:b w:val="1"/>
                <w:bCs w:val="1"/>
                <w:color w:val="auto"/>
              </w:rPr>
              <w:t>D. Craig Kesler</w:t>
            </w:r>
          </w:p>
        </w:tc>
        <w:tc>
          <w:tcPr>
            <w:tcW w:w="2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300"/>
              <w:spacing w:after="0"/>
              <w:rPr>
                <w:sz w:val="20"/>
                <w:szCs w:val="20"/>
                <w:color w:val="auto"/>
              </w:rPr>
            </w:pPr>
            <w:r>
              <w:rPr>
                <w:rFonts w:ascii="Arial" w:cs="Arial" w:eastAsia="Arial" w:hAnsi="Arial"/>
                <w:sz w:val="16"/>
                <w:szCs w:val="16"/>
                <w:i w:val="1"/>
                <w:iCs w:val="1"/>
                <w:color w:val="auto"/>
              </w:rPr>
              <w:t>Long-Term Incentives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Stock Options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40" w:type="dxa"/>
            <w:vAlign w:val="bottom"/>
            <w:gridSpan w:val="2"/>
          </w:tcPr>
          <w:p>
            <w:pPr>
              <w:ind w:left="960"/>
              <w:spacing w:after="0"/>
              <w:rPr>
                <w:sz w:val="20"/>
                <w:szCs w:val="20"/>
                <w:color w:val="auto"/>
              </w:rPr>
            </w:pPr>
            <w:r>
              <w:rPr>
                <w:rFonts w:ascii="Arial" w:cs="Arial" w:eastAsia="Arial" w:hAnsi="Arial"/>
                <w:sz w:val="16"/>
                <w:szCs w:val="16"/>
                <w:color w:val="auto"/>
              </w:rPr>
              <w:t>Unexercisable and Accelerated Awards</w:t>
            </w:r>
          </w:p>
        </w:tc>
        <w:tc>
          <w:tcPr>
            <w:tcW w:w="260" w:type="dxa"/>
            <w:vAlign w:val="bottom"/>
          </w:tcPr>
          <w:p>
            <w:pPr>
              <w:spacing w:after="0"/>
              <w:rPr>
                <w:sz w:val="17"/>
                <w:szCs w:val="17"/>
                <w:color w:val="auto"/>
              </w:rPr>
            </w:pPr>
          </w:p>
        </w:tc>
        <w:tc>
          <w:tcPr>
            <w:tcW w:w="1460" w:type="dxa"/>
            <w:vAlign w:val="bottom"/>
          </w:tcPr>
          <w:p>
            <w:pPr>
              <w:ind w:left="8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4"/>
              <w:spacing w:after="0" w:line="202" w:lineRule="exact"/>
              <w:rPr>
                <w:sz w:val="20"/>
                <w:szCs w:val="20"/>
                <w:color w:val="auto"/>
              </w:rPr>
            </w:pPr>
            <w:r>
              <w:rPr>
                <w:rFonts w:ascii="Arial" w:cs="Arial" w:eastAsia="Arial" w:hAnsi="Arial"/>
                <w:sz w:val="14"/>
                <w:szCs w:val="14"/>
                <w:color w:val="auto"/>
              </w:rPr>
              <w:t>49,180</w:t>
            </w:r>
            <w:r>
              <w:rPr>
                <w:rFonts w:ascii="Arial" w:cs="Arial" w:eastAsia="Arial" w:hAnsi="Arial"/>
                <w:sz w:val="23"/>
                <w:szCs w:val="23"/>
                <w:color w:val="auto"/>
                <w:vertAlign w:val="superscript"/>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Restricted Stock Award</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960"/>
              <w:spacing w:after="0"/>
              <w:rPr>
                <w:sz w:val="20"/>
                <w:szCs w:val="20"/>
                <w:color w:val="auto"/>
              </w:rPr>
            </w:pPr>
            <w:r>
              <w:rPr>
                <w:rFonts w:ascii="Arial" w:cs="Arial" w:eastAsia="Arial" w:hAnsi="Arial"/>
                <w:sz w:val="16"/>
                <w:szCs w:val="16"/>
                <w:color w:val="auto"/>
              </w:rPr>
              <w:t>Unvested and Accelerated Awards</w:t>
            </w:r>
          </w:p>
        </w:tc>
        <w:tc>
          <w:tcPr>
            <w:tcW w:w="260" w:type="dxa"/>
            <w:vAlign w:val="bottom"/>
          </w:tcPr>
          <w:p>
            <w:pPr>
              <w:spacing w:after="0"/>
              <w:rPr>
                <w:sz w:val="16"/>
                <w:szCs w:val="16"/>
                <w:color w:val="auto"/>
              </w:rPr>
            </w:pPr>
          </w:p>
        </w:tc>
        <w:tc>
          <w:tcPr>
            <w:tcW w:w="1460" w:type="dxa"/>
            <w:vAlign w:val="bottom"/>
          </w:tcPr>
          <w:p>
            <w:pPr>
              <w:ind w:left="800"/>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160"/>
              <w:spacing w:after="0" w:line="189" w:lineRule="exact"/>
              <w:rPr>
                <w:sz w:val="20"/>
                <w:szCs w:val="20"/>
                <w:color w:val="auto"/>
              </w:rPr>
            </w:pPr>
            <w:r>
              <w:rPr>
                <w:rFonts w:ascii="Arial" w:cs="Arial" w:eastAsia="Arial" w:hAnsi="Arial"/>
                <w:sz w:val="13"/>
                <w:szCs w:val="13"/>
                <w:color w:val="auto"/>
              </w:rPr>
              <w:t>$  1,740,040</w:t>
            </w:r>
            <w:r>
              <w:rPr>
                <w:rFonts w:ascii="Arial" w:cs="Arial" w:eastAsia="Arial" w:hAnsi="Arial"/>
                <w:sz w:val="21"/>
                <w:szCs w:val="21"/>
                <w:color w:val="auto"/>
                <w:vertAlign w:val="superscript"/>
              </w:rPr>
              <w:t>(3)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04"/>
              <w:spacing w:after="0" w:line="189" w:lineRule="exact"/>
              <w:rPr>
                <w:sz w:val="20"/>
                <w:szCs w:val="20"/>
                <w:color w:val="auto"/>
              </w:rPr>
            </w:pPr>
            <w:r>
              <w:rPr>
                <w:rFonts w:ascii="Arial" w:cs="Arial" w:eastAsia="Arial" w:hAnsi="Arial"/>
                <w:sz w:val="13"/>
                <w:szCs w:val="13"/>
                <w:color w:val="auto"/>
              </w:rPr>
              <w:t>1,740,040</w:t>
            </w:r>
            <w:r>
              <w:rPr>
                <w:rFonts w:ascii="Arial" w:cs="Arial" w:eastAsia="Arial" w:hAnsi="Arial"/>
                <w:sz w:val="21"/>
                <w:szCs w:val="21"/>
                <w:color w:val="auto"/>
                <w:vertAlign w:val="superscript"/>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rPr>
              <w:t>Benefits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gridSpan w:val="2"/>
          </w:tcPr>
          <w:p>
            <w:pPr>
              <w:ind w:left="640"/>
              <w:spacing w:after="0"/>
              <w:rPr>
                <w:sz w:val="20"/>
                <w:szCs w:val="20"/>
                <w:color w:val="auto"/>
              </w:rPr>
            </w:pPr>
            <w:r>
              <w:rPr>
                <w:rFonts w:ascii="Arial" w:cs="Arial" w:eastAsia="Arial" w:hAnsi="Arial"/>
                <w:sz w:val="16"/>
                <w:szCs w:val="16"/>
                <w:color w:val="auto"/>
              </w:rPr>
              <w:t>Salary Continuation Plan Payments</w:t>
            </w:r>
          </w:p>
        </w:tc>
        <w:tc>
          <w:tcPr>
            <w:tcW w:w="260" w:type="dxa"/>
            <w:vAlign w:val="bottom"/>
          </w:tcPr>
          <w:p>
            <w:pPr>
              <w:spacing w:after="0"/>
              <w:rPr>
                <w:sz w:val="17"/>
                <w:szCs w:val="17"/>
                <w:color w:val="auto"/>
              </w:rPr>
            </w:pPr>
          </w:p>
        </w:tc>
        <w:tc>
          <w:tcPr>
            <w:tcW w:w="1460" w:type="dxa"/>
            <w:vAlign w:val="bottom"/>
          </w:tcPr>
          <w:p>
            <w:pPr>
              <w:ind w:left="800"/>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160"/>
              <w:spacing w:after="0" w:line="189" w:lineRule="exact"/>
              <w:rPr>
                <w:sz w:val="20"/>
                <w:szCs w:val="20"/>
                <w:color w:val="auto"/>
              </w:rPr>
            </w:pPr>
            <w:r>
              <w:rPr>
                <w:rFonts w:ascii="Arial" w:cs="Arial" w:eastAsia="Arial" w:hAnsi="Arial"/>
                <w:sz w:val="13"/>
                <w:szCs w:val="13"/>
                <w:color w:val="auto"/>
              </w:rPr>
              <w:t>1,500,000</w:t>
            </w:r>
            <w:r>
              <w:rPr>
                <w:rFonts w:ascii="Arial" w:cs="Arial" w:eastAsia="Arial" w:hAnsi="Arial"/>
                <w:sz w:val="21"/>
                <w:szCs w:val="21"/>
                <w:color w:val="auto"/>
                <w:vertAlign w:val="superscript"/>
              </w:rPr>
              <w:t>(4)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spacing w:after="0"/>
              <w:rPr>
                <w:sz w:val="16"/>
                <w:szCs w:val="16"/>
                <w:color w:val="auto"/>
              </w:rPr>
            </w:pPr>
          </w:p>
        </w:tc>
        <w:tc>
          <w:tcPr>
            <w:tcW w:w="2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KESLER TOTAL</w:t>
            </w:r>
          </w:p>
        </w:tc>
        <w:tc>
          <w:tcPr>
            <w:tcW w:w="260" w:type="dxa"/>
            <w:vAlign w:val="bottom"/>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3,240,040</w:t>
            </w: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6"/>
                <w:szCs w:val="16"/>
                <w:b w:val="1"/>
                <w:bCs w:val="1"/>
                <w:color w:val="auto"/>
              </w:rPr>
              <w:t>1,789,220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840" w:type="dxa"/>
            <w:vAlign w:val="bottom"/>
            <w:gridSpan w:val="2"/>
          </w:tcPr>
          <w:p>
            <w:pPr>
              <w:ind w:left="80"/>
              <w:spacing w:after="0"/>
              <w:rPr>
                <w:sz w:val="20"/>
                <w:szCs w:val="20"/>
                <w:color w:val="auto"/>
              </w:rPr>
            </w:pPr>
            <w:r>
              <w:rPr>
                <w:rFonts w:ascii="Arial" w:cs="Arial" w:eastAsia="Arial" w:hAnsi="Arial"/>
                <w:sz w:val="16"/>
                <w:szCs w:val="16"/>
                <w:b w:val="1"/>
                <w:bCs w:val="1"/>
                <w:color w:val="auto"/>
              </w:rPr>
              <w:t>Michael Haack</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rPr>
              <w:t>Long-Term Incentives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640"/>
              <w:spacing w:after="0"/>
              <w:rPr>
                <w:sz w:val="20"/>
                <w:szCs w:val="20"/>
                <w:color w:val="auto"/>
              </w:rPr>
            </w:pPr>
            <w:r>
              <w:rPr>
                <w:rFonts w:ascii="Arial" w:cs="Arial" w:eastAsia="Arial" w:hAnsi="Arial"/>
                <w:sz w:val="16"/>
                <w:szCs w:val="16"/>
                <w:color w:val="auto"/>
              </w:rPr>
              <w:t>Stock Options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Unexercisable and Accelerated Awards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04"/>
              <w:spacing w:after="0" w:line="189" w:lineRule="exact"/>
              <w:rPr>
                <w:sz w:val="20"/>
                <w:szCs w:val="20"/>
                <w:color w:val="auto"/>
              </w:rPr>
            </w:pPr>
            <w:r>
              <w:rPr>
                <w:rFonts w:ascii="Arial" w:cs="Arial" w:eastAsia="Arial" w:hAnsi="Arial"/>
                <w:sz w:val="13"/>
                <w:szCs w:val="13"/>
                <w:color w:val="auto"/>
              </w:rPr>
              <w:t>107,223</w:t>
            </w:r>
            <w:r>
              <w:rPr>
                <w:rFonts w:ascii="Arial" w:cs="Arial" w:eastAsia="Arial" w:hAnsi="Arial"/>
                <w:sz w:val="21"/>
                <w:szCs w:val="21"/>
                <w:color w:val="auto"/>
                <w:vertAlign w:val="superscript"/>
              </w:rPr>
              <w:t>(2)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640"/>
              <w:spacing w:after="0"/>
              <w:rPr>
                <w:sz w:val="20"/>
                <w:szCs w:val="20"/>
                <w:color w:val="auto"/>
              </w:rPr>
            </w:pPr>
            <w:r>
              <w:rPr>
                <w:rFonts w:ascii="Arial" w:cs="Arial" w:eastAsia="Arial" w:hAnsi="Arial"/>
                <w:sz w:val="16"/>
                <w:szCs w:val="16"/>
                <w:color w:val="auto"/>
              </w:rPr>
              <w:t>Restricted Stock Award</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Unvested and Accelerated Awards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3"/>
                <w:szCs w:val="13"/>
                <w:color w:val="auto"/>
              </w:rPr>
              <w:t>1,105,177</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04"/>
              <w:spacing w:after="0" w:line="189" w:lineRule="exact"/>
              <w:rPr>
                <w:sz w:val="20"/>
                <w:szCs w:val="20"/>
                <w:color w:val="auto"/>
              </w:rPr>
            </w:pPr>
            <w:r>
              <w:rPr>
                <w:rFonts w:ascii="Arial" w:cs="Arial" w:eastAsia="Arial" w:hAnsi="Arial"/>
                <w:sz w:val="13"/>
                <w:szCs w:val="13"/>
                <w:color w:val="auto"/>
              </w:rPr>
              <w:t>1,105,177</w:t>
            </w:r>
            <w:r>
              <w:rPr>
                <w:rFonts w:ascii="Arial" w:cs="Arial" w:eastAsia="Arial" w:hAnsi="Arial"/>
                <w:sz w:val="21"/>
                <w:szCs w:val="21"/>
                <w:color w:val="auto"/>
                <w:vertAlign w:val="superscript"/>
              </w:rPr>
              <w:t>(3)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300"/>
              <w:spacing w:after="0"/>
              <w:rPr>
                <w:sz w:val="20"/>
                <w:szCs w:val="20"/>
                <w:color w:val="auto"/>
              </w:rPr>
            </w:pPr>
            <w:r>
              <w:rPr>
                <w:rFonts w:ascii="Arial" w:cs="Arial" w:eastAsia="Arial" w:hAnsi="Arial"/>
                <w:sz w:val="16"/>
                <w:szCs w:val="16"/>
                <w:i w:val="1"/>
                <w:iCs w:val="1"/>
                <w:color w:val="auto"/>
              </w:rPr>
              <w:t>Benefits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Salary Continuation Plan Payments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3"/>
                <w:szCs w:val="13"/>
                <w:color w:val="auto"/>
              </w:rPr>
              <w:t>1,500,000</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6"/>
                <w:szCs w:val="16"/>
                <w:b w:val="1"/>
                <w:bCs w:val="1"/>
                <w:color w:val="auto"/>
              </w:rPr>
              <w:t>HAACK TOTAL</w:t>
            </w:r>
          </w:p>
        </w:tc>
        <w:tc>
          <w:tcPr>
            <w:tcW w:w="260" w:type="dxa"/>
            <w:vAlign w:val="bottom"/>
          </w:tcPr>
          <w:p>
            <w:pPr>
              <w:spacing w:after="0"/>
              <w:rPr>
                <w:sz w:val="18"/>
                <w:szCs w:val="18"/>
                <w:color w:val="auto"/>
              </w:rPr>
            </w:pPr>
          </w:p>
        </w:tc>
        <w:tc>
          <w:tcPr>
            <w:tcW w:w="1460" w:type="dxa"/>
            <w:vAlign w:val="bottom"/>
            <w:tcBorders>
              <w:top w:val="single" w:sz="8" w:color="auto"/>
            </w:tcBorders>
          </w:tcPr>
          <w:p>
            <w:pPr>
              <w:ind w:left="80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2,605,177</w:t>
            </w: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1,212,400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Robert S. Stewart</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300"/>
              <w:spacing w:after="0"/>
              <w:rPr>
                <w:sz w:val="20"/>
                <w:szCs w:val="20"/>
                <w:color w:val="auto"/>
              </w:rPr>
            </w:pPr>
            <w:r>
              <w:rPr>
                <w:rFonts w:ascii="Arial" w:cs="Arial" w:eastAsia="Arial" w:hAnsi="Arial"/>
                <w:sz w:val="16"/>
                <w:szCs w:val="16"/>
                <w:i w:val="1"/>
                <w:iCs w:val="1"/>
                <w:color w:val="auto"/>
              </w:rPr>
              <w:t>Long-Term Incentives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Stock Options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960"/>
              <w:spacing w:after="0"/>
              <w:rPr>
                <w:sz w:val="20"/>
                <w:szCs w:val="20"/>
                <w:color w:val="auto"/>
              </w:rPr>
            </w:pPr>
            <w:r>
              <w:rPr>
                <w:rFonts w:ascii="Arial" w:cs="Arial" w:eastAsia="Arial" w:hAnsi="Arial"/>
                <w:sz w:val="16"/>
                <w:szCs w:val="16"/>
                <w:color w:val="auto"/>
              </w:rPr>
              <w:t>Unexercisable and Accelerated Awards</w:t>
            </w:r>
          </w:p>
        </w:tc>
        <w:tc>
          <w:tcPr>
            <w:tcW w:w="260" w:type="dxa"/>
            <w:vAlign w:val="bottom"/>
          </w:tcPr>
          <w:p>
            <w:pPr>
              <w:spacing w:after="0"/>
              <w:rPr>
                <w:sz w:val="16"/>
                <w:szCs w:val="16"/>
                <w:color w:val="auto"/>
              </w:rPr>
            </w:pPr>
          </w:p>
        </w:tc>
        <w:tc>
          <w:tcPr>
            <w:tcW w:w="1460" w:type="dxa"/>
            <w:vAlign w:val="bottom"/>
          </w:tcPr>
          <w:p>
            <w:pPr>
              <w:ind w:left="8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Restricted Stock Award</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40" w:type="dxa"/>
            <w:vAlign w:val="bottom"/>
            <w:gridSpan w:val="2"/>
          </w:tcPr>
          <w:p>
            <w:pPr>
              <w:ind w:left="960"/>
              <w:spacing w:after="0"/>
              <w:rPr>
                <w:sz w:val="20"/>
                <w:szCs w:val="20"/>
                <w:color w:val="auto"/>
              </w:rPr>
            </w:pPr>
            <w:r>
              <w:rPr>
                <w:rFonts w:ascii="Arial" w:cs="Arial" w:eastAsia="Arial" w:hAnsi="Arial"/>
                <w:sz w:val="16"/>
                <w:szCs w:val="16"/>
                <w:color w:val="auto"/>
              </w:rPr>
              <w:t>Unvested and Accelerated Awards</w:t>
            </w:r>
          </w:p>
        </w:tc>
        <w:tc>
          <w:tcPr>
            <w:tcW w:w="260" w:type="dxa"/>
            <w:vAlign w:val="bottom"/>
          </w:tcPr>
          <w:p>
            <w:pPr>
              <w:spacing w:after="0"/>
              <w:rPr>
                <w:sz w:val="17"/>
                <w:szCs w:val="17"/>
                <w:color w:val="auto"/>
              </w:rPr>
            </w:pPr>
          </w:p>
        </w:tc>
        <w:tc>
          <w:tcPr>
            <w:tcW w:w="1460" w:type="dxa"/>
            <w:vAlign w:val="bottom"/>
          </w:tcPr>
          <w:p>
            <w:pPr>
              <w:ind w:left="800"/>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160"/>
              <w:spacing w:after="0" w:line="202" w:lineRule="exact"/>
              <w:rPr>
                <w:sz w:val="20"/>
                <w:szCs w:val="20"/>
                <w:color w:val="auto"/>
              </w:rPr>
            </w:pPr>
            <w:r>
              <w:rPr>
                <w:rFonts w:ascii="Arial" w:cs="Arial" w:eastAsia="Arial" w:hAnsi="Arial"/>
                <w:sz w:val="14"/>
                <w:szCs w:val="14"/>
                <w:color w:val="auto"/>
              </w:rPr>
              <w:t>1,434,958</w:t>
            </w:r>
            <w:r>
              <w:rPr>
                <w:rFonts w:ascii="Arial" w:cs="Arial" w:eastAsia="Arial" w:hAnsi="Arial"/>
                <w:sz w:val="23"/>
                <w:szCs w:val="23"/>
                <w:color w:val="auto"/>
                <w:vertAlign w:val="superscript"/>
              </w:rPr>
              <w:t>(3)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04"/>
              <w:spacing w:after="0" w:line="202" w:lineRule="exact"/>
              <w:rPr>
                <w:sz w:val="20"/>
                <w:szCs w:val="20"/>
                <w:color w:val="auto"/>
              </w:rPr>
            </w:pPr>
            <w:r>
              <w:rPr>
                <w:rFonts w:ascii="Arial" w:cs="Arial" w:eastAsia="Arial" w:hAnsi="Arial"/>
                <w:sz w:val="14"/>
                <w:szCs w:val="14"/>
                <w:color w:val="auto"/>
              </w:rPr>
              <w:t>1,434,958</w:t>
            </w:r>
            <w:r>
              <w:rPr>
                <w:rFonts w:ascii="Arial" w:cs="Arial" w:eastAsia="Arial" w:hAnsi="Arial"/>
                <w:sz w:val="23"/>
                <w:szCs w:val="23"/>
                <w:color w:val="auto"/>
                <w:vertAlign w:val="superscript"/>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rPr>
              <w:t>Benefits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gridSpan w:val="2"/>
          </w:tcPr>
          <w:p>
            <w:pPr>
              <w:ind w:left="640"/>
              <w:spacing w:after="0"/>
              <w:rPr>
                <w:sz w:val="20"/>
                <w:szCs w:val="20"/>
                <w:color w:val="auto"/>
              </w:rPr>
            </w:pPr>
            <w:r>
              <w:rPr>
                <w:rFonts w:ascii="Arial" w:cs="Arial" w:eastAsia="Arial" w:hAnsi="Arial"/>
                <w:sz w:val="16"/>
                <w:szCs w:val="16"/>
                <w:color w:val="auto"/>
              </w:rPr>
              <w:t>Salary Continuation Plan Payments</w:t>
            </w:r>
          </w:p>
        </w:tc>
        <w:tc>
          <w:tcPr>
            <w:tcW w:w="260" w:type="dxa"/>
            <w:vAlign w:val="bottom"/>
          </w:tcPr>
          <w:p>
            <w:pPr>
              <w:spacing w:after="0"/>
              <w:rPr>
                <w:sz w:val="17"/>
                <w:szCs w:val="17"/>
                <w:color w:val="auto"/>
              </w:rPr>
            </w:pPr>
          </w:p>
        </w:tc>
        <w:tc>
          <w:tcPr>
            <w:tcW w:w="1460" w:type="dxa"/>
            <w:vAlign w:val="bottom"/>
          </w:tcPr>
          <w:p>
            <w:pPr>
              <w:ind w:left="800"/>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160"/>
              <w:spacing w:after="0" w:line="189" w:lineRule="exact"/>
              <w:rPr>
                <w:sz w:val="20"/>
                <w:szCs w:val="20"/>
                <w:color w:val="auto"/>
              </w:rPr>
            </w:pPr>
            <w:r>
              <w:rPr>
                <w:rFonts w:ascii="Arial" w:cs="Arial" w:eastAsia="Arial" w:hAnsi="Arial"/>
                <w:sz w:val="13"/>
                <w:szCs w:val="13"/>
                <w:color w:val="auto"/>
              </w:rPr>
              <w:t>455,000</w:t>
            </w:r>
            <w:r>
              <w:rPr>
                <w:rFonts w:ascii="Arial" w:cs="Arial" w:eastAsia="Arial" w:hAnsi="Arial"/>
                <w:sz w:val="21"/>
                <w:szCs w:val="21"/>
                <w:color w:val="auto"/>
                <w:vertAlign w:val="superscript"/>
              </w:rPr>
              <w:t>(4)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spacing w:after="0"/>
              <w:rPr>
                <w:sz w:val="16"/>
                <w:szCs w:val="16"/>
                <w:color w:val="auto"/>
              </w:rPr>
            </w:pPr>
          </w:p>
        </w:tc>
        <w:tc>
          <w:tcPr>
            <w:tcW w:w="2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STEWART TOTAL</w:t>
            </w:r>
          </w:p>
        </w:tc>
        <w:tc>
          <w:tcPr>
            <w:tcW w:w="260" w:type="dxa"/>
            <w:vAlign w:val="bottom"/>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1,889,958</w:t>
            </w: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6"/>
                <w:szCs w:val="16"/>
                <w:b w:val="1"/>
                <w:bCs w:val="1"/>
                <w:color w:val="auto"/>
              </w:rPr>
              <w:t>1,434,958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840" w:type="dxa"/>
            <w:vAlign w:val="bottom"/>
            <w:gridSpan w:val="2"/>
          </w:tcPr>
          <w:p>
            <w:pPr>
              <w:ind w:left="80"/>
              <w:spacing w:after="0"/>
              <w:rPr>
                <w:sz w:val="20"/>
                <w:szCs w:val="20"/>
                <w:color w:val="auto"/>
              </w:rPr>
            </w:pPr>
            <w:r>
              <w:rPr>
                <w:rFonts w:ascii="Arial" w:cs="Arial" w:eastAsia="Arial" w:hAnsi="Arial"/>
                <w:sz w:val="16"/>
                <w:szCs w:val="16"/>
                <w:b w:val="1"/>
                <w:bCs w:val="1"/>
                <w:color w:val="auto"/>
              </w:rPr>
              <w:t>Keith W. Metcalf</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rPr>
              <w:t>Long-Term Incentives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640"/>
              <w:spacing w:after="0"/>
              <w:rPr>
                <w:sz w:val="20"/>
                <w:szCs w:val="20"/>
                <w:color w:val="auto"/>
              </w:rPr>
            </w:pPr>
            <w:r>
              <w:rPr>
                <w:rFonts w:ascii="Arial" w:cs="Arial" w:eastAsia="Arial" w:hAnsi="Arial"/>
                <w:sz w:val="16"/>
                <w:szCs w:val="16"/>
                <w:color w:val="auto"/>
              </w:rPr>
              <w:t>Stock Options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Unexercisable and Accelerated Awards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04"/>
              <w:spacing w:after="0" w:line="189" w:lineRule="exact"/>
              <w:rPr>
                <w:sz w:val="20"/>
                <w:szCs w:val="20"/>
                <w:color w:val="auto"/>
              </w:rPr>
            </w:pPr>
            <w:r>
              <w:rPr>
                <w:rFonts w:ascii="Arial" w:cs="Arial" w:eastAsia="Arial" w:hAnsi="Arial"/>
                <w:sz w:val="13"/>
                <w:szCs w:val="13"/>
                <w:color w:val="auto"/>
              </w:rPr>
              <w:t>188,879</w:t>
            </w:r>
            <w:r>
              <w:rPr>
                <w:rFonts w:ascii="Arial" w:cs="Arial" w:eastAsia="Arial" w:hAnsi="Arial"/>
                <w:sz w:val="21"/>
                <w:szCs w:val="21"/>
                <w:color w:val="auto"/>
                <w:vertAlign w:val="superscript"/>
              </w:rPr>
              <w:t>(2)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640"/>
              <w:spacing w:after="0"/>
              <w:rPr>
                <w:sz w:val="20"/>
                <w:szCs w:val="20"/>
                <w:color w:val="auto"/>
              </w:rPr>
            </w:pPr>
            <w:r>
              <w:rPr>
                <w:rFonts w:ascii="Arial" w:cs="Arial" w:eastAsia="Arial" w:hAnsi="Arial"/>
                <w:sz w:val="16"/>
                <w:szCs w:val="16"/>
                <w:color w:val="auto"/>
              </w:rPr>
              <w:t>Restricted Stock Award</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Unvested and Accelerated Awards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3"/>
                <w:szCs w:val="13"/>
                <w:color w:val="auto"/>
              </w:rPr>
              <w:t>917,861</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04"/>
              <w:spacing w:after="0" w:line="189" w:lineRule="exact"/>
              <w:rPr>
                <w:sz w:val="20"/>
                <w:szCs w:val="20"/>
                <w:color w:val="auto"/>
              </w:rPr>
            </w:pPr>
            <w:r>
              <w:rPr>
                <w:rFonts w:ascii="Arial" w:cs="Arial" w:eastAsia="Arial" w:hAnsi="Arial"/>
                <w:sz w:val="13"/>
                <w:szCs w:val="13"/>
                <w:color w:val="auto"/>
              </w:rPr>
              <w:t>917,861</w:t>
            </w:r>
            <w:r>
              <w:rPr>
                <w:rFonts w:ascii="Arial" w:cs="Arial" w:eastAsia="Arial" w:hAnsi="Arial"/>
                <w:sz w:val="21"/>
                <w:szCs w:val="21"/>
                <w:color w:val="auto"/>
                <w:vertAlign w:val="superscript"/>
              </w:rPr>
              <w:t>(3)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tcPr>
          <w:p>
            <w:pPr>
              <w:ind w:left="300"/>
              <w:spacing w:after="0"/>
              <w:rPr>
                <w:sz w:val="20"/>
                <w:szCs w:val="20"/>
                <w:color w:val="auto"/>
              </w:rPr>
            </w:pPr>
            <w:r>
              <w:rPr>
                <w:rFonts w:ascii="Arial" w:cs="Arial" w:eastAsia="Arial" w:hAnsi="Arial"/>
                <w:sz w:val="16"/>
                <w:szCs w:val="16"/>
                <w:i w:val="1"/>
                <w:iCs w:val="1"/>
                <w:color w:val="auto"/>
              </w:rPr>
              <w:t>Benefits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Salary Continuation Plan Payments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3"/>
                <w:szCs w:val="13"/>
                <w:color w:val="auto"/>
              </w:rPr>
              <w:t>1,500,000</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6"/>
                <w:szCs w:val="16"/>
                <w:b w:val="1"/>
                <w:bCs w:val="1"/>
                <w:color w:val="auto"/>
              </w:rPr>
              <w:t>METCALF TOTAL</w:t>
            </w:r>
          </w:p>
        </w:tc>
        <w:tc>
          <w:tcPr>
            <w:tcW w:w="260" w:type="dxa"/>
            <w:vAlign w:val="bottom"/>
          </w:tcPr>
          <w:p>
            <w:pPr>
              <w:spacing w:after="0"/>
              <w:rPr>
                <w:sz w:val="18"/>
                <w:szCs w:val="18"/>
                <w:color w:val="auto"/>
              </w:rPr>
            </w:pPr>
          </w:p>
        </w:tc>
        <w:tc>
          <w:tcPr>
            <w:tcW w:w="1460" w:type="dxa"/>
            <w:vAlign w:val="bottom"/>
            <w:tcBorders>
              <w:top w:val="single" w:sz="8" w:color="auto"/>
            </w:tcBorders>
          </w:tcPr>
          <w:p>
            <w:pPr>
              <w:ind w:left="80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2,417,861</w:t>
            </w: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1,106,740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8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spacing w:after="0"/>
              <w:rPr>
                <w:sz w:val="14"/>
                <w:szCs w:val="14"/>
                <w:color w:val="auto"/>
              </w:rPr>
            </w:pPr>
          </w:p>
        </w:tc>
        <w:tc>
          <w:tcPr>
            <w:tcW w:w="298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b w:val="1"/>
                <w:bCs w:val="1"/>
                <w:color w:val="auto"/>
              </w:rPr>
              <w:t>AGGREGATE TOTAL FOR</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860" w:type="dxa"/>
            <w:vAlign w:val="bottom"/>
            <w:shd w:val="clear" w:color="auto" w:fill="CCEEFF"/>
          </w:tcPr>
          <w:p>
            <w:pPr>
              <w:spacing w:after="0"/>
              <w:rPr>
                <w:sz w:val="19"/>
                <w:szCs w:val="19"/>
                <w:color w:val="auto"/>
              </w:rPr>
            </w:pPr>
          </w:p>
        </w:tc>
        <w:tc>
          <w:tcPr>
            <w:tcW w:w="2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NAMED EXECUTIVE OFFICERS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ind w:left="800"/>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$ 15,514,396</w:t>
            </w:r>
          </w:p>
        </w:tc>
        <w:tc>
          <w:tcPr>
            <w:tcW w:w="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344"/>
              <w:spacing w:after="0"/>
              <w:rPr>
                <w:sz w:val="20"/>
                <w:szCs w:val="20"/>
                <w:color w:val="auto"/>
              </w:rPr>
            </w:pPr>
            <w:r>
              <w:rPr>
                <w:rFonts w:ascii="Arial" w:cs="Arial" w:eastAsia="Arial" w:hAnsi="Arial"/>
                <w:sz w:val="16"/>
                <w:szCs w:val="16"/>
                <w:b w:val="1"/>
                <w:bCs w:val="1"/>
                <w:color w:val="auto"/>
              </w:rPr>
              <w:t>10,904,718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86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240" w:top="459" w:right="419" w:bottom="1440" w:gutter="0" w:footer="0" w:header="0"/>
        </w:sectPr>
      </w:pPr>
    </w:p>
    <w:p>
      <w:pPr>
        <w:ind w:left="560" w:right="104" w:hanging="356"/>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definition of “Change in Control” is described under “Change in Control Benefits” on page 34 of this proxy statement.</w:t>
      </w:r>
    </w:p>
    <w:p>
      <w:pPr>
        <w:spacing w:after="0" w:line="20" w:lineRule="exact"/>
        <w:rPr>
          <w:sz w:val="20"/>
          <w:szCs w:val="20"/>
          <w:color w:val="auto"/>
        </w:rPr>
      </w:pPr>
      <w:r>
        <w:rPr>
          <w:sz w:val="20"/>
          <w:szCs w:val="20"/>
          <w:color w:val="auto"/>
        </w:rPr>
        <w:br w:type="column"/>
      </w:r>
    </w:p>
    <w:p>
      <w:pPr>
        <w:ind w:left="356" w:right="100" w:hanging="356"/>
        <w:spacing w:after="0" w:line="238" w:lineRule="auto"/>
        <w:tabs>
          <w:tab w:leader="none" w:pos="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dollar value of the unexercisable stock options that are accelerated because of a change in control based on the amount, if any, that the closing price of our Common Stock on March 29, 2019 ($84.30) exceeds the exercise price of the stock option.</w:t>
      </w:r>
    </w:p>
    <w:p>
      <w:pPr>
        <w:spacing w:after="0" w:line="200" w:lineRule="exact"/>
        <w:rPr>
          <w:sz w:val="20"/>
          <w:szCs w:val="20"/>
          <w:color w:val="auto"/>
        </w:rPr>
      </w:pPr>
    </w:p>
    <w:p>
      <w:pPr>
        <w:sectPr>
          <w:pgSz w:w="11900" w:h="16838" w:orient="portrait"/>
          <w:cols w:equalWidth="0" w:num="2">
            <w:col w:w="5104" w:space="720"/>
            <w:col w:w="5416"/>
          </w:cols>
          <w:pgMar w:left="240" w:top="459" w:right="419" w:bottom="1440" w:gutter="0" w:footer="0" w:header="0"/>
          <w:type w:val="continuous"/>
        </w:sectPr>
      </w:pPr>
    </w:p>
    <w:p>
      <w:pPr>
        <w:spacing w:after="0" w:line="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240" w:top="459" w:right="41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560" w:right="520" w:hanging="356"/>
        <w:spacing w:after="0" w:line="239"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death, disability or a change in control based on the closing price of our Common Stock on March 29, 2019 ($84.30).</w:t>
      </w:r>
    </w:p>
    <w:p>
      <w:pPr>
        <w:spacing w:after="0" w:line="134" w:lineRule="exact"/>
        <w:rPr>
          <w:rFonts w:ascii="Arial" w:cs="Arial" w:eastAsia="Arial" w:hAnsi="Arial"/>
          <w:sz w:val="18"/>
          <w:szCs w:val="18"/>
          <w:color w:val="auto"/>
        </w:rPr>
      </w:pPr>
    </w:p>
    <w:p>
      <w:pPr>
        <w:ind w:left="560" w:right="360" w:hanging="356"/>
        <w:spacing w:after="0" w:line="237" w:lineRule="auto"/>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2019 salaries):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371" w:hanging="371"/>
        <w:spacing w:after="0"/>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Kesler – $460,000 over the year following death, plus</w:t>
      </w:r>
    </w:p>
    <w:p>
      <w:pPr>
        <w:ind w:left="371" w:right="40"/>
        <w:spacing w:after="0" w:line="246" w:lineRule="auto"/>
        <w:rPr>
          <w:rFonts w:ascii="Arial" w:cs="Arial" w:eastAsia="Arial" w:hAnsi="Arial"/>
          <w:sz w:val="18"/>
          <w:szCs w:val="18"/>
          <w:color w:val="auto"/>
        </w:rPr>
      </w:pPr>
      <w:r>
        <w:rPr>
          <w:rFonts w:ascii="Arial" w:cs="Arial" w:eastAsia="Arial" w:hAnsi="Arial"/>
          <w:sz w:val="18"/>
          <w:szCs w:val="18"/>
          <w:color w:val="auto"/>
        </w:rPr>
        <w:t>$230,000 per year thereafter until the beneficiaries have received a total of $1,500,000 in payments.</w:t>
      </w:r>
    </w:p>
    <w:p>
      <w:pPr>
        <w:spacing w:after="0" w:line="124" w:lineRule="exact"/>
        <w:rPr>
          <w:rFonts w:ascii="Arial" w:cs="Arial" w:eastAsia="Arial" w:hAnsi="Arial"/>
          <w:sz w:val="18"/>
          <w:szCs w:val="18"/>
          <w:color w:val="auto"/>
        </w:rPr>
      </w:pPr>
    </w:p>
    <w:p>
      <w:pPr>
        <w:ind w:left="371" w:hanging="371"/>
        <w:spacing w:after="0"/>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Haack – $575,000 over the year following death, plus</w:t>
      </w:r>
    </w:p>
    <w:p>
      <w:pPr>
        <w:ind w:left="371" w:right="40"/>
        <w:spacing w:after="0" w:line="246" w:lineRule="auto"/>
        <w:rPr>
          <w:rFonts w:ascii="Arial" w:cs="Arial" w:eastAsia="Arial" w:hAnsi="Arial"/>
          <w:sz w:val="18"/>
          <w:szCs w:val="18"/>
          <w:color w:val="auto"/>
        </w:rPr>
      </w:pPr>
      <w:r>
        <w:rPr>
          <w:rFonts w:ascii="Arial" w:cs="Arial" w:eastAsia="Arial" w:hAnsi="Arial"/>
          <w:sz w:val="18"/>
          <w:szCs w:val="18"/>
          <w:color w:val="auto"/>
        </w:rPr>
        <w:t>$287,500 per year thereafter until the beneficiaries have received a total of $1,500,000 in payments.</w:t>
      </w:r>
    </w:p>
    <w:p>
      <w:pPr>
        <w:spacing w:after="0" w:line="129" w:lineRule="exact"/>
        <w:rPr>
          <w:rFonts w:ascii="Arial" w:cs="Arial" w:eastAsia="Arial" w:hAnsi="Arial"/>
          <w:sz w:val="18"/>
          <w:szCs w:val="18"/>
          <w:color w:val="auto"/>
        </w:rPr>
      </w:pPr>
    </w:p>
    <w:p>
      <w:pPr>
        <w:ind w:left="371" w:hanging="371"/>
        <w:spacing w:after="0" w:line="246" w:lineRule="auto"/>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Stewart – $455,000 over the year following death, during which Mr. Stewart would have reached 66.</w:t>
      </w:r>
    </w:p>
    <w:p>
      <w:pPr>
        <w:spacing w:after="0" w:line="129" w:lineRule="exact"/>
        <w:rPr>
          <w:rFonts w:ascii="Arial" w:cs="Arial" w:eastAsia="Arial" w:hAnsi="Arial"/>
          <w:sz w:val="18"/>
          <w:szCs w:val="18"/>
          <w:color w:val="auto"/>
        </w:rPr>
      </w:pPr>
    </w:p>
    <w:p>
      <w:pPr>
        <w:ind w:left="371" w:right="40" w:hanging="371"/>
        <w:spacing w:after="0"/>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Metcalf – $393,000 over the year following death, plus $196,500 per year thereafter until the beneficiaries have received a total of $1,500,000 in payments.</w:t>
      </w:r>
    </w:p>
    <w:p>
      <w:pPr>
        <w:sectPr>
          <w:pgSz w:w="11900" w:h="16838" w:orient="portrait"/>
          <w:cols w:equalWidth="0" w:num="2">
            <w:col w:w="5820" w:space="369"/>
            <w:col w:w="4871"/>
          </w:cols>
          <w:pgMar w:left="240" w:top="459" w:right="5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24"/>
          <w:szCs w:val="24"/>
          <w:b w:val="1"/>
          <w:bCs w:val="1"/>
          <w:color w:val="4F82BC"/>
        </w:rPr>
        <w:t>CEO PAY RATIO</w:t>
      </w:r>
    </w:p>
    <w:p>
      <w:pPr>
        <w:sectPr>
          <w:pgSz w:w="11900" w:h="16838" w:orient="portrait"/>
          <w:cols w:equalWidth="0" w:num="1">
            <w:col w:w="11180"/>
          </w:cols>
          <w:pgMar w:left="240" w:top="459" w:right="479" w:bottom="1440" w:gutter="0" w:footer="0" w:header="0"/>
        </w:sectPr>
      </w:pPr>
    </w:p>
    <w:p>
      <w:pPr>
        <w:spacing w:after="0" w:line="348"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Pursuant to a mandate of the Dodd-Frank Wall Street Reform and Consumer Protection Act, the Securities and Exchange Commission (the “SEC”) has adopted Item 402(u) of Regulation S-K requiring annual disclosure of a reasonable estimate of the ratio of the total annual compensation of our chief executive officer to the total annual compensation of the employee of the Company or one of its subsidiaries who is determined to have the median compensation of all employees of the Company and its subsidiaries, collectively (excluding the CEO). The rule also requires annual disclosure of such median employee’s total compensation for the applicable fiscal year and the CEO’s total compensation for the applicable fiscal year, in each case as determined in accordance with the rules governing the presentation of total compensation of the named executive officers in the Summary Compensation Table presented on page 37 of this proxy statement. This rule first became applicable with respect to the proxy statement for our 2018 annual meeting of shareholders. Our CEO is Mr. Powers.</w:t>
      </w:r>
    </w:p>
    <w:p>
      <w:pPr>
        <w:spacing w:after="0" w:line="214" w:lineRule="exact"/>
        <w:rPr>
          <w:sz w:val="20"/>
          <w:szCs w:val="20"/>
          <w:color w:val="auto"/>
        </w:rPr>
      </w:pPr>
    </w:p>
    <w:p>
      <w:pPr>
        <w:ind w:left="220" w:right="40"/>
        <w:spacing w:after="0" w:line="239" w:lineRule="auto"/>
        <w:rPr>
          <w:sz w:val="20"/>
          <w:szCs w:val="20"/>
          <w:color w:val="auto"/>
        </w:rPr>
      </w:pPr>
      <w:r>
        <w:rPr>
          <w:rFonts w:ascii="Arial" w:cs="Arial" w:eastAsia="Arial" w:hAnsi="Arial"/>
          <w:sz w:val="18"/>
          <w:szCs w:val="18"/>
          <w:color w:val="auto"/>
        </w:rPr>
        <w:t>As permitted by the SEC rules, the median employee utilized for fiscal 2019 is the same employee identified in fiscal 2018 because there have been no changes in our employee population or employee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compensation arrangements that we reasonably believe would result in a significant change to this pay ratio disclosure. To identify the median-compensated employee for fiscal 2018, we examined the total gross compensation data for calendar year 2017. Based on this data, we determined the median-compensated employee. For this year’s disclosure, we calculated such employee’s total fiscal 2019 compensation in accordance with the rules governing the presentation of the total compensation of the named executive officers in the Summary Compensation Table. Based on this methodology, the fiscal 2019 total annual compensation for the median-compensated employee was $79,862. As reported on page 37 of this proxy statement, the fiscal 2019 total annual compensation of our CEO, Mr. Powers, was $5,537,014, resulting in a ratio of the CEO’s total compensation to the median-compensated employee’s total compensation of approximately 69:1.</w:t>
      </w:r>
    </w:p>
    <w:p>
      <w:pPr>
        <w:spacing w:after="0" w:line="21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above.</w:t>
      </w:r>
    </w:p>
    <w:p>
      <w:pPr>
        <w:spacing w:after="0" w:line="808" w:lineRule="exact"/>
        <w:rPr>
          <w:sz w:val="20"/>
          <w:szCs w:val="20"/>
          <w:color w:val="auto"/>
        </w:rPr>
      </w:pPr>
    </w:p>
    <w:p>
      <w:pPr>
        <w:sectPr>
          <w:pgSz w:w="11900" w:h="16838" w:orient="portrait"/>
          <w:cols w:equalWidth="0" w:num="2">
            <w:col w:w="5500" w:space="320"/>
            <w:col w:w="5360"/>
          </w:cols>
          <w:pgMar w:left="240" w:top="459" w:right="479" w:bottom="1440" w:gutter="0" w:footer="0" w:header="0"/>
          <w:type w:val="continuous"/>
        </w:sectPr>
      </w:pPr>
    </w:p>
    <w:p>
      <w:pPr>
        <w:spacing w:after="0" w:line="8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180"/>
          </w:cols>
          <w:pgMar w:left="240" w:top="459" w:right="4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4F82BC"/>
        </w:rPr>
        <w:t>STOCK OWNERSHIP</w:t>
      </w:r>
    </w:p>
    <w:p>
      <w:pPr>
        <w:sectPr>
          <w:pgSz w:w="11900" w:h="16838" w:orient="portrait"/>
          <w:cols w:equalWidth="0" w:num="1">
            <w:col w:w="11180"/>
          </w:cols>
          <w:pgMar w:left="240" w:top="459" w:right="479" w:bottom="1440" w:gutter="0" w:footer="0" w:header="0"/>
        </w:sect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w:t>
      </w:r>
    </w:p>
    <w:p>
      <w:pPr>
        <w:spacing w:after="0" w:line="126" w:lineRule="exact"/>
        <w:rPr>
          <w:sz w:val="20"/>
          <w:szCs w:val="20"/>
          <w:color w:val="auto"/>
        </w:rPr>
      </w:pPr>
    </w:p>
    <w:p>
      <w:pPr>
        <w:ind w:left="200" w:firstLine="540"/>
        <w:spacing w:after="0" w:line="239" w:lineRule="auto"/>
        <w:rPr>
          <w:sz w:val="20"/>
          <w:szCs w:val="20"/>
          <w:color w:val="auto"/>
        </w:rPr>
      </w:pPr>
      <w:r>
        <w:rPr>
          <w:rFonts w:ascii="Arial" w:cs="Arial" w:eastAsia="Arial" w:hAnsi="Arial"/>
          <w:sz w:val="18"/>
          <w:szCs w:val="18"/>
          <w:color w:val="auto"/>
        </w:rPr>
        <w:t>We encourage stock ownership by our directors, officers and employees to align their interests with your interests as stockholders. The following table shows the beneficial ownership of our Common Stock, as of the record date for the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annual meeting (June 20, 2019) by: (a) each director, (b) each of our current executive officers and (c) by all directors and executive officers of the Company as a group (16 persons). Except as otherwise indicated, all shares are owned directly, and the owner of such shares has the sole voting and investment power with respect thereto.</w:t>
      </w:r>
    </w:p>
    <w:p>
      <w:pPr>
        <w:spacing w:after="0" w:line="200" w:lineRule="exact"/>
        <w:rPr>
          <w:sz w:val="20"/>
          <w:szCs w:val="20"/>
          <w:color w:val="auto"/>
        </w:rPr>
      </w:pPr>
    </w:p>
    <w:p>
      <w:pPr>
        <w:sectPr>
          <w:pgSz w:w="11900" w:h="16838" w:orient="portrait"/>
          <w:cols w:equalWidth="0" w:num="2">
            <w:col w:w="5360" w:space="460"/>
            <w:col w:w="5360"/>
          </w:cols>
          <w:pgMar w:left="240" w:top="459" w:right="479" w:bottom="1440" w:gutter="0" w:footer="0" w:header="0"/>
          <w:type w:val="continuous"/>
        </w:sectPr>
      </w:pPr>
    </w:p>
    <w:p>
      <w:pPr>
        <w:spacing w:after="0" w:line="162" w:lineRule="exact"/>
        <w:rPr>
          <w:sz w:val="20"/>
          <w:szCs w:val="20"/>
          <w:color w:val="auto"/>
        </w:rPr>
      </w:pPr>
    </w:p>
    <w:tbl>
      <w:tblPr>
        <w:tblLayout w:type="fixed"/>
        <w:tblInd w:w="2420" w:type="dxa"/>
        <w:tblCellMar>
          <w:top w:w="0" w:type="dxa"/>
          <w:left w:w="0" w:type="dxa"/>
          <w:bottom w:w="0" w:type="dxa"/>
          <w:right w:w="0" w:type="dxa"/>
        </w:tblCellMar>
      </w:tblPr>
      <w:tr>
        <w:trPr>
          <w:trHeight w:val="368"/>
        </w:trPr>
        <w:tc>
          <w:tcPr>
            <w:tcW w:w="5180" w:type="dxa"/>
            <w:vAlign w:val="bottom"/>
            <w:gridSpan w:val="2"/>
          </w:tcPr>
          <w:p>
            <w:pPr>
              <w:ind w:left="1500"/>
              <w:spacing w:after="0"/>
              <w:rPr>
                <w:sz w:val="20"/>
                <w:szCs w:val="20"/>
                <w:color w:val="auto"/>
              </w:rPr>
            </w:pPr>
            <w:r>
              <w:rPr>
                <w:rFonts w:ascii="Arial" w:cs="Arial" w:eastAsia="Arial" w:hAnsi="Arial"/>
                <w:sz w:val="16"/>
                <w:szCs w:val="16"/>
                <w:b w:val="1"/>
                <w:bCs w:val="1"/>
                <w:color w:val="auto"/>
              </w:rPr>
              <w:t xml:space="preserve">Amount and Nature of Beneficial Ownership </w:t>
            </w:r>
            <w:r>
              <w:rPr>
                <w:rFonts w:ascii="Arial" w:cs="Arial" w:eastAsia="Arial" w:hAnsi="Arial"/>
                <w:sz w:val="27"/>
                <w:szCs w:val="27"/>
                <w:b w:val="1"/>
                <w:bCs w:val="1"/>
                <w:color w:val="auto"/>
                <w:vertAlign w:val="superscript"/>
              </w:rPr>
              <w:t>(1)</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8"/>
        </w:trPr>
        <w:tc>
          <w:tcPr>
            <w:tcW w:w="37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189"/>
        </w:trPr>
        <w:tc>
          <w:tcPr>
            <w:tcW w:w="37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3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of Common</w:t>
            </w:r>
          </w:p>
        </w:tc>
      </w:tr>
      <w:tr>
        <w:trPr>
          <w:trHeight w:val="189"/>
        </w:trPr>
        <w:tc>
          <w:tcPr>
            <w:tcW w:w="37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Beneficially</w:t>
            </w:r>
          </w:p>
        </w:tc>
        <w:tc>
          <w:tcPr>
            <w:tcW w:w="3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r>
      <w:tr>
        <w:trPr>
          <w:trHeight w:val="207"/>
        </w:trPr>
        <w:tc>
          <w:tcPr>
            <w:tcW w:w="3740" w:type="dxa"/>
            <w:vAlign w:val="bottom"/>
          </w:tcPr>
          <w:p>
            <w:pPr>
              <w:spacing w:after="0"/>
              <w:rPr>
                <w:sz w:val="18"/>
                <w:szCs w:val="18"/>
                <w:color w:val="auto"/>
              </w:rPr>
            </w:pPr>
          </w:p>
        </w:tc>
        <w:tc>
          <w:tcPr>
            <w:tcW w:w="144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5"/>
                <w:szCs w:val="15"/>
                <w:b w:val="1"/>
                <w:bCs w:val="1"/>
                <w:color w:val="auto"/>
              </w:rPr>
              <w:t>Owned</w:t>
            </w:r>
            <w:r>
              <w:rPr>
                <w:rFonts w:ascii="Arial" w:cs="Arial" w:eastAsia="Arial" w:hAnsi="Arial"/>
                <w:sz w:val="24"/>
                <w:szCs w:val="24"/>
                <w:color w:val="auto"/>
                <w:vertAlign w:val="superscript"/>
              </w:rPr>
              <w:t>(2)</w:t>
            </w:r>
          </w:p>
        </w:tc>
        <w:tc>
          <w:tcPr>
            <w:tcW w:w="3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83"/>
        </w:trPr>
        <w:tc>
          <w:tcPr>
            <w:tcW w:w="37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 William Barnett</w:t>
            </w:r>
          </w:p>
        </w:tc>
        <w:tc>
          <w:tcPr>
            <w:tcW w:w="1440" w:type="dxa"/>
            <w:vAlign w:val="bottom"/>
            <w:shd w:val="clear" w:color="auto" w:fill="CCEEFF"/>
          </w:tcPr>
          <w:p>
            <w:pPr>
              <w:jc w:val="right"/>
              <w:ind w:right="439"/>
              <w:spacing w:after="0" w:line="183" w:lineRule="exact"/>
              <w:rPr>
                <w:sz w:val="20"/>
                <w:szCs w:val="20"/>
                <w:color w:val="auto"/>
              </w:rPr>
            </w:pPr>
            <w:r>
              <w:rPr>
                <w:rFonts w:ascii="Arial" w:cs="Arial" w:eastAsia="Arial" w:hAnsi="Arial"/>
                <w:sz w:val="16"/>
                <w:szCs w:val="16"/>
                <w:color w:val="auto"/>
              </w:rPr>
              <w:t>57,927</w:t>
            </w:r>
          </w:p>
        </w:tc>
        <w:tc>
          <w:tcPr>
            <w:tcW w:w="1420" w:type="dxa"/>
            <w:vAlign w:val="bottom"/>
            <w:gridSpan w:val="2"/>
            <w:shd w:val="clear" w:color="auto" w:fill="CCEEFF"/>
          </w:tcPr>
          <w:p>
            <w:pPr>
              <w:jc w:val="center"/>
              <w:ind w:left="199"/>
              <w:spacing w:after="0" w:line="183" w:lineRule="exact"/>
              <w:rPr>
                <w:sz w:val="20"/>
                <w:szCs w:val="20"/>
                <w:color w:val="auto"/>
              </w:rPr>
            </w:pPr>
            <w:r>
              <w:rPr>
                <w:rFonts w:ascii="Arial" w:cs="Arial" w:eastAsia="Arial" w:hAnsi="Arial"/>
                <w:sz w:val="16"/>
                <w:szCs w:val="16"/>
                <w:color w:val="auto"/>
                <w:w w:val="95"/>
              </w:rPr>
              <w:t>*</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Richard Beckwitt</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11,017</w:t>
            </w:r>
          </w:p>
        </w:tc>
        <w:tc>
          <w:tcPr>
            <w:tcW w:w="1420" w:type="dxa"/>
            <w:vAlign w:val="bottom"/>
            <w:gridSpan w:val="2"/>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Ed H. Bowman</w:t>
            </w:r>
          </w:p>
        </w:tc>
        <w:tc>
          <w:tcPr>
            <w:tcW w:w="14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19,270</w:t>
            </w:r>
          </w:p>
        </w:tc>
        <w:tc>
          <w:tcPr>
            <w:tcW w:w="142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Margot L. Carter</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2,380</w:t>
            </w:r>
          </w:p>
        </w:tc>
        <w:tc>
          <w:tcPr>
            <w:tcW w:w="1420" w:type="dxa"/>
            <w:vAlign w:val="bottom"/>
            <w:gridSpan w:val="2"/>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George J. Damiris</w:t>
            </w:r>
          </w:p>
        </w:tc>
        <w:tc>
          <w:tcPr>
            <w:tcW w:w="14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3,236</w:t>
            </w:r>
          </w:p>
        </w:tc>
        <w:tc>
          <w:tcPr>
            <w:tcW w:w="142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William R. Devlin</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63,040</w:t>
            </w:r>
          </w:p>
        </w:tc>
        <w:tc>
          <w:tcPr>
            <w:tcW w:w="1420" w:type="dxa"/>
            <w:vAlign w:val="bottom"/>
            <w:gridSpan w:val="2"/>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Martin M. Ellen</w:t>
            </w:r>
          </w:p>
        </w:tc>
        <w:tc>
          <w:tcPr>
            <w:tcW w:w="14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11,782</w:t>
            </w:r>
          </w:p>
        </w:tc>
        <w:tc>
          <w:tcPr>
            <w:tcW w:w="142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3"/>
                <w:szCs w:val="13"/>
                <w:color w:val="auto"/>
              </w:rPr>
              <w:t>Gerald J. Essl</w:t>
            </w:r>
            <w:r>
              <w:rPr>
                <w:rFonts w:ascii="Arial" w:cs="Arial" w:eastAsia="Arial" w:hAnsi="Arial"/>
                <w:sz w:val="21"/>
                <w:szCs w:val="21"/>
                <w:color w:val="auto"/>
                <w:vertAlign w:val="superscript"/>
              </w:rPr>
              <w:t>(3)</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59,697</w:t>
            </w:r>
          </w:p>
        </w:tc>
        <w:tc>
          <w:tcPr>
            <w:tcW w:w="1420" w:type="dxa"/>
            <w:vAlign w:val="bottom"/>
            <w:gridSpan w:val="2"/>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James H. Graass</w:t>
            </w:r>
            <w:r>
              <w:rPr>
                <w:rFonts w:ascii="Arial" w:cs="Arial" w:eastAsia="Arial" w:hAnsi="Arial"/>
                <w:sz w:val="21"/>
                <w:szCs w:val="21"/>
                <w:color w:val="auto"/>
                <w:vertAlign w:val="superscript"/>
              </w:rPr>
              <w:t>(4)</w:t>
            </w:r>
          </w:p>
        </w:tc>
        <w:tc>
          <w:tcPr>
            <w:tcW w:w="14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127,695</w:t>
            </w:r>
          </w:p>
        </w:tc>
        <w:tc>
          <w:tcPr>
            <w:tcW w:w="142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3"/>
                <w:szCs w:val="13"/>
                <w:color w:val="auto"/>
              </w:rPr>
              <w:t>Michael Haack</w:t>
            </w:r>
            <w:r>
              <w:rPr>
                <w:rFonts w:ascii="Arial" w:cs="Arial" w:eastAsia="Arial" w:hAnsi="Arial"/>
                <w:sz w:val="21"/>
                <w:szCs w:val="21"/>
                <w:color w:val="auto"/>
                <w:vertAlign w:val="superscript"/>
              </w:rPr>
              <w:t>(5)</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103,303</w:t>
            </w:r>
          </w:p>
        </w:tc>
        <w:tc>
          <w:tcPr>
            <w:tcW w:w="1420" w:type="dxa"/>
            <w:vAlign w:val="bottom"/>
            <w:gridSpan w:val="2"/>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D. Craig Kesler</w:t>
            </w:r>
            <w:r>
              <w:rPr>
                <w:rFonts w:ascii="Arial" w:cs="Arial" w:eastAsia="Arial" w:hAnsi="Arial"/>
                <w:sz w:val="21"/>
                <w:szCs w:val="21"/>
                <w:color w:val="auto"/>
                <w:vertAlign w:val="superscript"/>
              </w:rPr>
              <w:t>(6)</w:t>
            </w:r>
          </w:p>
        </w:tc>
        <w:tc>
          <w:tcPr>
            <w:tcW w:w="14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124,507</w:t>
            </w:r>
          </w:p>
        </w:tc>
        <w:tc>
          <w:tcPr>
            <w:tcW w:w="142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Keith Metcalf</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120,345</w:t>
            </w:r>
          </w:p>
        </w:tc>
        <w:tc>
          <w:tcPr>
            <w:tcW w:w="1420" w:type="dxa"/>
            <w:vAlign w:val="bottom"/>
            <w:gridSpan w:val="2"/>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Michael R. Nicolais</w:t>
            </w:r>
            <w:r>
              <w:rPr>
                <w:rFonts w:ascii="Arial" w:cs="Arial" w:eastAsia="Arial" w:hAnsi="Arial"/>
                <w:sz w:val="21"/>
                <w:szCs w:val="21"/>
                <w:color w:val="auto"/>
                <w:vertAlign w:val="superscript"/>
              </w:rPr>
              <w:t>(7)</w:t>
            </w:r>
          </w:p>
        </w:tc>
        <w:tc>
          <w:tcPr>
            <w:tcW w:w="14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48,740</w:t>
            </w:r>
          </w:p>
        </w:tc>
        <w:tc>
          <w:tcPr>
            <w:tcW w:w="142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David B. Powers</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158,807</w:t>
            </w:r>
          </w:p>
        </w:tc>
        <w:tc>
          <w:tcPr>
            <w:tcW w:w="1420" w:type="dxa"/>
            <w:vAlign w:val="bottom"/>
            <w:gridSpan w:val="2"/>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Richard R. Stewart</w:t>
            </w:r>
            <w:r>
              <w:rPr>
                <w:rFonts w:ascii="Arial" w:cs="Arial" w:eastAsia="Arial" w:hAnsi="Arial"/>
                <w:sz w:val="21"/>
                <w:szCs w:val="21"/>
                <w:color w:val="auto"/>
                <w:vertAlign w:val="superscript"/>
              </w:rPr>
              <w:t>(8)</w:t>
            </w:r>
          </w:p>
        </w:tc>
        <w:tc>
          <w:tcPr>
            <w:tcW w:w="14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22,002</w:t>
            </w:r>
          </w:p>
        </w:tc>
        <w:tc>
          <w:tcPr>
            <w:tcW w:w="142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5"/>
              </w:rPr>
              <w:t>*</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Robert S. Stewart</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46,272</w:t>
            </w:r>
          </w:p>
        </w:tc>
        <w:tc>
          <w:tcPr>
            <w:tcW w:w="1420" w:type="dxa"/>
            <w:vAlign w:val="bottom"/>
            <w:gridSpan w:val="2"/>
          </w:tcPr>
          <w:p>
            <w:pPr>
              <w:jc w:val="center"/>
              <w:ind w:left="199"/>
              <w:spacing w:after="0"/>
              <w:rPr>
                <w:sz w:val="20"/>
                <w:szCs w:val="20"/>
                <w:color w:val="auto"/>
              </w:rPr>
            </w:pPr>
            <w:r>
              <w:rPr>
                <w:rFonts w:ascii="Arial" w:cs="Arial" w:eastAsia="Arial" w:hAnsi="Arial"/>
                <w:sz w:val="16"/>
                <w:szCs w:val="16"/>
                <w:color w:val="auto"/>
                <w:w w:val="95"/>
              </w:rPr>
              <w:t>*</w:t>
            </w:r>
          </w:p>
        </w:tc>
      </w:tr>
      <w:tr>
        <w:trPr>
          <w:trHeight w:val="191"/>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All current directors, nominees and executive</w:t>
            </w:r>
          </w:p>
        </w:tc>
        <w:tc>
          <w:tcPr>
            <w:tcW w:w="1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7"/>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officers as a group (16 persons)</w:t>
            </w:r>
          </w:p>
        </w:tc>
        <w:tc>
          <w:tcPr>
            <w:tcW w:w="14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980,020</w:t>
            </w:r>
          </w:p>
        </w:tc>
        <w:tc>
          <w:tcPr>
            <w:tcW w:w="142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8"/>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18180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Less than 1%</w:t>
      </w:r>
    </w:p>
    <w:p>
      <w:pPr>
        <w:spacing w:after="0" w:line="117" w:lineRule="exact"/>
        <w:rPr>
          <w:sz w:val="20"/>
          <w:szCs w:val="20"/>
          <w:color w:val="auto"/>
        </w:rPr>
      </w:pPr>
    </w:p>
    <w:p>
      <w:pPr>
        <w:ind w:left="560" w:hanging="356"/>
        <w:spacing w:after="0" w:line="236"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560" w:right="480"/>
        <w:spacing w:after="0"/>
        <w:rPr>
          <w:sz w:val="20"/>
          <w:szCs w:val="20"/>
          <w:color w:val="auto"/>
        </w:rPr>
      </w:pPr>
      <w:r>
        <w:rPr>
          <w:rFonts w:ascii="Arial" w:cs="Arial" w:eastAsia="Arial" w:hAnsi="Arial"/>
          <w:sz w:val="18"/>
          <w:szCs w:val="18"/>
          <w:color w:val="auto"/>
        </w:rPr>
        <w:t>deemed to be outstanding, but are not deemed to be outstanding for the purpose of computing the percentage ownership of any other persons.</w:t>
      </w:r>
    </w:p>
    <w:p>
      <w:pPr>
        <w:spacing w:after="0" w:line="108" w:lineRule="exact"/>
        <w:rPr>
          <w:sz w:val="20"/>
          <w:szCs w:val="20"/>
          <w:color w:val="auto"/>
        </w:rPr>
      </w:pPr>
    </w:p>
    <w:p>
      <w:pPr>
        <w:ind w:left="560" w:right="180" w:hanging="356"/>
        <w:spacing w:after="0" w:line="237" w:lineRule="auto"/>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include the following shares of Common Stock that may be acquired upon exercise of stock options awarded under our Incentive Plan: Mr. Barnett – 33,821 shares; Mr. Beckwitt – 2,070 shares; Mr. Bowman – 6,293 shares; Mr. Devlin – 30,966 shares; Mr. Ellen – 6,917 shares; Mr. Essl – 23,801 shares; Mr. Graass – 65,196 shares; Mr. Haack – 70,389 shares; Mr. Kesler – 60,063 shares; Mr. Metcalf</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ectPr>
          <w:pgSz w:w="11900" w:h="16838" w:orient="portrait"/>
          <w:cols w:equalWidth="0" w:num="2">
            <w:col w:w="5460" w:space="160"/>
            <w:col w:w="5560"/>
          </w:cols>
          <w:pgMar w:left="240" w:top="459" w:right="4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560"/>
        <w:spacing w:after="0" w:line="234" w:lineRule="auto"/>
        <w:rPr>
          <w:sz w:val="20"/>
          <w:szCs w:val="20"/>
          <w:color w:val="auto"/>
        </w:rPr>
      </w:pPr>
      <w:r>
        <w:rPr>
          <w:rFonts w:ascii="Arial" w:cs="Arial" w:eastAsia="Arial" w:hAnsi="Arial"/>
          <w:sz w:val="18"/>
          <w:szCs w:val="18"/>
          <w:color w:val="auto"/>
        </w:rPr>
        <w:t>– 69,249 shares; Mr. Nicolais – 17,267 shares; Mr. Powers – 31,091 shares; Mr. Richard Stewart – 9,942 shares;</w:t>
      </w:r>
    </w:p>
    <w:p>
      <w:pPr>
        <w:spacing w:after="0" w:line="2" w:lineRule="exact"/>
        <w:rPr>
          <w:sz w:val="20"/>
          <w:szCs w:val="20"/>
          <w:color w:val="auto"/>
        </w:rPr>
      </w:pPr>
    </w:p>
    <w:p>
      <w:pPr>
        <w:ind w:left="560"/>
        <w:spacing w:after="0" w:line="234" w:lineRule="auto"/>
        <w:rPr>
          <w:sz w:val="20"/>
          <w:szCs w:val="20"/>
          <w:color w:val="auto"/>
        </w:rPr>
      </w:pPr>
      <w:r>
        <w:rPr>
          <w:rFonts w:ascii="Arial" w:cs="Arial" w:eastAsia="Arial" w:hAnsi="Arial"/>
          <w:sz w:val="18"/>
          <w:szCs w:val="18"/>
          <w:color w:val="auto"/>
        </w:rPr>
        <w:t>Mr. Robert Stewart – 4,711 shares; and all directors and executive officers of the Company as a group (16 persons) – 431,776 shares. In addition, this table includes shares of Common Stock that are held for the account of participants as of June 20, 2019, pursuant to the Common Stock fund of the Retirement Plan, as follows: Mr. Devlin – 1,913 shares; Mr. Graass – 1,111 shares; Mr. Kesler – 1,926 shares;</w:t>
      </w:r>
    </w:p>
    <w:p>
      <w:pPr>
        <w:spacing w:after="0" w:line="5" w:lineRule="exact"/>
        <w:rPr>
          <w:sz w:val="20"/>
          <w:szCs w:val="20"/>
          <w:color w:val="auto"/>
        </w:rPr>
      </w:pPr>
    </w:p>
    <w:p>
      <w:pPr>
        <w:ind w:left="560" w:right="40"/>
        <w:spacing w:after="0" w:line="237" w:lineRule="auto"/>
        <w:rPr>
          <w:sz w:val="20"/>
          <w:szCs w:val="20"/>
          <w:color w:val="auto"/>
        </w:rPr>
      </w:pPr>
      <w:r>
        <w:rPr>
          <w:rFonts w:ascii="Arial" w:cs="Arial" w:eastAsia="Arial" w:hAnsi="Arial"/>
          <w:sz w:val="18"/>
          <w:szCs w:val="18"/>
          <w:color w:val="auto"/>
        </w:rPr>
        <w:t>Mr. Metcalf – 3,989 shares; Mr. Powers – 1,502 shares; and all directors and executive officers of the Company as a group (16 persons) – 10,441 shares. These amounts do not include the RSUs previously granted to the non-employee directors (including dividend equivalent units accrued since the date of grant) disclosed in the table on page 12 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560" w:right="520" w:hanging="356"/>
        <w:spacing w:after="0" w:line="246"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3,000 shares of Common Stock held in trust for Mr. Essl’s son.</w:t>
      </w:r>
    </w:p>
    <w:p>
      <w:pPr>
        <w:spacing w:after="0" w:line="102" w:lineRule="exact"/>
        <w:rPr>
          <w:rFonts w:ascii="Arial" w:cs="Arial" w:eastAsia="Arial" w:hAnsi="Arial"/>
          <w:sz w:val="18"/>
          <w:szCs w:val="18"/>
          <w:color w:val="auto"/>
        </w:rPr>
      </w:pPr>
    </w:p>
    <w:p>
      <w:pPr>
        <w:ind w:left="560" w:right="160" w:hanging="356"/>
        <w:spacing w:after="0" w:line="246"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543 shares of Common Stock held in an IRA owned by Mr. Graass.</w:t>
      </w:r>
    </w:p>
    <w:p>
      <w:pPr>
        <w:spacing w:after="0" w:line="102" w:lineRule="exact"/>
        <w:rPr>
          <w:rFonts w:ascii="Arial" w:cs="Arial" w:eastAsia="Arial" w:hAnsi="Arial"/>
          <w:sz w:val="18"/>
          <w:szCs w:val="18"/>
          <w:color w:val="auto"/>
        </w:rPr>
      </w:pPr>
    </w:p>
    <w:p>
      <w:pPr>
        <w:ind w:left="560" w:right="420" w:hanging="356"/>
        <w:spacing w:after="0"/>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2,000 shares of Common Stock representing the unvested shares under a restricted stock award made to Mr. Haack on December 1, 2014.</w:t>
      </w:r>
    </w:p>
    <w:p>
      <w:pPr>
        <w:spacing w:after="0" w:line="108" w:lineRule="exact"/>
        <w:rPr>
          <w:rFonts w:ascii="Arial" w:cs="Arial" w:eastAsia="Arial" w:hAnsi="Arial"/>
          <w:sz w:val="18"/>
          <w:szCs w:val="18"/>
          <w:color w:val="auto"/>
        </w:rPr>
      </w:pPr>
    </w:p>
    <w:p>
      <w:pPr>
        <w:ind w:left="560" w:right="940" w:hanging="356"/>
        <w:spacing w:after="0" w:line="246"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Also includes 160 shares of Common Stock held in Mr. Kesler’s IRA.</w:t>
      </w:r>
    </w:p>
    <w:p>
      <w:pPr>
        <w:spacing w:after="0" w:line="102" w:lineRule="exact"/>
        <w:rPr>
          <w:rFonts w:ascii="Arial" w:cs="Arial" w:eastAsia="Arial" w:hAnsi="Arial"/>
          <w:sz w:val="18"/>
          <w:szCs w:val="18"/>
          <w:color w:val="auto"/>
        </w:rPr>
      </w:pPr>
    </w:p>
    <w:p>
      <w:pPr>
        <w:jc w:val="both"/>
        <w:ind w:left="560" w:hanging="356"/>
        <w:spacing w:after="0" w:line="234"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(a) 1,386 shares of Common Stock owned by the wife of Mr. Nicolais; (b) 1,550 shares of Common Stock held by the profit sharing plan of the employer of Mr. Nicolais; and (c)</w:t>
      </w:r>
    </w:p>
    <w:p>
      <w:pPr>
        <w:spacing w:after="0" w:line="2" w:lineRule="exact"/>
        <w:rPr>
          <w:rFonts w:ascii="Arial" w:cs="Arial" w:eastAsia="Arial" w:hAnsi="Arial"/>
          <w:sz w:val="18"/>
          <w:szCs w:val="18"/>
          <w:color w:val="auto"/>
        </w:rPr>
      </w:pPr>
    </w:p>
    <w:p>
      <w:pPr>
        <w:ind w:left="560" w:right="480"/>
        <w:spacing w:after="0" w:line="246" w:lineRule="auto"/>
        <w:rPr>
          <w:rFonts w:ascii="Arial" w:cs="Arial" w:eastAsia="Arial" w:hAnsi="Arial"/>
          <w:sz w:val="18"/>
          <w:szCs w:val="18"/>
          <w:color w:val="auto"/>
        </w:rPr>
      </w:pPr>
      <w:r>
        <w:rPr>
          <w:rFonts w:ascii="Arial" w:cs="Arial" w:eastAsia="Arial" w:hAnsi="Arial"/>
          <w:sz w:val="18"/>
          <w:szCs w:val="18"/>
          <w:color w:val="auto"/>
        </w:rPr>
        <w:t>3,500 shares of Common Stock held in an IRA owned by Mr. Nicolais.</w:t>
      </w:r>
    </w:p>
    <w:p>
      <w:pPr>
        <w:spacing w:after="0" w:line="102" w:lineRule="exact"/>
        <w:rPr>
          <w:rFonts w:ascii="Arial" w:cs="Arial" w:eastAsia="Arial" w:hAnsi="Arial"/>
          <w:sz w:val="18"/>
          <w:szCs w:val="18"/>
          <w:color w:val="auto"/>
        </w:rPr>
      </w:pPr>
    </w:p>
    <w:p>
      <w:pPr>
        <w:ind w:left="560" w:hanging="356"/>
        <w:spacing w:after="0"/>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7,503 shares owned by Stewart Family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-2891790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ectPr>
          <w:pgSz w:w="11900" w:h="16838" w:orient="portrait"/>
          <w:cols w:equalWidth="0" w:num="2">
            <w:col w:w="5380" w:space="240"/>
            <w:col w:w="558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Certain Beneficial Owners</w:t>
      </w:r>
    </w:p>
    <w:p>
      <w:pPr>
        <w:spacing w:after="0" w:line="126"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w:t>
      </w:r>
    </w:p>
    <w:p>
      <w:pPr>
        <w:spacing w:after="0" w:line="363"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Name and Address</w:t>
      </w:r>
    </w:p>
    <w:p>
      <w:pPr>
        <w:spacing w:after="0" w:line="25"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10795</wp:posOffset>
            </wp:positionV>
            <wp:extent cx="28130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(1)</w:t>
      </w:r>
    </w:p>
    <w:p>
      <w:pPr>
        <w:ind w:left="1720"/>
        <w:spacing w:after="0" w:line="237" w:lineRule="auto"/>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NY 10055</w:t>
      </w:r>
    </w:p>
    <w:p>
      <w:pPr>
        <w:spacing w:after="0" w:line="221"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5"/>
          <w:szCs w:val="15"/>
          <w:color w:val="auto"/>
        </w:rPr>
        <w:t>(2)</w:t>
      </w:r>
    </w:p>
    <w:p>
      <w:pPr>
        <w:jc w:val="right"/>
        <w:ind w:right="2160"/>
        <w:spacing w:after="0" w:line="234" w:lineRule="auto"/>
        <w:rPr>
          <w:sz w:val="20"/>
          <w:szCs w:val="20"/>
          <w:color w:val="auto"/>
        </w:rPr>
      </w:pPr>
      <w:r>
        <w:rPr>
          <w:rFonts w:ascii="Arial" w:cs="Arial" w:eastAsia="Arial" w:hAnsi="Arial"/>
          <w:sz w:val="18"/>
          <w:szCs w:val="18"/>
          <w:color w:val="auto"/>
        </w:rPr>
        <w:t>100 Vanguard Blvd.</w:t>
      </w:r>
    </w:p>
    <w:p>
      <w:pPr>
        <w:spacing w:after="0" w:line="1"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Malvern, PA 19355</w:t>
      </w:r>
    </w:p>
    <w:p>
      <w:pPr>
        <w:spacing w:after="0" w:line="223" w:lineRule="exact"/>
        <w:rPr>
          <w:sz w:val="20"/>
          <w:szCs w:val="20"/>
          <w:color w:val="auto"/>
        </w:rPr>
      </w:pPr>
    </w:p>
    <w:p>
      <w:pPr>
        <w:ind w:left="1720" w:right="780" w:hanging="399"/>
        <w:spacing w:after="0" w:line="242" w:lineRule="auto"/>
        <w:rPr>
          <w:sz w:val="20"/>
          <w:szCs w:val="20"/>
          <w:color w:val="auto"/>
        </w:rPr>
      </w:pPr>
      <w:r>
        <w:rPr>
          <w:rFonts w:ascii="Arial" w:cs="Arial" w:eastAsia="Arial" w:hAnsi="Arial"/>
          <w:sz w:val="18"/>
          <w:szCs w:val="18"/>
          <w:color w:val="auto"/>
        </w:rPr>
        <w:t xml:space="preserve">Sachem Head Capital Management LP </w:t>
      </w:r>
      <w:r>
        <w:rPr>
          <w:rFonts w:ascii="Arial" w:cs="Arial" w:eastAsia="Arial" w:hAnsi="Arial"/>
          <w:sz w:val="15"/>
          <w:szCs w:val="15"/>
          <w:color w:val="auto"/>
        </w:rPr>
        <w:t>(3)</w:t>
      </w:r>
      <w:r>
        <w:rPr>
          <w:rFonts w:ascii="Arial" w:cs="Arial" w:eastAsia="Arial" w:hAnsi="Arial"/>
          <w:sz w:val="18"/>
          <w:szCs w:val="18"/>
          <w:color w:val="auto"/>
        </w:rPr>
        <w:t xml:space="preserve"> 250 West 55th Street, 34</w:t>
      </w:r>
      <w:r>
        <w:rPr>
          <w:rFonts w:ascii="Arial" w:cs="Arial" w:eastAsia="Arial" w:hAnsi="Arial"/>
          <w:sz w:val="15"/>
          <w:szCs w:val="15"/>
          <w:color w:val="auto"/>
        </w:rPr>
        <w:t>th</w:t>
      </w:r>
      <w:r>
        <w:rPr>
          <w:rFonts w:ascii="Arial" w:cs="Arial" w:eastAsia="Arial" w:hAnsi="Arial"/>
          <w:sz w:val="18"/>
          <w:szCs w:val="18"/>
          <w:color w:val="auto"/>
        </w:rPr>
        <w:t xml:space="preserve"> Floor New York, NY 10019</w:t>
      </w:r>
    </w:p>
    <w:p>
      <w:pPr>
        <w:spacing w:after="0" w:line="20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Wells Fargo &amp; Company </w:t>
      </w:r>
      <w:r>
        <w:rPr>
          <w:rFonts w:ascii="Arial" w:cs="Arial" w:eastAsia="Arial" w:hAnsi="Arial"/>
          <w:sz w:val="15"/>
          <w:szCs w:val="15"/>
          <w:color w:val="auto"/>
        </w:rPr>
        <w:t>(4)</w:t>
      </w:r>
    </w:p>
    <w:p>
      <w:pPr>
        <w:ind w:left="1720"/>
        <w:spacing w:after="0" w:line="234" w:lineRule="auto"/>
        <w:rPr>
          <w:sz w:val="20"/>
          <w:szCs w:val="20"/>
          <w:color w:val="auto"/>
        </w:rPr>
      </w:pPr>
      <w:r>
        <w:rPr>
          <w:rFonts w:ascii="Arial" w:cs="Arial" w:eastAsia="Arial" w:hAnsi="Arial"/>
          <w:sz w:val="18"/>
          <w:szCs w:val="18"/>
          <w:color w:val="auto"/>
        </w:rPr>
        <w:t>420 Montgomery Street</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San Francisco, CA 94163</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Adage Capital Partners, L.P. </w:t>
      </w:r>
      <w:r>
        <w:rPr>
          <w:rFonts w:ascii="Arial" w:cs="Arial" w:eastAsia="Arial" w:hAnsi="Arial"/>
          <w:sz w:val="15"/>
          <w:szCs w:val="15"/>
          <w:color w:val="auto"/>
        </w:rPr>
        <w:t>(5)</w:t>
      </w:r>
    </w:p>
    <w:p>
      <w:pPr>
        <w:ind w:left="1720"/>
        <w:spacing w:after="0" w:line="237" w:lineRule="auto"/>
        <w:rPr>
          <w:sz w:val="20"/>
          <w:szCs w:val="20"/>
          <w:color w:val="auto"/>
        </w:rPr>
      </w:pPr>
      <w:r>
        <w:rPr>
          <w:rFonts w:ascii="Arial" w:cs="Arial" w:eastAsia="Arial" w:hAnsi="Arial"/>
          <w:sz w:val="18"/>
          <w:szCs w:val="18"/>
          <w:color w:val="auto"/>
        </w:rPr>
        <w:t>200 Clarendon Street, 52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Boston, MA 02116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8180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20, 2019, the record date for our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-1351915</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236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rPr>
              <w:t>Number of Shares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Percentage of</w:t>
            </w:r>
          </w:p>
        </w:tc>
      </w:tr>
      <w:tr>
        <w:trPr>
          <w:trHeight w:val="207"/>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Beneficially Owned</w:t>
            </w:r>
          </w:p>
        </w:tc>
        <w:tc>
          <w:tcPr>
            <w:tcW w:w="68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128905</wp:posOffset>
            </wp:positionV>
            <wp:extent cx="5591175" cy="394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91175" cy="394335"/>
                    </a:xfrm>
                    <a:prstGeom prst="rect">
                      <a:avLst/>
                    </a:prstGeom>
                    <a:noFill/>
                  </pic:spPr>
                </pic:pic>
              </a:graphicData>
            </a:graphic>
          </wp:anchor>
        </w:drawing>
      </w:r>
    </w:p>
    <w:p>
      <w:pPr>
        <w:spacing w:after="0" w:line="384" w:lineRule="exact"/>
        <w:rPr>
          <w:sz w:val="20"/>
          <w:szCs w:val="20"/>
          <w:color w:val="auto"/>
        </w:rPr>
      </w:pPr>
    </w:p>
    <w:p>
      <w:pPr>
        <w:ind w:left="1020"/>
        <w:spacing w:after="0"/>
        <w:tabs>
          <w:tab w:leader="none" w:pos="3340" w:val="left"/>
        </w:tabs>
        <w:rPr>
          <w:sz w:val="20"/>
          <w:szCs w:val="20"/>
          <w:color w:val="auto"/>
        </w:rPr>
      </w:pPr>
      <w:r>
        <w:rPr>
          <w:rFonts w:ascii="Arial" w:cs="Arial" w:eastAsia="Arial" w:hAnsi="Arial"/>
          <w:sz w:val="18"/>
          <w:szCs w:val="18"/>
          <w:color w:val="auto"/>
        </w:rPr>
        <w:t>4,328,050</w:t>
      </w:r>
      <w:r>
        <w:rPr>
          <w:sz w:val="20"/>
          <w:szCs w:val="20"/>
          <w:color w:val="auto"/>
        </w:rPr>
        <w:tab/>
      </w:r>
      <w:r>
        <w:rPr>
          <w:rFonts w:ascii="Arial" w:cs="Arial" w:eastAsia="Arial" w:hAnsi="Arial"/>
          <w:sz w:val="18"/>
          <w:szCs w:val="18"/>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20"/>
        <w:spacing w:after="0"/>
        <w:tabs>
          <w:tab w:leader="none" w:pos="3380" w:val="left"/>
        </w:tabs>
        <w:rPr>
          <w:sz w:val="20"/>
          <w:szCs w:val="20"/>
          <w:color w:val="auto"/>
        </w:rPr>
      </w:pPr>
      <w:r>
        <w:rPr>
          <w:rFonts w:ascii="Arial" w:cs="Arial" w:eastAsia="Arial" w:hAnsi="Arial"/>
          <w:sz w:val="18"/>
          <w:szCs w:val="18"/>
          <w:color w:val="auto"/>
        </w:rPr>
        <w:t>4,124,309</w:t>
      </w:r>
      <w:r>
        <w:rPr>
          <w:sz w:val="20"/>
          <w:szCs w:val="20"/>
          <w:color w:val="auto"/>
        </w:rPr>
        <w:tab/>
      </w: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272415</wp:posOffset>
            </wp:positionV>
            <wp:extent cx="5591175" cy="394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911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20"/>
        <w:spacing w:after="0"/>
        <w:tabs>
          <w:tab w:leader="none" w:pos="3380" w:val="left"/>
        </w:tabs>
        <w:rPr>
          <w:sz w:val="20"/>
          <w:szCs w:val="20"/>
          <w:color w:val="auto"/>
        </w:rPr>
      </w:pPr>
      <w:r>
        <w:rPr>
          <w:rFonts w:ascii="Arial" w:cs="Arial" w:eastAsia="Arial" w:hAnsi="Arial"/>
          <w:sz w:val="18"/>
          <w:szCs w:val="18"/>
          <w:color w:val="auto"/>
        </w:rPr>
        <w:t>3,670,000</w:t>
      </w:r>
      <w:r>
        <w:rPr>
          <w:sz w:val="20"/>
          <w:szCs w:val="20"/>
          <w:color w:val="auto"/>
        </w:rPr>
        <w:tab/>
      </w:r>
      <w:r>
        <w:rPr>
          <w:rFonts w:ascii="Arial" w:cs="Arial" w:eastAsia="Arial" w:hAnsi="Arial"/>
          <w:sz w:val="18"/>
          <w:szCs w:val="18"/>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20"/>
        <w:spacing w:after="0"/>
        <w:tabs>
          <w:tab w:leader="none" w:pos="3380" w:val="left"/>
        </w:tabs>
        <w:rPr>
          <w:sz w:val="20"/>
          <w:szCs w:val="20"/>
          <w:color w:val="auto"/>
        </w:rPr>
      </w:pPr>
      <w:r>
        <w:rPr>
          <w:rFonts w:ascii="Arial" w:cs="Arial" w:eastAsia="Arial" w:hAnsi="Arial"/>
          <w:sz w:val="18"/>
          <w:szCs w:val="18"/>
          <w:color w:val="auto"/>
        </w:rPr>
        <w:t>2,577,327</w:t>
      </w:r>
      <w:r>
        <w:rPr>
          <w:sz w:val="20"/>
          <w:szCs w:val="20"/>
          <w:color w:val="auto"/>
        </w:rPr>
        <w:tab/>
      </w: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272415</wp:posOffset>
            </wp:positionV>
            <wp:extent cx="5591175" cy="394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911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20"/>
        <w:spacing w:after="0"/>
        <w:tabs>
          <w:tab w:leader="none" w:pos="3380" w:val="left"/>
        </w:tabs>
        <w:rPr>
          <w:sz w:val="20"/>
          <w:szCs w:val="20"/>
          <w:color w:val="auto"/>
        </w:rPr>
      </w:pPr>
      <w:r>
        <w:rPr>
          <w:rFonts w:ascii="Arial" w:cs="Arial" w:eastAsia="Arial" w:hAnsi="Arial"/>
          <w:sz w:val="18"/>
          <w:szCs w:val="18"/>
          <w:color w:val="auto"/>
        </w:rPr>
        <w:t>2,251,326</w:t>
      </w:r>
      <w:r>
        <w:rPr>
          <w:sz w:val="20"/>
          <w:szCs w:val="20"/>
          <w:color w:val="auto"/>
        </w:rPr>
        <w:tab/>
      </w:r>
      <w:r>
        <w:rPr>
          <w:rFonts w:ascii="Arial" w:cs="Arial" w:eastAsia="Arial" w:hAnsi="Arial"/>
          <w:sz w:val="18"/>
          <w:szCs w:val="18"/>
          <w:color w:val="auto"/>
        </w:rPr>
        <w:t>5.2%</w:t>
      </w:r>
    </w:p>
    <w:p>
      <w:pPr>
        <w:spacing w:after="0" w:line="402" w:lineRule="exact"/>
        <w:rPr>
          <w:sz w:val="20"/>
          <w:szCs w:val="20"/>
          <w:color w:val="auto"/>
        </w:rPr>
      </w:pPr>
    </w:p>
    <w:p>
      <w:pPr>
        <w:sectPr>
          <w:pgSz w:w="11900" w:h="16838" w:orient="portrait"/>
          <w:cols w:equalWidth="0" w:num="2">
            <w:col w:w="5440" w:space="380"/>
            <w:col w:w="5380"/>
          </w:cols>
          <w:pgMar w:left="240" w:top="459" w:right="459" w:bottom="1440" w:gutter="0" w:footer="0" w:header="0"/>
        </w:sectPr>
      </w:pPr>
    </w:p>
    <w:p>
      <w:pPr>
        <w:spacing w:after="0" w:line="295" w:lineRule="exact"/>
        <w:rPr>
          <w:sz w:val="20"/>
          <w:szCs w:val="20"/>
          <w:color w:val="auto"/>
        </w:rPr>
      </w:pPr>
    </w:p>
    <w:p>
      <w:pPr>
        <w:ind w:left="560" w:right="60" w:hanging="356"/>
        <w:spacing w:after="0" w:line="238"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4, 2019. Of the shares reported in the Schedule 13G/A, BlackRock, Inc. has sole voting power with respect to 4,142,569 shares and sole dispositive power with respect to 4,328,050 shares.</w:t>
      </w:r>
    </w:p>
    <w:p>
      <w:pPr>
        <w:spacing w:after="0" w:line="108" w:lineRule="exact"/>
        <w:rPr>
          <w:rFonts w:ascii="Arial" w:cs="Arial" w:eastAsia="Arial" w:hAnsi="Arial"/>
          <w:sz w:val="18"/>
          <w:szCs w:val="18"/>
          <w:color w:val="auto"/>
        </w:rPr>
      </w:pPr>
    </w:p>
    <w:p>
      <w:pPr>
        <w:ind w:left="560" w:hanging="356"/>
        <w:spacing w:after="0" w:line="248" w:lineRule="auto"/>
        <w:tabs>
          <w:tab w:leader="none" w:pos="5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13G/A filed with the SEC on February 11, 2019. Of the shares reported in the Schedule 13G/A, The Vanguard Group has (i) sole voting power with respect to 25,524 shares;</w:t>
      </w:r>
    </w:p>
    <w:p>
      <w:pPr>
        <w:spacing w:after="0" w:line="2" w:lineRule="exact"/>
        <w:rPr>
          <w:rFonts w:ascii="Arial" w:cs="Arial" w:eastAsia="Arial" w:hAnsi="Arial"/>
          <w:sz w:val="17"/>
          <w:szCs w:val="17"/>
          <w:color w:val="auto"/>
        </w:rPr>
      </w:pPr>
    </w:p>
    <w:p>
      <w:pPr>
        <w:ind w:left="560" w:firstLine="9"/>
        <w:spacing w:after="0" w:line="234" w:lineRule="auto"/>
        <w:tabs>
          <w:tab w:leader="none" w:pos="81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shared voting power with respect to 6,311 shares; (iii) sole dispositive power with respect to 4,097,363 shares; and</w:t>
      </w:r>
    </w:p>
    <w:p>
      <w:pPr>
        <w:spacing w:after="0" w:line="1" w:lineRule="exact"/>
        <w:rPr>
          <w:rFonts w:ascii="Arial" w:cs="Arial" w:eastAsia="Arial" w:hAnsi="Arial"/>
          <w:sz w:val="18"/>
          <w:szCs w:val="18"/>
          <w:color w:val="auto"/>
        </w:rPr>
      </w:pPr>
    </w:p>
    <w:p>
      <w:pPr>
        <w:ind w:left="860" w:hanging="291"/>
        <w:spacing w:after="0"/>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shared dispositive power with respect to 29,946 shares.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356" w:right="20" w:hanging="356"/>
        <w:spacing w:after="0" w:line="237" w:lineRule="auto"/>
        <w:tabs>
          <w:tab w:leader="none" w:pos="3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13D filed with the SEC on March 28, 2019, a Schedule 13D/A filed with the SEC on May 8, 2019, and a Schedule 13D/A filed with the SEC on May 30, 2019. Of the shares reported in the Schedule 13Ds, Sachem Head has shared voting power with respect to 3,670,000 shares and shared dispositive power with respect to 3,670,000 shares.</w:t>
      </w:r>
    </w:p>
    <w:p>
      <w:pPr>
        <w:spacing w:after="0" w:line="108" w:lineRule="exact"/>
        <w:rPr>
          <w:rFonts w:ascii="Arial" w:cs="Arial" w:eastAsia="Arial" w:hAnsi="Arial"/>
          <w:sz w:val="18"/>
          <w:szCs w:val="18"/>
          <w:color w:val="auto"/>
        </w:rPr>
      </w:pPr>
    </w:p>
    <w:p>
      <w:pPr>
        <w:ind w:left="356" w:hanging="356"/>
        <w:spacing w:after="0" w:line="237" w:lineRule="auto"/>
        <w:tabs>
          <w:tab w:leader="none" w:pos="3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 filed with the SEC on January 22, 2019. Of the shares reported in the Schedule 13G, Wells Fargo &amp; Company has (i) sole voting power with respect to 19,688 shares; (ii) shared voting power with respect to 2,067,915 shares; (iii) sole dispositive power with respect to 19,688 shares; and (iv) shared dispositive power with respect to 2,557,639 shares.</w:t>
      </w:r>
    </w:p>
    <w:p>
      <w:pPr>
        <w:spacing w:after="0" w:line="200" w:lineRule="exact"/>
        <w:rPr>
          <w:sz w:val="20"/>
          <w:szCs w:val="20"/>
          <w:color w:val="auto"/>
        </w:rPr>
      </w:pPr>
    </w:p>
    <w:p>
      <w:pPr>
        <w:sectPr>
          <w:pgSz w:w="11900" w:h="16838" w:orient="portrait"/>
          <w:cols w:equalWidth="0" w:num="2">
            <w:col w:w="5460" w:space="364"/>
            <w:col w:w="5376"/>
          </w:cols>
          <w:pgMar w:left="240" w:top="459" w:right="459" w:bottom="1440" w:gutter="0" w:footer="0" w:header="0"/>
          <w:type w:val="continuous"/>
        </w:sectPr>
      </w:pPr>
    </w:p>
    <w:p>
      <w:pPr>
        <w:spacing w:after="0" w:line="7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00"/>
          </w:cols>
          <w:pgMar w:left="240" w:top="459" w:right="45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560" w:right="4779" w:hanging="356"/>
        <w:spacing w:after="0" w:line="237" w:lineRule="auto"/>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 filed with the SEC on January 18, 2019. Of the shares reported in the Schedule 13G, Adage Capital Partners, L.P. has (i) shared voting power with respect to 2,251,326 shares; and (ii) shared dispositive power with respect to 2,251,326 shares.</w:t>
      </w:r>
    </w:p>
    <w:p>
      <w:pPr>
        <w:spacing w:after="0" w:line="286"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45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23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Our code of conduct adopted by the Board, which we refer to as “The Eagle Way,” includes provisions addressing conflicts of interest which arise when a director, officer, or employee has an interest in a transaction in which the Company is a participant. The Eagle Way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2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The Eagle Way, officers or employees are encouraged to consult with their supervisors regarding any matter that may involve a conflict of interest. In addition, The Eagle Way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20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addition to the above policies included in The Eagle Way,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both"/>
        <w:ind w:right="180"/>
        <w:spacing w:after="0" w:line="248" w:lineRule="auto"/>
        <w:rPr>
          <w:sz w:val="20"/>
          <w:szCs w:val="20"/>
          <w:color w:val="auto"/>
        </w:rPr>
      </w:pPr>
      <w:r>
        <w:rPr>
          <w:rFonts w:ascii="Arial" w:cs="Arial" w:eastAsia="Arial" w:hAnsi="Arial"/>
          <w:sz w:val="17"/>
          <w:szCs w:val="17"/>
          <w:color w:val="auto"/>
        </w:rPr>
        <w:t>Company’s legal staff or may be referred to the Audit Committee. Where an appropriately disclosed conflict of interest is minor and not likely to adversely impact us, we may consent to the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-958215</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36" w:lineRule="auto"/>
        <w:rPr>
          <w:sz w:val="20"/>
          <w:szCs w:val="20"/>
          <w:color w:val="auto"/>
        </w:rPr>
      </w:pPr>
      <w:r>
        <w:rPr>
          <w:rFonts w:ascii="Arial" w:cs="Arial" w:eastAsia="Arial" w:hAnsi="Arial"/>
          <w:sz w:val="18"/>
          <w:szCs w:val="18"/>
          <w:color w:val="auto"/>
        </w:rPr>
        <w:t>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fiscal 2019, the Company engaged KPMG to perform certain tax consulting work, paying KPMG approximately $178,000. The spouse of Mr. Kesler, our Chief Financial Officer, is a partner at KPMG. Mr. Kesler’s spouse did not work on any Company matters, and the Company’s Vice President – Tax was the project coordinator for this work. Prior approval of this engagement was obtained in accordance with our code of conduct.</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Also during fiscal 2019, the Company’s Tulsa Cement operations paid ACG Materials approximately $340,000 for natural gypsum (a raw material used in the cement manufacturing process). ACG Materials has supplied natural gypsum to the Company’s Tulsa Cement operations for several years pursuant to a supply contract. In December 2018, ACG Materials was acquired by Arcosa, Inc. The son of Mr. Essl, our Executive Vice President – Cement, is the President of Construction Products at Arcosa, Inc. Neither Mr. Essl nor his son were involved in the negotiation of the supply contract nor is Mr. Essl involved in the ongoing supply relationship between Tulsa Cement and ACG Materials.</w:t>
      </w:r>
    </w:p>
    <w:p>
      <w:pPr>
        <w:spacing w:after="0" w:line="2230" w:lineRule="exact"/>
        <w:rPr>
          <w:sz w:val="20"/>
          <w:szCs w:val="20"/>
          <w:color w:val="auto"/>
        </w:rPr>
      </w:pPr>
    </w:p>
    <w:p>
      <w:pPr>
        <w:sectPr>
          <w:pgSz w:w="11900" w:h="16838" w:orient="portrait"/>
          <w:cols w:equalWidth="0" w:num="2">
            <w:col w:w="5480" w:space="340"/>
            <w:col w:w="5360"/>
          </w:cols>
          <w:pgMar w:left="240" w:top="459" w:right="479" w:bottom="1440" w:gutter="0" w:footer="0" w:header="0"/>
        </w:sectPr>
      </w:pP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180"/>
          </w:cols>
          <w:pgMar w:left="240" w:top="459" w:right="47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220"/>
        <w:spacing w:after="0"/>
        <w:tabs>
          <w:tab w:leader="none" w:pos="5800" w:val="left"/>
        </w:tabs>
        <w:rPr>
          <w:sz w:val="20"/>
          <w:szCs w:val="20"/>
          <w:color w:val="auto"/>
        </w:rPr>
      </w:pPr>
      <w:r>
        <w:rPr>
          <w:rFonts w:ascii="Arial" w:cs="Arial" w:eastAsia="Arial" w:hAnsi="Arial"/>
          <w:sz w:val="18"/>
          <w:szCs w:val="18"/>
          <w:b w:val="1"/>
          <w:bCs w:val="1"/>
          <w:color w:val="auto"/>
        </w:rPr>
        <w:t>Section 16(a) Beneficial Ownership Reporting Compliance</w:t>
      </w:r>
      <w:r>
        <w:rPr>
          <w:sz w:val="20"/>
          <w:szCs w:val="20"/>
          <w:color w:val="auto"/>
        </w:rPr>
        <w:tab/>
      </w:r>
      <w:r>
        <w:rPr>
          <w:rFonts w:ascii="Arial" w:cs="Arial" w:eastAsia="Arial" w:hAnsi="Arial"/>
          <w:sz w:val="18"/>
          <w:szCs w:val="18"/>
          <w:b w:val="1"/>
          <w:bCs w:val="1"/>
          <w:color w:val="auto"/>
        </w:rPr>
        <w:t>Code of Conduct</w:t>
      </w:r>
    </w:p>
    <w:p>
      <w:pPr>
        <w:sectPr>
          <w:pgSz w:w="11900" w:h="16838" w:orient="portrait"/>
          <w:cols w:equalWidth="0" w:num="1">
            <w:col w:w="11220"/>
          </w:cols>
          <w:pgMar w:left="240" w:top="459" w:right="439" w:bottom="1440" w:gutter="0" w:footer="0" w:header="0"/>
        </w:sectPr>
      </w:pPr>
    </w:p>
    <w:p>
      <w:pPr>
        <w:spacing w:after="0" w:line="234"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208"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Based solely on our review of the copies of such forms we received with respect to fiscal 2019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2019 applicable to such persons.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left="200" w:right="180"/>
        <w:spacing w:after="0" w:line="257" w:lineRule="auto"/>
        <w:rPr>
          <w:sz w:val="20"/>
          <w:szCs w:val="20"/>
          <w:color w:val="auto"/>
        </w:rPr>
      </w:pPr>
      <w:r>
        <w:rPr>
          <w:rFonts w:ascii="Arial" w:cs="Arial" w:eastAsia="Arial" w:hAnsi="Arial"/>
          <w:sz w:val="17"/>
          <w:szCs w:val="17"/>
          <w:color w:val="auto"/>
        </w:rPr>
        <w:t>The Company’s code of conduct, The Eagle Way, applies to all of the Company’s employees, including the Company’s officers. The Eagle Way also applies to the Board of Directors. The Company’s code of conduct is designed to deter wrongdoing and to promote:</w:t>
      </w:r>
    </w:p>
    <w:p>
      <w:pPr>
        <w:spacing w:after="0" w:line="95" w:lineRule="exact"/>
        <w:rPr>
          <w:sz w:val="20"/>
          <w:szCs w:val="20"/>
          <w:color w:val="auto"/>
        </w:rPr>
      </w:pPr>
    </w:p>
    <w:p>
      <w:pPr>
        <w:jc w:val="both"/>
        <w:ind w:left="520" w:right="280" w:hanging="311"/>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108" w:lineRule="exact"/>
        <w:rPr>
          <w:rFonts w:ascii="Arial" w:cs="Arial" w:eastAsia="Arial" w:hAnsi="Arial"/>
          <w:sz w:val="18"/>
          <w:szCs w:val="18"/>
          <w:color w:val="auto"/>
        </w:rPr>
      </w:pPr>
    </w:p>
    <w:p>
      <w:pPr>
        <w:ind w:left="520" w:right="560" w:hanging="311"/>
        <w:spacing w:after="0" w:line="246"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102" w:lineRule="exact"/>
        <w:rPr>
          <w:rFonts w:ascii="Arial" w:cs="Arial" w:eastAsia="Arial" w:hAnsi="Arial"/>
          <w:sz w:val="18"/>
          <w:szCs w:val="18"/>
          <w:color w:val="auto"/>
        </w:rPr>
      </w:pPr>
    </w:p>
    <w:p>
      <w:pPr>
        <w:ind w:left="520" w:right="280" w:hanging="311"/>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prompt internal reporting of violations of the code of conduct to an appropriate person or persons identified in the code of conduct; and</w:t>
      </w:r>
    </w:p>
    <w:p>
      <w:pPr>
        <w:spacing w:after="0" w:line="108" w:lineRule="exact"/>
        <w:rPr>
          <w:rFonts w:ascii="Arial" w:cs="Arial" w:eastAsia="Arial" w:hAnsi="Arial"/>
          <w:sz w:val="18"/>
          <w:szCs w:val="18"/>
          <w:color w:val="auto"/>
        </w:rPr>
      </w:pPr>
    </w:p>
    <w:p>
      <w:pPr>
        <w:ind w:left="520" w:hanging="311"/>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22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8"/>
          <w:szCs w:val="18"/>
          <w:i w:val="1"/>
          <w:iCs w:val="1"/>
          <w:color w:val="auto"/>
        </w:rPr>
        <w:t xml:space="preserve">www.eaglematerials.com </w:t>
      </w:r>
      <w:r>
        <w:rPr>
          <w:rFonts w:ascii="Arial" w:cs="Arial" w:eastAsia="Arial" w:hAnsi="Arial"/>
          <w:sz w:val="18"/>
          <w:szCs w:val="18"/>
          <w:color w:val="auto"/>
        </w:rPr>
        <w:t>(click on “Investor Relations”, then on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then on “The Eagle Way” under the heading “Code of Ethics”). Additionally, the Company will provide without charge a copy of the code of conduct to any person upon written request to our Secretary at our principal executive office.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5480" w:space="140"/>
            <w:col w:w="5600"/>
          </w:cols>
          <w:pgMar w:left="24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4F82BC"/>
        </w:rPr>
        <w:t>PROPOSAL NO. 2: ADVISORY VOTE ON COMPENSATION</w:t>
      </w:r>
    </w:p>
    <w:p>
      <w:pPr>
        <w:spacing w:after="0" w:line="42"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4F82BC"/>
        </w:rPr>
        <w:t>OF OUR NAMED EXECUTIVE OFFICERS</w:t>
      </w:r>
    </w:p>
    <w:p>
      <w:pPr>
        <w:sectPr>
          <w:pgSz w:w="11900" w:h="16838" w:orient="portrait"/>
          <w:cols w:equalWidth="0" w:num="1">
            <w:col w:w="11160"/>
          </w:cols>
          <w:pgMar w:left="240" w:top="459" w:right="499" w:bottom="1440" w:gutter="0" w:footer="0" w:header="0"/>
        </w:sectPr>
      </w:pPr>
    </w:p>
    <w:p>
      <w:pPr>
        <w:spacing w:after="0" w:line="30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urge stockholders to read our “Compensation Discussion and Analysis” beginning on page 21 of this proxy statement, which describes in more detail how our executive compensation policies and programs operate. We are seeking stockholder approval of the following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273685</wp:posOffset>
            </wp:positionV>
            <wp:extent cx="7000240" cy="662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00240" cy="662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540"/>
            <w:col w:w="5340"/>
          </w:cols>
          <w:pgMar w:left="240" w:top="459" w:right="499" w:bottom="1440" w:gutter="0" w:footer="0" w:header="0"/>
          <w:type w:val="continuous"/>
        </w:sectPr>
      </w:pPr>
    </w:p>
    <w:p>
      <w:pPr>
        <w:spacing w:after="0" w:line="318" w:lineRule="exact"/>
        <w:rPr>
          <w:sz w:val="20"/>
          <w:szCs w:val="20"/>
          <w:color w:val="auto"/>
        </w:rPr>
      </w:pPr>
    </w:p>
    <w:p>
      <w:pPr>
        <w:ind w:left="360" w:right="140" w:firstLine="720"/>
        <w:spacing w:after="0" w:line="24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compensation paid to the Company’s named executive officers, as disclosed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disclosure rules of the Securities and Exchange Commission, including the Compensation Discussion and Analysis, the compensation tables and the related material disclosed in this Proxy Statement, is hereby approved by the stockholders of the Company on an advisory basis.</w:t>
      </w:r>
    </w:p>
    <w:p>
      <w:pPr>
        <w:sectPr>
          <w:pgSz w:w="11900" w:h="16838" w:orient="portrait"/>
          <w:cols w:equalWidth="0" w:num="1">
            <w:col w:w="11160"/>
          </w:cols>
          <w:pgMar w:left="240" w:top="459" w:right="49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1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Our Board of Directors recommends that holders of Common Stock vote “FOR” the non-binding advisory resolution approving the compensation paid to our named executive officers.</w:t>
      </w:r>
    </w:p>
    <w:p>
      <w:pPr>
        <w:spacing w:after="0" w:line="579" w:lineRule="exact"/>
        <w:rPr>
          <w:sz w:val="20"/>
          <w:szCs w:val="20"/>
          <w:color w:val="auto"/>
        </w:rPr>
      </w:pPr>
    </w:p>
    <w:p>
      <w:pPr>
        <w:sectPr>
          <w:pgSz w:w="11900" w:h="16838" w:orient="portrait"/>
          <w:cols w:equalWidth="0" w:num="2">
            <w:col w:w="5460" w:space="360"/>
            <w:col w:w="5340"/>
          </w:cols>
          <w:pgMar w:left="240" w:top="459" w:right="499" w:bottom="1440" w:gutter="0" w:footer="0" w:header="0"/>
          <w:type w:val="continuous"/>
        </w:sectPr>
      </w:pPr>
    </w:p>
    <w:p>
      <w:pPr>
        <w:spacing w:after="0" w:line="8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160"/>
          </w:cols>
          <w:pgMar w:left="240" w:top="459" w:right="4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right"/>
        <w:ind w:right="2700"/>
        <w:spacing w:after="0"/>
        <w:rPr>
          <w:sz w:val="20"/>
          <w:szCs w:val="20"/>
          <w:color w:val="auto"/>
        </w:rPr>
      </w:pPr>
      <w:r>
        <w:rPr>
          <w:rFonts w:ascii="Arial" w:cs="Arial" w:eastAsia="Arial" w:hAnsi="Arial"/>
          <w:sz w:val="25"/>
          <w:szCs w:val="25"/>
          <w:b w:val="1"/>
          <w:bCs w:val="1"/>
          <w:color w:val="4F82BC"/>
        </w:rPr>
        <w:t>PROPOSAL NO. 3: APPROVAL OF EXPECTED</w:t>
      </w:r>
    </w:p>
    <w:p>
      <w:pPr>
        <w:spacing w:after="0" w:line="42" w:lineRule="exact"/>
        <w:rPr>
          <w:sz w:val="20"/>
          <w:szCs w:val="20"/>
          <w:color w:val="auto"/>
        </w:rPr>
      </w:pPr>
    </w:p>
    <w:p>
      <w:pPr>
        <w:ind w:left="2960"/>
        <w:spacing w:after="0"/>
        <w:rPr>
          <w:sz w:val="20"/>
          <w:szCs w:val="20"/>
          <w:color w:val="auto"/>
        </w:rPr>
      </w:pPr>
      <w:r>
        <w:rPr>
          <w:rFonts w:ascii="Arial" w:cs="Arial" w:eastAsia="Arial" w:hAnsi="Arial"/>
          <w:sz w:val="25"/>
          <w:szCs w:val="25"/>
          <w:b w:val="1"/>
          <w:bCs w:val="1"/>
          <w:color w:val="4F82BC"/>
        </w:rPr>
        <w:t>APPOINTMENT OF INDEPENDENT AUDITORS</w:t>
      </w:r>
    </w:p>
    <w:p>
      <w:pPr>
        <w:sectPr>
          <w:pgSz w:w="11900" w:h="16838" w:orient="portrait"/>
          <w:cols w:equalWidth="0" w:num="1">
            <w:col w:w="11180"/>
          </w:cols>
          <w:pgMar w:left="240" w:top="459" w:right="479" w:bottom="1440" w:gutter="0" w:footer="0" w:header="0"/>
        </w:sect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220" w:right="80"/>
        <w:spacing w:after="0" w:line="257" w:lineRule="auto"/>
        <w:rPr>
          <w:sz w:val="20"/>
          <w:szCs w:val="20"/>
          <w:color w:val="auto"/>
        </w:rPr>
      </w:pPr>
      <w:r>
        <w:rPr>
          <w:rFonts w:ascii="Arial" w:cs="Arial" w:eastAsia="Arial" w:hAnsi="Arial"/>
          <w:sz w:val="17"/>
          <w:szCs w:val="17"/>
          <w:color w:val="auto"/>
        </w:rPr>
        <w:t>Ernst &amp; Young acted as our independent auditors to audit our books and records for fiscal year 2019, and the Audit Committee expects to appoint Ernst &amp; Young as our independent auditors for fiscal year 2020 if its proposal for audit services is satisfactory.</w:t>
      </w:r>
    </w:p>
    <w:p>
      <w:pPr>
        <w:spacing w:after="0" w:line="189"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appointment. Once it has appointed an auditor, our Audit Committee may elect to change the appointment at any time during the year if it determines that such a change would be in our best interests and the best interests of our stockholders.</w:t>
      </w:r>
    </w:p>
    <w:p>
      <w:pPr>
        <w:spacing w:after="0" w:line="20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color w:val="auto"/>
        </w:rPr>
        <w:t>Our Board of Directors recommends a vote “FOR” the approval of the expected appointment of Ernst &amp; Young as the Company’s auditors for the fiscal year ending March 31, 2020.</w:t>
      </w:r>
    </w:p>
    <w:p>
      <w:pPr>
        <w:spacing w:after="0" w:line="200" w:lineRule="exact"/>
        <w:rPr>
          <w:sz w:val="20"/>
          <w:szCs w:val="20"/>
          <w:color w:val="auto"/>
        </w:rPr>
      </w:pPr>
    </w:p>
    <w:p>
      <w:pPr>
        <w:sectPr>
          <w:pgSz w:w="11900" w:h="16838" w:orient="portrait"/>
          <w:cols w:equalWidth="0" w:num="2">
            <w:col w:w="5480" w:space="340"/>
            <w:col w:w="5360"/>
          </w:cols>
          <w:pgMar w:left="240" w:top="459" w:right="479" w:bottom="1440" w:gutter="0" w:footer="0" w:header="0"/>
          <w:type w:val="continuous"/>
        </w:sectPr>
      </w:pPr>
    </w:p>
    <w:p>
      <w:pPr>
        <w:spacing w:after="0" w:line="5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180"/>
          </w:cols>
          <w:pgMar w:left="240" w:top="459" w:right="47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right"/>
        <w:ind w:right="1720"/>
        <w:spacing w:after="0"/>
        <w:rPr>
          <w:sz w:val="20"/>
          <w:szCs w:val="20"/>
          <w:color w:val="auto"/>
        </w:rPr>
      </w:pPr>
      <w:r>
        <w:rPr>
          <w:rFonts w:ascii="Arial" w:cs="Arial" w:eastAsia="Arial" w:hAnsi="Arial"/>
          <w:sz w:val="25"/>
          <w:szCs w:val="25"/>
          <w:b w:val="1"/>
          <w:bCs w:val="1"/>
          <w:color w:val="4F82BC"/>
        </w:rPr>
        <w:t>RELATIONSHIP WITH INDEPENDENT PUBLIC ACCOUNTANTS</w:t>
      </w:r>
    </w:p>
    <w:p>
      <w:pPr>
        <w:sectPr>
          <w:pgSz w:w="11900" w:h="16838" w:orient="portrait"/>
          <w:cols w:equalWidth="0" w:num="1">
            <w:col w:w="11160"/>
          </w:cols>
          <w:pgMar w:left="240" w:top="459" w:right="499" w:bottom="1440" w:gutter="0" w:footer="0" w:header="0"/>
        </w:sectPr>
      </w:pPr>
    </w:p>
    <w:p>
      <w:pPr>
        <w:spacing w:after="0" w:line="336"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Ernst &amp; Young LLP, which we refer to as Ernst &amp; Young, audited the Company’s financial statements for the fiscal years ended March 31, 2017, 2018 and 2019.</w:t>
      </w:r>
    </w:p>
    <w:p>
      <w:pPr>
        <w:spacing w:after="0" w:line="2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Ernst &amp; Young reports directly to our Audit Committee. The Audit Committee has adopted policies and procedures for pre-approving all audit and permissible non-audit services performed by Ernst &amp; Young. Under these policies, the Audit Committee pre -approves the use of audit and specific permissible audit-related and non-audit services up to certain dollar limits. Other audit and permissible non-audit services that exceed a $50,000 threshold must be pre-approved separately by the</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2019 and 2018, all of which services have been approved by the Audit Committee:</w:t>
      </w:r>
    </w:p>
    <w:p>
      <w:pPr>
        <w:spacing w:after="0" w:line="200" w:lineRule="exact"/>
        <w:rPr>
          <w:sz w:val="20"/>
          <w:szCs w:val="20"/>
          <w:color w:val="auto"/>
        </w:rPr>
      </w:pPr>
    </w:p>
    <w:p>
      <w:pPr>
        <w:sectPr>
          <w:pgSz w:w="11900" w:h="16838" w:orient="portrait"/>
          <w:cols w:equalWidth="0" w:num="2">
            <w:col w:w="5480" w:space="340"/>
            <w:col w:w="5340"/>
          </w:cols>
          <w:pgMar w:left="240" w:top="459" w:right="499" w:bottom="1440" w:gutter="0" w:footer="0" w:header="0"/>
          <w:type w:val="continuous"/>
        </w:sectPr>
      </w:pPr>
    </w:p>
    <w:p>
      <w:pPr>
        <w:spacing w:after="0" w:line="160" w:lineRule="exact"/>
        <w:rPr>
          <w:sz w:val="20"/>
          <w:szCs w:val="20"/>
          <w:color w:val="auto"/>
        </w:rPr>
      </w:pPr>
    </w:p>
    <w:tbl>
      <w:tblPr>
        <w:tblLayout w:type="fixed"/>
        <w:tblInd w:w="480" w:type="dxa"/>
        <w:tblCellMar>
          <w:top w:w="0" w:type="dxa"/>
          <w:left w:w="0" w:type="dxa"/>
          <w:bottom w:w="0" w:type="dxa"/>
          <w:right w:w="0" w:type="dxa"/>
        </w:tblCellMar>
      </w:tblPr>
      <w:tr>
        <w:trPr>
          <w:trHeight w:val="189"/>
        </w:trPr>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Fiscal Year Ended</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7"/>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9"/>
                <w:szCs w:val="19"/>
                <w:color w:val="auto"/>
              </w:rPr>
            </w:pPr>
          </w:p>
        </w:tc>
        <w:tc>
          <w:tcPr>
            <w:tcW w:w="1860" w:type="dxa"/>
            <w:vAlign w:val="bottom"/>
            <w:gridSpan w:val="2"/>
          </w:tcPr>
          <w:p>
            <w:pPr>
              <w:ind w:left="200"/>
              <w:spacing w:after="0" w:line="207" w:lineRule="exact"/>
              <w:rPr>
                <w:sz w:val="20"/>
                <w:szCs w:val="20"/>
                <w:color w:val="auto"/>
              </w:rPr>
            </w:pPr>
            <w:r>
              <w:rPr>
                <w:rFonts w:ascii="Arial" w:cs="Arial" w:eastAsia="Arial" w:hAnsi="Arial"/>
                <w:sz w:val="15"/>
                <w:szCs w:val="15"/>
                <w:b w:val="1"/>
                <w:bCs w:val="1"/>
                <w:color w:val="auto"/>
              </w:rPr>
              <w:t xml:space="preserve">Audit Fees </w:t>
            </w:r>
            <w:r>
              <w:rPr>
                <w:rFonts w:ascii="Arial" w:cs="Arial" w:eastAsia="Arial" w:hAnsi="Arial"/>
                <w:sz w:val="24"/>
                <w:szCs w:val="24"/>
                <w:b w:val="1"/>
                <w:bCs w:val="1"/>
                <w:color w:val="auto"/>
                <w:vertAlign w:val="superscript"/>
              </w:rPr>
              <w:t>(1)</w:t>
            </w:r>
          </w:p>
        </w:tc>
        <w:tc>
          <w:tcPr>
            <w:tcW w:w="2200" w:type="dxa"/>
            <w:vAlign w:val="bottom"/>
            <w:gridSpan w:val="3"/>
          </w:tcPr>
          <w:p>
            <w:pPr>
              <w:ind w:left="180"/>
              <w:spacing w:after="0"/>
              <w:rPr>
                <w:sz w:val="20"/>
                <w:szCs w:val="20"/>
                <w:color w:val="auto"/>
              </w:rPr>
            </w:pPr>
            <w:r>
              <w:rPr>
                <w:rFonts w:ascii="Arial" w:cs="Arial" w:eastAsia="Arial" w:hAnsi="Arial"/>
                <w:sz w:val="16"/>
                <w:szCs w:val="16"/>
                <w:b w:val="1"/>
                <w:bCs w:val="1"/>
                <w:color w:val="auto"/>
              </w:rPr>
              <w:t>Audit Related Fees</w:t>
            </w:r>
          </w:p>
        </w:tc>
        <w:tc>
          <w:tcPr>
            <w:tcW w:w="1460" w:type="dxa"/>
            <w:vAlign w:val="bottom"/>
            <w:gridSpan w:val="3"/>
          </w:tcPr>
          <w:p>
            <w:pPr>
              <w:ind w:left="200"/>
              <w:spacing w:after="0"/>
              <w:rPr>
                <w:sz w:val="20"/>
                <w:szCs w:val="20"/>
                <w:color w:val="auto"/>
              </w:rPr>
            </w:pPr>
            <w:r>
              <w:rPr>
                <w:rFonts w:ascii="Arial" w:cs="Arial" w:eastAsia="Arial" w:hAnsi="Arial"/>
                <w:sz w:val="16"/>
                <w:szCs w:val="16"/>
                <w:b w:val="1"/>
                <w:bCs w:val="1"/>
                <w:color w:val="auto"/>
              </w:rPr>
              <w:t>Tax Fees</w:t>
            </w:r>
          </w:p>
        </w:tc>
        <w:tc>
          <w:tcPr>
            <w:tcW w:w="1700" w:type="dxa"/>
            <w:vAlign w:val="bottom"/>
            <w:gridSpan w:val="3"/>
          </w:tcPr>
          <w:p>
            <w:pPr>
              <w:ind w:left="160"/>
              <w:spacing w:after="0"/>
              <w:rPr>
                <w:sz w:val="20"/>
                <w:szCs w:val="20"/>
                <w:color w:val="auto"/>
              </w:rPr>
            </w:pPr>
            <w:r>
              <w:rPr>
                <w:rFonts w:ascii="Arial" w:cs="Arial" w:eastAsia="Arial" w:hAnsi="Arial"/>
                <w:sz w:val="16"/>
                <w:szCs w:val="16"/>
                <w:b w:val="1"/>
                <w:bCs w:val="1"/>
                <w:color w:val="auto"/>
              </w:rPr>
              <w:t>All Other Fees</w:t>
            </w:r>
          </w:p>
        </w:tc>
        <w:tc>
          <w:tcPr>
            <w:tcW w:w="18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r>
      <w:tr>
        <w:trPr>
          <w:trHeight w:val="41"/>
        </w:trPr>
        <w:tc>
          <w:tcPr>
            <w:tcW w:w="1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r>
      <w:tr>
        <w:trPr>
          <w:trHeight w:val="189"/>
        </w:trPr>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1780" w:type="dxa"/>
            <w:vAlign w:val="bottom"/>
            <w:gridSpan w:val="2"/>
            <w:shd w:val="clear" w:color="auto" w:fill="CCEEFF"/>
          </w:tcPr>
          <w:p>
            <w:pPr>
              <w:jc w:val="right"/>
              <w:ind w:right="286"/>
              <w:spacing w:after="0"/>
              <w:rPr>
                <w:sz w:val="20"/>
                <w:szCs w:val="20"/>
                <w:color w:val="auto"/>
              </w:rPr>
            </w:pPr>
            <w:r>
              <w:rPr>
                <w:rFonts w:ascii="Arial" w:cs="Arial" w:eastAsia="Arial" w:hAnsi="Arial"/>
                <w:sz w:val="16"/>
                <w:szCs w:val="16"/>
                <w:color w:val="auto"/>
              </w:rPr>
              <w:t>$ 1,400,907</w:t>
            </w: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105,000</w:t>
            </w: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112,777</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2,000</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1,620,684</w:t>
            </w:r>
          </w:p>
        </w:tc>
      </w:tr>
      <w:tr>
        <w:trPr>
          <w:trHeight w:val="264"/>
        </w:trPr>
        <w:tc>
          <w:tcPr>
            <w:tcW w:w="1760" w:type="dxa"/>
            <w:vAlign w:val="bottom"/>
          </w:tcPr>
          <w:p>
            <w:pPr>
              <w:jc w:val="center"/>
              <w:spacing w:after="0"/>
              <w:rPr>
                <w:sz w:val="20"/>
                <w:szCs w:val="20"/>
                <w:color w:val="auto"/>
              </w:rPr>
            </w:pPr>
            <w:r>
              <w:rPr>
                <w:rFonts w:ascii="Arial" w:cs="Arial" w:eastAsia="Arial" w:hAnsi="Arial"/>
                <w:sz w:val="16"/>
                <w:szCs w:val="16"/>
                <w:color w:val="auto"/>
              </w:rPr>
              <w:t>2018</w:t>
            </w:r>
          </w:p>
        </w:tc>
        <w:tc>
          <w:tcPr>
            <w:tcW w:w="1780" w:type="dxa"/>
            <w:vAlign w:val="bottom"/>
            <w:gridSpan w:val="2"/>
          </w:tcPr>
          <w:p>
            <w:pPr>
              <w:jc w:val="right"/>
              <w:ind w:right="286"/>
              <w:spacing w:after="0"/>
              <w:rPr>
                <w:sz w:val="20"/>
                <w:szCs w:val="20"/>
                <w:color w:val="auto"/>
              </w:rPr>
            </w:pPr>
            <w:r>
              <w:rPr>
                <w:rFonts w:ascii="Arial" w:cs="Arial" w:eastAsia="Arial" w:hAnsi="Arial"/>
                <w:sz w:val="16"/>
                <w:szCs w:val="16"/>
                <w:color w:val="auto"/>
              </w:rPr>
              <w:t>1,222,600</w:t>
            </w: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85,540</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111,567</w:t>
            </w:r>
          </w:p>
        </w:tc>
        <w:tc>
          <w:tcPr>
            <w:tcW w:w="4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79"/>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1,421,707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18180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1" w:lineRule="exact"/>
        <w:rPr>
          <w:sz w:val="20"/>
          <w:szCs w:val="20"/>
          <w:color w:val="auto"/>
        </w:rPr>
      </w:pPr>
    </w:p>
    <w:p>
      <w:pPr>
        <w:ind w:left="1060" w:right="200" w:hanging="424"/>
        <w:spacing w:after="0" w:line="246"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240" w:top="459" w:right="49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4F82BC"/>
        </w:rPr>
        <w:t>AUDIT COMMITTEE REPORT</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of Eagle Materials Inc.:</w:t>
      </w:r>
    </w:p>
    <w:p>
      <w:pPr>
        <w:spacing w:after="0" w:line="212" w:lineRule="exact"/>
        <w:rPr>
          <w:sz w:val="20"/>
          <w:szCs w:val="20"/>
          <w:color w:val="auto"/>
        </w:rPr>
      </w:pPr>
    </w:p>
    <w:p>
      <w:pPr>
        <w:ind w:left="200" w:right="40" w:firstLine="661"/>
        <w:spacing w:after="0" w:line="237" w:lineRule="auto"/>
        <w:rPr>
          <w:sz w:val="20"/>
          <w:szCs w:val="20"/>
          <w:color w:val="auto"/>
        </w:rPr>
      </w:pPr>
      <w:r>
        <w:rPr>
          <w:rFonts w:ascii="Arial" w:cs="Arial" w:eastAsia="Arial" w:hAnsi="Arial"/>
          <w:sz w:val="18"/>
          <w:szCs w:val="18"/>
          <w:color w:val="auto"/>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spacing w:after="0" w:line="203" w:lineRule="exact"/>
        <w:rPr>
          <w:sz w:val="20"/>
          <w:szCs w:val="20"/>
          <w:color w:val="auto"/>
        </w:rPr>
      </w:pPr>
    </w:p>
    <w:p>
      <w:pPr>
        <w:ind w:left="200" w:right="240" w:firstLine="661"/>
        <w:spacing w:after="0" w:line="234" w:lineRule="auto"/>
        <w:rPr>
          <w:sz w:val="20"/>
          <w:szCs w:val="20"/>
          <w:color w:val="auto"/>
        </w:rPr>
      </w:pPr>
      <w:r>
        <w:rPr>
          <w:rFonts w:ascii="Arial" w:cs="Arial" w:eastAsia="Arial" w:hAnsi="Arial"/>
          <w:sz w:val="18"/>
          <w:szCs w:val="18"/>
          <w:color w:val="auto"/>
        </w:rPr>
        <w:t>We have reviewed and discussed with management and the independent registered public accounting firm, Ernst &amp; Young LLP, as appropriate, (1) the audited financial statements of Eagle Materials Inc. as of and for the fiscal year ended March 31, 2019 and</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 management’s report on internal control over financial reporting and the independent registered accounting firm’s related opinions.</w:t>
      </w:r>
    </w:p>
    <w:p>
      <w:pPr>
        <w:spacing w:after="0" w:line="212" w:lineRule="exact"/>
        <w:rPr>
          <w:sz w:val="20"/>
          <w:szCs w:val="20"/>
          <w:color w:val="auto"/>
        </w:rPr>
      </w:pPr>
    </w:p>
    <w:p>
      <w:pPr>
        <w:ind w:left="200" w:right="620" w:firstLine="661"/>
        <w:spacing w:after="0"/>
        <w:rPr>
          <w:sz w:val="20"/>
          <w:szCs w:val="20"/>
          <w:color w:val="auto"/>
        </w:rPr>
      </w:pPr>
      <w:r>
        <w:rPr>
          <w:rFonts w:ascii="Arial" w:cs="Arial" w:eastAsia="Arial" w:hAnsi="Arial"/>
          <w:sz w:val="18"/>
          <w:szCs w:val="18"/>
          <w:color w:val="auto"/>
        </w:rPr>
        <w:t xml:space="preserve">We have discussed with Ernst &amp; Young LLP the required communications specified by auditing standards, together with guidelines established by the SEC and the Sarbanes-Oxley Act, including the matters required to be discussed by Public Company Accounting Oversight Board (“PCAOB”) Auditing Standard No.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203" w:lineRule="exact"/>
        <w:rPr>
          <w:sz w:val="20"/>
          <w:szCs w:val="20"/>
          <w:color w:val="auto"/>
        </w:rPr>
      </w:pPr>
    </w:p>
    <w:p>
      <w:pPr>
        <w:ind w:left="200" w:right="40" w:firstLine="661"/>
        <w:spacing w:after="0" w:line="239" w:lineRule="auto"/>
        <w:rPr>
          <w:sz w:val="20"/>
          <w:szCs w:val="20"/>
          <w:color w:val="auto"/>
        </w:rPr>
      </w:pPr>
      <w:r>
        <w:rPr>
          <w:rFonts w:ascii="Arial" w:cs="Arial" w:eastAsia="Arial" w:hAnsi="Arial"/>
          <w:sz w:val="18"/>
          <w:szCs w:val="18"/>
          <w:color w:val="auto"/>
        </w:rPr>
        <w:t>We have received and reviewed the written disclosures and the letter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spacing w:after="0" w:line="202" w:lineRule="exact"/>
        <w:rPr>
          <w:sz w:val="20"/>
          <w:szCs w:val="20"/>
          <w:color w:val="auto"/>
        </w:rPr>
      </w:pPr>
    </w:p>
    <w:p>
      <w:pPr>
        <w:jc w:val="both"/>
        <w:ind w:left="200" w:right="260" w:firstLine="661"/>
        <w:spacing w:after="0"/>
        <w:rPr>
          <w:sz w:val="20"/>
          <w:szCs w:val="20"/>
          <w:color w:val="auto"/>
        </w:rPr>
      </w:pPr>
      <w:r>
        <w:rPr>
          <w:rFonts w:ascii="Arial" w:cs="Arial" w:eastAsia="Arial" w:hAnsi="Arial"/>
          <w:sz w:val="18"/>
          <w:szCs w:val="18"/>
          <w:color w:val="auto"/>
        </w:rPr>
        <w:t>Based on the reviews and discussions referred to above, we recommend to the Board of Directors that the financial statements referred to above be included in the Annual Report of Eagle Materials Inc. on Form 10-K for the fiscal year ended March 31, 2019. This report is furnished by the members of the Audit Committee as of May 23, 2019.</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8"/>
          <w:szCs w:val="18"/>
          <w:i w:val="1"/>
          <w:iCs w:val="1"/>
          <w:color w:val="auto"/>
        </w:rPr>
        <w:t>Chairman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Margot L. Carter</w:t>
      </w:r>
    </w:p>
    <w:p>
      <w:pPr>
        <w:ind w:left="200"/>
        <w:spacing w:after="0"/>
        <w:rPr>
          <w:sz w:val="20"/>
          <w:szCs w:val="20"/>
          <w:color w:val="auto"/>
        </w:rPr>
      </w:pPr>
      <w:r>
        <w:rPr>
          <w:rFonts w:ascii="Arial" w:cs="Arial" w:eastAsia="Arial" w:hAnsi="Arial"/>
          <w:sz w:val="18"/>
          <w:szCs w:val="18"/>
          <w:color w:val="auto"/>
        </w:rPr>
        <w:t>Richard Beckwitt</w:t>
      </w:r>
    </w:p>
    <w:p>
      <w:pPr>
        <w:spacing w:after="0" w:line="190"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7" w:lineRule="exact"/>
        <w:rPr>
          <w:sz w:val="20"/>
          <w:szCs w:val="20"/>
          <w:color w:val="auto"/>
        </w:rPr>
      </w:pPr>
    </w:p>
    <w:p>
      <w:pPr>
        <w:jc w:val="center"/>
        <w:ind w:left="240" w:right="540"/>
        <w:spacing w:after="0" w:line="268" w:lineRule="auto"/>
        <w:rPr>
          <w:sz w:val="20"/>
          <w:szCs w:val="20"/>
          <w:color w:val="auto"/>
        </w:rPr>
      </w:pPr>
      <w:r>
        <w:rPr>
          <w:rFonts w:ascii="Arial" w:cs="Arial" w:eastAsia="Arial" w:hAnsi="Arial"/>
          <w:sz w:val="25"/>
          <w:szCs w:val="25"/>
          <w:b w:val="1"/>
          <w:bCs w:val="1"/>
          <w:color w:val="4F82BC"/>
        </w:rPr>
        <w:t>OTHER MATTERS WHICH MAY BE PRESENTED FOR ACTION AT THE MEETING</w:t>
      </w:r>
    </w:p>
    <w:p>
      <w:pPr>
        <w:spacing w:after="0" w:line="17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174" w:lineRule="exact"/>
        <w:rPr>
          <w:sz w:val="20"/>
          <w:szCs w:val="20"/>
          <w:color w:val="auto"/>
        </w:rPr>
      </w:pPr>
    </w:p>
    <w:p>
      <w:pPr>
        <w:jc w:val="center"/>
        <w:ind w:left="240"/>
        <w:spacing w:after="0"/>
        <w:rPr>
          <w:sz w:val="20"/>
          <w:szCs w:val="20"/>
          <w:color w:val="auto"/>
        </w:rPr>
      </w:pPr>
      <w:r>
        <w:rPr>
          <w:rFonts w:ascii="Arial" w:cs="Arial" w:eastAsia="Arial" w:hAnsi="Arial"/>
          <w:sz w:val="25"/>
          <w:szCs w:val="25"/>
          <w:b w:val="1"/>
          <w:bCs w:val="1"/>
          <w:color w:val="4F82BC"/>
        </w:rPr>
        <w:t>DELIVERY OF DOCUMENTS TO</w:t>
      </w:r>
    </w:p>
    <w:p>
      <w:pPr>
        <w:spacing w:after="0" w:line="42" w:lineRule="exact"/>
        <w:rPr>
          <w:sz w:val="20"/>
          <w:szCs w:val="20"/>
          <w:color w:val="auto"/>
        </w:rPr>
      </w:pPr>
    </w:p>
    <w:p>
      <w:pPr>
        <w:jc w:val="center"/>
        <w:ind w:left="240"/>
        <w:spacing w:after="0"/>
        <w:rPr>
          <w:sz w:val="20"/>
          <w:szCs w:val="20"/>
          <w:color w:val="auto"/>
        </w:rPr>
      </w:pPr>
      <w:r>
        <w:rPr>
          <w:rFonts w:ascii="Arial" w:cs="Arial" w:eastAsia="Arial" w:hAnsi="Arial"/>
          <w:sz w:val="25"/>
          <w:szCs w:val="25"/>
          <w:b w:val="1"/>
          <w:bCs w:val="1"/>
          <w:color w:val="4F82BC"/>
        </w:rPr>
        <w:t>STOCKHOLDERS</w:t>
      </w:r>
    </w:p>
    <w:p>
      <w:pPr>
        <w:spacing w:after="0" w:line="196" w:lineRule="exact"/>
        <w:rPr>
          <w:sz w:val="20"/>
          <w:szCs w:val="20"/>
          <w:color w:val="auto"/>
        </w:rPr>
      </w:pPr>
    </w:p>
    <w:p>
      <w:pPr>
        <w:ind w:left="200" w:right="20"/>
        <w:spacing w:after="0" w:line="250" w:lineRule="auto"/>
        <w:rPr>
          <w:sz w:val="20"/>
          <w:szCs w:val="20"/>
          <w:color w:val="auto"/>
        </w:rPr>
      </w:pPr>
      <w:r>
        <w:rPr>
          <w:rFonts w:ascii="Arial" w:cs="Arial" w:eastAsia="Arial" w:hAnsi="Arial"/>
          <w:sz w:val="17"/>
          <w:szCs w:val="17"/>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5960 Berkshire Ln., Suite 900, Dallas, Texas 75225, (214) 432-2000.</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4F82BC"/>
        </w:rPr>
        <w:t>DEADLINE FOR RECEIPT OF</w:t>
      </w:r>
    </w:p>
    <w:p>
      <w:pPr>
        <w:spacing w:after="0" w:line="42" w:lineRule="exact"/>
        <w:rPr>
          <w:sz w:val="20"/>
          <w:szCs w:val="20"/>
          <w:color w:val="auto"/>
        </w:rPr>
      </w:pPr>
    </w:p>
    <w:p>
      <w:pPr>
        <w:ind w:left="1060"/>
        <w:spacing w:after="0"/>
        <w:rPr>
          <w:sz w:val="20"/>
          <w:szCs w:val="20"/>
          <w:color w:val="auto"/>
        </w:rPr>
      </w:pPr>
      <w:r>
        <w:rPr>
          <w:rFonts w:ascii="Arial" w:cs="Arial" w:eastAsia="Arial" w:hAnsi="Arial"/>
          <w:sz w:val="25"/>
          <w:szCs w:val="25"/>
          <w:b w:val="1"/>
          <w:bCs w:val="1"/>
          <w:color w:val="4F82BC"/>
        </w:rPr>
        <w:t>STOCKHOLDER PROPOSALS</w:t>
      </w:r>
    </w:p>
    <w:p>
      <w:pPr>
        <w:spacing w:after="0" w:line="18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Next year’s annual meeting of stockholders is scheduled to be held on August 5, 2020. In order to be considered for inclusion in the Company’s proxy material for that meeting, stockholder proposals must be received at our executive offices, addressed to the attention of the Secretary, not later than February 27,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For any proposal that is not submitted for inclusion in our proxy material for the 2020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7, 2020, and the stockholder satisfies the other requirements of Rule 14a-4(c). Our Bylaws provide that, to be considered at the 2020 annual meeting, a stockholder proposal must be submitted in writing and received by our Secretary at the executive offices of the Company during the period beginning on February 7, 2020 and ending May 7, 2020, and must contain the information specified by and otherwise comply with our Bylaws. Any stockholder wishing to receive a copy of our Bylaws should direct a written request to our Secretary at the Company’s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-2512060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2"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FORM 10-K</w:t>
      </w:r>
    </w:p>
    <w:p>
      <w:pPr>
        <w:spacing w:after="0" w:line="206"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b w:val="1"/>
          <w:bCs w:val="1"/>
          <w:color w:val="auto"/>
        </w:rPr>
        <w:t>Stockholders entitled to vote at the meeting may obtain a copy of the Company’s Annual Report on Form 10-K for the fiscal year ended March 31, 2019, including the financial statements required to be filed with the SEC, without charge, upon written or oral request to Eagle Materials Inc., Attention: James H. Graass, Secretary, 5960 Berkshire Ln., Suite 900, Dallas, Texas 75225, (214) 432-2000.</w:t>
      </w:r>
    </w:p>
    <w:p>
      <w:pPr>
        <w:spacing w:after="0" w:line="22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By Order of the Board of Directors</w:t>
      </w:r>
    </w:p>
    <w:p>
      <w:pPr>
        <w:spacing w:after="0" w:line="31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JAMES H. GRAASS</w:t>
      </w:r>
    </w:p>
    <w:p>
      <w:pPr>
        <w:ind w:left="2540"/>
        <w:spacing w:after="0" w:line="234" w:lineRule="auto"/>
        <w:rPr>
          <w:sz w:val="20"/>
          <w:szCs w:val="20"/>
          <w:color w:val="auto"/>
        </w:rPr>
      </w:pPr>
      <w:r>
        <w:rPr>
          <w:rFonts w:ascii="Arial" w:cs="Arial" w:eastAsia="Arial" w:hAnsi="Arial"/>
          <w:sz w:val="18"/>
          <w:szCs w:val="18"/>
          <w:i w:val="1"/>
          <w:iCs w:val="1"/>
          <w:color w:val="auto"/>
        </w:rPr>
        <w:t>Executive Vice President,</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General Counsel and Secretary</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Dallas, Texas</w:t>
      </w:r>
    </w:p>
    <w:p>
      <w:pPr>
        <w:ind w:left="200"/>
        <w:spacing w:after="0"/>
        <w:rPr>
          <w:sz w:val="20"/>
          <w:szCs w:val="20"/>
          <w:color w:val="auto"/>
        </w:rPr>
      </w:pPr>
      <w:r>
        <w:rPr>
          <w:rFonts w:ascii="Arial" w:cs="Arial" w:eastAsia="Arial" w:hAnsi="Arial"/>
          <w:sz w:val="18"/>
          <w:szCs w:val="18"/>
          <w:color w:val="auto"/>
        </w:rPr>
        <w:t>June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5460" w:space="160"/>
            <w:col w:w="5560"/>
          </w:cols>
          <w:pgMar w:left="240" w:top="459" w:right="47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60"/>
        <w:spacing w:after="0"/>
        <w:rPr>
          <w:sz w:val="20"/>
          <w:szCs w:val="20"/>
          <w:color w:val="auto"/>
        </w:rPr>
      </w:pPr>
      <w:r>
        <w:rPr>
          <w:rFonts w:ascii="Arial" w:cs="Arial" w:eastAsia="Arial" w:hAnsi="Arial"/>
          <w:sz w:val="11"/>
          <w:szCs w:val="11"/>
          <w:b w:val="1"/>
          <w:bCs w:val="1"/>
          <w:i w:val="1"/>
          <w:iCs w:val="1"/>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-455930</wp:posOffset>
            </wp:positionV>
            <wp:extent cx="1534795" cy="3600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34795" cy="36004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0"/>
          <w:szCs w:val="10"/>
          <w:b w:val="1"/>
          <w:bCs w:val="1"/>
          <w:i w:val="1"/>
          <w:iCs w:val="1"/>
          <w:color w:val="auto"/>
        </w:rPr>
        <w:t>5960 Berkshire Lane, Suite 900</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1"/>
          <w:szCs w:val="11"/>
          <w:b w:val="1"/>
          <w:bCs w:val="1"/>
          <w:i w:val="1"/>
          <w:iCs w:val="1"/>
          <w:color w:val="auto"/>
        </w:rPr>
        <w:t>Dallas, TX 75225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 - www.proxyvote.com</w:t>
      </w:r>
    </w:p>
    <w:p>
      <w:pPr>
        <w:spacing w:after="0" w:line="6" w:lineRule="exact"/>
        <w:rPr>
          <w:sz w:val="20"/>
          <w:szCs w:val="20"/>
          <w:color w:val="auto"/>
        </w:rPr>
      </w:pPr>
    </w:p>
    <w:p>
      <w:pPr>
        <w:ind w:right="20"/>
        <w:spacing w:after="0" w:line="234" w:lineRule="auto"/>
        <w:rPr>
          <w:sz w:val="20"/>
          <w:szCs w:val="20"/>
          <w:color w:val="auto"/>
        </w:rPr>
      </w:pPr>
      <w:r>
        <w:rPr>
          <w:rFonts w:ascii="Arial" w:cs="Arial" w:eastAsia="Arial" w:hAnsi="Arial"/>
          <w:sz w:val="11"/>
          <w:szCs w:val="11"/>
          <w:color w:val="auto"/>
        </w:rPr>
        <w:t>Use the Internet to transmit your voting instructions and for electronic delivery of information. Vote by 11:59 P.M. ET on 08/05/2019 for shares held directly and by 11:59 P.M. ET on 08/01/2019 for shares held in a Plan. Have your proxy card in hand when you access the web site and follow the instructions to obtain your records and to create an electronic voting instruction form.</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6" w:lineRule="exact"/>
        <w:rPr>
          <w:sz w:val="20"/>
          <w:szCs w:val="20"/>
          <w:color w:val="auto"/>
        </w:rPr>
      </w:pPr>
    </w:p>
    <w:p>
      <w:pPr>
        <w:ind w:right="100"/>
        <w:spacing w:after="0" w:line="233"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6" w:lineRule="exact"/>
        <w:rPr>
          <w:sz w:val="20"/>
          <w:szCs w:val="20"/>
          <w:color w:val="auto"/>
        </w:rPr>
      </w:pPr>
    </w:p>
    <w:p>
      <w:pPr>
        <w:jc w:val="both"/>
        <w:ind w:right="20"/>
        <w:spacing w:after="0" w:line="235" w:lineRule="auto"/>
        <w:rPr>
          <w:sz w:val="20"/>
          <w:szCs w:val="20"/>
          <w:color w:val="auto"/>
        </w:rPr>
      </w:pPr>
      <w:r>
        <w:rPr>
          <w:rFonts w:ascii="Arial" w:cs="Arial" w:eastAsia="Arial" w:hAnsi="Arial"/>
          <w:sz w:val="11"/>
          <w:szCs w:val="11"/>
          <w:color w:val="auto"/>
        </w:rPr>
        <w:t>Use any touch-tone telephone to transmit your voting instructions. Vote by 11:59 P.M. ET on 08/05/2019 for shares held directly and by 11:59 P.M. ET on 08/01/2019 for shares held in a Plan. Have your proxy card in hand when you call and then follow the instructions.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6" w:lineRule="exact"/>
        <w:rPr>
          <w:sz w:val="20"/>
          <w:szCs w:val="20"/>
          <w:color w:val="auto"/>
        </w:rPr>
      </w:pPr>
    </w:p>
    <w:p>
      <w:pPr>
        <w:ind w:right="60"/>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380" w:space="720"/>
            <w:col w:w="51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 VOTE, MARK BLOCKS BELOW IN BLUE OR BLACK INK AS FOLLOWS:</w:t>
      </w:r>
    </w:p>
    <w:p>
      <w:pPr>
        <w:ind w:left="8600"/>
        <w:spacing w:after="0"/>
        <w:rPr>
          <w:sz w:val="20"/>
          <w:szCs w:val="20"/>
          <w:color w:val="auto"/>
        </w:rPr>
      </w:pPr>
      <w:r>
        <w:rPr>
          <w:rFonts w:ascii="Arial" w:cs="Arial" w:eastAsia="Arial" w:hAnsi="Arial"/>
          <w:sz w:val="12"/>
          <w:szCs w:val="12"/>
          <w:color w:val="auto"/>
        </w:rPr>
        <w:t>KEEP THIS PORTION FOR YOUR RECORDS</w:t>
      </w:r>
    </w:p>
    <w:p>
      <w:pPr>
        <w:spacing w:after="0" w:line="8" w:lineRule="exact"/>
        <w:rPr>
          <w:sz w:val="20"/>
          <w:szCs w:val="20"/>
          <w:color w:val="auto"/>
        </w:rPr>
      </w:pPr>
    </w:p>
    <w:p>
      <w:pPr>
        <w:jc w:val="right"/>
        <w:ind w:left="1400"/>
        <w:spacing w:after="0" w:line="233" w:lineRule="auto"/>
        <w:rPr>
          <w:sz w:val="20"/>
          <w:szCs w:val="20"/>
          <w:color w:val="auto"/>
        </w:rPr>
      </w:pPr>
      <w:r>
        <w:rPr>
          <w:rFonts w:ascii="Arial" w:cs="Arial" w:eastAsia="Arial" w:hAnsi="Arial"/>
          <w:sz w:val="14"/>
          <w:szCs w:val="14"/>
          <w:color w:val="auto"/>
        </w:rPr>
        <w:t>— — — — — — — — — — — — — — — — — — — — — — — — — — — — — — — — — — — — — — — — — — — — — — — — — — — — — — — — —— — —</w:t>
      </w:r>
    </w:p>
    <w:p>
      <w:pPr>
        <w:jc w:val="right"/>
        <w:spacing w:after="0" w:line="235" w:lineRule="auto"/>
        <w:rPr>
          <w:sz w:val="20"/>
          <w:szCs w:val="20"/>
          <w:color w:val="auto"/>
        </w:rPr>
      </w:pPr>
      <w:r>
        <w:rPr>
          <w:rFonts w:ascii="Arial" w:cs="Arial" w:eastAsia="Arial" w:hAnsi="Arial"/>
          <w:sz w:val="13"/>
          <w:szCs w:val="13"/>
          <w:color w:val="auto"/>
        </w:rPr>
        <w:t>DETACH AND RETURN THIS PORTION ONLY</w:t>
      </w:r>
    </w:p>
    <w:p>
      <w:pPr>
        <w:ind w:left="380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141605</wp:posOffset>
            </wp:positionV>
            <wp:extent cx="6633210" cy="36233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33210" cy="362331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The Board of Directors recommends you vote FOR the</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following:</w:t>
      </w:r>
    </w:p>
    <w:p>
      <w:pPr>
        <w:spacing w:after="0" w:line="199" w:lineRule="exact"/>
        <w:rPr>
          <w:sz w:val="20"/>
          <w:szCs w:val="20"/>
          <w:color w:val="auto"/>
        </w:rPr>
      </w:pPr>
    </w:p>
    <w:tbl>
      <w:tblPr>
        <w:tblLayout w:type="fixed"/>
        <w:tblInd w:w="1080" w:type="dxa"/>
        <w:tblCellMar>
          <w:top w:w="0" w:type="dxa"/>
          <w:left w:w="0" w:type="dxa"/>
          <w:bottom w:w="0" w:type="dxa"/>
          <w:right w:w="0" w:type="dxa"/>
        </w:tblCellMar>
      </w:tblPr>
      <w:tr>
        <w:trPr>
          <w:trHeight w:val="168"/>
        </w:trPr>
        <w:tc>
          <w:tcPr>
            <w:tcW w:w="220" w:type="dxa"/>
            <w:vAlign w:val="bottom"/>
            <w:gridSpan w:val="2"/>
          </w:tcPr>
          <w:p>
            <w:pPr>
              <w:ind w:left="20"/>
              <w:spacing w:after="0"/>
              <w:rPr>
                <w:sz w:val="20"/>
                <w:szCs w:val="20"/>
                <w:color w:val="auto"/>
              </w:rPr>
            </w:pPr>
            <w:r>
              <w:rPr>
                <w:rFonts w:ascii="Arial" w:cs="Arial" w:eastAsia="Arial" w:hAnsi="Arial"/>
                <w:sz w:val="13"/>
                <w:szCs w:val="13"/>
                <w:b w:val="1"/>
                <w:bCs w:val="1"/>
                <w:color w:val="auto"/>
              </w:rPr>
              <w:t>1.</w:t>
            </w:r>
          </w:p>
        </w:tc>
        <w:tc>
          <w:tcPr>
            <w:tcW w:w="2900" w:type="dxa"/>
            <w:vAlign w:val="bottom"/>
          </w:tcPr>
          <w:p>
            <w:pPr>
              <w:ind w:left="20"/>
              <w:spacing w:after="0"/>
              <w:rPr>
                <w:sz w:val="20"/>
                <w:szCs w:val="20"/>
                <w:color w:val="auto"/>
              </w:rPr>
            </w:pPr>
            <w:r>
              <w:rPr>
                <w:rFonts w:ascii="Arial" w:cs="Arial" w:eastAsia="Arial" w:hAnsi="Arial"/>
                <w:sz w:val="13"/>
                <w:szCs w:val="13"/>
                <w:color w:val="auto"/>
              </w:rPr>
              <w:t>Election of Directors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Nominees</w:t>
            </w:r>
          </w:p>
        </w:tc>
        <w:tc>
          <w:tcPr>
            <w:tcW w:w="24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For Against</w:t>
            </w:r>
          </w:p>
        </w:tc>
        <w:tc>
          <w:tcPr>
            <w:tcW w:w="66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Abstain</w:t>
            </w:r>
          </w:p>
        </w:tc>
        <w:tc>
          <w:tcPr>
            <w:tcW w:w="2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0" w:type="dxa"/>
            <w:vAlign w:val="bottom"/>
            <w:gridSpan w:val="2"/>
          </w:tcPr>
          <w:p>
            <w:pPr>
              <w:ind w:left="20"/>
              <w:spacing w:after="0"/>
              <w:rPr>
                <w:sz w:val="20"/>
                <w:szCs w:val="20"/>
                <w:color w:val="auto"/>
              </w:rPr>
            </w:pPr>
            <w:r>
              <w:rPr>
                <w:rFonts w:ascii="Arial" w:cs="Arial" w:eastAsia="Arial" w:hAnsi="Arial"/>
                <w:sz w:val="13"/>
                <w:szCs w:val="13"/>
                <w:color w:val="auto"/>
              </w:rPr>
              <w:t>1A</w:t>
            </w:r>
          </w:p>
        </w:tc>
        <w:tc>
          <w:tcPr>
            <w:tcW w:w="2900" w:type="dxa"/>
            <w:vAlign w:val="bottom"/>
          </w:tcPr>
          <w:p>
            <w:pPr>
              <w:ind w:left="20"/>
              <w:spacing w:after="0"/>
              <w:rPr>
                <w:sz w:val="20"/>
                <w:szCs w:val="20"/>
                <w:color w:val="auto"/>
              </w:rPr>
            </w:pPr>
            <w:r>
              <w:rPr>
                <w:rFonts w:ascii="Arial" w:cs="Arial" w:eastAsia="Arial" w:hAnsi="Arial"/>
                <w:sz w:val="13"/>
                <w:szCs w:val="13"/>
                <w:color w:val="auto"/>
              </w:rPr>
              <w:t>George J. Damiris</w:t>
            </w:r>
          </w:p>
        </w:tc>
        <w:tc>
          <w:tcPr>
            <w:tcW w:w="240" w:type="dxa"/>
            <w:vAlign w:val="bottom"/>
          </w:tcPr>
          <w:p>
            <w:pPr>
              <w:spacing w:after="0"/>
              <w:rPr>
                <w:sz w:val="16"/>
                <w:szCs w:val="16"/>
                <w:color w:val="auto"/>
              </w:rPr>
            </w:pP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gridSpan w:val="2"/>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4460" w:type="dxa"/>
            <w:vAlign w:val="bottom"/>
            <w:gridSpan w:val="3"/>
          </w:tcPr>
          <w:p>
            <w:pPr>
              <w:ind w:left="18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SHARES REPRESENTED BY THIS PROXY WHEN</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4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6"/>
              </w:rPr>
              <w:t>PROPERLY EXECUTED WILL BE VOTED IN THE MANNER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gridSpan w:val="2"/>
            <w:vMerge w:val="restart"/>
          </w:tcPr>
          <w:p>
            <w:pPr>
              <w:ind w:left="20"/>
              <w:spacing w:after="0"/>
              <w:rPr>
                <w:sz w:val="20"/>
                <w:szCs w:val="20"/>
                <w:color w:val="auto"/>
              </w:rPr>
            </w:pPr>
            <w:r>
              <w:rPr>
                <w:rFonts w:ascii="Arial" w:cs="Arial" w:eastAsia="Arial" w:hAnsi="Arial"/>
                <w:sz w:val="13"/>
                <w:szCs w:val="13"/>
                <w:color w:val="auto"/>
              </w:rPr>
              <w:t>1B</w:t>
            </w:r>
          </w:p>
        </w:tc>
        <w:tc>
          <w:tcPr>
            <w:tcW w:w="2900" w:type="dxa"/>
            <w:vAlign w:val="bottom"/>
            <w:vMerge w:val="restart"/>
          </w:tcPr>
          <w:p>
            <w:pPr>
              <w:ind w:left="20"/>
              <w:spacing w:after="0"/>
              <w:rPr>
                <w:sz w:val="20"/>
                <w:szCs w:val="20"/>
                <w:color w:val="auto"/>
              </w:rPr>
            </w:pPr>
            <w:r>
              <w:rPr>
                <w:rFonts w:ascii="Arial" w:cs="Arial" w:eastAsia="Arial" w:hAnsi="Arial"/>
                <w:sz w:val="13"/>
                <w:szCs w:val="13"/>
                <w:color w:val="auto"/>
              </w:rPr>
              <w:t>Martin M. Ellen</w:t>
            </w:r>
          </w:p>
        </w:tc>
        <w:tc>
          <w:tcPr>
            <w:tcW w:w="240" w:type="dxa"/>
            <w:vAlign w:val="bottom"/>
          </w:tcPr>
          <w:p>
            <w:pPr>
              <w:spacing w:after="0"/>
              <w:rPr>
                <w:sz w:val="11"/>
                <w:szCs w:val="11"/>
                <w:color w:val="auto"/>
              </w:rPr>
            </w:pPr>
          </w:p>
        </w:tc>
        <w:tc>
          <w:tcPr>
            <w:tcW w:w="36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gridSpan w:val="2"/>
            <w:vMerge w:val="restart"/>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vMerge w:val="restart"/>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44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DIRECTED HEREIN BY THE UNDERSIGNED STOCKHOLDER(S).</w:t>
            </w:r>
          </w:p>
        </w:tc>
        <w:tc>
          <w:tcPr>
            <w:tcW w:w="0" w:type="dxa"/>
            <w:vAlign w:val="bottom"/>
          </w:tcPr>
          <w:p>
            <w:pPr>
              <w:spacing w:after="0"/>
              <w:rPr>
                <w:sz w:val="1"/>
                <w:szCs w:val="1"/>
                <w:color w:val="auto"/>
              </w:rPr>
            </w:pPr>
          </w:p>
        </w:tc>
      </w:tr>
      <w:tr>
        <w:trPr>
          <w:trHeight w:val="135"/>
        </w:trPr>
        <w:tc>
          <w:tcPr>
            <w:tcW w:w="220" w:type="dxa"/>
            <w:vAlign w:val="bottom"/>
            <w:gridSpan w:val="2"/>
            <w:vMerge w:val="continue"/>
          </w:tcPr>
          <w:p>
            <w:pPr>
              <w:spacing w:after="0"/>
              <w:rPr>
                <w:sz w:val="11"/>
                <w:szCs w:val="11"/>
                <w:color w:val="auto"/>
              </w:rPr>
            </w:pPr>
          </w:p>
        </w:tc>
        <w:tc>
          <w:tcPr>
            <w:tcW w:w="2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4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IF NO DIRECTION IS MADE, THIS PROXY WILL BE VOTED FOR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ITEMS 1, 2 AND 3. IF ANY OTHER MATTERS PROPERLY COME</w:t>
            </w:r>
          </w:p>
        </w:tc>
        <w:tc>
          <w:tcPr>
            <w:tcW w:w="0" w:type="dxa"/>
            <w:vAlign w:val="bottom"/>
          </w:tcPr>
          <w:p>
            <w:pPr>
              <w:spacing w:after="0"/>
              <w:rPr>
                <w:sz w:val="1"/>
                <w:szCs w:val="1"/>
                <w:color w:val="auto"/>
              </w:rPr>
            </w:pPr>
          </w:p>
        </w:tc>
      </w:tr>
      <w:tr>
        <w:trPr>
          <w:trHeight w:val="135"/>
        </w:trPr>
        <w:tc>
          <w:tcPr>
            <w:tcW w:w="220" w:type="dxa"/>
            <w:vAlign w:val="bottom"/>
            <w:gridSpan w:val="2"/>
            <w:vMerge w:val="restart"/>
          </w:tcPr>
          <w:p>
            <w:pPr>
              <w:ind w:left="20"/>
              <w:spacing w:after="0"/>
              <w:rPr>
                <w:sz w:val="20"/>
                <w:szCs w:val="20"/>
                <w:color w:val="auto"/>
              </w:rPr>
            </w:pPr>
            <w:r>
              <w:rPr>
                <w:rFonts w:ascii="Arial" w:cs="Arial" w:eastAsia="Arial" w:hAnsi="Arial"/>
                <w:sz w:val="13"/>
                <w:szCs w:val="13"/>
                <w:color w:val="auto"/>
              </w:rPr>
              <w:t>1C</w:t>
            </w:r>
          </w:p>
        </w:tc>
        <w:tc>
          <w:tcPr>
            <w:tcW w:w="2900" w:type="dxa"/>
            <w:vAlign w:val="bottom"/>
            <w:vMerge w:val="restart"/>
          </w:tcPr>
          <w:p>
            <w:pPr>
              <w:ind w:left="20"/>
              <w:spacing w:after="0"/>
              <w:rPr>
                <w:sz w:val="20"/>
                <w:szCs w:val="20"/>
                <w:color w:val="auto"/>
              </w:rPr>
            </w:pPr>
            <w:r>
              <w:rPr>
                <w:rFonts w:ascii="Arial" w:cs="Arial" w:eastAsia="Arial" w:hAnsi="Arial"/>
                <w:sz w:val="13"/>
                <w:szCs w:val="13"/>
                <w:color w:val="auto"/>
              </w:rPr>
              <w:t>David B. Powers</w:t>
            </w:r>
          </w:p>
        </w:tc>
        <w:tc>
          <w:tcPr>
            <w:tcW w:w="240" w:type="dxa"/>
            <w:vAlign w:val="bottom"/>
          </w:tcPr>
          <w:p>
            <w:pPr>
              <w:spacing w:after="0"/>
              <w:rPr>
                <w:sz w:val="11"/>
                <w:szCs w:val="11"/>
                <w:color w:val="auto"/>
              </w:rPr>
            </w:pPr>
          </w:p>
        </w:tc>
        <w:tc>
          <w:tcPr>
            <w:tcW w:w="36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gridSpan w:val="2"/>
            <w:vMerge w:val="restart"/>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vMerge w:val="restart"/>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44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BEFORE THE MEETING, THE PROXIES NAMED IN THIS PROXY</w:t>
            </w:r>
          </w:p>
        </w:tc>
        <w:tc>
          <w:tcPr>
            <w:tcW w:w="0" w:type="dxa"/>
            <w:vAlign w:val="bottom"/>
          </w:tcPr>
          <w:p>
            <w:pPr>
              <w:spacing w:after="0"/>
              <w:rPr>
                <w:sz w:val="1"/>
                <w:szCs w:val="1"/>
                <w:color w:val="auto"/>
              </w:rPr>
            </w:pPr>
          </w:p>
        </w:tc>
      </w:tr>
      <w:tr>
        <w:trPr>
          <w:trHeight w:val="99"/>
        </w:trPr>
        <w:tc>
          <w:tcPr>
            <w:tcW w:w="220" w:type="dxa"/>
            <w:vAlign w:val="bottom"/>
            <w:gridSpan w:val="2"/>
            <w:vMerge w:val="continue"/>
          </w:tcPr>
          <w:p>
            <w:pPr>
              <w:spacing w:after="0"/>
              <w:rPr>
                <w:sz w:val="8"/>
                <w:szCs w:val="8"/>
                <w:color w:val="auto"/>
              </w:rPr>
            </w:pPr>
          </w:p>
        </w:tc>
        <w:tc>
          <w:tcPr>
            <w:tcW w:w="2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4460" w:type="dxa"/>
            <w:vAlign w:val="bottom"/>
            <w:gridSpan w:val="3"/>
            <w:vMerge w:val="restart"/>
          </w:tcPr>
          <w:p>
            <w:pPr>
              <w:ind w:left="180"/>
              <w:spacing w:after="0" w:line="135" w:lineRule="exact"/>
              <w:rPr>
                <w:sz w:val="20"/>
                <w:szCs w:val="20"/>
                <w:color w:val="auto"/>
              </w:rPr>
            </w:pPr>
            <w:r>
              <w:rPr>
                <w:rFonts w:ascii="Arial" w:cs="Arial" w:eastAsia="Arial" w:hAnsi="Arial"/>
                <w:sz w:val="13"/>
                <w:szCs w:val="13"/>
                <w:color w:val="auto"/>
              </w:rPr>
              <w:t>WILL VOTE IN THEIR DISCRETION. BY EXECUTING THIS PROXY,</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1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7"/>
              </w:rPr>
              <w:t>The Board of Directors recommends you vote FOR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4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6"/>
              </w:rPr>
              <w:t>THE UNDERSIGNED HEREBY REVOKES PRIOR PROXIES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40" w:type="dxa"/>
            <w:vAlign w:val="bottom"/>
            <w:gridSpan w:val="2"/>
          </w:tcPr>
          <w:p>
            <w:pPr>
              <w:ind w:left="180"/>
              <w:spacing w:after="0" w:line="133" w:lineRule="exact"/>
              <w:rPr>
                <w:sz w:val="20"/>
                <w:szCs w:val="20"/>
                <w:color w:val="auto"/>
              </w:rPr>
            </w:pPr>
            <w:r>
              <w:rPr>
                <w:rFonts w:ascii="Arial" w:cs="Arial" w:eastAsia="Arial" w:hAnsi="Arial"/>
                <w:sz w:val="13"/>
                <w:szCs w:val="13"/>
                <w:color w:val="auto"/>
              </w:rPr>
              <w:t>RELATING TO THE MEETING.</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120" w:type="dxa"/>
            <w:vAlign w:val="bottom"/>
            <w:gridSpan w:val="3"/>
          </w:tcPr>
          <w:p>
            <w:pPr>
              <w:ind w:left="20"/>
              <w:spacing w:after="0"/>
              <w:rPr>
                <w:sz w:val="20"/>
                <w:szCs w:val="20"/>
                <w:color w:val="auto"/>
              </w:rPr>
            </w:pPr>
            <w:r>
              <w:rPr>
                <w:rFonts w:ascii="Arial" w:cs="Arial" w:eastAsia="Arial" w:hAnsi="Arial"/>
                <w:sz w:val="13"/>
                <w:szCs w:val="13"/>
                <w:b w:val="1"/>
                <w:bCs w:val="1"/>
                <w:color w:val="auto"/>
              </w:rPr>
              <w:t>proposals 2 and 3.</w:t>
            </w:r>
          </w:p>
        </w:tc>
        <w:tc>
          <w:tcPr>
            <w:tcW w:w="2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For Against</w:t>
            </w:r>
          </w:p>
        </w:tc>
        <w:tc>
          <w:tcPr>
            <w:tcW w:w="66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Abstain</w:t>
            </w:r>
          </w:p>
        </w:tc>
        <w:tc>
          <w:tcPr>
            <w:tcW w:w="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0" w:type="dxa"/>
            <w:vAlign w:val="bottom"/>
            <w:gridSpan w:val="2"/>
          </w:tcPr>
          <w:p>
            <w:pPr>
              <w:ind w:left="20"/>
              <w:spacing w:after="0"/>
              <w:rPr>
                <w:sz w:val="20"/>
                <w:szCs w:val="20"/>
                <w:color w:val="auto"/>
              </w:rPr>
            </w:pPr>
            <w:r>
              <w:rPr>
                <w:rFonts w:ascii="Arial" w:cs="Arial" w:eastAsia="Arial" w:hAnsi="Arial"/>
                <w:sz w:val="13"/>
                <w:szCs w:val="13"/>
                <w:b w:val="1"/>
                <w:bCs w:val="1"/>
                <w:color w:val="auto"/>
              </w:rPr>
              <w:t>2.</w:t>
            </w:r>
          </w:p>
        </w:tc>
        <w:tc>
          <w:tcPr>
            <w:tcW w:w="3140" w:type="dxa"/>
            <w:vAlign w:val="bottom"/>
            <w:gridSpan w:val="2"/>
          </w:tcPr>
          <w:p>
            <w:pPr>
              <w:ind w:left="20"/>
              <w:spacing w:after="0"/>
              <w:rPr>
                <w:sz w:val="20"/>
                <w:szCs w:val="20"/>
                <w:color w:val="auto"/>
              </w:rPr>
            </w:pPr>
            <w:r>
              <w:rPr>
                <w:rFonts w:ascii="Arial" w:cs="Arial" w:eastAsia="Arial" w:hAnsi="Arial"/>
                <w:sz w:val="13"/>
                <w:szCs w:val="13"/>
                <w:color w:val="auto"/>
                <w:w w:val="99"/>
              </w:rPr>
              <w:t>Advisory resolution regarding the compensation of our</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gridSpan w:val="2"/>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Pr>
          <w:p>
            <w:pPr>
              <w:ind w:left="20"/>
              <w:spacing w:after="0"/>
              <w:rPr>
                <w:sz w:val="20"/>
                <w:szCs w:val="20"/>
                <w:color w:val="auto"/>
              </w:rPr>
            </w:pPr>
            <w:r>
              <w:rPr>
                <w:rFonts w:ascii="Arial" w:cs="Arial" w:eastAsia="Arial" w:hAnsi="Arial"/>
                <w:sz w:val="13"/>
                <w:szCs w:val="13"/>
                <w:color w:val="auto"/>
              </w:rPr>
              <w:t>named executive officers.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20" w:type="dxa"/>
            <w:vAlign w:val="bottom"/>
            <w:gridSpan w:val="2"/>
          </w:tcPr>
          <w:p>
            <w:pPr>
              <w:ind w:left="20"/>
              <w:spacing w:after="0"/>
              <w:rPr>
                <w:sz w:val="20"/>
                <w:szCs w:val="20"/>
                <w:color w:val="auto"/>
              </w:rPr>
            </w:pPr>
            <w:r>
              <w:rPr>
                <w:rFonts w:ascii="Arial" w:cs="Arial" w:eastAsia="Arial" w:hAnsi="Arial"/>
                <w:sz w:val="13"/>
                <w:szCs w:val="13"/>
                <w:b w:val="1"/>
                <w:bCs w:val="1"/>
                <w:color w:val="auto"/>
              </w:rPr>
              <w:t>3.</w:t>
            </w:r>
          </w:p>
        </w:tc>
        <w:tc>
          <w:tcPr>
            <w:tcW w:w="3140" w:type="dxa"/>
            <w:vAlign w:val="bottom"/>
            <w:gridSpan w:val="2"/>
          </w:tcPr>
          <w:p>
            <w:pPr>
              <w:ind w:left="20"/>
              <w:spacing w:after="0"/>
              <w:rPr>
                <w:sz w:val="20"/>
                <w:szCs w:val="20"/>
                <w:color w:val="auto"/>
              </w:rPr>
            </w:pPr>
            <w:r>
              <w:rPr>
                <w:rFonts w:ascii="Arial" w:cs="Arial" w:eastAsia="Arial" w:hAnsi="Arial"/>
                <w:sz w:val="13"/>
                <w:szCs w:val="13"/>
                <w:color w:val="auto"/>
                <w:w w:val="96"/>
              </w:rPr>
              <w:t>To approve the expected appointment of Ernst &amp; Young</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gridSpan w:val="2"/>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Pr>
          <w:p>
            <w:pPr>
              <w:ind w:left="20"/>
              <w:spacing w:after="0"/>
              <w:rPr>
                <w:sz w:val="20"/>
                <w:szCs w:val="20"/>
                <w:color w:val="auto"/>
              </w:rPr>
            </w:pPr>
            <w:r>
              <w:rPr>
                <w:rFonts w:ascii="Arial" w:cs="Arial" w:eastAsia="Arial" w:hAnsi="Arial"/>
                <w:sz w:val="13"/>
                <w:szCs w:val="13"/>
                <w:color w:val="auto"/>
              </w:rPr>
              <w:t>LLP as independent auditors for fiscal year 2020.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6"/>
        </w:trPr>
        <w:tc>
          <w:tcPr>
            <w:tcW w:w="4840" w:type="dxa"/>
            <w:vAlign w:val="bottom"/>
            <w:gridSpan w:val="8"/>
          </w:tcPr>
          <w:p>
            <w:pPr>
              <w:spacing w:after="0"/>
              <w:rPr>
                <w:sz w:val="20"/>
                <w:szCs w:val="20"/>
                <w:color w:val="auto"/>
              </w:rPr>
            </w:pPr>
            <w:r>
              <w:rPr>
                <w:rFonts w:ascii="Arial" w:cs="Arial" w:eastAsia="Arial" w:hAnsi="Arial"/>
                <w:sz w:val="13"/>
                <w:szCs w:val="13"/>
                <w:color w:val="auto"/>
              </w:rPr>
              <w:t>Please sign exactly as your name(s) appear(s) hereon. When signing as attorney,</w:t>
            </w: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40" w:type="dxa"/>
            <w:vAlign w:val="bottom"/>
            <w:gridSpan w:val="8"/>
          </w:tcPr>
          <w:p>
            <w:pPr>
              <w:spacing w:after="0" w:line="135" w:lineRule="exact"/>
              <w:rPr>
                <w:sz w:val="20"/>
                <w:szCs w:val="20"/>
                <w:color w:val="auto"/>
              </w:rPr>
            </w:pPr>
            <w:r>
              <w:rPr>
                <w:rFonts w:ascii="Arial" w:cs="Arial" w:eastAsia="Arial" w:hAnsi="Arial"/>
                <w:sz w:val="13"/>
                <w:szCs w:val="13"/>
                <w:color w:val="auto"/>
              </w:rPr>
              <w:t>executor, administrator, or other fiduciary, please give full title as such. Joint owners</w:t>
            </w:r>
          </w:p>
        </w:tc>
        <w:tc>
          <w:tcPr>
            <w:tcW w:w="2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8"/>
          </w:tcPr>
          <w:p>
            <w:pPr>
              <w:spacing w:after="0" w:line="135" w:lineRule="exact"/>
              <w:rPr>
                <w:sz w:val="20"/>
                <w:szCs w:val="20"/>
                <w:color w:val="auto"/>
              </w:rPr>
            </w:pPr>
            <w:r>
              <w:rPr>
                <w:rFonts w:ascii="Arial" w:cs="Arial" w:eastAsia="Arial" w:hAnsi="Arial"/>
                <w:sz w:val="13"/>
                <w:szCs w:val="13"/>
                <w:color w:val="auto"/>
              </w:rPr>
              <w:t>should each sign personally. All holders must sign. If a corporation or partnership,</w:t>
            </w:r>
          </w:p>
        </w:tc>
        <w:tc>
          <w:tcPr>
            <w:tcW w:w="2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180" w:type="dxa"/>
            <w:vAlign w:val="bottom"/>
            <w:gridSpan w:val="7"/>
          </w:tcPr>
          <w:p>
            <w:pPr>
              <w:spacing w:after="0"/>
              <w:rPr>
                <w:sz w:val="20"/>
                <w:szCs w:val="20"/>
                <w:color w:val="auto"/>
              </w:rPr>
            </w:pPr>
            <w:r>
              <w:rPr>
                <w:rFonts w:ascii="Arial" w:cs="Arial" w:eastAsia="Arial" w:hAnsi="Arial"/>
                <w:sz w:val="13"/>
                <w:szCs w:val="13"/>
                <w:color w:val="auto"/>
              </w:rPr>
              <w:t>please sign in full corporate or partnership name by authorized officer.</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6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060" w:type="dxa"/>
            <w:vAlign w:val="bottom"/>
            <w:gridSpan w:val="2"/>
          </w:tcPr>
          <w:p>
            <w:pPr>
              <w:ind w:left="60"/>
              <w:spacing w:after="0"/>
              <w:rPr>
                <w:sz w:val="20"/>
                <w:szCs w:val="20"/>
                <w:color w:val="auto"/>
              </w:rPr>
            </w:pPr>
            <w:r>
              <w:rPr>
                <w:rFonts w:ascii="Arial" w:cs="Arial" w:eastAsia="Arial" w:hAnsi="Arial"/>
                <w:sz w:val="13"/>
                <w:szCs w:val="13"/>
                <w:color w:val="auto"/>
              </w:rPr>
              <w:t>Signature [PLEASE SIGN WITHIN BOX]</w:t>
            </w:r>
          </w:p>
        </w:tc>
        <w:tc>
          <w:tcPr>
            <w:tcW w:w="60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tcPr>
          <w:p>
            <w:pPr>
              <w:ind w:left="40"/>
              <w:spacing w:after="0"/>
              <w:rPr>
                <w:sz w:val="20"/>
                <w:szCs w:val="20"/>
                <w:color w:val="auto"/>
              </w:rPr>
            </w:pPr>
            <w:r>
              <w:rPr>
                <w:rFonts w:ascii="Arial" w:cs="Arial" w:eastAsia="Arial" w:hAnsi="Arial"/>
                <w:sz w:val="13"/>
                <w:szCs w:val="13"/>
                <w:color w:val="auto"/>
              </w:rPr>
              <w:t>Signature (Joint Owners)</w:t>
            </w:r>
          </w:p>
        </w:tc>
        <w:tc>
          <w:tcPr>
            <w:tcW w:w="820" w:type="dxa"/>
            <w:vAlign w:val="bottom"/>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-1447165</wp:posOffset>
            </wp:positionV>
            <wp:extent cx="94615" cy="1029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10293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Notice &amp; Proxy Statement, Annual Report is/ are</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available at </w:t>
      </w:r>
      <w:r>
        <w:rPr>
          <w:rFonts w:ascii="Arial" w:cs="Arial" w:eastAsia="Arial" w:hAnsi="Arial"/>
          <w:sz w:val="16"/>
          <w:szCs w:val="16"/>
          <w:u w:val="single" w:color="auto"/>
          <w:color w:val="0000FF"/>
        </w:rPr>
        <w:t>www.proxyvote.com</w:t>
      </w:r>
      <w:r>
        <w:rPr>
          <w:rFonts w:ascii="Arial" w:cs="Arial" w:eastAsia="Arial" w:hAnsi="Arial"/>
          <w:sz w:val="16"/>
          <w:szCs w:val="16"/>
          <w:u w:val="single" w:color="auto"/>
          <w:color w:val="auto"/>
        </w:rPr>
        <w:t>.</w:t>
      </w:r>
    </w:p>
    <w:p>
      <w:pPr>
        <w:spacing w:after="0" w:line="196" w:lineRule="exact"/>
        <w:rPr>
          <w:sz w:val="20"/>
          <w:szCs w:val="20"/>
          <w:color w:val="auto"/>
        </w:rPr>
      </w:pPr>
    </w:p>
    <w:p>
      <w:pPr>
        <w:ind w:left="200" w:right="3300" w:firstLine="250"/>
        <w:spacing w:after="0" w:line="271" w:lineRule="auto"/>
        <w:rPr>
          <w:sz w:val="20"/>
          <w:szCs w:val="20"/>
          <w:color w:val="auto"/>
        </w:rPr>
      </w:pPr>
      <w:r>
        <w:rPr>
          <w:rFonts w:ascii="Arial" w:cs="Arial" w:eastAsia="Arial" w:hAnsi="Arial"/>
          <w:sz w:val="18"/>
          <w:szCs w:val="18"/>
          <w:b w:val="1"/>
          <w:bCs w:val="1"/>
          <w:color w:val="auto"/>
        </w:rPr>
        <w:t>—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129540</wp:posOffset>
            </wp:positionV>
            <wp:extent cx="6852285" cy="3456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2285" cy="3456305"/>
                    </a:xfrm>
                    <a:prstGeom prst="rect">
                      <a:avLst/>
                    </a:prstGeom>
                    <a:noFill/>
                  </pic:spPr>
                </pic:pic>
              </a:graphicData>
            </a:graphic>
          </wp:anchor>
        </w:drawing>
      </w:r>
    </w:p>
    <w:p>
      <w:pPr>
        <w:spacing w:after="0" w:line="319"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EAGLE MATERIALS INC.</w:t>
      </w:r>
    </w:p>
    <w:p>
      <w:pPr>
        <w:spacing w:after="0" w:line="19"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THIS PROXY IS SOLICITED ON BEHALF OF</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THE BOARD OF DIRECTORS</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ANNUAL MEETING OF STOCKHOLDERS</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August 6, 2019</w:t>
      </w:r>
    </w:p>
    <w:p>
      <w:pPr>
        <w:spacing w:after="0" w:line="244" w:lineRule="exact"/>
        <w:rPr>
          <w:sz w:val="20"/>
          <w:szCs w:val="20"/>
          <w:color w:val="auto"/>
        </w:rPr>
      </w:pPr>
    </w:p>
    <w:p>
      <w:pPr>
        <w:ind w:left="1220" w:right="360"/>
        <w:spacing w:after="0" w:line="247" w:lineRule="auto"/>
        <w:rPr>
          <w:sz w:val="20"/>
          <w:szCs w:val="20"/>
          <w:color w:val="auto"/>
        </w:rPr>
      </w:pPr>
      <w:r>
        <w:rPr>
          <w:rFonts w:ascii="Arial" w:cs="Arial" w:eastAsia="Arial" w:hAnsi="Arial"/>
          <w:sz w:val="14"/>
          <w:szCs w:val="14"/>
          <w:color w:val="auto"/>
        </w:rPr>
        <w:t>The undersigned hereby appoints James H. Graass and Michael Haack,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Tuesday, August 6, 2019 at Arlington Hall at Oak Lawn Park, 3333 Turtle Creek Blvd., Dallas, Texas 75219, and any adjournment or postponement thereof.</w:t>
      </w:r>
    </w:p>
    <w:p>
      <w:pPr>
        <w:spacing w:after="0" w:line="211" w:lineRule="exact"/>
        <w:rPr>
          <w:sz w:val="20"/>
          <w:szCs w:val="20"/>
          <w:color w:val="auto"/>
        </w:rPr>
      </w:pPr>
    </w:p>
    <w:p>
      <w:pPr>
        <w:ind w:left="1220" w:right="340"/>
        <w:spacing w:after="0" w:line="256" w:lineRule="auto"/>
        <w:rPr>
          <w:sz w:val="20"/>
          <w:szCs w:val="20"/>
          <w:color w:val="auto"/>
        </w:rPr>
      </w:pPr>
      <w:r>
        <w:rPr>
          <w:rFonts w:ascii="Arial" w:cs="Arial" w:eastAsia="Arial" w:hAnsi="Arial"/>
          <w:sz w:val="14"/>
          <w:szCs w:val="14"/>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AND 3. THE PROXIES WILL USE THEIR DISCRETION WITH RESPECT TO ANY OTHER MATTERS THAT PROPERLY COME BEFORE THE MEETING.</w:t>
      </w:r>
    </w:p>
    <w:p>
      <w:pPr>
        <w:spacing w:after="0" w:line="204" w:lineRule="exact"/>
        <w:rPr>
          <w:sz w:val="20"/>
          <w:szCs w:val="20"/>
          <w:color w:val="auto"/>
        </w:rPr>
      </w:pPr>
    </w:p>
    <w:p>
      <w:pPr>
        <w:ind w:left="1220" w:right="460"/>
        <w:spacing w:after="0" w:line="285" w:lineRule="auto"/>
        <w:rPr>
          <w:sz w:val="20"/>
          <w:szCs w:val="20"/>
          <w:color w:val="auto"/>
        </w:rPr>
      </w:pPr>
      <w:r>
        <w:rPr>
          <w:rFonts w:ascii="Arial" w:cs="Arial" w:eastAsia="Arial" w:hAnsi="Arial"/>
          <w:sz w:val="14"/>
          <w:szCs w:val="14"/>
          <w:b w:val="1"/>
          <w:bCs w:val="1"/>
          <w:color w:val="auto"/>
        </w:rPr>
        <w:t>By execution of this proxy, the undersigned hereby acknowledges receipt of the Notice of Annual Meeting and Proxy Statement for the August 6,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-36195</wp:posOffset>
            </wp:positionV>
            <wp:extent cx="94615" cy="1029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615" cy="1029335"/>
                    </a:xfrm>
                    <a:prstGeom prst="rect">
                      <a:avLst/>
                    </a:prstGeom>
                    <a:noFill/>
                  </pic:spPr>
                </pic:pic>
              </a:graphicData>
            </a:graphic>
          </wp:anchor>
        </w:drawing>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*For address changes, please contact our transfer agent, Computershare Shareowner Services LLC, at 1-800-279-1248.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880"/>
      </w:cols>
      <w:pgMar w:left="240" w:top="459"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lvl w:ilvl="1">
      <w:lvlJc w:val="left"/>
      <w:lvlText w:val="%2)"/>
      <w:numFmt w:val="decimal"/>
      <w:start w:val="1"/>
    </w:lvl>
  </w:abstractNum>
  <w:abstractNum w:abstractNumId="5">
    <w:nsid w:val="440BADFC"/>
    <w:multiLevelType w:val="hybridMultilevel"/>
    <w:lvl w:ilvl="0">
      <w:lvlJc w:val="left"/>
      <w:lvlText w:val="%1)"/>
      <w:numFmt w:val="decimal"/>
      <w:start w:val="3"/>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3"/>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4"/>
    </w:lvl>
  </w:abstractNum>
  <w:abstractNum w:abstractNumId="14">
    <w:nsid w:val="2D517796"/>
    <w:multiLevelType w:val="hybridMultilevel"/>
    <w:lvl w:ilvl="0">
      <w:lvlJc w:val="left"/>
      <w:lvlText w:val="(%1)"/>
      <w:numFmt w:val="decimal"/>
      <w:start w:val="9"/>
    </w:lvl>
  </w:abstractNum>
  <w:abstractNum w:abstractNumId="15">
    <w:nsid w:val="580BD78F"/>
    <w:multiLevelType w:val="hybridMultilevel"/>
    <w:lvl w:ilvl="0">
      <w:lvlJc w:val="left"/>
      <w:lvlText w:val="(%1)"/>
      <w:numFmt w:val="decimal"/>
      <w:start w:val="10"/>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3"/>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lvl w:ilvl="1">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7"/>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lvl w:ilvl="1">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3"/>
    </w:lvl>
  </w:abstractNum>
  <w:abstractNum w:abstractNumId="38">
    <w:nsid w:val="75C6C33A"/>
    <w:multiLevelType w:val="hybridMultilevel"/>
    <w:lvl w:ilvl="0">
      <w:lvlJc w:val="left"/>
      <w:lvlText w:val="(%1)"/>
      <w:numFmt w:val="decimal"/>
      <w:start w:val="4"/>
    </w:lvl>
  </w:abstractNum>
  <w:abstractNum w:abstractNumId="39">
    <w:nsid w:val="12E685FB"/>
    <w:multiLevelType w:val="hybridMultilevel"/>
    <w:lvl w:ilvl="0">
      <w:lvlJc w:val="left"/>
      <w:lvlText w:val="(%1)"/>
      <w:numFmt w:val="decimal"/>
      <w:start w:val="5"/>
    </w:lvl>
  </w:abstractNum>
  <w:abstractNum w:abstractNumId="40">
    <w:nsid w:val="70C6A529"/>
    <w:multiLevelType w:val="hybridMultilevel"/>
    <w:lvl w:ilvl="0">
      <w:lvlJc w:val="left"/>
      <w:lvlText w:val="(%1)"/>
      <w:numFmt w:val="decimal"/>
      <w:start w:val="7"/>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3"/>
    </w:lvl>
  </w:abstractNum>
  <w:abstractNum w:abstractNumId="43">
    <w:nsid w:val="4F4EF005"/>
    <w:multiLevelType w:val="hybridMultilevel"/>
    <w:lvl w:ilvl="0">
      <w:lvlJc w:val="left"/>
      <w:lvlText w:val="(%1)"/>
      <w:numFmt w:val="decimal"/>
      <w:start w:val="5"/>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2"/>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3"/>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2"/>
    </w:lvl>
  </w:abstractNum>
  <w:abstractNum w:abstractNumId="54">
    <w:nsid w:val="741226BB"/>
    <w:multiLevelType w:val="hybridMultilevel"/>
    <w:lvl w:ilvl="0">
      <w:lvlJc w:val="left"/>
      <w:lvlText w:val="(%1)"/>
      <w:numFmt w:val="decimal"/>
      <w:start w:val="3"/>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2"/>
    </w:lvl>
  </w:abstractNum>
  <w:abstractNum w:abstractNumId="58">
    <w:nsid w:val="61574095"/>
    <w:multiLevelType w:val="hybridMultilevel"/>
    <w:lvl w:ilvl="0">
      <w:lvlJc w:val="left"/>
      <w:lvlText w:val="(%1)"/>
      <w:numFmt w:val="decimal"/>
      <w:start w:val="3"/>
    </w:lvl>
  </w:abstractNum>
  <w:abstractNum w:abstractNumId="59">
    <w:nsid w:val="7E0C57B1"/>
    <w:multiLevelType w:val="hybridMultilevel"/>
    <w:lvl w:ilvl="0">
      <w:lvlJc w:val="left"/>
      <w:lvlText w:val="(%1)"/>
      <w:numFmt w:val="decimal"/>
      <w:start w:val="1"/>
    </w:lvl>
    <w:lvl w:ilvl="1">
      <w:lvlJc w:val="left"/>
      <w:lvlText w:val="(%2)"/>
      <w:numFmt w:val="lowerRoman"/>
      <w:start w:val="2"/>
    </w:lvl>
  </w:abstractNum>
  <w:abstractNum w:abstractNumId="60">
    <w:nsid w:val="77AE35EB"/>
    <w:multiLevelType w:val="hybridMultilevel"/>
    <w:lvl w:ilvl="0">
      <w:lvlJc w:val="left"/>
      <w:lvlText w:val="%1"/>
      <w:numFmt w:val="decimal"/>
      <w:start w:val="1"/>
    </w:lvl>
    <w:lvl w:ilvl="1">
      <w:lvlJc w:val="left"/>
      <w:lvlText w:val="(%2)"/>
      <w:numFmt w:val="lowerRoman"/>
      <w:start w:val="4"/>
    </w:lvl>
  </w:abstractNum>
  <w:abstractNum w:abstractNumId="61">
    <w:nsid w:val="579BE4F1"/>
    <w:multiLevelType w:val="hybridMultilevel"/>
    <w:lvl w:ilvl="0">
      <w:lvlJc w:val="left"/>
      <w:lvlText w:val="(%1)"/>
      <w:numFmt w:val="decimal"/>
      <w:start w:val="3"/>
    </w:lvl>
  </w:abstractNum>
  <w:abstractNum w:abstractNumId="62">
    <w:nsid w:val="310C50B3"/>
    <w:multiLevelType w:val="hybridMultilevel"/>
    <w:lvl w:ilvl="0">
      <w:lvlJc w:val="left"/>
      <w:lvlText w:val="(%1)"/>
      <w:numFmt w:val="decimal"/>
      <w:start w:val="5"/>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2019-12-01T10:22:01Z</dcterms:created>
  <dcterms:modified xsi:type="dcterms:W3CDTF">2019-12-01T10:22:01Z</dcterms:modified>
</cp:coreProperties>
</file>